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jc w:val="left"/>
        <w:rPr/>
      </w:pPr>
      <w:hyperlink w:anchor="toc">
        <w:bookmarkStart w:id="0" w:name="rway-20230930.htm"/>
        <w:bookmarkStart w:id="1" w:name="ksrway20230930"/>
        <w:bookmarkEnd w:id="0"/>
        <w:bookmarkEnd w:id="1"/>
        <w:r>
          <w:rPr>
            <w:rStyle w:val="InternetLink"/>
            <w:rFonts w:ascii="Times New Roman" w:hAnsi="Times New Roman"/>
            <w:b w:val="false"/>
            <w:color w:val="0563C1"/>
            <w:sz w:val="20"/>
          </w:rPr>
          <w:t>Table of Contents</w:t>
        </w:r>
      </w:hyperlink>
    </w:p>
    <w:p>
      <w:pPr>
        <w:pStyle w:val="TextBody"/>
        <w:pBdr>
          <w:top w:val="single" w:sz="24" w:space="1" w:color="000000"/>
        </w:pBdr>
        <w:bidi w:val="0"/>
        <w:jc w:val="center"/>
        <w:rPr/>
      </w:pPr>
      <w:r>
        <w:rPr/>
        <w:t> </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3"/>
        <w:gridCol w:w="9142"/>
      </w:tblGrid>
      <w:tr>
        <w:trPr/>
        <w:tc>
          <w:tcPr>
            <w:tcW w:w="1063" w:type="dxa"/>
            <w:tcBorders/>
            <w:vAlign w:val="center"/>
          </w:tcPr>
          <w:p>
            <w:pPr>
              <w:pStyle w:val="TableContents"/>
              <w:bidi w:val="0"/>
              <w:spacing w:before="0" w:after="283"/>
              <w:jc w:val="left"/>
              <w:rPr>
                <w:sz w:val="4"/>
                <w:szCs w:val="4"/>
              </w:rPr>
            </w:pPr>
            <w:r>
              <w:rPr>
                <w:sz w:val="4"/>
                <w:szCs w:val="4"/>
              </w:rPr>
            </w:r>
          </w:p>
        </w:tc>
        <w:tc>
          <w:tcPr>
            <w:tcW w:w="9142" w:type="dxa"/>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One)</w:t>
            </w:r>
          </w:p>
        </w:tc>
        <w:tc>
          <w:tcPr>
            <w:tcW w:w="9142" w:type="dxa"/>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283"/>
              <w:jc w:val="center"/>
              <w:rPr>
                <w:color w:val="000000"/>
              </w:rPr>
            </w:pPr>
            <w:r>
              <w:rPr>
                <w:color w:val="000000"/>
              </w:rPr>
              <w:t>☒</w:t>
            </w:r>
          </w:p>
        </w:tc>
        <w:tc>
          <w:tcPr>
            <w:tcW w:w="9142"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center"/>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814-01180</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5042" w:type="dxa"/>
        <w:jc w:val="left"/>
        <w:tblInd w:w="0" w:type="dxa"/>
        <w:tblLayout w:type="fixed"/>
        <w:tblCellMar>
          <w:top w:w="28" w:type="dxa"/>
          <w:left w:w="28" w:type="dxa"/>
          <w:bottom w:w="28" w:type="dxa"/>
          <w:right w:w="28" w:type="dxa"/>
        </w:tblCellMar>
      </w:tblPr>
      <w:tblGrid>
        <w:gridCol w:w="2011"/>
        <w:gridCol w:w="3031"/>
      </w:tblGrid>
      <w:tr>
        <w:trPr/>
        <w:tc>
          <w:tcPr>
            <w:tcW w:w="201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30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201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(State of incorporation)</w:t>
            </w:r>
          </w:p>
        </w:tc>
        <w:tc>
          <w:tcPr>
            <w:tcW w:w="303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(I.R.S. Employer Identification No.)</w:t>
            </w:r>
          </w:p>
        </w:tc>
      </w:tr>
    </w:tbl>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301"/>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 N. Michigan Ave., Suite 4200</w:t>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w:t>
            </w:r>
          </w:p>
        </w:tc>
        <w:tc>
          <w:tcPr>
            <w:tcW w:w="10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330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(Address of principal executive offices)</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(312) 281</w:t>
        <w:noBreakHyphen/>
        <w:t>6270</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(Registrant’s telephone number, including area code)</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Securities Registered Pursuant to Section 12(b) of the Act:</w:t>
      </w:r>
    </w:p>
    <w:p>
      <w:pPr>
        <w:pStyle w:val="TextBody"/>
        <w:bidi w:val="0"/>
        <w:jc w:val="left"/>
        <w:rPr/>
      </w:pPr>
      <w:r>
        <w:rPr/>
        <w:t> </w:t>
      </w:r>
    </w:p>
    <w:tbl>
      <w:tblPr>
        <w:tblW w:w="9018" w:type="dxa"/>
        <w:jc w:val="left"/>
        <w:tblInd w:w="0" w:type="dxa"/>
        <w:tblLayout w:type="fixed"/>
        <w:tblCellMar>
          <w:top w:w="28" w:type="dxa"/>
          <w:left w:w="28" w:type="dxa"/>
          <w:bottom w:w="28" w:type="dxa"/>
          <w:right w:w="28" w:type="dxa"/>
        </w:tblCellMar>
      </w:tblPr>
      <w:tblGrid>
        <w:gridCol w:w="3496"/>
        <w:gridCol w:w="169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Common Stock, par value $0.01 per share</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7.50% Notes due 2027</w:t>
            </w:r>
          </w:p>
        </w:tc>
        <w:tc>
          <w:tcPr>
            <w:tcW w:w="1696" w:type="dxa"/>
            <w:tcBorders/>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RWAY</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RWAYL</w:t>
            </w:r>
          </w:p>
        </w:tc>
        <w:tc>
          <w:tcPr>
            <w:tcW w:w="3826" w:type="dxa"/>
            <w:tcBorders/>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Nasdaq Global Select Market LLC</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Nasdaq Global Select Market LLC</w:t>
            </w:r>
          </w:p>
        </w:tc>
      </w:tr>
      <w:tr>
        <w:trPr/>
        <w:tc>
          <w:tcPr>
            <w:tcW w:w="349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8.00% Notes due 2027</w:t>
            </w:r>
          </w:p>
        </w:tc>
        <w:tc>
          <w:tcPr>
            <w:tcW w:w="169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RWAYZ</w:t>
            </w:r>
          </w:p>
        </w:tc>
        <w:tc>
          <w:tcPr>
            <w:tcW w:w="38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Nasdaq Global Select Market LLC</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Indicate by check mark whether the registrant is a large accelerated filer, an accelerated filer, a non-accelerated filer, smaller reporting company, or an emerging growth company. Refer to the definitions of “large accelerated filer,” “accelerated filer,” “smaller reporting company,” and “emerging growth company” in Rule 12b</w:t>
        <w:noBreakHyphen/>
        <w:t>2 of the Exchange Act.</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2551"/>
        <w:gridCol w:w="2581"/>
      </w:tblGrid>
      <w:tr>
        <w:trPr/>
        <w:tc>
          <w:tcPr>
            <w:tcW w:w="255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Large accelerated filer ☐</w:t>
            </w:r>
          </w:p>
        </w:tc>
        <w:tc>
          <w:tcPr>
            <w:tcW w:w="25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Accelerated filer ☐</w:t>
            </w:r>
          </w:p>
        </w:tc>
      </w:tr>
      <w:tr>
        <w:trPr/>
        <w:tc>
          <w:tcPr>
            <w:tcW w:w="2551" w:type="dxa"/>
            <w:tcBorders/>
            <w:vAlign w:val="center"/>
          </w:tcPr>
          <w:p>
            <w:pPr>
              <w:pStyle w:val="TableContents"/>
              <w:bidi w:val="0"/>
              <w:spacing w:before="0" w:after="283"/>
              <w:jc w:val="both"/>
              <w:rPr>
                <w:rFonts w:ascii="Times New Roman" w:hAnsi="Times New Roman"/>
                <w:sz w:val="20"/>
              </w:rPr>
            </w:pPr>
            <w:r>
              <w:rPr>
                <w:rFonts w:ascii="Times New Roman" w:hAnsi="Times New Roman"/>
                <w:b w:val="false"/>
                <w:color w:val="000000"/>
                <w:sz w:val="20"/>
              </w:rPr>
              <w:t>Non-accelerated filer</w:t>
            </w:r>
            <w:r>
              <w:rPr>
                <w:rFonts w:ascii="Times New Roman" w:hAnsi="Times New Roman"/>
                <w:color w:val="000000"/>
                <w:sz w:val="20"/>
              </w:rPr>
              <w:t> ☒</w:t>
            </w:r>
          </w:p>
        </w:tc>
        <w:tc>
          <w:tcPr>
            <w:tcW w:w="2581"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Smaller reporting company </w:t>
            </w:r>
            <w:r>
              <w:rPr>
                <w:rFonts w:ascii="Times New Roman" w:hAnsi="Times New Roman"/>
                <w:color w:val="000000"/>
                <w:sz w:val="20"/>
              </w:rPr>
              <w:t>☐</w:t>
            </w:r>
          </w:p>
        </w:tc>
      </w:tr>
      <w:tr>
        <w:trPr/>
        <w:tc>
          <w:tcPr>
            <w:tcW w:w="2551" w:type="dxa"/>
            <w:tcBorders/>
            <w:vAlign w:val="center"/>
          </w:tcPr>
          <w:p>
            <w:pPr>
              <w:pStyle w:val="TableContents"/>
              <w:bidi w:val="0"/>
              <w:spacing w:before="0" w:after="283"/>
              <w:jc w:val="both"/>
              <w:rPr>
                <w:rFonts w:ascii="Times New Roman" w:hAnsi="Times New Roman"/>
                <w:sz w:val="20"/>
              </w:rPr>
            </w:pPr>
            <w:r>
              <w:rPr>
                <w:rFonts w:ascii="Times New Roman" w:hAnsi="Times New Roman"/>
                <w:b w:val="false"/>
                <w:color w:val="000000"/>
                <w:sz w:val="20"/>
              </w:rPr>
              <w:t xml:space="preserve">Emerging growth company </w:t>
            </w:r>
            <w:r>
              <w:rPr>
                <w:rFonts w:ascii="Times New Roman" w:hAnsi="Times New Roman"/>
                <w:color w:val="000000"/>
                <w:sz w:val="20"/>
              </w:rPr>
              <w:t>☒</w:t>
            </w:r>
          </w:p>
        </w:tc>
        <w:tc>
          <w:tcPr>
            <w:tcW w:w="258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100"/>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0" w:after="120"/>
        <w:jc w:val="left"/>
        <w:rPr>
          <w:rFonts w:ascii="Times New Roman" w:hAnsi="Times New Roman"/>
          <w:sz w:val="20"/>
        </w:rPr>
      </w:pPr>
      <w:r>
        <w:rPr>
          <w:rFonts w:ascii="Times New Roman" w:hAnsi="Times New Roman"/>
          <w:b w:val="false"/>
          <w:color w:val="000000"/>
          <w:sz w:val="20"/>
        </w:rPr>
        <w:t>Indicate by check mark whether the registrant is a shell company (as defined in Rule 12b</w:t>
        <w:noBreakHyphen/>
        <w:t xml:space="preserve">2 of the Exchange Act). Yes ☐ 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val="false"/>
          <w:color w:val="000000"/>
          <w:sz w:val="20"/>
        </w:rPr>
        <w:t>The issuer had 40,509,269</w:t>
      </w:r>
      <w:r>
        <w:rPr>
          <w:rFonts w:ascii="Times New Roman" w:hAnsi="Times New Roman"/>
          <w:color w:val="000000"/>
          <w:sz w:val="20"/>
        </w:rPr>
        <w:t xml:space="preserve"> </w:t>
      </w:r>
      <w:r>
        <w:rPr>
          <w:rFonts w:ascii="Times New Roman" w:hAnsi="Times New Roman"/>
          <w:b w:val="false"/>
          <w:color w:val="000000"/>
          <w:sz w:val="20"/>
        </w:rPr>
        <w:t>shares of common stock, $0.01 par value per share, outstanding as of November 7, 2023.</w:t>
      </w:r>
    </w:p>
    <w:p>
      <w:pPr>
        <w:pStyle w:val="TextBody"/>
        <w:bidi w:val="0"/>
        <w:jc w:val="left"/>
        <w:rPr/>
      </w:pPr>
      <w:r>
        <w:rPr/>
        <w:t> </w:t>
      </w:r>
    </w:p>
    <w:p>
      <w:pPr>
        <w:pStyle w:val="TextBody"/>
        <w:pBdr>
          <w:top w:val="single" w:sz="8" w:space="1" w:color="000000"/>
          <w:bottom w:val="single" w:sz="2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sz w:val="20"/>
        </w:rPr>
      </w:pPr>
      <w:r>
        <w:rPr>
          <w:rFonts w:ascii="Times New Roman" w:hAnsi="Times New Roman"/>
          <w:b/>
          <w:color w:val="000000"/>
          <w:sz w:val="20"/>
        </w:rPr>
        <w:t>RUNWAY GROWTH FINANCE CORP.</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FORM 10</w:t>
        <w:noBreakHyphen/>
        <w:t>Q FOR THE QUARTER ENDED September 30, 2023</w:t>
      </w:r>
    </w:p>
    <w:p>
      <w:pPr>
        <w:pStyle w:val="TextBody"/>
        <w:bidi w:val="0"/>
        <w:spacing w:before="0" w:after="240"/>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55"/>
        <w:gridCol w:w="146"/>
        <w:gridCol w:w="8441"/>
        <w:gridCol w:w="146"/>
        <w:gridCol w:w="617"/>
      </w:tblGrid>
      <w:tr>
        <w:trPr/>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5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8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b w:val="false"/>
                <w:color w:val="000000"/>
                <w:sz w:val="16"/>
              </w:rPr>
              <w:br/>
            </w:r>
            <w:r>
              <w:rPr>
                <w:rFonts w:ascii="Times New Roman" w:hAnsi="Times New Roman"/>
                <w:b/>
                <w:color w:val="000000"/>
                <w:sz w:val="16"/>
              </w:rPr>
              <w:t>NO.</w:t>
            </w:r>
          </w:p>
        </w:tc>
      </w:tr>
      <w:tr>
        <w:trPr/>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left"/>
              <w:rPr/>
            </w:pPr>
            <w:hyperlink w:anchor="partifinancialinformation_110173">
              <w:r>
                <w:rPr>
                  <w:rStyle w:val="InternetLink"/>
                  <w:rFonts w:ascii="Times New Roman" w:hAnsi="Times New Roman"/>
                  <w:b/>
                  <w:color w:val="000000"/>
                  <w:sz w:val="20"/>
                </w:rPr>
                <w:t>PART I.</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partifinancialinformation_110173">
              <w:r>
                <w:rPr>
                  <w:rStyle w:val="InternetLink"/>
                  <w:rFonts w:ascii="Times New Roman" w:hAnsi="Times New Roman"/>
                  <w:b/>
                  <w:color w:val="000000"/>
                  <w:sz w:val="20"/>
                </w:rPr>
                <w:t>FINANCIAL INFORMATION</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pPr>
            <w:r>
              <w:rPr/>
              <w:t> </w:t>
            </w:r>
          </w:p>
        </w:tc>
      </w:tr>
      <w:tr>
        <w:trPr/>
        <w:tc>
          <w:tcPr>
            <w:tcW w:w="8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hyperlink w:anchor="item1financialstatements_531063">
              <w:r>
                <w:rPr>
                  <w:rStyle w:val="InternetLink"/>
                  <w:rFonts w:ascii="Times New Roman" w:hAnsi="Times New Roman"/>
                  <w:b w:val="false"/>
                  <w:color w:val="000000"/>
                  <w:sz w:val="20"/>
                </w:rPr>
                <w:t>Item 1.</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item1financialstatements_531063">
              <w:r>
                <w:rPr>
                  <w:rStyle w:val="InternetLink"/>
                  <w:rFonts w:ascii="Times New Roman" w:hAnsi="Times New Roman"/>
                  <w:b w:val="false"/>
                  <w:color w:val="0000FF"/>
                  <w:sz w:val="20"/>
                  <w:u w:val="single"/>
                </w:rPr>
                <w:t>Financial Statements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statementsofassetsandliabilities_107261">
              <w:r>
                <w:rPr>
                  <w:rStyle w:val="InternetLink"/>
                  <w:rFonts w:ascii="Times New Roman" w:hAnsi="Times New Roman"/>
                  <w:b w:val="false"/>
                  <w:color w:val="0000FF"/>
                  <w:sz w:val="20"/>
                  <w:u w:val="single"/>
                </w:rPr>
                <w:t>Statements of Assets and Liabilities as of September 30, 2023 (unaudited) and December 31, 2022</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statementsofoperations">
              <w:r>
                <w:rPr>
                  <w:rStyle w:val="InternetLink"/>
                  <w:rFonts w:ascii="Times New Roman" w:hAnsi="Times New Roman"/>
                  <w:b w:val="false"/>
                  <w:color w:val="0000FF"/>
                  <w:sz w:val="20"/>
                  <w:u w:val="single"/>
                </w:rPr>
                <w:t>Statements of Operations for the three and nine months ended September 30, 2023 and 2022 (unaudited)</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statementsofchangesinnetassets_914180">
              <w:r>
                <w:rPr>
                  <w:rStyle w:val="InternetLink"/>
                  <w:rFonts w:ascii="Times New Roman" w:hAnsi="Times New Roman"/>
                  <w:b w:val="false"/>
                  <w:color w:val="0000FF"/>
                  <w:sz w:val="20"/>
                  <w:u w:val="single"/>
                </w:rPr>
                <w:t>Statements of Changes in Net Assets for the three and nine months ended September 30, 2023 and 2022 (unaudited)</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statementsofcashflows">
              <w:r>
                <w:rPr>
                  <w:rStyle w:val="InternetLink"/>
                  <w:rFonts w:ascii="Times New Roman" w:hAnsi="Times New Roman"/>
                  <w:b w:val="false"/>
                  <w:color w:val="0000FF"/>
                  <w:sz w:val="20"/>
                  <w:u w:val="single"/>
                </w:rPr>
                <w:t>Statements of Cash Flows for the nine months ended September 30, 2023 and 2022 (unaudited)</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scheduleofinvestments_460338">
              <w:r>
                <w:rPr>
                  <w:rStyle w:val="InternetLink"/>
                  <w:rFonts w:ascii="Times New Roman" w:hAnsi="Times New Roman"/>
                  <w:b w:val="false"/>
                  <w:color w:val="0000FF"/>
                  <w:sz w:val="20"/>
                  <w:u w:val="single"/>
                </w:rPr>
                <w:t>Schedule of Investments as of September 30, 2023 (unaudited)</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scheduleofinvestments_pp">
              <w:r>
                <w:rPr>
                  <w:rStyle w:val="InternetLink"/>
                  <w:rFonts w:ascii="Times New Roman" w:hAnsi="Times New Roman"/>
                  <w:b w:val="false"/>
                  <w:color w:val="0000FF"/>
                  <w:sz w:val="20"/>
                  <w:u w:val="single"/>
                </w:rPr>
                <w:t>Schedule of Investments as of December 31, 2022</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notestofinancialstatements_777521">
              <w:r>
                <w:rPr>
                  <w:rStyle w:val="InternetLink"/>
                  <w:rFonts w:ascii="Times New Roman" w:hAnsi="Times New Roman"/>
                  <w:b w:val="false"/>
                  <w:color w:val="0000FF"/>
                  <w:sz w:val="20"/>
                  <w:u w:val="single"/>
                </w:rPr>
                <w:t>Notes to Financial Statements (unaudited)</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hyperlink w:anchor="item2managementsdiscussionandanalysisoff">
              <w:r>
                <w:rPr>
                  <w:rStyle w:val="InternetLink"/>
                  <w:rFonts w:ascii="Times New Roman" w:hAnsi="Times New Roman"/>
                  <w:b w:val="false"/>
                  <w:color w:val="000000"/>
                  <w:sz w:val="20"/>
                </w:rPr>
                <w:t>Item 2.</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item2managementsdiscussionandanalysisoff">
              <w:r>
                <w:rPr>
                  <w:rStyle w:val="InternetLink"/>
                  <w:rFonts w:ascii="Times New Roman" w:hAnsi="Times New Roman"/>
                  <w:b w:val="false"/>
                  <w:color w:val="0000FF"/>
                  <w:sz w:val="20"/>
                  <w:u w:val="single"/>
                </w:rPr>
                <w:t>Management’s Discussion and Analysis of Financial Condition and Results of Operations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hyperlink w:anchor="item3quantitativeandqualitativedisclosur">
              <w:r>
                <w:rPr>
                  <w:rStyle w:val="InternetLink"/>
                  <w:rFonts w:ascii="Times New Roman" w:hAnsi="Times New Roman"/>
                  <w:b w:val="false"/>
                  <w:color w:val="000000"/>
                  <w:sz w:val="20"/>
                </w:rPr>
                <w:t>Item 3.</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item3quantitativeandqualitativedisclosur">
              <w:r>
                <w:rPr>
                  <w:rStyle w:val="InternetLink"/>
                  <w:rFonts w:ascii="Times New Roman" w:hAnsi="Times New Roman"/>
                  <w:b w:val="false"/>
                  <w:color w:val="0000FF"/>
                  <w:sz w:val="20"/>
                  <w:u w:val="single"/>
                </w:rPr>
                <w:t>Quantitative and Qualitative Disclosures About Market Risk</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hyperlink w:anchor="item4controlsandprocedures_691536">
              <w:r>
                <w:rPr>
                  <w:rStyle w:val="InternetLink"/>
                  <w:rFonts w:ascii="Times New Roman" w:hAnsi="Times New Roman"/>
                  <w:b w:val="false"/>
                  <w:color w:val="000000"/>
                  <w:sz w:val="20"/>
                </w:rPr>
                <w:t>Item 4.</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item4controlsandprocedures_691536">
              <w:r>
                <w:rPr>
                  <w:rStyle w:val="InternetLink"/>
                  <w:rFonts w:ascii="Times New Roman" w:hAnsi="Times New Roman"/>
                  <w:b w:val="false"/>
                  <w:color w:val="0000FF"/>
                  <w:sz w:val="20"/>
                  <w:u w:val="single"/>
                </w:rPr>
                <w:t>Controls and Procedures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r>
      <w:tr>
        <w:trPr/>
        <w:tc>
          <w:tcPr>
            <w:tcW w:w="8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left"/>
              <w:rPr/>
            </w:pPr>
            <w:hyperlink w:anchor="partiiotherinformation_686450">
              <w:r>
                <w:rPr>
                  <w:rStyle w:val="InternetLink"/>
                  <w:rFonts w:ascii="Times New Roman" w:hAnsi="Times New Roman"/>
                  <w:b/>
                  <w:color w:val="000000"/>
                  <w:sz w:val="20"/>
                </w:rPr>
                <w:t>PART II.</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partiiotherinformation_686450">
              <w:r>
                <w:rPr>
                  <w:rStyle w:val="InternetLink"/>
                  <w:rFonts w:ascii="Times New Roman" w:hAnsi="Times New Roman"/>
                  <w:b/>
                  <w:color w:val="000000"/>
                  <w:sz w:val="20"/>
                </w:rPr>
                <w:t>OTHER INFORMATION</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r>
      <w:tr>
        <w:trPr/>
        <w:tc>
          <w:tcPr>
            <w:tcW w:w="8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hyperlink w:anchor="item1legalproceedings_844818">
              <w:r>
                <w:rPr>
                  <w:rStyle w:val="InternetLink"/>
                  <w:rFonts w:ascii="Times New Roman" w:hAnsi="Times New Roman"/>
                  <w:b w:val="false"/>
                  <w:color w:val="000000"/>
                  <w:sz w:val="20"/>
                </w:rPr>
                <w:t>Item 1.</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item1legalproceedings_844818">
              <w:r>
                <w:rPr>
                  <w:rStyle w:val="InternetLink"/>
                  <w:rFonts w:ascii="Times New Roman" w:hAnsi="Times New Roman"/>
                  <w:b w:val="false"/>
                  <w:color w:val="0000FF"/>
                  <w:sz w:val="20"/>
                  <w:u w:val="single"/>
                </w:rPr>
                <w:t>Legal Proceedings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hyperlink w:anchor="item1ariskfactors_996118">
              <w:r>
                <w:rPr>
                  <w:rStyle w:val="InternetLink"/>
                  <w:rFonts w:ascii="Times New Roman" w:hAnsi="Times New Roman"/>
                  <w:b w:val="false"/>
                  <w:color w:val="000000"/>
                  <w:sz w:val="20"/>
                </w:rPr>
                <w:t>Item 1A.</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item1ariskfactors_996118">
              <w:r>
                <w:rPr>
                  <w:rStyle w:val="InternetLink"/>
                  <w:rFonts w:ascii="Times New Roman" w:hAnsi="Times New Roman"/>
                  <w:b w:val="false"/>
                  <w:color w:val="0000FF"/>
                  <w:sz w:val="20"/>
                  <w:u w:val="single"/>
                </w:rPr>
                <w:t>Risk Factors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hyperlink w:anchor="item2unregisteredsalesofequitysecurities">
              <w:r>
                <w:rPr>
                  <w:rStyle w:val="InternetLink"/>
                  <w:rFonts w:ascii="Times New Roman" w:hAnsi="Times New Roman"/>
                  <w:b w:val="false"/>
                  <w:color w:val="000000"/>
                  <w:sz w:val="20"/>
                </w:rPr>
                <w:t>Item 2.</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item2unregisteredsalesofequitysecurities">
              <w:r>
                <w:rPr>
                  <w:rStyle w:val="InternetLink"/>
                  <w:rFonts w:ascii="Times New Roman" w:hAnsi="Times New Roman"/>
                  <w:b w:val="false"/>
                  <w:color w:val="0000FF"/>
                  <w:sz w:val="20"/>
                  <w:u w:val="single"/>
                </w:rPr>
                <w:t>Unregistered Sales of Equity Securities and Use of Proceeds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hyperlink w:anchor="item3defaultsuponseniorsecurities_59067">
              <w:r>
                <w:rPr>
                  <w:rStyle w:val="InternetLink"/>
                  <w:rFonts w:ascii="Times New Roman" w:hAnsi="Times New Roman"/>
                  <w:b w:val="false"/>
                  <w:color w:val="000000"/>
                  <w:sz w:val="20"/>
                </w:rPr>
                <w:t>Item 3.</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item3defaultsuponseniorsecurities_59067">
              <w:r>
                <w:rPr>
                  <w:rStyle w:val="InternetLink"/>
                  <w:rFonts w:ascii="Times New Roman" w:hAnsi="Times New Roman"/>
                  <w:b w:val="false"/>
                  <w:color w:val="0000FF"/>
                  <w:sz w:val="20"/>
                  <w:u w:val="single"/>
                </w:rPr>
                <w:t>Defaults Upon Senior Securities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hyperlink w:anchor="item4minesafetydisclosures_325402">
              <w:r>
                <w:rPr>
                  <w:rStyle w:val="InternetLink"/>
                  <w:rFonts w:ascii="Times New Roman" w:hAnsi="Times New Roman"/>
                  <w:b w:val="false"/>
                  <w:color w:val="000000"/>
                  <w:sz w:val="20"/>
                </w:rPr>
                <w:t>Item 4.</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item4minesafetydisclosures_325402">
              <w:r>
                <w:rPr>
                  <w:rStyle w:val="InternetLink"/>
                  <w:rFonts w:ascii="Times New Roman" w:hAnsi="Times New Roman"/>
                  <w:b w:val="false"/>
                  <w:color w:val="0000FF"/>
                  <w:sz w:val="20"/>
                  <w:u w:val="single"/>
                </w:rPr>
                <w:t>Mine Safety Disclosures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hyperlink w:anchor="item5otherinformation_981141">
              <w:r>
                <w:rPr>
                  <w:rStyle w:val="InternetLink"/>
                  <w:rFonts w:ascii="Times New Roman" w:hAnsi="Times New Roman"/>
                  <w:b w:val="false"/>
                  <w:color w:val="000000"/>
                  <w:sz w:val="20"/>
                </w:rPr>
                <w:t>Item 5.</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item5otherinformation_981141">
              <w:r>
                <w:rPr>
                  <w:rStyle w:val="InternetLink"/>
                  <w:rFonts w:ascii="Times New Roman" w:hAnsi="Times New Roman"/>
                  <w:b w:val="false"/>
                  <w:color w:val="0000FF"/>
                  <w:sz w:val="20"/>
                  <w:u w:val="single"/>
                </w:rPr>
                <w:t>Other Information</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r>
      <w:tr>
        <w:trPr/>
        <w:tc>
          <w:tcPr>
            <w:tcW w:w="85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855" w:type="dxa"/>
            <w:tcBorders/>
            <w:shd w:fill="CCEEFF" w:val="clear"/>
            <w:vAlign w:val="center"/>
          </w:tcPr>
          <w:p>
            <w:pPr>
              <w:pStyle w:val="TableContents"/>
              <w:bidi w:val="0"/>
              <w:spacing w:before="0" w:after="283"/>
              <w:jc w:val="right"/>
              <w:rPr/>
            </w:pPr>
            <w:hyperlink w:anchor="item6exhibits_524452">
              <w:r>
                <w:rPr>
                  <w:rStyle w:val="InternetLink"/>
                  <w:rFonts w:ascii="Times New Roman" w:hAnsi="Times New Roman"/>
                  <w:b w:val="false"/>
                  <w:color w:val="000000"/>
                  <w:sz w:val="20"/>
                </w:rPr>
                <w:t>Item 6.</w:t>
              </w:r>
            </w:hyperlink>
          </w:p>
        </w:tc>
        <w:tc>
          <w:tcPr>
            <w:tcW w:w="146" w:type="dxa"/>
            <w:tcBorders/>
            <w:shd w:fill="CCEEFF" w:val="clear"/>
            <w:vAlign w:val="center"/>
          </w:tcPr>
          <w:p>
            <w:pPr>
              <w:pStyle w:val="TableContents"/>
              <w:bidi w:val="0"/>
              <w:spacing w:before="0" w:after="283"/>
              <w:jc w:val="left"/>
              <w:rPr/>
            </w:pPr>
            <w:r>
              <w:rPr/>
              <w:t> </w:t>
            </w:r>
          </w:p>
        </w:tc>
        <w:tc>
          <w:tcPr>
            <w:tcW w:w="8441" w:type="dxa"/>
            <w:tcBorders/>
            <w:shd w:fill="CCEEFF" w:val="clear"/>
            <w:vAlign w:val="center"/>
          </w:tcPr>
          <w:p>
            <w:pPr>
              <w:pStyle w:val="TableContents"/>
              <w:bidi w:val="0"/>
              <w:spacing w:before="0" w:after="283"/>
              <w:jc w:val="left"/>
              <w:rPr/>
            </w:pPr>
            <w:hyperlink w:anchor="item6exhibits_524452">
              <w:r>
                <w:rPr>
                  <w:rStyle w:val="InternetLink"/>
                  <w:rFonts w:ascii="Times New Roman" w:hAnsi="Times New Roman"/>
                  <w:b w:val="false"/>
                  <w:color w:val="0000FF"/>
                  <w:sz w:val="20"/>
                  <w:u w:val="single"/>
                </w:rPr>
                <w:t>Exhibits</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r>
      <w:tr>
        <w:trPr/>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4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7" w:type="dxa"/>
            <w:tcBorders/>
            <w:vAlign w:val="center"/>
          </w:tcPr>
          <w:p>
            <w:pPr>
              <w:pStyle w:val="TableContents"/>
              <w:bidi w:val="0"/>
              <w:spacing w:before="0" w:after="283"/>
              <w:jc w:val="right"/>
              <w:rPr/>
            </w:pPr>
            <w:r>
              <w:rPr/>
              <w:t> </w:t>
            </w:r>
          </w:p>
        </w:tc>
      </w:tr>
      <w:tr>
        <w:trPr/>
        <w:tc>
          <w:tcPr>
            <w:tcW w:w="9442" w:type="dxa"/>
            <w:gridSpan w:val="3"/>
            <w:tcBorders/>
            <w:shd w:fill="CCEEFF" w:val="clear"/>
            <w:vAlign w:val="center"/>
          </w:tcPr>
          <w:p>
            <w:pPr>
              <w:pStyle w:val="TableContents"/>
              <w:bidi w:val="0"/>
              <w:spacing w:before="0" w:after="283"/>
              <w:jc w:val="left"/>
              <w:rPr/>
            </w:pPr>
            <w:hyperlink w:anchor="signatures_230440">
              <w:r>
                <w:rPr>
                  <w:rStyle w:val="InternetLink"/>
                  <w:rFonts w:ascii="Times New Roman" w:hAnsi="Times New Roman"/>
                  <w:b/>
                  <w:color w:val="000000"/>
                  <w:sz w:val="20"/>
                </w:rPr>
                <w:t>SIGNATURES</w:t>
              </w:r>
            </w:hyperlink>
            <w:hyperlink w:anchor="signatures_230440">
              <w:r>
                <w:rPr>
                  <w:rStyle w:val="InternetLink"/>
                  <w:rFonts w:ascii="Times New Roman" w:hAnsi="Times New Roman"/>
                  <w:color w:val="000000"/>
                  <w:sz w:val="20"/>
                </w:rPr>
                <w:t xml:space="preserve"> </w:t>
              </w:r>
            </w:hyperlink>
          </w:p>
        </w:tc>
        <w:tc>
          <w:tcPr>
            <w:tcW w:w="146" w:type="dxa"/>
            <w:tcBorders/>
            <w:shd w:fill="CCEEFF" w:val="clear"/>
            <w:vAlign w:val="center"/>
          </w:tcPr>
          <w:p>
            <w:pPr>
              <w:pStyle w:val="TableContents"/>
              <w:bidi w:val="0"/>
              <w:spacing w:before="0" w:after="283"/>
              <w:jc w:val="right"/>
              <w:rPr/>
            </w:pPr>
            <w:r>
              <w:rPr/>
              <w:t> </w:t>
            </w:r>
          </w:p>
        </w:tc>
        <w:tc>
          <w:tcPr>
            <w:tcW w:w="617" w:type="dxa"/>
            <w:tcBorders/>
            <w:shd w:fill="CCEE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240"/>
        <w:jc w:val="left"/>
        <w:rPr>
          <w:rFonts w:ascii="Times New Roman" w:hAnsi="Times New Roman"/>
          <w:b/>
          <w:color w:val="000000"/>
          <w:sz w:val="20"/>
        </w:rPr>
      </w:pPr>
      <w:bookmarkStart w:id="3" w:name="partifinancialinformation_110173"/>
      <w:bookmarkEnd w:id="3"/>
      <w:r>
        <w:rPr>
          <w:rFonts w:ascii="Times New Roman" w:hAnsi="Times New Roman"/>
          <w:b/>
          <w:color w:val="000000"/>
          <w:sz w:val="20"/>
        </w:rPr>
        <w:t>PART I. FINANCIAL INFORMATION</w:t>
      </w:r>
    </w:p>
    <w:p>
      <w:pPr>
        <w:pStyle w:val="TextBody"/>
        <w:bidi w:val="0"/>
        <w:spacing w:before="0" w:after="240"/>
        <w:jc w:val="left"/>
        <w:rPr>
          <w:rFonts w:ascii="Times New Roman" w:hAnsi="Times New Roman"/>
          <w:b/>
          <w:color w:val="000000"/>
          <w:sz w:val="20"/>
        </w:rPr>
      </w:pPr>
      <w:bookmarkStart w:id="4" w:name="item1financialstatements_531063"/>
      <w:bookmarkEnd w:id="4"/>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Statements of Assets and Liabilities</w:t>
      </w:r>
    </w:p>
    <w:p>
      <w:pPr>
        <w:pStyle w:val="TextBody"/>
        <w:bidi w:val="0"/>
        <w:spacing w:before="0" w:after="240"/>
        <w:jc w:val="center"/>
        <w:rPr>
          <w:rFonts w:ascii="Times New Roman" w:hAnsi="Times New Roman"/>
          <w:b/>
          <w:color w:val="000000"/>
          <w:sz w:val="20"/>
        </w:rPr>
      </w:pPr>
      <w:bookmarkStart w:id="5" w:name="statementsofassetsandliabilities_107261"/>
      <w:bookmarkEnd w:id="5"/>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6363"/>
        <w:gridCol w:w="146"/>
        <w:gridCol w:w="234"/>
        <w:gridCol w:w="174"/>
        <w:gridCol w:w="1097"/>
        <w:gridCol w:w="166"/>
        <w:gridCol w:w="146"/>
        <w:gridCol w:w="228"/>
        <w:gridCol w:w="170"/>
        <w:gridCol w:w="1068"/>
        <w:gridCol w:w="413"/>
      </w:tblGrid>
      <w:tr>
        <w:trPr/>
        <w:tc>
          <w:tcPr>
            <w:tcW w:w="6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3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5"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6"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3" w:type="dxa"/>
            <w:tcBorders/>
            <w:shd w:fill="FFFFFF" w:val="clear"/>
            <w:vAlign w:val="center"/>
          </w:tcPr>
          <w:p>
            <w:pPr>
              <w:pStyle w:val="TableContents"/>
              <w:bidi w:val="0"/>
              <w:spacing w:before="0" w:after="283"/>
              <w:jc w:val="center"/>
              <w:rPr/>
            </w:pPr>
            <w:r>
              <w:rPr/>
              <w:t> </w:t>
            </w:r>
          </w:p>
        </w:tc>
      </w:tr>
      <w:tr>
        <w:trPr/>
        <w:tc>
          <w:tcPr>
            <w:tcW w:w="63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238" w:type="dxa"/>
            <w:gridSpan w:val="2"/>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r>
      <w:tr>
        <w:trPr/>
        <w:tc>
          <w:tcPr>
            <w:tcW w:w="636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Investments at fair value: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8"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ind w:left="0" w:right="0" w:firstLine="100"/>
              <w:jc w:val="left"/>
              <w:rPr/>
            </w:pPr>
            <w:r>
              <w:rPr/>
              <w:t> </w:t>
            </w:r>
          </w:p>
        </w:tc>
      </w:tr>
      <w:tr>
        <w:trPr/>
        <w:tc>
          <w:tcPr>
            <w:tcW w:w="6363"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6"/>
              </w:rPr>
              <w:t>Non-control/non-affiliate investments at fair value (cost of $971,230</w:t>
            </w:r>
            <w:r>
              <w:rPr>
                <w:rFonts w:ascii="Times New Roman" w:hAnsi="Times New Roman"/>
                <w:color w:val="000000"/>
                <w:sz w:val="20"/>
              </w:rPr>
              <w:t> </w:t>
            </w:r>
            <w:r>
              <w:rPr>
                <w:rFonts w:ascii="Times New Roman" w:hAnsi="Times New Roman"/>
                <w:b w:val="false"/>
                <w:color w:val="000000"/>
                <w:sz w:val="16"/>
              </w:rPr>
              <w:t>and $1,126,879, respectively)</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4"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951,779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0"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1,114,935</w:t>
            </w:r>
          </w:p>
        </w:tc>
        <w:tc>
          <w:tcPr>
            <w:tcW w:w="413" w:type="dxa"/>
            <w:tcBorders/>
            <w:shd w:fill="CFF0FC" w:val="clear"/>
            <w:vAlign w:val="center"/>
          </w:tcPr>
          <w:p>
            <w:pPr>
              <w:pStyle w:val="TableContents"/>
              <w:bidi w:val="0"/>
              <w:spacing w:before="0" w:after="283"/>
              <w:ind w:left="0" w:right="0" w:firstLine="100"/>
              <w:jc w:val="left"/>
              <w:rPr/>
            </w:pPr>
            <w:r>
              <w:rPr/>
              <w:t> </w:t>
            </w:r>
          </w:p>
        </w:tc>
      </w:tr>
      <w:tr>
        <w:trPr/>
        <w:tc>
          <w:tcPr>
            <w:tcW w:w="6363"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6"/>
              </w:rPr>
              <w:t>Affiliate investments at fair value (cost of $55,681</w:t>
            </w:r>
            <w:r>
              <w:rPr>
                <w:rFonts w:ascii="Times New Roman" w:hAnsi="Times New Roman"/>
                <w:color w:val="000000"/>
                <w:sz w:val="20"/>
              </w:rPr>
              <w:t> </w:t>
            </w:r>
            <w:r>
              <w:rPr>
                <w:rFonts w:ascii="Times New Roman" w:hAnsi="Times New Roman"/>
                <w:b w:val="false"/>
                <w:color w:val="000000"/>
                <w:sz w:val="16"/>
              </w:rPr>
              <w:t>and $4,551, respectively)</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47,535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2,084</w:t>
            </w:r>
          </w:p>
        </w:tc>
        <w:tc>
          <w:tcPr>
            <w:tcW w:w="413" w:type="dxa"/>
            <w:tcBorders/>
            <w:shd w:fill="FFFFFF" w:val="clear"/>
            <w:vAlign w:val="center"/>
          </w:tcPr>
          <w:p>
            <w:pPr>
              <w:pStyle w:val="TableContents"/>
              <w:bidi w:val="0"/>
              <w:spacing w:before="0" w:after="283"/>
              <w:ind w:left="0" w:right="0" w:firstLine="100"/>
              <w:jc w:val="left"/>
              <w:rPr/>
            </w:pPr>
            <w:r>
              <w:rPr/>
              <w:t> </w:t>
            </w:r>
          </w:p>
        </w:tc>
      </w:tr>
      <w:tr>
        <w:trPr/>
        <w:tc>
          <w:tcPr>
            <w:tcW w:w="6363"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6"/>
              </w:rPr>
              <w:t>Control investments at fair value (cost of $17,963</w:t>
            </w:r>
            <w:r>
              <w:rPr>
                <w:rFonts w:ascii="Times New Roman" w:hAnsi="Times New Roman"/>
                <w:color w:val="000000"/>
                <w:sz w:val="20"/>
              </w:rPr>
              <w:t> </w:t>
            </w:r>
            <w:r>
              <w:rPr>
                <w:rFonts w:ascii="Times New Roman" w:hAnsi="Times New Roman"/>
                <w:b w:val="false"/>
                <w:color w:val="000000"/>
                <w:sz w:val="16"/>
              </w:rPr>
              <w:t>and $19,172, respectively)</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9,290</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363"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Total investments at fair value (cost of $1,044,874</w:t>
            </w:r>
            <w:r>
              <w:rPr>
                <w:rFonts w:ascii="Times New Roman" w:hAnsi="Times New Roman"/>
                <w:color w:val="000000"/>
                <w:sz w:val="20"/>
              </w:rPr>
              <w:t> </w:t>
            </w:r>
            <w:r>
              <w:rPr>
                <w:rFonts w:ascii="Times New Roman" w:hAnsi="Times New Roman"/>
                <w:b w:val="false"/>
                <w:color w:val="000000"/>
                <w:sz w:val="16"/>
              </w:rPr>
              <w:t>and $1,150,602, respectively)</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1,010,927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1,126,309</w:t>
            </w:r>
          </w:p>
        </w:tc>
        <w:tc>
          <w:tcPr>
            <w:tcW w:w="41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36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5,761</w:t>
            </w:r>
          </w:p>
        </w:tc>
        <w:tc>
          <w:tcPr>
            <w:tcW w:w="413" w:type="dxa"/>
            <w:tcBorders/>
            <w:shd w:fill="CFF0FC" w:val="clear"/>
            <w:vAlign w:val="center"/>
          </w:tcPr>
          <w:p>
            <w:pPr>
              <w:pStyle w:val="TableContents"/>
              <w:bidi w:val="0"/>
              <w:spacing w:before="0" w:after="283"/>
              <w:jc w:val="left"/>
              <w:rPr/>
            </w:pPr>
            <w:r>
              <w:rPr/>
              <w:t> </w:t>
            </w:r>
          </w:p>
        </w:tc>
      </w:tr>
      <w:tr>
        <w:trPr/>
        <w:tc>
          <w:tcPr>
            <w:tcW w:w="636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and fees receivable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8,766</w:t>
            </w:r>
          </w:p>
        </w:tc>
        <w:tc>
          <w:tcPr>
            <w:tcW w:w="413" w:type="dxa"/>
            <w:tcBorders/>
            <w:shd w:fill="FFFFFF" w:val="clear"/>
            <w:vAlign w:val="center"/>
          </w:tcPr>
          <w:p>
            <w:pPr>
              <w:pStyle w:val="TableContents"/>
              <w:bidi w:val="0"/>
              <w:spacing w:before="0" w:after="283"/>
              <w:jc w:val="left"/>
              <w:rPr/>
            </w:pPr>
            <w:r>
              <w:rPr/>
              <w:t> </w:t>
            </w:r>
          </w:p>
        </w:tc>
      </w:tr>
      <w:tr>
        <w:trPr/>
        <w:tc>
          <w:tcPr>
            <w:tcW w:w="636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assets</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63"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1,034,191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1,141,766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238" w:type="dxa"/>
            <w:gridSpan w:val="2"/>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r>
      <w:tr>
        <w:trPr/>
        <w:tc>
          <w:tcPr>
            <w:tcW w:w="636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Debt: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8"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ind w:left="0" w:right="0" w:firstLine="100"/>
              <w:jc w:val="left"/>
              <w:rPr/>
            </w:pPr>
            <w:r>
              <w:rPr/>
              <w:t> </w:t>
            </w:r>
          </w:p>
        </w:tc>
      </w:tr>
      <w:tr>
        <w:trPr/>
        <w:tc>
          <w:tcPr>
            <w:tcW w:w="636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Credit facility</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337,000</w:t>
            </w:r>
          </w:p>
        </w:tc>
        <w:tc>
          <w:tcPr>
            <w:tcW w:w="413" w:type="dxa"/>
            <w:tcBorders/>
            <w:shd w:fill="CFF0FC" w:val="clear"/>
            <w:vAlign w:val="center"/>
          </w:tcPr>
          <w:p>
            <w:pPr>
              <w:pStyle w:val="TableContents"/>
              <w:bidi w:val="0"/>
              <w:spacing w:before="0" w:after="283"/>
              <w:ind w:left="0" w:right="0" w:firstLine="100"/>
              <w:jc w:val="left"/>
              <w:rPr/>
            </w:pPr>
            <w:r>
              <w:rPr/>
              <w:t> </w:t>
            </w:r>
          </w:p>
        </w:tc>
      </w:tr>
      <w:tr>
        <w:trPr/>
        <w:tc>
          <w:tcPr>
            <w:tcW w:w="636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2026 Notes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70,000</w:t>
            </w:r>
          </w:p>
        </w:tc>
        <w:tc>
          <w:tcPr>
            <w:tcW w:w="413" w:type="dxa"/>
            <w:tcBorders/>
            <w:shd w:fill="FFFFFF" w:val="clear"/>
            <w:vAlign w:val="center"/>
          </w:tcPr>
          <w:p>
            <w:pPr>
              <w:pStyle w:val="TableContents"/>
              <w:bidi w:val="0"/>
              <w:spacing w:before="0" w:after="283"/>
              <w:ind w:left="0" w:right="0" w:firstLine="100"/>
              <w:jc w:val="left"/>
              <w:rPr/>
            </w:pPr>
            <w:r>
              <w:rPr/>
              <w:t> </w:t>
            </w:r>
          </w:p>
        </w:tc>
      </w:tr>
      <w:tr>
        <w:trPr/>
        <w:tc>
          <w:tcPr>
            <w:tcW w:w="636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2027 Notes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152,250</w:t>
            </w:r>
          </w:p>
        </w:tc>
        <w:tc>
          <w:tcPr>
            <w:tcW w:w="413" w:type="dxa"/>
            <w:tcBorders/>
            <w:shd w:fill="CFF0FC" w:val="clear"/>
            <w:vAlign w:val="center"/>
          </w:tcPr>
          <w:p>
            <w:pPr>
              <w:pStyle w:val="TableContents"/>
              <w:bidi w:val="0"/>
              <w:spacing w:before="0" w:after="283"/>
              <w:ind w:left="0" w:right="0" w:firstLine="100"/>
              <w:jc w:val="left"/>
              <w:rPr/>
            </w:pPr>
            <w:r>
              <w:rPr/>
              <w:t> </w:t>
            </w:r>
          </w:p>
        </w:tc>
      </w:tr>
      <w:tr>
        <w:trPr/>
        <w:tc>
          <w:tcPr>
            <w:tcW w:w="636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Unamortized deferred debt costs</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(10,293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3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debt, less unamortized deferred debt costs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440,985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548,957</w:t>
            </w:r>
          </w:p>
        </w:tc>
        <w:tc>
          <w:tcPr>
            <w:tcW w:w="413" w:type="dxa"/>
            <w:tcBorders/>
            <w:shd w:fill="CFF0FC" w:val="clear"/>
            <w:vAlign w:val="center"/>
          </w:tcPr>
          <w:p>
            <w:pPr>
              <w:pStyle w:val="TableContents"/>
              <w:bidi w:val="0"/>
              <w:spacing w:before="0" w:after="283"/>
              <w:jc w:val="left"/>
              <w:rPr/>
            </w:pPr>
            <w:r>
              <w:rPr/>
              <w:t> </w:t>
            </w:r>
          </w:p>
        </w:tc>
      </w:tr>
      <w:tr>
        <w:trPr/>
        <w:tc>
          <w:tcPr>
            <w:tcW w:w="636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Incentive fees payable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8,808</w:t>
            </w:r>
          </w:p>
        </w:tc>
        <w:tc>
          <w:tcPr>
            <w:tcW w:w="413" w:type="dxa"/>
            <w:tcBorders/>
            <w:shd w:fill="FFFFFF" w:val="clear"/>
            <w:vAlign w:val="center"/>
          </w:tcPr>
          <w:p>
            <w:pPr>
              <w:pStyle w:val="TableContents"/>
              <w:bidi w:val="0"/>
              <w:spacing w:before="0" w:after="283"/>
              <w:jc w:val="left"/>
              <w:rPr/>
            </w:pPr>
            <w:r>
              <w:rPr/>
              <w:t> </w:t>
            </w:r>
          </w:p>
        </w:tc>
      </w:tr>
      <w:tr>
        <w:trPr/>
        <w:tc>
          <w:tcPr>
            <w:tcW w:w="636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payable</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6,221</w:t>
            </w:r>
          </w:p>
        </w:tc>
        <w:tc>
          <w:tcPr>
            <w:tcW w:w="413" w:type="dxa"/>
            <w:tcBorders/>
            <w:shd w:fill="CFF0FC" w:val="clear"/>
            <w:vAlign w:val="center"/>
          </w:tcPr>
          <w:p>
            <w:pPr>
              <w:pStyle w:val="TableContents"/>
              <w:bidi w:val="0"/>
              <w:spacing w:before="0" w:after="283"/>
              <w:jc w:val="left"/>
              <w:rPr/>
            </w:pPr>
            <w:r>
              <w:rPr/>
              <w:t> </w:t>
            </w:r>
          </w:p>
        </w:tc>
      </w:tr>
      <w:tr>
        <w:trPr/>
        <w:tc>
          <w:tcPr>
            <w:tcW w:w="636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1,728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63"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463,700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565,714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Commitments and contingencies (Note 8)</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8"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636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238" w:type="dxa"/>
            <w:gridSpan w:val="2"/>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ind w:left="0" w:right="0" w:firstLine="100"/>
              <w:jc w:val="left"/>
              <w:rPr/>
            </w:pPr>
            <w:r>
              <w:rPr/>
              <w:t> </w:t>
            </w:r>
          </w:p>
        </w:tc>
      </w:tr>
      <w:tr>
        <w:trPr/>
        <w:tc>
          <w:tcPr>
            <w:tcW w:w="636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Common stock, par value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413" w:type="dxa"/>
            <w:tcBorders/>
            <w:shd w:fill="FFFFFF" w:val="clear"/>
            <w:vAlign w:val="center"/>
          </w:tcPr>
          <w:p>
            <w:pPr>
              <w:pStyle w:val="TableContents"/>
              <w:bidi w:val="0"/>
              <w:spacing w:before="0" w:after="283"/>
              <w:ind w:left="0" w:right="0" w:firstLine="100"/>
              <w:jc w:val="left"/>
              <w:rPr/>
            </w:pPr>
            <w:r>
              <w:rPr/>
              <w:t> </w:t>
            </w:r>
          </w:p>
        </w:tc>
      </w:tr>
      <w:tr>
        <w:trPr/>
        <w:tc>
          <w:tcPr>
            <w:tcW w:w="636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Additional paid-in capital</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605,774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605,774</w:t>
            </w:r>
          </w:p>
        </w:tc>
        <w:tc>
          <w:tcPr>
            <w:tcW w:w="413" w:type="dxa"/>
            <w:tcBorders/>
            <w:shd w:fill="CFF0FC" w:val="clear"/>
            <w:vAlign w:val="center"/>
          </w:tcPr>
          <w:p>
            <w:pPr>
              <w:pStyle w:val="TableContents"/>
              <w:bidi w:val="0"/>
              <w:spacing w:before="0" w:after="283"/>
              <w:ind w:left="0" w:right="0" w:firstLine="100"/>
              <w:jc w:val="left"/>
              <w:rPr/>
            </w:pPr>
            <w:r>
              <w:rPr/>
              <w:t> </w:t>
            </w:r>
          </w:p>
        </w:tc>
      </w:tr>
      <w:tr>
        <w:trPr/>
        <w:tc>
          <w:tcPr>
            <w:tcW w:w="636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Distributable earnings (losses)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(24,881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(19,320</w:t>
            </w:r>
          </w:p>
        </w:tc>
        <w:tc>
          <w:tcPr>
            <w:tcW w:w="41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636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Treasury stock</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(10,816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363"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570,491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576,052</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238" w:type="dxa"/>
            <w:gridSpan w:val="2"/>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r>
      <w:tr>
        <w:trPr/>
        <w:tc>
          <w:tcPr>
            <w:tcW w:w="63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Shares of common stock outstanding ($0.01</w:t>
            </w:r>
            <w:r>
              <w:rPr>
                <w:rFonts w:ascii="Times New Roman" w:hAnsi="Times New Roman"/>
                <w:color w:val="000000"/>
                <w:sz w:val="20"/>
              </w:rPr>
              <w:t> </w:t>
            </w:r>
            <w:r>
              <w:rPr>
                <w:rFonts w:ascii="Times New Roman" w:hAnsi="Times New Roman"/>
                <w:b w:val="false"/>
                <w:color w:val="000000"/>
                <w:sz w:val="16"/>
              </w:rPr>
              <w:t>par value, 100,000,000</w:t>
            </w:r>
            <w:r>
              <w:rPr>
                <w:rFonts w:ascii="Times New Roman" w:hAnsi="Times New Roman"/>
                <w:color w:val="000000"/>
                <w:sz w:val="20"/>
              </w:rPr>
              <w:t> </w:t>
            </w:r>
            <w:r>
              <w:rPr>
                <w:rFonts w:ascii="Times New Roman" w:hAnsi="Times New Roman"/>
                <w:b w:val="false"/>
                <w:color w:val="000000"/>
                <w:sz w:val="16"/>
              </w:rPr>
              <w:t>shares authorized)</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40,509,269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40,509,269</w:t>
            </w:r>
          </w:p>
        </w:tc>
        <w:tc>
          <w:tcPr>
            <w:tcW w:w="413" w:type="dxa"/>
            <w:tcBorders/>
            <w:shd w:fill="FFFFFF" w:val="clear"/>
            <w:vAlign w:val="center"/>
          </w:tcPr>
          <w:p>
            <w:pPr>
              <w:pStyle w:val="TableContents"/>
              <w:bidi w:val="0"/>
              <w:spacing w:before="0" w:after="283"/>
              <w:jc w:val="left"/>
              <w:rPr/>
            </w:pPr>
            <w:r>
              <w:rPr/>
              <w:t> </w:t>
            </w:r>
          </w:p>
        </w:tc>
      </w:tr>
      <w:tr>
        <w:trPr/>
        <w:tc>
          <w:tcPr>
            <w:tcW w:w="636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asset value per share</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4"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0"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14.22</w:t>
            </w:r>
          </w:p>
        </w:tc>
        <w:tc>
          <w:tcPr>
            <w:tcW w:w="413"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6" w:name="statementsofoperations"/>
      <w:bookmarkEnd w:id="6"/>
      <w:r>
        <w:rPr>
          <w:rFonts w:ascii="Times New Roman" w:hAnsi="Times New Roman"/>
          <w:b/>
          <w:color w:val="000000"/>
          <w:sz w:val="20"/>
        </w:rPr>
        <w:t>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600"/>
        <w:gridCol w:w="146"/>
        <w:gridCol w:w="196"/>
        <w:gridCol w:w="146"/>
        <w:gridCol w:w="916"/>
        <w:gridCol w:w="166"/>
        <w:gridCol w:w="146"/>
        <w:gridCol w:w="196"/>
        <w:gridCol w:w="146"/>
        <w:gridCol w:w="916"/>
        <w:gridCol w:w="166"/>
        <w:gridCol w:w="146"/>
        <w:gridCol w:w="196"/>
        <w:gridCol w:w="146"/>
        <w:gridCol w:w="916"/>
        <w:gridCol w:w="166"/>
        <w:gridCol w:w="146"/>
        <w:gridCol w:w="196"/>
        <w:gridCol w:w="146"/>
        <w:gridCol w:w="916"/>
        <w:gridCol w:w="491"/>
      </w:tblGrid>
      <w:tr>
        <w:trPr/>
        <w:tc>
          <w:tcPr>
            <w:tcW w:w="3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jc w:val="center"/>
              <w:rPr/>
            </w:pPr>
            <w:r>
              <w:rPr/>
              <w:t> </w:t>
            </w:r>
          </w:p>
        </w:tc>
      </w:tr>
      <w:tr>
        <w:trPr/>
        <w:tc>
          <w:tcPr>
            <w:tcW w:w="36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8"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28"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91" w:type="dxa"/>
            <w:tcBorders/>
            <w:shd w:fill="FFFFFF" w:val="clear"/>
            <w:vAlign w:val="center"/>
          </w:tcPr>
          <w:p>
            <w:pPr>
              <w:pStyle w:val="TableContents"/>
              <w:bidi w:val="0"/>
              <w:spacing w:before="0" w:after="283"/>
              <w:jc w:val="center"/>
              <w:rPr/>
            </w:pPr>
            <w:r>
              <w:rPr/>
              <w:t> </w:t>
            </w:r>
          </w:p>
        </w:tc>
      </w:tr>
      <w:tr>
        <w:trPr/>
        <w:tc>
          <w:tcPr>
            <w:tcW w:w="36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From 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60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35,498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104,169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61,750</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60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Payment-in-kind 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3,249</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60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Dividend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1,021</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60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Fee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1,067</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From 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60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60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Payment-in-kind 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60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Fee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From control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60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1,112</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60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Payment-in-kind 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2,984</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Other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00"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6"/>
              </w:rPr>
            </w:pPr>
            <w:r>
              <w:rPr>
                <w:rFonts w:ascii="Times New Roman" w:hAnsi="Times New Roman"/>
                <w:b w:val="false"/>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71,294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Management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8,488</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Incentive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8,591</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Interest and other debt financing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32,772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8,297</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Professional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1,677</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Administration agreement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1,331</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Insurance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806</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Tax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Other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00"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6"/>
              </w:rPr>
            </w:pPr>
            <w:r>
              <w:rPr>
                <w:rFonts w:ascii="Times New Roman" w:hAnsi="Times New Roman"/>
                <w:b w:val="false"/>
                <w:color w:val="000000"/>
                <w:sz w:val="16"/>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29,858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14,498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59,958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41,436</w:t>
            </w:r>
          </w:p>
        </w:tc>
        <w:tc>
          <w:tcPr>
            <w:tcW w:w="491" w:type="dxa"/>
            <w:tcBorders/>
            <w:shd w:fill="FFFFFF" w:val="clear"/>
            <w:vAlign w:val="center"/>
          </w:tcPr>
          <w:p>
            <w:pPr>
              <w:pStyle w:val="TableContents"/>
              <w:bidi w:val="0"/>
              <w:spacing w:before="0" w:after="283"/>
              <w:jc w:val="left"/>
              <w:rPr/>
            </w:pPr>
            <w:r>
              <w:rPr/>
              <w:t> </w:t>
            </w:r>
          </w:p>
        </w:tc>
      </w:tr>
      <w:tr>
        <w:trPr/>
        <w:tc>
          <w:tcPr>
            <w:tcW w:w="360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net change in unrealized gain (loss)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realized gain (loss) on 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60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realized gain (loss)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w:t>
            </w:r>
          </w:p>
        </w:tc>
        <w:tc>
          <w:tcPr>
            <w:tcW w:w="491" w:type="dxa"/>
            <w:tcBorders>
              <w:top w:val="single" w:sz="4" w:space="0" w:color="000000"/>
            </w:tcBorders>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change in unrealized gain (loss) on 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(14,275</w:t>
            </w:r>
          </w:p>
        </w:tc>
        <w:tc>
          <w:tcPr>
            <w:tcW w:w="49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360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change in unrealized gain (loss) on 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(5,679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(3,380</w:t>
            </w:r>
          </w:p>
        </w:tc>
        <w:tc>
          <w:tcPr>
            <w:tcW w:w="49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360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change in unrealized gain (loss) on 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(10,962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360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change in unrealized gain (loss)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(28,617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60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(27,678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60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13,758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investment income per common share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w:t>
            </w:r>
          </w:p>
        </w:tc>
        <w:tc>
          <w:tcPr>
            <w:tcW w:w="491" w:type="dxa"/>
            <w:tcBorders/>
            <w:shd w:fill="FFFFFF" w:val="clear"/>
            <w:vAlign w:val="center"/>
          </w:tcPr>
          <w:p>
            <w:pPr>
              <w:pStyle w:val="TableContents"/>
              <w:bidi w:val="0"/>
              <w:spacing w:before="0" w:after="283"/>
              <w:jc w:val="left"/>
              <w:rPr/>
            </w:pPr>
            <w:r>
              <w:rPr/>
              <w:t> </w:t>
            </w:r>
          </w:p>
        </w:tc>
      </w:tr>
      <w:tr>
        <w:trPr/>
        <w:tc>
          <w:tcPr>
            <w:tcW w:w="36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increase (decrease) in net assets resulting from operations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0.33</w:t>
            </w:r>
          </w:p>
        </w:tc>
        <w:tc>
          <w:tcPr>
            <w:tcW w:w="491" w:type="dxa"/>
            <w:tcBorders/>
            <w:shd w:fill="CFF0FC" w:val="clear"/>
            <w:vAlign w:val="center"/>
          </w:tcPr>
          <w:p>
            <w:pPr>
              <w:pStyle w:val="TableContents"/>
              <w:bidi w:val="0"/>
              <w:spacing w:before="0" w:after="283"/>
              <w:jc w:val="left"/>
              <w:rPr/>
            </w:pPr>
            <w:r>
              <w:rPr/>
              <w:t> </w:t>
            </w:r>
          </w:p>
        </w:tc>
      </w:tr>
      <w:tr>
        <w:trPr/>
        <w:tc>
          <w:tcPr>
            <w:tcW w:w="360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Weighted average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40,509,269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40,774,154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40,509,269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41,119,467</w:t>
            </w:r>
          </w:p>
        </w:tc>
        <w:tc>
          <w:tcPr>
            <w:tcW w:w="4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7" w:name="statementsofchangesinnetassets_914180"/>
      <w:bookmarkEnd w:id="7"/>
      <w:r>
        <w:rPr>
          <w:rFonts w:ascii="Times New Roman" w:hAnsi="Times New Roman"/>
          <w:b/>
          <w:color w:val="000000"/>
          <w:sz w:val="20"/>
        </w:rPr>
        <w:t>Statements of Changes in Net Assets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980"/>
        <w:gridCol w:w="745"/>
        <w:gridCol w:w="346"/>
        <w:gridCol w:w="146"/>
        <w:gridCol w:w="916"/>
        <w:gridCol w:w="146"/>
        <w:gridCol w:w="146"/>
        <w:gridCol w:w="196"/>
        <w:gridCol w:w="146"/>
        <w:gridCol w:w="376"/>
        <w:gridCol w:w="146"/>
        <w:gridCol w:w="146"/>
        <w:gridCol w:w="203"/>
        <w:gridCol w:w="152"/>
        <w:gridCol w:w="688"/>
        <w:gridCol w:w="166"/>
        <w:gridCol w:w="146"/>
        <w:gridCol w:w="221"/>
        <w:gridCol w:w="164"/>
        <w:gridCol w:w="781"/>
        <w:gridCol w:w="146"/>
        <w:gridCol w:w="146"/>
        <w:gridCol w:w="262"/>
        <w:gridCol w:w="194"/>
        <w:gridCol w:w="893"/>
        <w:gridCol w:w="166"/>
        <w:gridCol w:w="146"/>
        <w:gridCol w:w="204"/>
        <w:gridCol w:w="152"/>
        <w:gridCol w:w="722"/>
        <w:gridCol w:w="218"/>
      </w:tblGrid>
      <w:tr>
        <w:trPr/>
        <w:tc>
          <w:tcPr>
            <w:tcW w:w="98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07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66"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9"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r>
      <w:tr>
        <w:trPr/>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Shares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Excess of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Undistributed Earnings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5" w:type="dxa"/>
            <w:gridSpan w:val="2"/>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2023</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40,509,269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22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4"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605,774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94"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(21,474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2"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573,898</w:t>
            </w:r>
          </w:p>
        </w:tc>
        <w:tc>
          <w:tcPr>
            <w:tcW w:w="218" w:type="dxa"/>
            <w:tcBorders/>
            <w:shd w:fill="CFF0FC" w:val="clear"/>
            <w:vAlign w:val="center"/>
          </w:tcPr>
          <w:p>
            <w:pPr>
              <w:pStyle w:val="TableContents"/>
              <w:bidi w:val="0"/>
              <w:spacing w:before="0" w:after="283"/>
              <w:jc w:val="left"/>
              <w:rPr/>
            </w:pPr>
            <w:r>
              <w:rPr/>
              <w:t> </w:t>
            </w:r>
          </w:p>
        </w:tc>
      </w:tr>
      <w:tr>
        <w:trPr/>
        <w:tc>
          <w:tcPr>
            <w:tcW w:w="1725"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increase (decrease) in net assets resulting from operations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14,822</w:t>
            </w:r>
          </w:p>
        </w:tc>
        <w:tc>
          <w:tcPr>
            <w:tcW w:w="218" w:type="dxa"/>
            <w:tcBorders/>
            <w:shd w:fill="FFFFFF" w:val="clear"/>
            <w:vAlign w:val="center"/>
          </w:tcPr>
          <w:p>
            <w:pPr>
              <w:pStyle w:val="TableContents"/>
              <w:bidi w:val="0"/>
              <w:spacing w:before="0" w:after="283"/>
              <w:jc w:val="left"/>
              <w:rPr/>
            </w:pPr>
            <w:r>
              <w:rPr/>
              <w:t> </w:t>
            </w:r>
          </w:p>
        </w:tc>
      </w:tr>
      <w:tr>
        <w:trPr/>
        <w:tc>
          <w:tcPr>
            <w:tcW w:w="1725"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1" w:type="dxa"/>
            <w:tcBorders/>
            <w:shd w:fill="CFF0FC" w:val="clear"/>
            <w:vAlign w:val="center"/>
          </w:tcPr>
          <w:p>
            <w:pPr>
              <w:pStyle w:val="TableContents"/>
              <w:bidi w:val="0"/>
              <w:spacing w:before="0" w:after="283"/>
              <w:jc w:val="center"/>
              <w:rPr/>
            </w:pPr>
            <w:r>
              <w:rPr/>
              <w:t> </w:t>
            </w:r>
          </w:p>
        </w:tc>
        <w:tc>
          <w:tcPr>
            <w:tcW w:w="164"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center"/>
              <w:rPr/>
            </w:pPr>
            <w:r>
              <w:rPr/>
              <w:t> </w:t>
            </w:r>
          </w:p>
        </w:tc>
        <w:tc>
          <w:tcPr>
            <w:tcW w:w="194"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218" w:type="dxa"/>
            <w:tcBorders/>
            <w:shd w:fill="CFF0FC" w:val="clear"/>
            <w:vAlign w:val="center"/>
          </w:tcPr>
          <w:p>
            <w:pPr>
              <w:pStyle w:val="TableContents"/>
              <w:bidi w:val="0"/>
              <w:spacing w:before="0" w:after="283"/>
              <w:jc w:val="left"/>
              <w:rPr/>
            </w:pPr>
            <w:r>
              <w:rPr/>
              <w:t> </w:t>
            </w:r>
          </w:p>
        </w:tc>
      </w:tr>
      <w:tr>
        <w:trPr/>
        <w:tc>
          <w:tcPr>
            <w:tcW w:w="1725"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Acquisition of treasury shares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218" w:type="dxa"/>
            <w:tcBorders/>
            <w:shd w:fill="FFFFFF" w:val="clear"/>
            <w:vAlign w:val="center"/>
          </w:tcPr>
          <w:p>
            <w:pPr>
              <w:pStyle w:val="TableContents"/>
              <w:bidi w:val="0"/>
              <w:spacing w:before="0" w:after="283"/>
              <w:jc w:val="left"/>
              <w:rPr/>
            </w:pPr>
            <w:r>
              <w:rPr/>
              <w:t> </w:t>
            </w:r>
          </w:p>
        </w:tc>
      </w:tr>
      <w:tr>
        <w:trPr/>
        <w:tc>
          <w:tcPr>
            <w:tcW w:w="1725"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Refunds (payments) of offering costs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1" w:type="dxa"/>
            <w:tcBorders/>
            <w:shd w:fill="CFF0FC" w:val="clear"/>
            <w:vAlign w:val="center"/>
          </w:tcPr>
          <w:p>
            <w:pPr>
              <w:pStyle w:val="TableContents"/>
              <w:bidi w:val="0"/>
              <w:spacing w:before="0" w:after="283"/>
              <w:jc w:val="center"/>
              <w:rPr/>
            </w:pPr>
            <w:r>
              <w:rPr/>
              <w:t> </w:t>
            </w:r>
          </w:p>
        </w:tc>
        <w:tc>
          <w:tcPr>
            <w:tcW w:w="164"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center"/>
              <w:rPr/>
            </w:pPr>
            <w:r>
              <w:rPr/>
              <w:t> </w:t>
            </w:r>
          </w:p>
        </w:tc>
        <w:tc>
          <w:tcPr>
            <w:tcW w:w="194"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218" w:type="dxa"/>
            <w:tcBorders/>
            <w:shd w:fill="CFF0FC" w:val="clear"/>
            <w:vAlign w:val="center"/>
          </w:tcPr>
          <w:p>
            <w:pPr>
              <w:pStyle w:val="TableContents"/>
              <w:bidi w:val="0"/>
              <w:spacing w:before="0" w:after="283"/>
              <w:jc w:val="left"/>
              <w:rPr/>
            </w:pPr>
            <w:r>
              <w:rPr/>
              <w:t> </w:t>
            </w:r>
          </w:p>
        </w:tc>
      </w:tr>
      <w:tr>
        <w:trPr/>
        <w:tc>
          <w:tcPr>
            <w:tcW w:w="1725"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Dividends paid to stockholders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(18,229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(18,229</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25" w:type="dxa"/>
            <w:gridSpan w:val="2"/>
            <w:tcBorders/>
            <w:shd w:fill="CFF0FC"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September 30, 2023</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40,509,269</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(10,816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605,774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(24,881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570,491</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980"/>
        <w:gridCol w:w="745"/>
        <w:gridCol w:w="346"/>
        <w:gridCol w:w="146"/>
        <w:gridCol w:w="916"/>
        <w:gridCol w:w="146"/>
        <w:gridCol w:w="146"/>
        <w:gridCol w:w="196"/>
        <w:gridCol w:w="146"/>
        <w:gridCol w:w="376"/>
        <w:gridCol w:w="146"/>
        <w:gridCol w:w="146"/>
        <w:gridCol w:w="203"/>
        <w:gridCol w:w="152"/>
        <w:gridCol w:w="688"/>
        <w:gridCol w:w="166"/>
        <w:gridCol w:w="146"/>
        <w:gridCol w:w="221"/>
        <w:gridCol w:w="164"/>
        <w:gridCol w:w="781"/>
        <w:gridCol w:w="146"/>
        <w:gridCol w:w="146"/>
        <w:gridCol w:w="262"/>
        <w:gridCol w:w="194"/>
        <w:gridCol w:w="893"/>
        <w:gridCol w:w="166"/>
        <w:gridCol w:w="146"/>
        <w:gridCol w:w="204"/>
        <w:gridCol w:w="152"/>
        <w:gridCol w:w="722"/>
        <w:gridCol w:w="218"/>
      </w:tblGrid>
      <w:tr>
        <w:trPr/>
        <w:tc>
          <w:tcPr>
            <w:tcW w:w="98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07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66"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9"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74" w:type="dxa"/>
            <w:gridSpan w:val="2"/>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r>
      <w:tr>
        <w:trPr/>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Nine Months Ended 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Shares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Excess of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Undistributed Earnings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5" w:type="dxa"/>
            <w:gridSpan w:val="2"/>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2022</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40,509,269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22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4"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605,774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94"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2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2"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576,052</w:t>
            </w:r>
          </w:p>
        </w:tc>
        <w:tc>
          <w:tcPr>
            <w:tcW w:w="218" w:type="dxa"/>
            <w:tcBorders/>
            <w:shd w:fill="CFF0FC" w:val="clear"/>
            <w:vAlign w:val="center"/>
          </w:tcPr>
          <w:p>
            <w:pPr>
              <w:pStyle w:val="TableContents"/>
              <w:bidi w:val="0"/>
              <w:spacing w:before="0" w:after="283"/>
              <w:jc w:val="left"/>
              <w:rPr/>
            </w:pPr>
            <w:r>
              <w:rPr/>
              <w:t> </w:t>
            </w:r>
          </w:p>
        </w:tc>
      </w:tr>
      <w:tr>
        <w:trPr/>
        <w:tc>
          <w:tcPr>
            <w:tcW w:w="1725"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increase (decrease) in net assets resulting from operations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49,126</w:t>
            </w:r>
          </w:p>
        </w:tc>
        <w:tc>
          <w:tcPr>
            <w:tcW w:w="218" w:type="dxa"/>
            <w:tcBorders/>
            <w:shd w:fill="FFFFFF" w:val="clear"/>
            <w:vAlign w:val="center"/>
          </w:tcPr>
          <w:p>
            <w:pPr>
              <w:pStyle w:val="TableContents"/>
              <w:bidi w:val="0"/>
              <w:spacing w:before="0" w:after="283"/>
              <w:jc w:val="left"/>
              <w:rPr/>
            </w:pPr>
            <w:r>
              <w:rPr/>
              <w:t> </w:t>
            </w:r>
          </w:p>
        </w:tc>
      </w:tr>
      <w:tr>
        <w:trPr/>
        <w:tc>
          <w:tcPr>
            <w:tcW w:w="1725"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1" w:type="dxa"/>
            <w:tcBorders/>
            <w:shd w:fill="CFF0FC" w:val="clear"/>
            <w:vAlign w:val="center"/>
          </w:tcPr>
          <w:p>
            <w:pPr>
              <w:pStyle w:val="TableContents"/>
              <w:bidi w:val="0"/>
              <w:spacing w:before="0" w:after="283"/>
              <w:jc w:val="center"/>
              <w:rPr/>
            </w:pPr>
            <w:r>
              <w:rPr/>
              <w:t> </w:t>
            </w:r>
          </w:p>
        </w:tc>
        <w:tc>
          <w:tcPr>
            <w:tcW w:w="164"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center"/>
              <w:rPr/>
            </w:pPr>
            <w:r>
              <w:rPr/>
              <w:t> </w:t>
            </w:r>
          </w:p>
        </w:tc>
        <w:tc>
          <w:tcPr>
            <w:tcW w:w="194"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218" w:type="dxa"/>
            <w:tcBorders/>
            <w:shd w:fill="CFF0FC" w:val="clear"/>
            <w:vAlign w:val="center"/>
          </w:tcPr>
          <w:p>
            <w:pPr>
              <w:pStyle w:val="TableContents"/>
              <w:bidi w:val="0"/>
              <w:spacing w:before="0" w:after="283"/>
              <w:jc w:val="left"/>
              <w:rPr/>
            </w:pPr>
            <w:r>
              <w:rPr/>
              <w:t> </w:t>
            </w:r>
          </w:p>
        </w:tc>
      </w:tr>
      <w:tr>
        <w:trPr/>
        <w:tc>
          <w:tcPr>
            <w:tcW w:w="1725"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Acquisition of treasury shares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218" w:type="dxa"/>
            <w:tcBorders/>
            <w:shd w:fill="FFFFFF" w:val="clear"/>
            <w:vAlign w:val="center"/>
          </w:tcPr>
          <w:p>
            <w:pPr>
              <w:pStyle w:val="TableContents"/>
              <w:bidi w:val="0"/>
              <w:spacing w:before="0" w:after="283"/>
              <w:jc w:val="left"/>
              <w:rPr/>
            </w:pPr>
            <w:r>
              <w:rPr/>
              <w:t> </w:t>
            </w:r>
          </w:p>
        </w:tc>
      </w:tr>
      <w:tr>
        <w:trPr/>
        <w:tc>
          <w:tcPr>
            <w:tcW w:w="1725"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Refunds (payments) of offering costs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3" w:type="dxa"/>
            <w:tcBorders/>
            <w:shd w:fill="CFF0FC" w:val="clear"/>
            <w:vAlign w:val="center"/>
          </w:tcPr>
          <w:p>
            <w:pPr>
              <w:pStyle w:val="TableContents"/>
              <w:bidi w:val="0"/>
              <w:spacing w:before="0" w:after="283"/>
              <w:jc w:val="center"/>
              <w:rPr/>
            </w:pPr>
            <w:r>
              <w:rPr/>
              <w:t> </w:t>
            </w:r>
          </w:p>
        </w:tc>
        <w:tc>
          <w:tcPr>
            <w:tcW w:w="15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1" w:type="dxa"/>
            <w:tcBorders/>
            <w:shd w:fill="CFF0FC" w:val="clear"/>
            <w:vAlign w:val="center"/>
          </w:tcPr>
          <w:p>
            <w:pPr>
              <w:pStyle w:val="TableContents"/>
              <w:bidi w:val="0"/>
              <w:spacing w:before="0" w:after="283"/>
              <w:jc w:val="center"/>
              <w:rPr/>
            </w:pPr>
            <w:r>
              <w:rPr/>
              <w:t> </w:t>
            </w:r>
          </w:p>
        </w:tc>
        <w:tc>
          <w:tcPr>
            <w:tcW w:w="164"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center"/>
              <w:rPr/>
            </w:pPr>
            <w:r>
              <w:rPr/>
              <w:t> </w:t>
            </w:r>
          </w:p>
        </w:tc>
        <w:tc>
          <w:tcPr>
            <w:tcW w:w="194"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218" w:type="dxa"/>
            <w:tcBorders/>
            <w:shd w:fill="CFF0FC" w:val="clear"/>
            <w:vAlign w:val="center"/>
          </w:tcPr>
          <w:p>
            <w:pPr>
              <w:pStyle w:val="TableContents"/>
              <w:bidi w:val="0"/>
              <w:spacing w:before="0" w:after="283"/>
              <w:jc w:val="left"/>
              <w:rPr/>
            </w:pPr>
            <w:r>
              <w:rPr/>
              <w:t> </w:t>
            </w:r>
          </w:p>
        </w:tc>
      </w:tr>
      <w:tr>
        <w:trPr/>
        <w:tc>
          <w:tcPr>
            <w:tcW w:w="1725"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Dividends paid to stockholders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(54,687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(54,687</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25" w:type="dxa"/>
            <w:gridSpan w:val="2"/>
            <w:tcBorders/>
            <w:shd w:fill="CFF0FC"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September 30, 2023</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40,509,269</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(10,816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605,774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(24,881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570,491</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120"/>
        <w:jc w:val="left"/>
        <w:rPr/>
      </w:pPr>
      <w:r>
        <w:rPr/>
        <w:t> </w:t>
      </w:r>
    </w:p>
    <w:tbl>
      <w:tblPr>
        <w:tblW w:w="8552" w:type="dxa"/>
        <w:jc w:val="left"/>
        <w:tblInd w:w="0" w:type="dxa"/>
        <w:tblLayout w:type="fixed"/>
        <w:tblCellMar>
          <w:top w:w="28" w:type="dxa"/>
          <w:left w:w="28" w:type="dxa"/>
          <w:bottom w:w="28" w:type="dxa"/>
          <w:right w:w="28" w:type="dxa"/>
        </w:tblCellMar>
      </w:tblPr>
      <w:tblGrid>
        <w:gridCol w:w="241"/>
        <w:gridCol w:w="8311"/>
      </w:tblGrid>
      <w:tr>
        <w:trPr/>
        <w:tc>
          <w:tcPr>
            <w:tcW w:w="241"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r>
      <w:tr>
        <w:trPr/>
        <w:tc>
          <w:tcPr>
            <w:tcW w:w="241"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w:t>
            </w:r>
          </w:p>
        </w:tc>
        <w:tc>
          <w:tcPr>
            <w:tcW w:w="83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Number of shares is shown net of cumulative treasury stock repurchases of 871,345</w:t>
            </w:r>
            <w:r>
              <w:rPr>
                <w:rFonts w:ascii="Times New Roman" w:hAnsi="Times New Roman"/>
                <w:color w:val="000000"/>
                <w:sz w:val="20"/>
              </w:rPr>
              <w:t> </w:t>
            </w:r>
            <w:r>
              <w:rPr>
                <w:rFonts w:ascii="Times New Roman" w:hAnsi="Times New Roman"/>
                <w:b w:val="false"/>
                <w:color w:val="000000"/>
                <w:sz w:val="16"/>
              </w:rPr>
              <w:t>shares as of September 30, 2023.</w:t>
            </w:r>
          </w:p>
        </w:tc>
      </w:tr>
    </w:tbl>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994"/>
        <w:gridCol w:w="760"/>
        <w:gridCol w:w="346"/>
        <w:gridCol w:w="146"/>
        <w:gridCol w:w="916"/>
        <w:gridCol w:w="166"/>
        <w:gridCol w:w="146"/>
        <w:gridCol w:w="196"/>
        <w:gridCol w:w="146"/>
        <w:gridCol w:w="376"/>
        <w:gridCol w:w="146"/>
        <w:gridCol w:w="146"/>
        <w:gridCol w:w="209"/>
        <w:gridCol w:w="155"/>
        <w:gridCol w:w="609"/>
        <w:gridCol w:w="166"/>
        <w:gridCol w:w="146"/>
        <w:gridCol w:w="222"/>
        <w:gridCol w:w="165"/>
        <w:gridCol w:w="785"/>
        <w:gridCol w:w="146"/>
        <w:gridCol w:w="146"/>
        <w:gridCol w:w="264"/>
        <w:gridCol w:w="196"/>
        <w:gridCol w:w="901"/>
        <w:gridCol w:w="166"/>
        <w:gridCol w:w="146"/>
        <w:gridCol w:w="205"/>
        <w:gridCol w:w="152"/>
        <w:gridCol w:w="724"/>
        <w:gridCol w:w="218"/>
      </w:tblGrid>
      <w:tr>
        <w:trPr/>
        <w:tc>
          <w:tcPr>
            <w:tcW w:w="9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94"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0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left"/>
              <w:rPr/>
            </w:pPr>
            <w:r>
              <w:rPr/>
              <w:t> </w:t>
            </w:r>
          </w:p>
        </w:tc>
        <w:tc>
          <w:tcPr>
            <w:tcW w:w="76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r>
      <w:tr>
        <w:trPr/>
        <w:tc>
          <w:tcPr>
            <w:tcW w:w="1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September 30, 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Shares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Excess of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Undistributed Earnings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4" w:type="dxa"/>
            <w:gridSpan w:val="2"/>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2022</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40,967,122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5" w:type="dxa"/>
            <w:tcBorders/>
            <w:shd w:fill="CFF0FC" w:val="clear"/>
            <w:vAlign w:val="center"/>
          </w:tcPr>
          <w:p>
            <w:pPr>
              <w:pStyle w:val="TableContents"/>
              <w:bidi w:val="0"/>
              <w:spacing w:before="0" w:after="283"/>
              <w:jc w:val="left"/>
              <w:rPr/>
            </w:pPr>
            <w:r>
              <w:rPr/>
              <w:t> </w:t>
            </w:r>
          </w:p>
        </w:tc>
        <w:tc>
          <w:tcPr>
            <w:tcW w:w="60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(5,279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606,064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(21,786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2"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579,413</w:t>
            </w:r>
          </w:p>
        </w:tc>
        <w:tc>
          <w:tcPr>
            <w:tcW w:w="218" w:type="dxa"/>
            <w:tcBorders/>
            <w:shd w:fill="CFF0FC" w:val="clear"/>
            <w:vAlign w:val="center"/>
          </w:tcPr>
          <w:p>
            <w:pPr>
              <w:pStyle w:val="TableContents"/>
              <w:bidi w:val="0"/>
              <w:spacing w:before="0" w:after="283"/>
              <w:jc w:val="left"/>
              <w:rPr/>
            </w:pPr>
            <w:r>
              <w:rPr/>
              <w:t> </w:t>
            </w:r>
          </w:p>
        </w:tc>
      </w:tr>
      <w:tr>
        <w:trPr/>
        <w:tc>
          <w:tcPr>
            <w:tcW w:w="1754"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increase (decrease) in net assets resulting from operations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11,722</w:t>
            </w:r>
          </w:p>
        </w:tc>
        <w:tc>
          <w:tcPr>
            <w:tcW w:w="218" w:type="dxa"/>
            <w:tcBorders/>
            <w:shd w:fill="FFFFFF" w:val="clear"/>
            <w:vAlign w:val="center"/>
          </w:tcPr>
          <w:p>
            <w:pPr>
              <w:pStyle w:val="TableContents"/>
              <w:bidi w:val="0"/>
              <w:spacing w:before="0" w:after="283"/>
              <w:jc w:val="left"/>
              <w:rPr/>
            </w:pPr>
            <w:r>
              <w:rPr/>
              <w:t> </w:t>
            </w:r>
          </w:p>
        </w:tc>
      </w:tr>
      <w:tr>
        <w:trPr/>
        <w:tc>
          <w:tcPr>
            <w:tcW w:w="1754"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9"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left"/>
              <w:rPr/>
            </w:pPr>
            <w:r>
              <w:rPr/>
              <w:t> </w:t>
            </w:r>
          </w:p>
        </w:tc>
        <w:tc>
          <w:tcPr>
            <w:tcW w:w="6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color w:val="000000"/>
              </w:rPr>
            </w:pPr>
            <w:r>
              <w:rPr>
                <w:color w:val="000000"/>
              </w:rPr>
              <w:t>—</w:t>
            </w:r>
          </w:p>
        </w:tc>
        <w:tc>
          <w:tcPr>
            <w:tcW w:w="218" w:type="dxa"/>
            <w:tcBorders/>
            <w:shd w:fill="CFF0FC" w:val="clear"/>
            <w:vAlign w:val="center"/>
          </w:tcPr>
          <w:p>
            <w:pPr>
              <w:pStyle w:val="TableContents"/>
              <w:bidi w:val="0"/>
              <w:spacing w:before="0" w:after="283"/>
              <w:jc w:val="left"/>
              <w:rPr/>
            </w:pPr>
            <w:r>
              <w:rPr/>
              <w:t> </w:t>
            </w:r>
          </w:p>
        </w:tc>
      </w:tr>
      <w:tr>
        <w:trPr/>
        <w:tc>
          <w:tcPr>
            <w:tcW w:w="1754"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Acquisition of treasury shares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(331,264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(4,023</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54"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Refunds (payments) of offering costs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9"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left"/>
              <w:rPr/>
            </w:pPr>
            <w:r>
              <w:rPr/>
              <w:t> </w:t>
            </w:r>
          </w:p>
        </w:tc>
        <w:tc>
          <w:tcPr>
            <w:tcW w:w="6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color w:val="000000"/>
              </w:rPr>
            </w:pPr>
            <w:r>
              <w:rPr>
                <w:color w:val="000000"/>
              </w:rPr>
              <w:t>—</w:t>
            </w:r>
          </w:p>
        </w:tc>
        <w:tc>
          <w:tcPr>
            <w:tcW w:w="218" w:type="dxa"/>
            <w:tcBorders/>
            <w:shd w:fill="CFF0FC" w:val="clear"/>
            <w:vAlign w:val="center"/>
          </w:tcPr>
          <w:p>
            <w:pPr>
              <w:pStyle w:val="TableContents"/>
              <w:bidi w:val="0"/>
              <w:spacing w:before="0" w:after="283"/>
              <w:jc w:val="left"/>
              <w:rPr/>
            </w:pPr>
            <w:r>
              <w:rPr/>
              <w:t> </w:t>
            </w:r>
          </w:p>
        </w:tc>
      </w:tr>
      <w:tr>
        <w:trPr/>
        <w:tc>
          <w:tcPr>
            <w:tcW w:w="1754"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Dividends paid to stockholders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(13,451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(13,451</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54" w:type="dxa"/>
            <w:gridSpan w:val="2"/>
            <w:tcBorders/>
            <w:shd w:fill="CFF0FC"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September 30, 2022</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40,635,858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(9,302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606,064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(23,515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573,661</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994"/>
        <w:gridCol w:w="760"/>
        <w:gridCol w:w="346"/>
        <w:gridCol w:w="146"/>
        <w:gridCol w:w="916"/>
        <w:gridCol w:w="166"/>
        <w:gridCol w:w="146"/>
        <w:gridCol w:w="196"/>
        <w:gridCol w:w="146"/>
        <w:gridCol w:w="376"/>
        <w:gridCol w:w="146"/>
        <w:gridCol w:w="146"/>
        <w:gridCol w:w="209"/>
        <w:gridCol w:w="155"/>
        <w:gridCol w:w="609"/>
        <w:gridCol w:w="166"/>
        <w:gridCol w:w="146"/>
        <w:gridCol w:w="222"/>
        <w:gridCol w:w="165"/>
        <w:gridCol w:w="785"/>
        <w:gridCol w:w="146"/>
        <w:gridCol w:w="146"/>
        <w:gridCol w:w="264"/>
        <w:gridCol w:w="196"/>
        <w:gridCol w:w="901"/>
        <w:gridCol w:w="166"/>
        <w:gridCol w:w="146"/>
        <w:gridCol w:w="205"/>
        <w:gridCol w:w="152"/>
        <w:gridCol w:w="724"/>
        <w:gridCol w:w="218"/>
      </w:tblGrid>
      <w:tr>
        <w:trPr/>
        <w:tc>
          <w:tcPr>
            <w:tcW w:w="9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94"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0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left"/>
              <w:rPr/>
            </w:pPr>
            <w:r>
              <w:rPr/>
              <w:t> </w:t>
            </w:r>
          </w:p>
        </w:tc>
        <w:tc>
          <w:tcPr>
            <w:tcW w:w="76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76" w:type="dxa"/>
            <w:gridSpan w:val="2"/>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r>
      <w:tr>
        <w:trPr/>
        <w:tc>
          <w:tcPr>
            <w:tcW w:w="1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Nine Months Ended September 30, 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Shares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Excess of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Undistributed Earnings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4" w:type="dxa"/>
            <w:gridSpan w:val="2"/>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2021</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41,380,614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5" w:type="dxa"/>
            <w:tcBorders/>
            <w:shd w:fill="CFF0FC" w:val="clear"/>
            <w:vAlign w:val="center"/>
          </w:tcPr>
          <w:p>
            <w:pPr>
              <w:pStyle w:val="TableContents"/>
              <w:bidi w:val="0"/>
              <w:spacing w:before="0" w:after="283"/>
              <w:jc w:val="left"/>
              <w:rPr/>
            </w:pPr>
            <w:r>
              <w:rPr/>
              <w:t> </w:t>
            </w:r>
          </w:p>
        </w:tc>
        <w:tc>
          <w:tcPr>
            <w:tcW w:w="6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606,048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2"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606,195</w:t>
            </w:r>
          </w:p>
        </w:tc>
        <w:tc>
          <w:tcPr>
            <w:tcW w:w="218" w:type="dxa"/>
            <w:tcBorders/>
            <w:shd w:fill="CFF0FC" w:val="clear"/>
            <w:vAlign w:val="center"/>
          </w:tcPr>
          <w:p>
            <w:pPr>
              <w:pStyle w:val="TableContents"/>
              <w:bidi w:val="0"/>
              <w:spacing w:before="0" w:after="283"/>
              <w:jc w:val="left"/>
              <w:rPr/>
            </w:pPr>
            <w:r>
              <w:rPr/>
              <w:t> </w:t>
            </w:r>
          </w:p>
        </w:tc>
      </w:tr>
      <w:tr>
        <w:trPr/>
        <w:tc>
          <w:tcPr>
            <w:tcW w:w="1754"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increase (decrease) in net assets resulting from operations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13,758</w:t>
            </w:r>
          </w:p>
        </w:tc>
        <w:tc>
          <w:tcPr>
            <w:tcW w:w="218" w:type="dxa"/>
            <w:tcBorders/>
            <w:shd w:fill="FFFFFF" w:val="clear"/>
            <w:vAlign w:val="center"/>
          </w:tcPr>
          <w:p>
            <w:pPr>
              <w:pStyle w:val="TableContents"/>
              <w:bidi w:val="0"/>
              <w:spacing w:before="0" w:after="283"/>
              <w:jc w:val="left"/>
              <w:rPr/>
            </w:pPr>
            <w:r>
              <w:rPr/>
              <w:t> </w:t>
            </w:r>
          </w:p>
        </w:tc>
      </w:tr>
      <w:tr>
        <w:trPr/>
        <w:tc>
          <w:tcPr>
            <w:tcW w:w="1754"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9"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left"/>
              <w:rPr/>
            </w:pPr>
            <w:r>
              <w:rPr/>
              <w:t> </w:t>
            </w:r>
          </w:p>
        </w:tc>
        <w:tc>
          <w:tcPr>
            <w:tcW w:w="6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color w:val="000000"/>
              </w:rPr>
            </w:pPr>
            <w:r>
              <w:rPr>
                <w:color w:val="000000"/>
              </w:rPr>
              <w:t>—</w:t>
            </w:r>
          </w:p>
        </w:tc>
        <w:tc>
          <w:tcPr>
            <w:tcW w:w="218" w:type="dxa"/>
            <w:tcBorders/>
            <w:shd w:fill="CFF0FC" w:val="clear"/>
            <w:vAlign w:val="center"/>
          </w:tcPr>
          <w:p>
            <w:pPr>
              <w:pStyle w:val="TableContents"/>
              <w:bidi w:val="0"/>
              <w:spacing w:before="0" w:after="283"/>
              <w:jc w:val="left"/>
              <w:rPr/>
            </w:pPr>
            <w:r>
              <w:rPr/>
              <w:t> </w:t>
            </w:r>
          </w:p>
        </w:tc>
      </w:tr>
      <w:tr>
        <w:trPr/>
        <w:tc>
          <w:tcPr>
            <w:tcW w:w="1754"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Acquisition of treasury shares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(744,756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(9,302</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54"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Refunds (payments) of offering costs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9"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left"/>
              <w:rPr/>
            </w:pPr>
            <w:r>
              <w:rPr/>
              <w:t> </w:t>
            </w:r>
          </w:p>
        </w:tc>
        <w:tc>
          <w:tcPr>
            <w:tcW w:w="6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4"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c>
          <w:tcPr>
            <w:tcW w:w="218" w:type="dxa"/>
            <w:tcBorders/>
            <w:shd w:fill="CFF0FC" w:val="clear"/>
            <w:vAlign w:val="center"/>
          </w:tcPr>
          <w:p>
            <w:pPr>
              <w:pStyle w:val="TableContents"/>
              <w:bidi w:val="0"/>
              <w:spacing w:before="0" w:after="283"/>
              <w:jc w:val="left"/>
              <w:rPr/>
            </w:pPr>
            <w:r>
              <w:rPr/>
              <w:t> </w:t>
            </w:r>
          </w:p>
        </w:tc>
      </w:tr>
      <w:tr>
        <w:trPr/>
        <w:tc>
          <w:tcPr>
            <w:tcW w:w="1754"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Dividends paid to stockholders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(37,006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(37,006</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54" w:type="dxa"/>
            <w:gridSpan w:val="2"/>
            <w:tcBorders/>
            <w:shd w:fill="CFF0FC"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September 30, 2022</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40,635,858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(9,302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606,064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(23,515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573,661</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120"/>
        <w:jc w:val="center"/>
        <w:rPr/>
      </w:pPr>
      <w:r>
        <w:rPr/>
        <w:t> </w:t>
      </w:r>
    </w:p>
    <w:tbl>
      <w:tblPr>
        <w:tblW w:w="8552" w:type="dxa"/>
        <w:jc w:val="left"/>
        <w:tblInd w:w="0" w:type="dxa"/>
        <w:tblLayout w:type="fixed"/>
        <w:tblCellMar>
          <w:top w:w="28" w:type="dxa"/>
          <w:left w:w="28" w:type="dxa"/>
          <w:bottom w:w="28" w:type="dxa"/>
          <w:right w:w="28" w:type="dxa"/>
        </w:tblCellMar>
      </w:tblPr>
      <w:tblGrid>
        <w:gridCol w:w="241"/>
        <w:gridCol w:w="8311"/>
      </w:tblGrid>
      <w:tr>
        <w:trPr/>
        <w:tc>
          <w:tcPr>
            <w:tcW w:w="241" w:type="dxa"/>
            <w:tcBorders/>
            <w:vAlign w:val="center"/>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r>
      <w:tr>
        <w:trPr/>
        <w:tc>
          <w:tcPr>
            <w:tcW w:w="241"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w:t>
            </w:r>
          </w:p>
        </w:tc>
        <w:tc>
          <w:tcPr>
            <w:tcW w:w="83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Number of shares is shown net of cumulative treasury stock repurchases of 744,756</w:t>
            </w:r>
            <w:r>
              <w:rPr>
                <w:rFonts w:ascii="Times New Roman" w:hAnsi="Times New Roman"/>
                <w:color w:val="000000"/>
                <w:sz w:val="20"/>
              </w:rPr>
              <w:t> </w:t>
            </w:r>
            <w:r>
              <w:rPr>
                <w:rFonts w:ascii="Times New Roman" w:hAnsi="Times New Roman"/>
                <w:b w:val="false"/>
                <w:color w:val="000000"/>
                <w:sz w:val="16"/>
              </w:rPr>
              <w:t>shares as of September 30, 2022.</w:t>
            </w:r>
          </w:p>
        </w:tc>
      </w:tr>
    </w:tbl>
    <w:p>
      <w:pPr>
        <w:pStyle w:val="TextBody"/>
        <w:bidi w:val="0"/>
        <w:spacing w:before="240" w:after="24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8" w:name="statementsofcashflows"/>
      <w:bookmarkEnd w:id="8"/>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623"/>
        <w:gridCol w:w="146"/>
        <w:gridCol w:w="230"/>
        <w:gridCol w:w="171"/>
        <w:gridCol w:w="886"/>
        <w:gridCol w:w="195"/>
        <w:gridCol w:w="171"/>
        <w:gridCol w:w="230"/>
        <w:gridCol w:w="171"/>
        <w:gridCol w:w="886"/>
        <w:gridCol w:w="496"/>
      </w:tblGrid>
      <w:tr>
        <w:trPr/>
        <w:tc>
          <w:tcPr>
            <w:tcW w:w="6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66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40"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496" w:type="dxa"/>
            <w:tcBorders/>
            <w:shd w:fill="FFFFFF" w:val="clear"/>
            <w:vAlign w:val="center"/>
          </w:tcPr>
          <w:p>
            <w:pPr>
              <w:pStyle w:val="TableContents"/>
              <w:bidi w:val="0"/>
              <w:spacing w:before="0" w:after="283"/>
              <w:jc w:val="center"/>
              <w:rPr/>
            </w:pPr>
            <w:r>
              <w:rPr/>
              <w:t> </w:t>
            </w:r>
          </w:p>
        </w:tc>
      </w:tr>
      <w:tr>
        <w:trPr/>
        <w:tc>
          <w:tcPr>
            <w:tcW w:w="66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28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057"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057" w:type="dxa"/>
            <w:gridSpan w:val="2"/>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ind w:left="0" w:right="0" w:firstLine="100"/>
              <w:jc w:val="left"/>
              <w:rPr/>
            </w:pPr>
            <w:r>
              <w:rPr/>
              <w:t> </w:t>
            </w:r>
          </w:p>
        </w:tc>
      </w:tr>
      <w:tr>
        <w:trPr/>
        <w:tc>
          <w:tcPr>
            <w:tcW w:w="662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increase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49,126</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13,758</w:t>
            </w:r>
          </w:p>
        </w:tc>
        <w:tc>
          <w:tcPr>
            <w:tcW w:w="496" w:type="dxa"/>
            <w:tcBorders/>
            <w:shd w:fill="FFFFFF" w:val="clear"/>
            <w:vAlign w:val="center"/>
          </w:tcPr>
          <w:p>
            <w:pPr>
              <w:pStyle w:val="TableContents"/>
              <w:bidi w:val="0"/>
              <w:spacing w:before="0" w:after="283"/>
              <w:ind w:left="0" w:right="0" w:firstLine="200"/>
              <w:jc w:val="left"/>
              <w:rPr/>
            </w:pPr>
            <w:r>
              <w:rPr/>
              <w:t> </w:t>
            </w:r>
          </w:p>
        </w:tc>
      </w:tr>
      <w:tr>
        <w:trPr/>
        <w:tc>
          <w:tcPr>
            <w:tcW w:w="662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Adjustments to reconcile net increase in net assets resulting from operations to 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057"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057" w:type="dxa"/>
            <w:gridSpan w:val="2"/>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ind w:left="0" w:right="0" w:firstLine="200"/>
              <w:jc w:val="left"/>
              <w:rPr/>
            </w:pPr>
            <w:r>
              <w:rPr/>
              <w:t> </w:t>
            </w:r>
          </w:p>
        </w:tc>
      </w:tr>
      <w:tr>
        <w:trPr/>
        <w:tc>
          <w:tcPr>
            <w:tcW w:w="662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Purchases of investments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(105,527</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(392,820</w:t>
            </w:r>
          </w:p>
        </w:tc>
        <w:tc>
          <w:tcPr>
            <w:tcW w:w="4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62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Purchases of U.S. Treasury Bills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(34,974</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496" w:type="dxa"/>
            <w:tcBorders/>
            <w:shd w:fill="CFF0FC" w:val="clear"/>
            <w:vAlign w:val="center"/>
          </w:tcPr>
          <w:p>
            <w:pPr>
              <w:pStyle w:val="TableContents"/>
              <w:bidi w:val="0"/>
              <w:spacing w:before="0" w:after="283"/>
              <w:ind w:left="0" w:right="0" w:firstLine="200"/>
              <w:jc w:val="left"/>
              <w:rPr/>
            </w:pPr>
            <w:r>
              <w:rPr/>
              <w:t> </w:t>
            </w:r>
          </w:p>
        </w:tc>
      </w:tr>
      <w:tr>
        <w:trPr/>
        <w:tc>
          <w:tcPr>
            <w:tcW w:w="662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Payment-in-kind interest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(15,334</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(6,345</w:t>
            </w:r>
          </w:p>
        </w:tc>
        <w:tc>
          <w:tcPr>
            <w:tcW w:w="4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62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Sales or repayments of investments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232,717</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150,410</w:t>
            </w:r>
          </w:p>
        </w:tc>
        <w:tc>
          <w:tcPr>
            <w:tcW w:w="496" w:type="dxa"/>
            <w:tcBorders/>
            <w:shd w:fill="CFF0FC" w:val="clear"/>
            <w:vAlign w:val="center"/>
          </w:tcPr>
          <w:p>
            <w:pPr>
              <w:pStyle w:val="TableContents"/>
              <w:bidi w:val="0"/>
              <w:spacing w:before="0" w:after="283"/>
              <w:ind w:left="0" w:right="0" w:firstLine="200"/>
              <w:jc w:val="left"/>
              <w:rPr/>
            </w:pPr>
            <w:r>
              <w:rPr/>
              <w:t> </w:t>
            </w:r>
          </w:p>
        </w:tc>
      </w:tr>
      <w:tr>
        <w:trPr/>
        <w:tc>
          <w:tcPr>
            <w:tcW w:w="662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Sales or maturities of U.S. Treasury Bills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35,000</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45,000</w:t>
            </w:r>
          </w:p>
        </w:tc>
        <w:tc>
          <w:tcPr>
            <w:tcW w:w="496" w:type="dxa"/>
            <w:tcBorders/>
            <w:shd w:fill="FFFFFF" w:val="clear"/>
            <w:vAlign w:val="center"/>
          </w:tcPr>
          <w:p>
            <w:pPr>
              <w:pStyle w:val="TableContents"/>
              <w:bidi w:val="0"/>
              <w:spacing w:before="0" w:after="283"/>
              <w:ind w:left="0" w:right="0" w:firstLine="200"/>
              <w:jc w:val="left"/>
              <w:rPr/>
            </w:pPr>
            <w:r>
              <w:rPr/>
              <w:t> </w:t>
            </w:r>
          </w:p>
        </w:tc>
      </w:tr>
      <w:tr>
        <w:trPr/>
        <w:tc>
          <w:tcPr>
            <w:tcW w:w="662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realized (gain) loss on investments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1,178</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w:t>
            </w:r>
          </w:p>
        </w:tc>
        <w:tc>
          <w:tcPr>
            <w:tcW w:w="49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62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change in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9,654</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28,617</w:t>
            </w:r>
          </w:p>
        </w:tc>
        <w:tc>
          <w:tcPr>
            <w:tcW w:w="496" w:type="dxa"/>
            <w:tcBorders/>
            <w:shd w:fill="FFFFFF" w:val="clear"/>
            <w:vAlign w:val="center"/>
          </w:tcPr>
          <w:p>
            <w:pPr>
              <w:pStyle w:val="TableContents"/>
              <w:bidi w:val="0"/>
              <w:spacing w:before="0" w:after="283"/>
              <w:ind w:left="0" w:right="0" w:firstLine="200"/>
              <w:jc w:val="left"/>
              <w:rPr/>
            </w:pPr>
            <w:r>
              <w:rPr/>
              <w:t> </w:t>
            </w:r>
          </w:p>
        </w:tc>
      </w:tr>
      <w:tr>
        <w:trPr/>
        <w:tc>
          <w:tcPr>
            <w:tcW w:w="662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Amortization of fixed income premiums or accretion of discounts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(7,332</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(4,576</w:t>
            </w:r>
          </w:p>
        </w:tc>
        <w:tc>
          <w:tcPr>
            <w:tcW w:w="49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62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Amortization of deferred debt costs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2,237</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798</w:t>
            </w:r>
          </w:p>
        </w:tc>
        <w:tc>
          <w:tcPr>
            <w:tcW w:w="496" w:type="dxa"/>
            <w:tcBorders/>
            <w:shd w:fill="FFFFFF" w:val="clear"/>
            <w:vAlign w:val="center"/>
          </w:tcPr>
          <w:p>
            <w:pPr>
              <w:pStyle w:val="TableContents"/>
              <w:bidi w:val="0"/>
              <w:spacing w:before="0" w:after="283"/>
              <w:ind w:left="0" w:right="0" w:firstLine="100"/>
              <w:jc w:val="left"/>
              <w:rPr/>
            </w:pPr>
            <w:r>
              <w:rPr/>
              <w:t> </w:t>
            </w:r>
          </w:p>
        </w:tc>
      </w:tr>
      <w:tr>
        <w:trPr/>
        <w:tc>
          <w:tcPr>
            <w:tcW w:w="662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057"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057" w:type="dxa"/>
            <w:gridSpan w:val="2"/>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ind w:left="0" w:right="0" w:firstLine="200"/>
              <w:jc w:val="left"/>
              <w:rPr/>
            </w:pPr>
            <w:r>
              <w:rPr/>
              <w:t> </w:t>
            </w:r>
          </w:p>
        </w:tc>
      </w:tr>
      <w:tr>
        <w:trPr/>
        <w:tc>
          <w:tcPr>
            <w:tcW w:w="662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(Increase) decrease in interest and fees receivable</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614</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(3,242</w:t>
            </w:r>
          </w:p>
        </w:tc>
        <w:tc>
          <w:tcPr>
            <w:tcW w:w="4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62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(Increase) decrease in other assets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763</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1,050</w:t>
            </w:r>
          </w:p>
        </w:tc>
        <w:tc>
          <w:tcPr>
            <w:tcW w:w="496" w:type="dxa"/>
            <w:tcBorders/>
            <w:shd w:fill="CFF0FC" w:val="clear"/>
            <w:vAlign w:val="center"/>
          </w:tcPr>
          <w:p>
            <w:pPr>
              <w:pStyle w:val="TableContents"/>
              <w:bidi w:val="0"/>
              <w:spacing w:before="0" w:after="283"/>
              <w:ind w:left="0" w:right="0" w:firstLine="200"/>
              <w:jc w:val="left"/>
              <w:rPr/>
            </w:pPr>
            <w:r>
              <w:rPr/>
              <w:t> </w:t>
            </w:r>
          </w:p>
        </w:tc>
      </w:tr>
      <w:tr>
        <w:trPr/>
        <w:tc>
          <w:tcPr>
            <w:tcW w:w="662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Increase (decrease) in incentive fees payable</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3,971</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1,179</w:t>
            </w:r>
          </w:p>
        </w:tc>
        <w:tc>
          <w:tcPr>
            <w:tcW w:w="496" w:type="dxa"/>
            <w:tcBorders/>
            <w:shd w:fill="FFFFFF" w:val="clear"/>
            <w:vAlign w:val="center"/>
          </w:tcPr>
          <w:p>
            <w:pPr>
              <w:pStyle w:val="TableContents"/>
              <w:bidi w:val="0"/>
              <w:spacing w:before="0" w:after="283"/>
              <w:ind w:left="0" w:right="0" w:firstLine="200"/>
              <w:jc w:val="left"/>
              <w:rPr/>
            </w:pPr>
            <w:r>
              <w:rPr/>
              <w:t> </w:t>
            </w:r>
          </w:p>
        </w:tc>
      </w:tr>
      <w:tr>
        <w:trPr/>
        <w:tc>
          <w:tcPr>
            <w:tcW w:w="662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Increase (decrease) in interest payable</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1,804</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2,946</w:t>
            </w:r>
          </w:p>
        </w:tc>
        <w:tc>
          <w:tcPr>
            <w:tcW w:w="496" w:type="dxa"/>
            <w:tcBorders/>
            <w:shd w:fill="CFF0FC" w:val="clear"/>
            <w:vAlign w:val="center"/>
          </w:tcPr>
          <w:p>
            <w:pPr>
              <w:pStyle w:val="TableContents"/>
              <w:bidi w:val="0"/>
              <w:spacing w:before="0" w:after="283"/>
              <w:ind w:left="0" w:right="0" w:firstLine="200"/>
              <w:jc w:val="left"/>
              <w:rPr/>
            </w:pPr>
            <w:r>
              <w:rPr/>
              <w:t> </w:t>
            </w:r>
          </w:p>
        </w:tc>
      </w:tr>
      <w:tr>
        <w:trPr/>
        <w:tc>
          <w:tcPr>
            <w:tcW w:w="662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Increase (decrease) in 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23" w:type="dxa"/>
            <w:tcBorders/>
            <w:shd w:fill="CFF0FC" w:val="clear"/>
            <w:vAlign w:val="center"/>
          </w:tcPr>
          <w:p>
            <w:pPr>
              <w:pStyle w:val="TableContents"/>
              <w:bidi w:val="0"/>
              <w:spacing w:before="0" w:after="283"/>
              <w:ind w:left="300" w:right="0" w:firstLine="3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174,080</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(164,114</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662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057"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057" w:type="dxa"/>
            <w:gridSpan w:val="2"/>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firstLine="100"/>
              <w:jc w:val="left"/>
              <w:rPr/>
            </w:pPr>
            <w:r>
              <w:rPr/>
              <w:t> </w:t>
            </w:r>
          </w:p>
        </w:tc>
      </w:tr>
      <w:tr>
        <w:trPr/>
        <w:tc>
          <w:tcPr>
            <w:tcW w:w="662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Payments of deferred debt costs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(8,242</w:t>
            </w:r>
          </w:p>
        </w:tc>
        <w:tc>
          <w:tcPr>
            <w:tcW w:w="49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662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Borrowings under credit facility</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121,000</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282,000</w:t>
            </w:r>
          </w:p>
        </w:tc>
        <w:tc>
          <w:tcPr>
            <w:tcW w:w="496" w:type="dxa"/>
            <w:tcBorders/>
            <w:shd w:fill="FFFFFF" w:val="clear"/>
            <w:vAlign w:val="center"/>
          </w:tcPr>
          <w:p>
            <w:pPr>
              <w:pStyle w:val="TableContents"/>
              <w:bidi w:val="0"/>
              <w:spacing w:before="0" w:after="283"/>
              <w:ind w:left="0" w:right="0" w:firstLine="100"/>
              <w:jc w:val="left"/>
              <w:rPr/>
            </w:pPr>
            <w:r>
              <w:rPr/>
              <w:t> </w:t>
            </w:r>
          </w:p>
        </w:tc>
      </w:tr>
      <w:tr>
        <w:trPr/>
        <w:tc>
          <w:tcPr>
            <w:tcW w:w="662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Repayments under credit facility</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(255,000</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(168,000</w:t>
            </w:r>
          </w:p>
        </w:tc>
        <w:tc>
          <w:tcPr>
            <w:tcW w:w="49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662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Proceeds from 2026 Notes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496" w:type="dxa"/>
            <w:tcBorders/>
            <w:shd w:fill="FFFFFF" w:val="clear"/>
            <w:vAlign w:val="center"/>
          </w:tcPr>
          <w:p>
            <w:pPr>
              <w:pStyle w:val="TableContents"/>
              <w:bidi w:val="0"/>
              <w:spacing w:before="0" w:after="283"/>
              <w:ind w:left="0" w:right="0" w:firstLine="100"/>
              <w:jc w:val="left"/>
              <w:rPr/>
            </w:pPr>
            <w:r>
              <w:rPr/>
              <w:t> </w:t>
            </w:r>
          </w:p>
        </w:tc>
      </w:tr>
      <w:tr>
        <w:trPr/>
        <w:tc>
          <w:tcPr>
            <w:tcW w:w="662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Proceeds from 2027 Notes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100,500</w:t>
            </w:r>
          </w:p>
        </w:tc>
        <w:tc>
          <w:tcPr>
            <w:tcW w:w="496" w:type="dxa"/>
            <w:tcBorders/>
            <w:shd w:fill="CFF0FC" w:val="clear"/>
            <w:vAlign w:val="center"/>
          </w:tcPr>
          <w:p>
            <w:pPr>
              <w:pStyle w:val="TableContents"/>
              <w:bidi w:val="0"/>
              <w:spacing w:before="0" w:after="283"/>
              <w:ind w:left="0" w:right="0" w:firstLine="100"/>
              <w:jc w:val="left"/>
              <w:rPr/>
            </w:pPr>
            <w:r>
              <w:rPr/>
              <w:t> </w:t>
            </w:r>
          </w:p>
        </w:tc>
      </w:tr>
      <w:tr>
        <w:trPr/>
        <w:tc>
          <w:tcPr>
            <w:tcW w:w="662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Repayments of reverse repurchase agreements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(44,775</w:t>
            </w:r>
          </w:p>
        </w:tc>
        <w:tc>
          <w:tcPr>
            <w:tcW w:w="4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662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Acquisition of treasury shares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(9,302</w:t>
            </w:r>
          </w:p>
        </w:tc>
        <w:tc>
          <w:tcPr>
            <w:tcW w:w="49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662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Dividends paid to stockholders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(54,687</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(37,006</w:t>
            </w:r>
          </w:p>
        </w:tc>
        <w:tc>
          <w:tcPr>
            <w:tcW w:w="49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662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Refunds (payments) of offering costs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w:t>
            </w:r>
          </w:p>
        </w:tc>
        <w:tc>
          <w:tcPr>
            <w:tcW w:w="496" w:type="dxa"/>
            <w:tcBorders/>
            <w:shd w:fill="CFF0FC" w:val="clear"/>
            <w:vAlign w:val="center"/>
          </w:tcPr>
          <w:p>
            <w:pPr>
              <w:pStyle w:val="TableContents"/>
              <w:bidi w:val="0"/>
              <w:spacing w:before="0" w:after="283"/>
              <w:ind w:left="0" w:right="0" w:firstLine="300"/>
              <w:jc w:val="left"/>
              <w:rPr/>
            </w:pPr>
            <w:r>
              <w:rPr/>
              <w:t> </w:t>
            </w:r>
          </w:p>
        </w:tc>
      </w:tr>
      <w:tr>
        <w:trPr/>
        <w:tc>
          <w:tcPr>
            <w:tcW w:w="6623"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6"/>
              </w:rPr>
            </w:pPr>
            <w:r>
              <w:rPr>
                <w:rFonts w:ascii="Times New Roman" w:hAnsi="Times New Roman"/>
                <w:b/>
                <w:color w:val="000000"/>
                <w:sz w:val="16"/>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2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(164,896</w:t>
            </w:r>
          </w:p>
        </w:tc>
        <w:tc>
          <w:tcPr>
            <w:tcW w:w="195"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1" w:type="dxa"/>
            <w:tcBorders/>
            <w:shd w:fill="FFFFFF" w:val="clear"/>
            <w:vAlign w:val="center"/>
          </w:tcPr>
          <w:p>
            <w:pPr>
              <w:pStyle w:val="TableContents"/>
              <w:bidi w:val="0"/>
              <w:spacing w:before="0" w:after="283"/>
              <w:jc w:val="left"/>
              <w:rPr/>
            </w:pPr>
            <w:r>
              <w:rPr/>
              <w:t> </w:t>
            </w:r>
          </w:p>
        </w:tc>
        <w:tc>
          <w:tcPr>
            <w:tcW w:w="2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165,191</w:t>
            </w:r>
          </w:p>
        </w:tc>
        <w:tc>
          <w:tcPr>
            <w:tcW w:w="49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62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increase (decrease) in cash</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9,184</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1,077</w:t>
            </w:r>
          </w:p>
        </w:tc>
        <w:tc>
          <w:tcPr>
            <w:tcW w:w="496" w:type="dxa"/>
            <w:tcBorders/>
            <w:shd w:fill="CFF0FC" w:val="clear"/>
            <w:vAlign w:val="center"/>
          </w:tcPr>
          <w:p>
            <w:pPr>
              <w:pStyle w:val="TableContents"/>
              <w:bidi w:val="0"/>
              <w:spacing w:before="0" w:after="283"/>
              <w:ind w:left="0" w:right="0" w:firstLine="100"/>
              <w:jc w:val="left"/>
              <w:rPr/>
            </w:pPr>
            <w:r>
              <w:rPr/>
              <w:t> </w:t>
            </w:r>
          </w:p>
        </w:tc>
      </w:tr>
      <w:tr>
        <w:trPr/>
        <w:tc>
          <w:tcPr>
            <w:tcW w:w="662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Cash and cash equivalents at beginning of period</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5,761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4,697</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623"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14,945</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5,774</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2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and non-cash financing cash flow information:</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057"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057" w:type="dxa"/>
            <w:gridSpan w:val="2"/>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firstLine="100"/>
              <w:jc w:val="left"/>
              <w:rPr/>
            </w:pPr>
            <w:r>
              <w:rPr/>
              <w:t> </w:t>
            </w:r>
          </w:p>
        </w:tc>
      </w:tr>
      <w:tr>
        <w:trPr/>
        <w:tc>
          <w:tcPr>
            <w:tcW w:w="662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Taxes paid</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496" w:type="dxa"/>
            <w:tcBorders/>
            <w:shd w:fill="CFF0FC" w:val="clear"/>
            <w:vAlign w:val="center"/>
          </w:tcPr>
          <w:p>
            <w:pPr>
              <w:pStyle w:val="TableContents"/>
              <w:bidi w:val="0"/>
              <w:spacing w:before="0" w:after="283"/>
              <w:ind w:left="0" w:right="0" w:firstLine="100"/>
              <w:jc w:val="left"/>
              <w:rPr/>
            </w:pPr>
            <w:r>
              <w:rPr/>
              <w:t> </w:t>
            </w:r>
          </w:p>
        </w:tc>
      </w:tr>
      <w:tr>
        <w:trPr/>
        <w:tc>
          <w:tcPr>
            <w:tcW w:w="662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Interest paid</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27,902</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3,124</w:t>
            </w:r>
          </w:p>
        </w:tc>
        <w:tc>
          <w:tcPr>
            <w:tcW w:w="496" w:type="dxa"/>
            <w:tcBorders/>
            <w:shd w:fill="FFFFFF" w:val="clear"/>
            <w:vAlign w:val="center"/>
          </w:tcPr>
          <w:p>
            <w:pPr>
              <w:pStyle w:val="TableContents"/>
              <w:bidi w:val="0"/>
              <w:spacing w:before="0" w:after="283"/>
              <w:ind w:left="0" w:right="0" w:firstLine="100"/>
              <w:jc w:val="left"/>
              <w:rPr/>
            </w:pPr>
            <w:r>
              <w:rPr/>
              <w:t> </w:t>
            </w:r>
          </w:p>
        </w:tc>
      </w:tr>
      <w:tr>
        <w:trPr/>
        <w:tc>
          <w:tcPr>
            <w:tcW w:w="662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Non-cash portfolio purchases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534</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3,381</w:t>
            </w:r>
          </w:p>
        </w:tc>
        <w:tc>
          <w:tcPr>
            <w:tcW w:w="496" w:type="dxa"/>
            <w:tcBorders/>
            <w:shd w:fill="CFF0FC" w:val="clear"/>
            <w:vAlign w:val="center"/>
          </w:tcPr>
          <w:p>
            <w:pPr>
              <w:pStyle w:val="TableContents"/>
              <w:bidi w:val="0"/>
              <w:spacing w:before="0" w:after="283"/>
              <w:jc w:val="left"/>
              <w:rPr/>
            </w:pPr>
            <w:r>
              <w:rPr/>
              <w:t> </w:t>
            </w:r>
          </w:p>
        </w:tc>
      </w:tr>
    </w:tbl>
    <w:p>
      <w:pPr>
        <w:pStyle w:val="TextBody"/>
        <w:bidi w:val="0"/>
        <w:spacing w:before="0" w:after="24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18"/>
        </w:rPr>
      </w:pPr>
      <w:bookmarkStart w:id="9" w:name="scheduleofinvestments_460338"/>
      <w:bookmarkEnd w:id="9"/>
      <w:r>
        <w:rPr>
          <w:rFonts w:ascii="Times New Roman" w:hAnsi="Times New Roman"/>
          <w:b/>
          <w:color w:val="000000"/>
          <w:sz w:val="18"/>
        </w:rPr>
        <w:t>Schedule of Investments (Unaudited)</w:t>
      </w:r>
    </w:p>
    <w:p>
      <w:pPr>
        <w:pStyle w:val="TextBody"/>
        <w:bidi w:val="0"/>
        <w:jc w:val="center"/>
        <w:rPr>
          <w:rFonts w:ascii="Times New Roman" w:hAnsi="Times New Roman"/>
          <w:b/>
          <w:color w:val="000000"/>
          <w:sz w:val="18"/>
        </w:rPr>
      </w:pPr>
      <w:r>
        <w:rPr>
          <w:rFonts w:ascii="Times New Roman" w:hAnsi="Times New Roman"/>
          <w:b/>
          <w:color w:val="000000"/>
          <w:sz w:val="18"/>
        </w:rPr>
        <w:t>September 30, 2023</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355"/>
        <w:gridCol w:w="146"/>
        <w:gridCol w:w="1336"/>
        <w:gridCol w:w="146"/>
        <w:gridCol w:w="1019"/>
        <w:gridCol w:w="146"/>
        <w:gridCol w:w="812"/>
        <w:gridCol w:w="146"/>
        <w:gridCol w:w="165"/>
        <w:gridCol w:w="165"/>
        <w:gridCol w:w="683"/>
        <w:gridCol w:w="146"/>
        <w:gridCol w:w="146"/>
        <w:gridCol w:w="146"/>
        <w:gridCol w:w="146"/>
        <w:gridCol w:w="691"/>
        <w:gridCol w:w="146"/>
        <w:gridCol w:w="146"/>
        <w:gridCol w:w="146"/>
        <w:gridCol w:w="146"/>
        <w:gridCol w:w="691"/>
        <w:gridCol w:w="146"/>
        <w:gridCol w:w="146"/>
        <w:gridCol w:w="937"/>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r>
      <w:tr>
        <w:trPr/>
        <w:tc>
          <w:tcPr>
            <w:tcW w:w="166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144"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848"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983"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84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Circadence Corporation</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SOFR+9.50% PIK, 12.26% floor, 7.50% ETP</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12/20/2018</w:t>
            </w:r>
          </w:p>
        </w:tc>
        <w:tc>
          <w:tcPr>
            <w:tcW w:w="146" w:type="dxa"/>
            <w:tcBorders/>
            <w:shd w:fill="FFFFFF" w:val="clear"/>
            <w:vAlign w:val="center"/>
          </w:tcPr>
          <w:p>
            <w:pPr>
              <w:pStyle w:val="TableContents"/>
              <w:bidi w:val="0"/>
              <w:spacing w:before="0" w:after="283"/>
              <w:jc w:val="center"/>
              <w:rPr/>
            </w:pPr>
            <w:r>
              <w:rPr/>
              <w:t> </w:t>
            </w:r>
          </w:p>
        </w:tc>
        <w:tc>
          <w:tcPr>
            <w:tcW w:w="81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12/15/2023</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19,081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(9) (10)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FiscalNote, Inc.</w:t>
            </w:r>
          </w:p>
        </w:tc>
        <w:tc>
          <w:tcPr>
            <w:tcW w:w="146" w:type="dxa"/>
            <w:tcBorders/>
            <w:shd w:fill="CFF0FC" w:val="clear"/>
            <w:vAlign w:val="center"/>
          </w:tcPr>
          <w:p>
            <w:pPr>
              <w:pStyle w:val="TableContents"/>
              <w:bidi w:val="0"/>
              <w:spacing w:before="0" w:after="283"/>
              <w:jc w:val="left"/>
              <w:rPr/>
            </w:pPr>
            <w:r>
              <w:rPr/>
              <w:t> </w:t>
            </w:r>
          </w:p>
        </w:tc>
        <w:tc>
          <w:tcPr>
            <w:tcW w:w="13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PRIME+5.00%, 9.00% floor, 1.00% PIK, 5.75% ETP</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10/19/2020</w:t>
            </w:r>
          </w:p>
        </w:tc>
        <w:tc>
          <w:tcPr>
            <w:tcW w:w="146" w:type="dxa"/>
            <w:tcBorders/>
            <w:shd w:fill="CFF0FC" w:val="clear"/>
            <w:vAlign w:val="center"/>
          </w:tcPr>
          <w:p>
            <w:pPr>
              <w:pStyle w:val="TableContents"/>
              <w:bidi w:val="0"/>
              <w:spacing w:before="0" w:after="283"/>
              <w:jc w:val="center"/>
              <w:rPr/>
            </w:pPr>
            <w:r>
              <w:rPr/>
              <w:t> </w:t>
            </w:r>
          </w:p>
        </w:tc>
        <w:tc>
          <w:tcPr>
            <w:tcW w:w="81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7/15/2027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64,398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(9) (10) (11) (13)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VTX Intermediate Holdings, Inc. (dba VertexOne)</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SOFR+9.00%, 9.50% floor, 10.00% cash cap, 4.50% ETP</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12/28/2021</w:t>
            </w:r>
          </w:p>
        </w:tc>
        <w:tc>
          <w:tcPr>
            <w:tcW w:w="146" w:type="dxa"/>
            <w:tcBorders/>
            <w:shd w:fill="FFFFFF" w:val="clear"/>
            <w:vAlign w:val="center"/>
          </w:tcPr>
          <w:p>
            <w:pPr>
              <w:pStyle w:val="TableContents"/>
              <w:bidi w:val="0"/>
              <w:spacing w:before="0" w:after="283"/>
              <w:jc w:val="center"/>
              <w:rPr/>
            </w:pPr>
            <w:r>
              <w:rPr/>
              <w:t> </w:t>
            </w:r>
          </w:p>
        </w:tc>
        <w:tc>
          <w:tcPr>
            <w:tcW w:w="81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12/28/2026</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86,944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- 29.83%*</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84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84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Elevate Services, Inc.</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SOFR+7.50%, 12.78% floor</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7/10/2023</w:t>
            </w:r>
          </w:p>
        </w:tc>
        <w:tc>
          <w:tcPr>
            <w:tcW w:w="146"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7/10/2027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Interactions Corporation</w:t>
            </w:r>
          </w:p>
        </w:tc>
        <w:tc>
          <w:tcPr>
            <w:tcW w:w="146" w:type="dxa"/>
            <w:tcBorders/>
            <w:shd w:fill="CFF0FC" w:val="clear"/>
            <w:vAlign w:val="center"/>
          </w:tcPr>
          <w:p>
            <w:pPr>
              <w:pStyle w:val="TableContents"/>
              <w:bidi w:val="0"/>
              <w:spacing w:before="0" w:after="283"/>
              <w:jc w:val="left"/>
              <w:rPr/>
            </w:pPr>
            <w:r>
              <w:rPr/>
              <w:t> </w:t>
            </w:r>
          </w:p>
        </w:tc>
        <w:tc>
          <w:tcPr>
            <w:tcW w:w="13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SOFR+9.26%, 9.76% floor, 3.4375% ETP</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6/24/2022</w:t>
            </w:r>
          </w:p>
        </w:tc>
        <w:tc>
          <w:tcPr>
            <w:tcW w:w="146" w:type="dxa"/>
            <w:tcBorders/>
            <w:shd w:fill="CFF0FC" w:val="clear"/>
            <w:vAlign w:val="center"/>
          </w:tcPr>
          <w:p>
            <w:pPr>
              <w:pStyle w:val="TableContents"/>
              <w:bidi w:val="0"/>
              <w:spacing w:before="0" w:after="283"/>
              <w:jc w:val="center"/>
              <w:rPr/>
            </w:pPr>
            <w:r>
              <w:rPr/>
              <w:t> </w:t>
            </w:r>
          </w:p>
        </w:tc>
        <w:tc>
          <w:tcPr>
            <w:tcW w:w="81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6/15/2027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39,804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39,804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ShareThis, Inc.</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SOFR+9.25%, 11.86% floor, 3.00% ETP</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12/3/2018</w:t>
            </w:r>
          </w:p>
        </w:tc>
        <w:tc>
          <w:tcPr>
            <w:tcW w:w="146" w:type="dxa"/>
            <w:tcBorders/>
            <w:shd w:fill="FFFFFF" w:val="clear"/>
            <w:vAlign w:val="center"/>
          </w:tcPr>
          <w:p>
            <w:pPr>
              <w:pStyle w:val="TableContents"/>
              <w:bidi w:val="0"/>
              <w:spacing w:before="0" w:after="283"/>
              <w:jc w:val="center"/>
              <w:rPr/>
            </w:pPr>
            <w:r>
              <w:rPr/>
              <w:t> </w:t>
            </w:r>
          </w:p>
        </w:tc>
        <w:tc>
          <w:tcPr>
            <w:tcW w:w="81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7/15/2025</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SOFR+8.25%, 10.86% floor, 3.00% ETP</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8/18/2020</w:t>
            </w:r>
          </w:p>
        </w:tc>
        <w:tc>
          <w:tcPr>
            <w:tcW w:w="146" w:type="dxa"/>
            <w:tcBorders/>
            <w:shd w:fill="CFF0FC" w:val="clear"/>
            <w:vAlign w:val="center"/>
          </w:tcPr>
          <w:p>
            <w:pPr>
              <w:pStyle w:val="TableContents"/>
              <w:bidi w:val="0"/>
              <w:spacing w:before="0" w:after="283"/>
              <w:jc w:val="center"/>
              <w:rPr/>
            </w:pPr>
            <w:r>
              <w:rPr/>
              <w:t> </w:t>
            </w:r>
          </w:p>
        </w:tc>
        <w:tc>
          <w:tcPr>
            <w:tcW w:w="81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7/15/2025</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Vesta Payment Solutions, Inc.</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SOFR+7.00%, 9.00% floor, 3.00% ETP</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11/29/2022</w:t>
            </w:r>
          </w:p>
        </w:tc>
        <w:tc>
          <w:tcPr>
            <w:tcW w:w="146" w:type="dxa"/>
            <w:tcBorders/>
            <w:shd w:fill="FFFFFF" w:val="clear"/>
            <w:vAlign w:val="center"/>
          </w:tcPr>
          <w:p>
            <w:pPr>
              <w:pStyle w:val="TableContents"/>
              <w:bidi w:val="0"/>
              <w:spacing w:before="0" w:after="283"/>
              <w:jc w:val="center"/>
              <w:rPr/>
            </w:pPr>
            <w:r>
              <w:rPr/>
              <w:t> </w:t>
            </w:r>
          </w:p>
        </w:tc>
        <w:tc>
          <w:tcPr>
            <w:tcW w:w="81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11/15/2026</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- 18.41%*</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84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105,013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Education Services</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84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Turning Tech Intermediate, Inc. (dba Echo 360, Inc.)</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SOFR+8.50%, 9.00% floor, 13.00% cash cap, 3.00% ETP</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6/22/2021</w:t>
            </w:r>
          </w:p>
        </w:tc>
        <w:tc>
          <w:tcPr>
            <w:tcW w:w="146" w:type="dxa"/>
            <w:tcBorders/>
            <w:shd w:fill="FFFFFF" w:val="clear"/>
            <w:vAlign w:val="center"/>
          </w:tcPr>
          <w:p>
            <w:pPr>
              <w:pStyle w:val="TableContents"/>
              <w:bidi w:val="0"/>
              <w:spacing w:before="0" w:after="283"/>
              <w:jc w:val="center"/>
              <w:rPr/>
            </w:pPr>
            <w:r>
              <w:rPr/>
              <w:t> </w:t>
            </w:r>
          </w:p>
        </w:tc>
        <w:tc>
          <w:tcPr>
            <w:tcW w:w="81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12/14/2025</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Education Services - 4.49%*</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84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84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Brivo, Inc.</w:t>
            </w:r>
          </w:p>
        </w:tc>
        <w:tc>
          <w:tcPr>
            <w:tcW w:w="146"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SOFR+6.85%, 10.89% floor, 3.00% ETP</w:t>
            </w:r>
          </w:p>
        </w:tc>
        <w:tc>
          <w:tcPr>
            <w:tcW w:w="14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10/20/2022</w:t>
            </w:r>
          </w:p>
        </w:tc>
        <w:tc>
          <w:tcPr>
            <w:tcW w:w="146" w:type="dxa"/>
            <w:tcBorders/>
            <w:shd w:fill="FFFFFF" w:val="clear"/>
            <w:vAlign w:val="center"/>
          </w:tcPr>
          <w:p>
            <w:pPr>
              <w:pStyle w:val="TableContents"/>
              <w:bidi w:val="0"/>
              <w:spacing w:before="0" w:after="283"/>
              <w:jc w:val="center"/>
              <w:rPr/>
            </w:pPr>
            <w:r>
              <w:rPr/>
              <w:t> </w:t>
            </w:r>
          </w:p>
        </w:tc>
        <w:tc>
          <w:tcPr>
            <w:tcW w:w="81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10/20/2027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49,655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- 8.99%*</w:t>
            </w:r>
          </w:p>
        </w:tc>
        <w:tc>
          <w:tcPr>
            <w:tcW w:w="14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84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49,439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2023</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303"/>
        <w:gridCol w:w="146"/>
        <w:gridCol w:w="1383"/>
        <w:gridCol w:w="146"/>
        <w:gridCol w:w="1025"/>
        <w:gridCol w:w="146"/>
        <w:gridCol w:w="815"/>
        <w:gridCol w:w="146"/>
        <w:gridCol w:w="166"/>
        <w:gridCol w:w="166"/>
        <w:gridCol w:w="686"/>
        <w:gridCol w:w="146"/>
        <w:gridCol w:w="146"/>
        <w:gridCol w:w="146"/>
        <w:gridCol w:w="146"/>
        <w:gridCol w:w="691"/>
        <w:gridCol w:w="146"/>
        <w:gridCol w:w="146"/>
        <w:gridCol w:w="146"/>
        <w:gridCol w:w="146"/>
        <w:gridCol w:w="691"/>
        <w:gridCol w:w="146"/>
        <w:gridCol w:w="146"/>
        <w:gridCol w:w="92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139"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5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978"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2"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Moximed, Inc.</w:t>
            </w:r>
          </w:p>
        </w:tc>
        <w:tc>
          <w:tcPr>
            <w:tcW w:w="14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PRIME+5.25%, 8.75% floor, 3.50% ETP</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6/24/2022</w:t>
            </w:r>
          </w:p>
        </w:tc>
        <w:tc>
          <w:tcPr>
            <w:tcW w:w="146" w:type="dxa"/>
            <w:tcBorders/>
            <w:shd w:fill="FFFFFF" w:val="clear"/>
            <w:vAlign w:val="center"/>
          </w:tcPr>
          <w:p>
            <w:pPr>
              <w:pStyle w:val="TableContents"/>
              <w:bidi w:val="0"/>
              <w:spacing w:before="0" w:after="283"/>
              <w:jc w:val="center"/>
              <w:rPr/>
            </w:pPr>
            <w:r>
              <w:rPr/>
              <w:t> </w:t>
            </w:r>
          </w:p>
        </w:tc>
        <w:tc>
          <w:tcPr>
            <w:tcW w:w="81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7/1/2027</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2"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- 2.61%*</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2"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Technology</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EBR Systems, Inc.</w:t>
            </w:r>
          </w:p>
        </w:tc>
        <w:tc>
          <w:tcPr>
            <w:tcW w:w="14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PRIME+4.90%, 8.90% floor, 4.50% ETP</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6/30/2022</w:t>
            </w:r>
          </w:p>
        </w:tc>
        <w:tc>
          <w:tcPr>
            <w:tcW w:w="146" w:type="dxa"/>
            <w:tcBorders/>
            <w:shd w:fill="FFFFFF" w:val="clear"/>
            <w:vAlign w:val="center"/>
          </w:tcPr>
          <w:p>
            <w:pPr>
              <w:pStyle w:val="TableContents"/>
              <w:bidi w:val="0"/>
              <w:spacing w:before="0" w:after="283"/>
              <w:jc w:val="center"/>
              <w:rPr/>
            </w:pPr>
            <w:r>
              <w:rPr/>
              <w:t> </w:t>
            </w:r>
          </w:p>
        </w:tc>
        <w:tc>
          <w:tcPr>
            <w:tcW w:w="81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6/15/2027</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 (15)</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Mingle Healthcare Solutions, Inc.</w:t>
            </w:r>
          </w:p>
        </w:tc>
        <w:tc>
          <w:tcPr>
            <w:tcW w:w="146" w:type="dxa"/>
            <w:tcBorders/>
            <w:shd w:fill="CFF0FC" w:val="clear"/>
            <w:vAlign w:val="center"/>
          </w:tcPr>
          <w:p>
            <w:pPr>
              <w:pStyle w:val="TableContents"/>
              <w:bidi w:val="0"/>
              <w:spacing w:before="0" w:after="283"/>
              <w:jc w:val="left"/>
              <w:rPr/>
            </w:pPr>
            <w:r>
              <w:rPr/>
              <w:t> </w:t>
            </w:r>
          </w:p>
        </w:tc>
        <w:tc>
          <w:tcPr>
            <w:tcW w:w="13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SOFR+9.50%, 12.01% floor, .25% PIK, 10.50% ETP</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8/15/2018</w:t>
            </w:r>
          </w:p>
        </w:tc>
        <w:tc>
          <w:tcPr>
            <w:tcW w:w="146" w:type="dxa"/>
            <w:tcBorders/>
            <w:shd w:fill="CFF0FC" w:val="clear"/>
            <w:vAlign w:val="center"/>
          </w:tcPr>
          <w:p>
            <w:pPr>
              <w:pStyle w:val="TableContents"/>
              <w:bidi w:val="0"/>
              <w:spacing w:before="0" w:after="283"/>
              <w:jc w:val="center"/>
              <w:rPr/>
            </w:pPr>
            <w:r>
              <w:rPr/>
              <w:t> </w:t>
            </w:r>
          </w:p>
        </w:tc>
        <w:tc>
          <w:tcPr>
            <w:tcW w:w="81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12/15/2023</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(9) (10)</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Nalu Medical, Inc.</w:t>
            </w:r>
          </w:p>
        </w:tc>
        <w:tc>
          <w:tcPr>
            <w:tcW w:w="14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PRIME+2.70%, 6.70% floor, 2.00% PIK, 4.50% ETP</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10/12/2022</w:t>
            </w:r>
          </w:p>
        </w:tc>
        <w:tc>
          <w:tcPr>
            <w:tcW w:w="146" w:type="dxa"/>
            <w:tcBorders/>
            <w:shd w:fill="FFFFFF" w:val="clear"/>
            <w:vAlign w:val="center"/>
          </w:tcPr>
          <w:p>
            <w:pPr>
              <w:pStyle w:val="TableContents"/>
              <w:bidi w:val="0"/>
              <w:spacing w:before="0" w:after="283"/>
              <w:jc w:val="center"/>
              <w:rPr/>
            </w:pPr>
            <w:r>
              <w:rPr/>
              <w:t> </w:t>
            </w:r>
          </w:p>
        </w:tc>
        <w:tc>
          <w:tcPr>
            <w:tcW w:w="81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10/12/2027</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Route 92 Medical, Inc.</w:t>
            </w:r>
          </w:p>
        </w:tc>
        <w:tc>
          <w:tcPr>
            <w:tcW w:w="146" w:type="dxa"/>
            <w:tcBorders/>
            <w:shd w:fill="CFF0FC" w:val="clear"/>
            <w:vAlign w:val="center"/>
          </w:tcPr>
          <w:p>
            <w:pPr>
              <w:pStyle w:val="TableContents"/>
              <w:bidi w:val="0"/>
              <w:spacing w:before="0" w:after="283"/>
              <w:jc w:val="left"/>
              <w:rPr/>
            </w:pPr>
            <w:r>
              <w:rPr/>
              <w:t> </w:t>
            </w:r>
          </w:p>
        </w:tc>
        <w:tc>
          <w:tcPr>
            <w:tcW w:w="13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SOFR+8.48%, 8.98% floor, 3.95% ETP</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8/17/2021</w:t>
            </w:r>
          </w:p>
        </w:tc>
        <w:tc>
          <w:tcPr>
            <w:tcW w:w="146" w:type="dxa"/>
            <w:tcBorders/>
            <w:shd w:fill="CFF0FC" w:val="clear"/>
            <w:vAlign w:val="center"/>
          </w:tcPr>
          <w:p>
            <w:pPr>
              <w:pStyle w:val="TableContents"/>
              <w:bidi w:val="0"/>
              <w:spacing w:before="0" w:after="283"/>
              <w:jc w:val="center"/>
              <w:rPr/>
            </w:pPr>
            <w:r>
              <w:rPr/>
              <w:t> </w:t>
            </w:r>
          </w:p>
        </w:tc>
        <w:tc>
          <w:tcPr>
            <w:tcW w:w="81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7/1/2026</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SetPoint Medical Corporation</w:t>
            </w:r>
          </w:p>
        </w:tc>
        <w:tc>
          <w:tcPr>
            <w:tcW w:w="14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SOFR+5.75%, 9.00% floor, 4.00% ETP</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12/29/2022</w:t>
            </w:r>
          </w:p>
        </w:tc>
        <w:tc>
          <w:tcPr>
            <w:tcW w:w="146" w:type="dxa"/>
            <w:tcBorders/>
            <w:shd w:fill="FFFFFF" w:val="clear"/>
            <w:vAlign w:val="center"/>
          </w:tcPr>
          <w:p>
            <w:pPr>
              <w:pStyle w:val="TableContents"/>
              <w:bidi w:val="0"/>
              <w:spacing w:before="0" w:after="283"/>
              <w:jc w:val="center"/>
              <w:rPr/>
            </w:pPr>
            <w:r>
              <w:rPr/>
              <w:t> </w:t>
            </w:r>
          </w:p>
        </w:tc>
        <w:tc>
          <w:tcPr>
            <w:tcW w:w="81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12/1/2027</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24,961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24,961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VERO Biotech LLC</w:t>
            </w:r>
          </w:p>
        </w:tc>
        <w:tc>
          <w:tcPr>
            <w:tcW w:w="146" w:type="dxa"/>
            <w:tcBorders/>
            <w:shd w:fill="CFF0FC" w:val="clear"/>
            <w:vAlign w:val="center"/>
          </w:tcPr>
          <w:p>
            <w:pPr>
              <w:pStyle w:val="TableContents"/>
              <w:bidi w:val="0"/>
              <w:spacing w:before="0" w:after="283"/>
              <w:jc w:val="left"/>
              <w:rPr/>
            </w:pPr>
            <w:r>
              <w:rPr/>
              <w:t> </w:t>
            </w:r>
          </w:p>
        </w:tc>
        <w:tc>
          <w:tcPr>
            <w:tcW w:w="13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SOFR+9.05%, 9.55% floor, 4.00% ETP</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12/29/2020</w:t>
            </w:r>
          </w:p>
        </w:tc>
        <w:tc>
          <w:tcPr>
            <w:tcW w:w="146" w:type="dxa"/>
            <w:tcBorders/>
            <w:shd w:fill="CFF0FC" w:val="clear"/>
            <w:vAlign w:val="center"/>
          </w:tcPr>
          <w:p>
            <w:pPr>
              <w:pStyle w:val="TableContents"/>
              <w:bidi w:val="0"/>
              <w:spacing w:before="0" w:after="283"/>
              <w:jc w:val="center"/>
              <w:rPr/>
            </w:pPr>
            <w:r>
              <w:rPr/>
              <w:t> </w:t>
            </w:r>
          </w:p>
        </w:tc>
        <w:tc>
          <w:tcPr>
            <w:tcW w:w="81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12/1/2024</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2"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Technology - 25.51%*</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146,562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2"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CloudPay, Inc.</w:t>
            </w:r>
          </w:p>
        </w:tc>
        <w:tc>
          <w:tcPr>
            <w:tcW w:w="146" w:type="dxa"/>
            <w:tcBorders/>
            <w:shd w:fill="CFF0FC" w:val="clear"/>
            <w:vAlign w:val="center"/>
          </w:tcPr>
          <w:p>
            <w:pPr>
              <w:pStyle w:val="TableContents"/>
              <w:bidi w:val="0"/>
              <w:spacing w:before="0" w:after="283"/>
              <w:jc w:val="left"/>
              <w:rPr/>
            </w:pPr>
            <w:r>
              <w:rPr/>
              <w:t> </w:t>
            </w:r>
          </w:p>
        </w:tc>
        <w:tc>
          <w:tcPr>
            <w:tcW w:w="13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PRIME+6.25%, 10.25% floor, 2.00% ETP</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9/26/2022</w:t>
            </w:r>
          </w:p>
        </w:tc>
        <w:tc>
          <w:tcPr>
            <w:tcW w:w="146" w:type="dxa"/>
            <w:tcBorders/>
            <w:shd w:fill="CFF0FC" w:val="clear"/>
            <w:vAlign w:val="center"/>
          </w:tcPr>
          <w:p>
            <w:pPr>
              <w:pStyle w:val="TableContents"/>
              <w:bidi w:val="0"/>
              <w:spacing w:before="0" w:after="283"/>
              <w:jc w:val="center"/>
              <w:rPr/>
            </w:pPr>
            <w:r>
              <w:rPr/>
              <w:t> </w:t>
            </w:r>
          </w:p>
        </w:tc>
        <w:tc>
          <w:tcPr>
            <w:tcW w:w="81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8/17/2027</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 (8) (10)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Snagajob.com, Inc.</w:t>
            </w:r>
          </w:p>
        </w:tc>
        <w:tc>
          <w:tcPr>
            <w:tcW w:w="14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SOFR+8.50%, 9.00% floor, 50% of interest PIK, 2.75% ETP</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9/29/2021</w:t>
            </w:r>
          </w:p>
        </w:tc>
        <w:tc>
          <w:tcPr>
            <w:tcW w:w="146" w:type="dxa"/>
            <w:tcBorders/>
            <w:shd w:fill="FFFFFF" w:val="clear"/>
            <w:vAlign w:val="center"/>
          </w:tcPr>
          <w:p>
            <w:pPr>
              <w:pStyle w:val="TableContents"/>
              <w:bidi w:val="0"/>
              <w:spacing w:before="0" w:after="283"/>
              <w:jc w:val="center"/>
              <w:rPr/>
            </w:pPr>
            <w:r>
              <w:rPr/>
              <w:t> </w:t>
            </w:r>
          </w:p>
        </w:tc>
        <w:tc>
          <w:tcPr>
            <w:tcW w:w="81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9/1/2025</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39,399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(9) (10)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2"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- 19.63%*</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114,504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112,013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2"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Madison Reed, Inc.</w:t>
            </w:r>
          </w:p>
        </w:tc>
        <w:tc>
          <w:tcPr>
            <w:tcW w:w="146"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PRIME+4.75%, 11.00% floor, 11.00% cash cap, 3.00% ETP</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12/16/2022</w:t>
            </w:r>
          </w:p>
        </w:tc>
        <w:tc>
          <w:tcPr>
            <w:tcW w:w="146" w:type="dxa"/>
            <w:tcBorders/>
            <w:shd w:fill="FFFFFF" w:val="clear"/>
            <w:vAlign w:val="center"/>
          </w:tcPr>
          <w:p>
            <w:pPr>
              <w:pStyle w:val="TableContents"/>
              <w:bidi w:val="0"/>
              <w:spacing w:before="0" w:after="283"/>
              <w:jc w:val="center"/>
              <w:rPr/>
            </w:pPr>
            <w:r>
              <w:rPr/>
              <w:t> </w:t>
            </w:r>
          </w:p>
        </w:tc>
        <w:tc>
          <w:tcPr>
            <w:tcW w:w="81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12/16/2026</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Marley Spoon SE</w:t>
            </w:r>
          </w:p>
        </w:tc>
        <w:tc>
          <w:tcPr>
            <w:tcW w:w="146" w:type="dxa"/>
            <w:tcBorders/>
            <w:shd w:fill="CFF0FC" w:val="clear"/>
            <w:vAlign w:val="center"/>
          </w:tcPr>
          <w:p>
            <w:pPr>
              <w:pStyle w:val="TableContents"/>
              <w:bidi w:val="0"/>
              <w:spacing w:before="0" w:after="283"/>
              <w:jc w:val="left"/>
              <w:rPr/>
            </w:pPr>
            <w:r>
              <w:rPr/>
              <w:t> </w:t>
            </w:r>
          </w:p>
        </w:tc>
        <w:tc>
          <w:tcPr>
            <w:tcW w:w="13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SOFR+7.50%, 8.26% floor, 1.25% PIK</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6/30/2021</w:t>
            </w:r>
          </w:p>
        </w:tc>
        <w:tc>
          <w:tcPr>
            <w:tcW w:w="146" w:type="dxa"/>
            <w:tcBorders/>
            <w:shd w:fill="CFF0FC" w:val="clear"/>
            <w:vAlign w:val="center"/>
          </w:tcPr>
          <w:p>
            <w:pPr>
              <w:pStyle w:val="TableContents"/>
              <w:bidi w:val="0"/>
              <w:spacing w:before="0" w:after="283"/>
              <w:jc w:val="center"/>
              <w:rPr/>
            </w:pPr>
            <w:r>
              <w:rPr/>
              <w:t> </w:t>
            </w:r>
          </w:p>
        </w:tc>
        <w:tc>
          <w:tcPr>
            <w:tcW w:w="81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6/15/2026</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44,841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44,677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(6) (8) (9)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2"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- 9.71%*</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2023</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109"/>
        <w:gridCol w:w="146"/>
        <w:gridCol w:w="1379"/>
        <w:gridCol w:w="146"/>
        <w:gridCol w:w="1016"/>
        <w:gridCol w:w="146"/>
        <w:gridCol w:w="240"/>
        <w:gridCol w:w="570"/>
        <w:gridCol w:w="146"/>
        <w:gridCol w:w="146"/>
        <w:gridCol w:w="157"/>
        <w:gridCol w:w="157"/>
        <w:gridCol w:w="744"/>
        <w:gridCol w:w="146"/>
        <w:gridCol w:w="146"/>
        <w:gridCol w:w="146"/>
        <w:gridCol w:w="146"/>
        <w:gridCol w:w="691"/>
        <w:gridCol w:w="146"/>
        <w:gridCol w:w="146"/>
        <w:gridCol w:w="146"/>
        <w:gridCol w:w="146"/>
        <w:gridCol w:w="691"/>
        <w:gridCol w:w="146"/>
        <w:gridCol w:w="146"/>
        <w:gridCol w:w="95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2941"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780"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4"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Bombora, Inc.</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SOFR+5.00%, 5.76% floor, 3.75% PIK, 2.00% ETP</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3/31/2021</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3/31/2025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21,958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Skillshare, Inc.</w:t>
            </w:r>
          </w:p>
        </w:tc>
        <w:tc>
          <w:tcPr>
            <w:tcW w:w="1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SOFR+6.50%, 10.72% floor, 3.00% ETP</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11/8/2022</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11/8/2026</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Synack, Inc.</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PRIME+4.25%, 8.25% floor</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6/30/2022</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4"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- 15.46%*</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4"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Kin Insurance, Inc.</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PRIME+6.25%, 12.50% floor, 3.00% ETP</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9/26/2022</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9/15/2026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4"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- 13.08%*</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4"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3PL Central LLC (dba Extensiv)</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SOFR+4.50%, 6.50% floor, 2.50% PIK, 2.00% ETP</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11/9/2022</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11/9/2027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(9) (10)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4"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- 12.19%*</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2780"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Senior Secured Term Loans - 159.91%*</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920,954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912,261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2780"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Second Lien Term Loans</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Dejero Labs Inc.</w:t>
            </w:r>
          </w:p>
        </w:tc>
        <w:tc>
          <w:tcPr>
            <w:tcW w:w="1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SOFR+5.00%, 5.50% floor, 5.00% PIK, 3.00% ETP</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12/22/2021</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12/22/2025</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(5) (8) (9) (10) (11)</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4"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- 2.48%*</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780"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Second Lien Term Loans - 2.48%*</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780"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Preferred Stocks</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Aria Systems, Inc.</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G Preferred Stock</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7/10/2018</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289,419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4"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- 0.04%*</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Technology</w:t>
            </w:r>
          </w:p>
        </w:tc>
        <w:tc>
          <w:tcPr>
            <w:tcW w:w="146" w:type="dxa"/>
            <w:tcBorders/>
            <w:shd w:fill="CFF0FC" w:val="clear"/>
            <w:vAlign w:val="center"/>
          </w:tcPr>
          <w:p>
            <w:pPr>
              <w:pStyle w:val="TableContents"/>
              <w:bidi w:val="0"/>
              <w:spacing w:before="0" w:after="283"/>
              <w:jc w:val="left"/>
              <w:rPr/>
            </w:pPr>
            <w:r>
              <w:rPr/>
              <w:t> </w:t>
            </w:r>
          </w:p>
        </w:tc>
        <w:tc>
          <w:tcPr>
            <w:tcW w:w="13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CareCloud, Inc.</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11% Series A Cumulative Redeemable Perpetual Preferred Stock</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1/8/2020</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462,064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(14) (16)</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4"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Technology - 1.97%*</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2780"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Preferred Stocks - 2.01%*</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2023</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450"/>
        <w:gridCol w:w="146"/>
        <w:gridCol w:w="1169"/>
        <w:gridCol w:w="146"/>
        <w:gridCol w:w="1056"/>
        <w:gridCol w:w="146"/>
        <w:gridCol w:w="245"/>
        <w:gridCol w:w="583"/>
        <w:gridCol w:w="146"/>
        <w:gridCol w:w="146"/>
        <w:gridCol w:w="156"/>
        <w:gridCol w:w="156"/>
        <w:gridCol w:w="887"/>
        <w:gridCol w:w="146"/>
        <w:gridCol w:w="146"/>
        <w:gridCol w:w="146"/>
        <w:gridCol w:w="146"/>
        <w:gridCol w:w="511"/>
        <w:gridCol w:w="146"/>
        <w:gridCol w:w="146"/>
        <w:gridCol w:w="150"/>
        <w:gridCol w:w="150"/>
        <w:gridCol w:w="525"/>
        <w:gridCol w:w="146"/>
        <w:gridCol w:w="146"/>
        <w:gridCol w:w="96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175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072"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911"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Stocks</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FiscalNote, Inc.</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10/19/2020</w:t>
            </w:r>
          </w:p>
        </w:tc>
        <w:tc>
          <w:tcPr>
            <w:tcW w:w="14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230,881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(13) (16)</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- 0.08%*</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Marley Spoon SE</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7/7/2023</w:t>
            </w:r>
          </w:p>
        </w:tc>
        <w:tc>
          <w:tcPr>
            <w:tcW w:w="14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(6) (12) (19)</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- 0.06%*</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Quantum Corporation</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8/13/2021</w:t>
            </w:r>
          </w:p>
        </w:tc>
        <w:tc>
          <w:tcPr>
            <w:tcW w:w="14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459,720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 (12) (14) (16)</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zSpace, Inc.</w:t>
            </w:r>
          </w:p>
        </w:tc>
        <w:tc>
          <w:tcPr>
            <w:tcW w:w="14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12/31/2020</w:t>
            </w:r>
          </w:p>
        </w:tc>
        <w:tc>
          <w:tcPr>
            <w:tcW w:w="146" w:type="dxa"/>
            <w:tcBorders/>
            <w:shd w:fill="CFF0FC" w:val="clear"/>
            <w:vAlign w:val="center"/>
          </w:tcPr>
          <w:p>
            <w:pPr>
              <w:pStyle w:val="TableContents"/>
              <w:bidi w:val="0"/>
              <w:spacing w:before="0" w:after="283"/>
              <w:jc w:val="center"/>
              <w:rPr/>
            </w:pPr>
            <w:r>
              <w:rPr/>
              <w:t> </w:t>
            </w:r>
          </w:p>
        </w:tc>
        <w:tc>
          <w:tcPr>
            <w:tcW w:w="245"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6,078,499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7"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- 0.05%*</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911"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Common Stocks - 0.19%*</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911"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Advertising</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STN Video Inc.</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Class B Non-Voting Stock</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6/30/2017</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(5) (8)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Advertising - 0.00%*</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3DNA Corp. (dba NationBuilder)</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C-1 Preferred Stock</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12/28/2018</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12/28/2028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273,164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Aria Systems, Inc.</w:t>
            </w:r>
          </w:p>
        </w:tc>
        <w:tc>
          <w:tcPr>
            <w:tcW w:w="14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G Preferred Stock</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6/29/2018</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6/29/2028</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2,387,705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Circadence Corporation</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A-6 Preferred Stock</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12/20/2018</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12/20/2028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1,538,462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A-6 Preferred Stock</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10/31/2019</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10/31/2029</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384,615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Dtex Systems, Inc.</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C-Prime Preferred Stock</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6/1/2018</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C-Prime Preferred Stock</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7/11/2019</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7/11/2026</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833,333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FiscalNote, Inc.</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Earnout</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7/29/2022</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7/29/2027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(13)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Porch Group, Inc.</w:t>
            </w:r>
          </w:p>
        </w:tc>
        <w:tc>
          <w:tcPr>
            <w:tcW w:w="14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Earnout</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12/23/2020</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12/23/2023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(14)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5"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- 0.46%*</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5"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Biotechnology</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Mustang Bio, Inc.</w:t>
            </w:r>
          </w:p>
        </w:tc>
        <w:tc>
          <w:tcPr>
            <w:tcW w:w="146" w:type="dxa"/>
            <w:tcBorders/>
            <w:shd w:fill="CFF0FC" w:val="clear"/>
            <w:vAlign w:val="center"/>
          </w:tcPr>
          <w:p>
            <w:pPr>
              <w:pStyle w:val="TableContents"/>
              <w:bidi w:val="0"/>
              <w:spacing w:before="0" w:after="283"/>
              <w:jc w:val="left"/>
              <w:rPr/>
            </w:pPr>
            <w:r>
              <w:rPr/>
              <w:t> </w:t>
            </w:r>
          </w:p>
        </w:tc>
        <w:tc>
          <w:tcPr>
            <w:tcW w:w="11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3/4/2022</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3/4/2032</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748,036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(14)</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TRACON Pharmaceuticals, Inc.</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9/2/2022</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9/2/2032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(14)</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Biotechnology - 0.01%*</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Computer &amp; Electronics Retail</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Massdrop, Inc.</w:t>
            </w:r>
          </w:p>
        </w:tc>
        <w:tc>
          <w:tcPr>
            <w:tcW w:w="14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B Preferred Stock</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7/22/2019</w:t>
            </w:r>
          </w:p>
        </w:tc>
        <w:tc>
          <w:tcPr>
            <w:tcW w:w="146" w:type="dxa"/>
            <w:tcBorders/>
            <w:shd w:fill="FFFFFF" w:val="clear"/>
            <w:vAlign w:val="center"/>
          </w:tcPr>
          <w:p>
            <w:pPr>
              <w:pStyle w:val="TableContents"/>
              <w:bidi w:val="0"/>
              <w:spacing w:before="0" w:after="283"/>
              <w:jc w:val="center"/>
              <w:rPr/>
            </w:pPr>
            <w:r>
              <w:rPr/>
              <w:t> </w:t>
            </w:r>
          </w:p>
        </w:tc>
        <w:tc>
          <w:tcPr>
            <w:tcW w:w="828"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7/22/2029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848,093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Computer &amp; Electronics Retail - 0.00%*</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tcBorders/>
            <w:shd w:fill="CFF0FC"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2023</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446"/>
        <w:gridCol w:w="146"/>
        <w:gridCol w:w="1195"/>
        <w:gridCol w:w="146"/>
        <w:gridCol w:w="1122"/>
        <w:gridCol w:w="146"/>
        <w:gridCol w:w="858"/>
        <w:gridCol w:w="146"/>
        <w:gridCol w:w="161"/>
        <w:gridCol w:w="161"/>
        <w:gridCol w:w="916"/>
        <w:gridCol w:w="146"/>
        <w:gridCol w:w="146"/>
        <w:gridCol w:w="146"/>
        <w:gridCol w:w="146"/>
        <w:gridCol w:w="511"/>
        <w:gridCol w:w="146"/>
        <w:gridCol w:w="146"/>
        <w:gridCol w:w="152"/>
        <w:gridCol w:w="152"/>
        <w:gridCol w:w="532"/>
        <w:gridCol w:w="146"/>
        <w:gridCol w:w="146"/>
        <w:gridCol w:w="940"/>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094"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933"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8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Elevate Services, Inc.</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C Preferred Stock</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7/10/2023</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7/10/2033</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Interactions Corporation</w:t>
            </w:r>
          </w:p>
        </w:tc>
        <w:tc>
          <w:tcPr>
            <w:tcW w:w="146"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6/24/2022</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6/24/2032</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ShareThis, Inc.</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D-3 Preferred Stock</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12/3/2018</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12/3/2028</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647,615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- 0.28%*</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8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Brivo, Inc.</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A-2 Preferred Stock</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10/20/2022</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10/20/2032</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Epic IO Technologies, Inc.</w:t>
            </w:r>
          </w:p>
        </w:tc>
        <w:tc>
          <w:tcPr>
            <w:tcW w:w="146"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12/17/2021</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12/17/2024</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7"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- 0.15%*</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7"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8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Moximed, Inc.</w:t>
            </w:r>
          </w:p>
        </w:tc>
        <w:tc>
          <w:tcPr>
            <w:tcW w:w="146"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C Preferred Stock</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6/24/2022</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6/24/2032</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214,285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Revelle Aesthetics, Inc.</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A-2 Preferred Stock</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3/30/2022</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3/30/2032</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- 0.05%*</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8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Technology</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Allurion Technologies, Inc.</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3/30/2021</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1/22/2025</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132,979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6/14/2022</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1/22/2025</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46,256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9/15/2022</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1/22/2025</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Earnout</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8/2/2023</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8/1/2028</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(13)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EBR Systems, Inc.</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6/30/2022</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6/30/2032</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(15)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Mingle Healthcare Solutions, Inc.</w:t>
            </w:r>
          </w:p>
        </w:tc>
        <w:tc>
          <w:tcPr>
            <w:tcW w:w="146"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CC Preferred Stock</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8/15/2018</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8/15/2028</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1,770,973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Nalu Medical, Inc.</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D-2 Preferred Stock</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10/12/2022</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10/12/2032</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91,717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Route 92 Medical, Inc.</w:t>
            </w:r>
          </w:p>
        </w:tc>
        <w:tc>
          <w:tcPr>
            <w:tcW w:w="146"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8/17/2021</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8/17/2031</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SetPoint Medical Corporation</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B' Preferred Stock</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6/29/2021</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6/29/2031</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B' Preferred Stock</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12/29/2022</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12/29/2032</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VERO Biotech LLC</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12/29/2020</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12/29/2025</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Technology - 0.39%*</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8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68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CloudPay, Inc.</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B Preferred Stock</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6/30/2020</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6/30/2030</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 (8)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D Preferred Stock</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8/17/2021</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8/17/2031</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 (8)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D Preferred Stock</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6/30/2023</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6/30/2033</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 (8) (12)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Snagajob.com, Inc.</w:t>
            </w:r>
          </w:p>
        </w:tc>
        <w:tc>
          <w:tcPr>
            <w:tcW w:w="146"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B-1 Preferred Stock</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9/29/2021</w:t>
            </w:r>
          </w:p>
        </w:tc>
        <w:tc>
          <w:tcPr>
            <w:tcW w:w="146" w:type="dxa"/>
            <w:tcBorders/>
            <w:shd w:fill="CFF0FC" w:val="clear"/>
            <w:vAlign w:val="center"/>
          </w:tcPr>
          <w:p>
            <w:pPr>
              <w:pStyle w:val="TableContents"/>
              <w:bidi w:val="0"/>
              <w:spacing w:before="0" w:after="283"/>
              <w:jc w:val="center"/>
              <w:rPr/>
            </w:pPr>
            <w:r>
              <w:rPr/>
              <w:t> </w:t>
            </w:r>
          </w:p>
        </w:tc>
        <w:tc>
          <w:tcPr>
            <w:tcW w:w="85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9/29/2031</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763,269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7"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- 0.22%*</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2023</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414"/>
        <w:gridCol w:w="146"/>
        <w:gridCol w:w="1108"/>
        <w:gridCol w:w="146"/>
        <w:gridCol w:w="1045"/>
        <w:gridCol w:w="146"/>
        <w:gridCol w:w="824"/>
        <w:gridCol w:w="146"/>
        <w:gridCol w:w="155"/>
        <w:gridCol w:w="155"/>
        <w:gridCol w:w="882"/>
        <w:gridCol w:w="146"/>
        <w:gridCol w:w="146"/>
        <w:gridCol w:w="146"/>
        <w:gridCol w:w="146"/>
        <w:gridCol w:w="691"/>
        <w:gridCol w:w="146"/>
        <w:gridCol w:w="146"/>
        <w:gridCol w:w="146"/>
        <w:gridCol w:w="146"/>
        <w:gridCol w:w="691"/>
        <w:gridCol w:w="146"/>
        <w:gridCol w:w="146"/>
        <w:gridCol w:w="88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2975"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814"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8"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Madison Reed, Inc.</w:t>
            </w:r>
          </w:p>
        </w:tc>
        <w:tc>
          <w:tcPr>
            <w:tcW w:w="14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12/16/2022</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8"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- 0.03%*</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8"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Bombora, Inc.</w:t>
            </w:r>
          </w:p>
        </w:tc>
        <w:tc>
          <w:tcPr>
            <w:tcW w:w="14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3/31/2021</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3/31/2031</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121,581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Fidelis Cybersecurity, Inc.</w:t>
            </w:r>
          </w:p>
        </w:tc>
        <w:tc>
          <w:tcPr>
            <w:tcW w:w="146"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3/25/2022</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3/25/2032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INRIX, Inc.</w:t>
            </w:r>
          </w:p>
        </w:tc>
        <w:tc>
          <w:tcPr>
            <w:tcW w:w="14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7/26/2019</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7/26/2029</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150,804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Longtail Ad Solutions, Inc. (dba JW Player)</w:t>
            </w:r>
          </w:p>
        </w:tc>
        <w:tc>
          <w:tcPr>
            <w:tcW w:w="146"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12/12/2019</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12/12/2029</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387,596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Skillshare, Inc.</w:t>
            </w:r>
          </w:p>
        </w:tc>
        <w:tc>
          <w:tcPr>
            <w:tcW w:w="14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11/8/2022</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11/8/2026</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Synack, Inc.</w:t>
            </w:r>
          </w:p>
        </w:tc>
        <w:tc>
          <w:tcPr>
            <w:tcW w:w="146"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6/30/2022</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6/30/2032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8"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- 0.36%*</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8"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Kin Insurance, Inc.</w:t>
            </w:r>
          </w:p>
        </w:tc>
        <w:tc>
          <w:tcPr>
            <w:tcW w:w="146"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D-3 Preferred Stock</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9/26/2022</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9/26/2032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41,576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D-3 Preferred Stock</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5/5/2023</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5/5/2033</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D-3 Preferred Stock</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8/25/2023</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8/25/2033</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8"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- 0.08%*</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8"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Specialized Consumer Services</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AllClear ID, Inc.</w:t>
            </w:r>
          </w:p>
        </w:tc>
        <w:tc>
          <w:tcPr>
            <w:tcW w:w="146"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9/1/2017</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9/1/2027</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523,893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10/17/2018</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10/17/2028</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346,621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Credit Sesame, Inc.</w:t>
            </w:r>
          </w:p>
        </w:tc>
        <w:tc>
          <w:tcPr>
            <w:tcW w:w="146"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1/7/2020</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1/7/2030</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191,601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8"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Specialized Consumer Services - 0.07%*</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8"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Dejero Labs Inc.</w:t>
            </w:r>
          </w:p>
        </w:tc>
        <w:tc>
          <w:tcPr>
            <w:tcW w:w="146"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5/31/2019</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5/31/2029</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333,621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(5) (8)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Scale Computing, Inc.</w:t>
            </w:r>
          </w:p>
        </w:tc>
        <w:tc>
          <w:tcPr>
            <w:tcW w:w="14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3/29/2019</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3/29/2029</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9,665,667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8"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- 0.04%*</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8"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RealWear, Inc.</w:t>
            </w:r>
          </w:p>
        </w:tc>
        <w:tc>
          <w:tcPr>
            <w:tcW w:w="14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 Preferred Stock</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10/5/2018</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10/5/2028</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 Preferred Stock</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12/28/2018</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12/28/2028</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22,491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 Preferred Stock</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6/27/2019</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6/27/2029</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123,894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59"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- 0.11%*</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2814"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- 2.25%*</w:t>
            </w:r>
          </w:p>
        </w:tc>
        <w:tc>
          <w:tcPr>
            <w:tcW w:w="146"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2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left"/>
              <w:rPr/>
            </w:pPr>
            <w:r>
              <w:rPr/>
              <w:t> </w:t>
            </w:r>
          </w:p>
        </w:tc>
      </w:tr>
      <w:tr>
        <w:trPr/>
        <w:tc>
          <w:tcPr>
            <w:tcW w:w="2975" w:type="dxa"/>
            <w:gridSpan w:val="5"/>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Non-Control/Non-Affiliate Investments - 166.84%*</w:t>
            </w:r>
          </w:p>
        </w:tc>
        <w:tc>
          <w:tcPr>
            <w:tcW w:w="146"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971,230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951,779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2023</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963"/>
        <w:gridCol w:w="146"/>
        <w:gridCol w:w="1093"/>
        <w:gridCol w:w="146"/>
        <w:gridCol w:w="964"/>
        <w:gridCol w:w="146"/>
        <w:gridCol w:w="233"/>
        <w:gridCol w:w="554"/>
        <w:gridCol w:w="146"/>
        <w:gridCol w:w="146"/>
        <w:gridCol w:w="149"/>
        <w:gridCol w:w="149"/>
        <w:gridCol w:w="847"/>
        <w:gridCol w:w="146"/>
        <w:gridCol w:w="146"/>
        <w:gridCol w:w="256"/>
        <w:gridCol w:w="146"/>
        <w:gridCol w:w="826"/>
        <w:gridCol w:w="146"/>
        <w:gridCol w:w="146"/>
        <w:gridCol w:w="256"/>
        <w:gridCol w:w="146"/>
        <w:gridCol w:w="826"/>
        <w:gridCol w:w="146"/>
        <w:gridCol w:w="146"/>
        <w:gridCol w:w="88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2509"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w:t>
            </w:r>
          </w:p>
        </w:tc>
      </w:tr>
      <w:tr>
        <w:trPr/>
        <w:tc>
          <w:tcPr>
            <w:tcW w:w="161" w:type="dxa"/>
            <w:tcBorders/>
            <w:shd w:fill="FFFFFF" w:val="clear"/>
            <w:vAlign w:val="center"/>
          </w:tcPr>
          <w:p>
            <w:pPr>
              <w:pStyle w:val="TableContents"/>
              <w:bidi w:val="0"/>
              <w:spacing w:before="0" w:after="283"/>
              <w:jc w:val="left"/>
              <w:rPr/>
            </w:pPr>
            <w:r>
              <w:rPr/>
              <w:t> </w:t>
            </w:r>
          </w:p>
        </w:tc>
        <w:tc>
          <w:tcPr>
            <w:tcW w:w="2348"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2"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Technology</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Gynesonics, Inc.</w:t>
            </w:r>
          </w:p>
        </w:tc>
        <w:tc>
          <w:tcPr>
            <w:tcW w:w="14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SOFR+8.75%, 8.00% ceiling, 5.00% ETP</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3/1/2023</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11/30/2026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(10) (11)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2"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Technology - 4.14%*</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2348"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Senior Secured Term Loans - 4.14%*</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2348"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Preferred Stocks</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2"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Technology</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A-2 Preferred Stock</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3/1/2023</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3,266,668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2"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Technology - 3.82%*</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348"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Preferred Stocks - 3.82%*</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348"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Stocks</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2"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Coginiti Corp</w:t>
            </w:r>
          </w:p>
        </w:tc>
        <w:tc>
          <w:tcPr>
            <w:tcW w:w="14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3/9/2020</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1,040,160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2"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- 0.16%*</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2348"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Common Stocks - 0.16%*</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2348"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2"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Coginiti Corp</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3/9/2020</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3/9/2030</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811,770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2"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- 0.15%*</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2"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Technology</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3/1/2023</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3/1/2030</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(12) (18)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2"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Technology - 0.06%*</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348"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- 0.21%*</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r>
      <w:tr>
        <w:trPr/>
        <w:tc>
          <w:tcPr>
            <w:tcW w:w="2509"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Affiliate Investments - 8.33%*</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r>
      <w:tr>
        <w:trPr/>
        <w:tc>
          <w:tcPr>
            <w:tcW w:w="2509" w:type="dxa"/>
            <w:gridSpan w:val="5"/>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Control Investments</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(21)</w:t>
            </w:r>
          </w:p>
        </w:tc>
      </w:tr>
      <w:tr>
        <w:trPr/>
        <w:tc>
          <w:tcPr>
            <w:tcW w:w="161" w:type="dxa"/>
            <w:tcBorders/>
            <w:shd w:fill="CFF0FC" w:val="clear"/>
            <w:vAlign w:val="center"/>
          </w:tcPr>
          <w:p>
            <w:pPr>
              <w:pStyle w:val="TableContents"/>
              <w:bidi w:val="0"/>
              <w:spacing w:before="0" w:after="283"/>
              <w:jc w:val="left"/>
              <w:rPr/>
            </w:pPr>
            <w:r>
              <w:rPr/>
              <w:t> </w:t>
            </w:r>
          </w:p>
        </w:tc>
        <w:tc>
          <w:tcPr>
            <w:tcW w:w="2348"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2"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Pivot3, Inc.</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LIBOR+8.50% PIK, 11.00% floor, 4.00% ETP</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5/13/2019</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10/15/2023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(9) (10) (12)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2"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- 2.03%*</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348"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Senior Secured Term Loans - 2.03%*</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r>
      <w:tr>
        <w:trPr/>
        <w:tc>
          <w:tcPr>
            <w:tcW w:w="2509"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Control Investments - 2.03%*</w:t>
            </w:r>
          </w:p>
        </w:tc>
        <w:tc>
          <w:tcPr>
            <w:tcW w:w="146"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r>
      <w:tr>
        <w:trPr/>
        <w:tc>
          <w:tcPr>
            <w:tcW w:w="2509" w:type="dxa"/>
            <w:gridSpan w:val="5"/>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- 177.20%*</w:t>
            </w:r>
          </w:p>
        </w:tc>
        <w:tc>
          <w:tcPr>
            <w:tcW w:w="14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96"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1,044,874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1,010,927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Schedule of Investments (Unaudited) – (continued)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September 30, 2023</w:t>
      </w:r>
    </w:p>
    <w:p>
      <w:pPr>
        <w:pStyle w:val="TextBody"/>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277"/>
        <w:gridCol w:w="146"/>
        <w:gridCol w:w="9782"/>
      </w:tblGrid>
      <w:tr>
        <w:trPr/>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2" w:type="dxa"/>
            <w:tcBorders/>
            <w:vAlign w:val="center"/>
          </w:tcPr>
          <w:p>
            <w:pPr>
              <w:pStyle w:val="TableContents"/>
              <w:bidi w:val="0"/>
              <w:spacing w:before="0" w:after="283"/>
              <w:jc w:val="left"/>
              <w:rPr>
                <w:sz w:val="4"/>
                <w:szCs w:val="4"/>
              </w:rPr>
            </w:pPr>
            <w:r>
              <w:rPr>
                <w:sz w:val="4"/>
                <w:szCs w:val="4"/>
              </w:rPr>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Disclosures of interest rates on notes include cash interest rates and payment-in-kind ("PIK") interest rates, as applicable. Unless otherwise indicated, all of the Company's variable interest rate debt instruments bear interest at a rate that is determined by reference to the 3-Month London Interbank Offered Rate ("LIBOR"), the U.S. Prime Rate, or the 3-month Secured Overnight Financing Rate ("SOFR"). At September 30, 2023, the 3-Month LIBOR was 5.66%, the U.S. Prime Rate was 8.50% and the 3-Month SOFR was 5.40%.</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Investments are held at Fair Value net of the Fair Value of Unfunded Commitments. Refer to "Note 8 – Commitments and Contingencies" for additional detail.</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(4)</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All portfolio companies are domiciled in the United States, unless otherwise noted.</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(5)</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is domiciled in Canada.</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(6)</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is domiciled in Germany</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(7)</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is domiciled in United Kingdom.</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(8)</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 is not a qualifying investment as defined under Section 55(a) of the Investment Company Act of 1940, as amended. The fair value of non-qualifying assets represent 13.13% of total assets as of September 30, 2023.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(9)</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Represents a PIK security. PIK interest will be accrued and paid at maturity.</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(10)</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Disclosures of end-of-term payments ("ETP") are one-time payments stated as a percentage of original principal amount.</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(11)</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The investment is an eligible loan investment in the collateral under the Credit Facility (as defined in "Note 7 – Borrowings").</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(12)</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Investments are non-income producing.</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(13)</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is publicly traded and listed on NYSE.</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(14)</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is publicly traded and listed on NASDAQ.</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(15)</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is publicly traded and listed on ASX.</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(16)</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 is not a "restricted security" under the Securities Act.</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(17)</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The warrant count is based upon a percentage of ownership of Fidelis Cybersecurity, Inc.</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(18)</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 is either a cash success fee payable or earnout of shares based on the consummation of certain trigger events.</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(19)</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 is denominated in a foreign currency and is publicly traded on ETR.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(20)</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(21)</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Control portfolio company, as defined under the 1940 Act, in which the Company owns more than 25% of the investment’s voting securities or has greater than 50% representation on its board.</w:t>
            </w:r>
          </w:p>
        </w:tc>
      </w:tr>
      <w:tr>
        <w:trPr/>
        <w:tc>
          <w:tcPr>
            <w:tcW w:w="277" w:type="dxa"/>
            <w:tcBorders/>
            <w:shd w:fill="FFFFFF"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w:t>
            </w:r>
          </w:p>
        </w:tc>
        <w:tc>
          <w:tcPr>
            <w:tcW w:w="146" w:type="dxa"/>
            <w:tcBorders/>
            <w:shd w:fill="FFFFFF" w:val="clear"/>
            <w:vAlign w:val="center"/>
          </w:tcPr>
          <w:p>
            <w:pPr>
              <w:pStyle w:val="TableContents"/>
              <w:bidi w:val="0"/>
              <w:spacing w:before="0" w:after="283"/>
              <w:jc w:val="left"/>
              <w:rPr/>
            </w:pPr>
            <w:r>
              <w:rPr/>
              <w:t> </w:t>
            </w:r>
          </w:p>
        </w:tc>
        <w:tc>
          <w:tcPr>
            <w:tcW w:w="97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Value as a percentage of net assets.</w:t>
            </w:r>
          </w:p>
        </w:tc>
      </w:tr>
    </w:tbl>
    <w:p>
      <w:pPr>
        <w:pStyle w:val="TextBody"/>
        <w:bidi w:val="0"/>
        <w:jc w:val="left"/>
        <w:rPr/>
      </w:pPr>
      <w:r>
        <w:rPr/>
        <w:t> </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bookmarkStart w:id="10" w:name="scheduleofinvestments_pp"/>
      <w:bookmarkEnd w:id="10"/>
      <w:r>
        <w:rPr>
          <w:color w:val="000000"/>
        </w:rPr>
        <w:t> </w:t>
      </w:r>
      <w:r>
        <w:rPr>
          <w:rFonts w:ascii="Times New Roman" w:hAnsi="Times New Roman"/>
          <w:b/>
          <w:color w:val="000000"/>
          <w:sz w:val="20"/>
        </w:rPr>
        <w:t>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521"/>
        <w:gridCol w:w="146"/>
        <w:gridCol w:w="1276"/>
        <w:gridCol w:w="146"/>
        <w:gridCol w:w="995"/>
        <w:gridCol w:w="146"/>
        <w:gridCol w:w="801"/>
        <w:gridCol w:w="146"/>
        <w:gridCol w:w="162"/>
        <w:gridCol w:w="162"/>
        <w:gridCol w:w="670"/>
        <w:gridCol w:w="146"/>
        <w:gridCol w:w="146"/>
        <w:gridCol w:w="146"/>
        <w:gridCol w:w="146"/>
        <w:gridCol w:w="691"/>
        <w:gridCol w:w="146"/>
        <w:gridCol w:w="146"/>
        <w:gridCol w:w="147"/>
        <w:gridCol w:w="147"/>
        <w:gridCol w:w="698"/>
        <w:gridCol w:w="146"/>
        <w:gridCol w:w="146"/>
        <w:gridCol w:w="87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250"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3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8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667" w:type="dxa"/>
            <w:gridSpan w:val="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3"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8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Circadence Corporation</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SOFR+9.50% PIK, 12.26% floor, 7.50% ETP</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12/20/2018</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12/15/2023</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Dtex Systems, Inc.</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SOFR+9.25%, 9.75% floor, 1.75% ETP</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6/1/2021</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6/1/2025</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FiscalNote, Inc.</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PRIME+5.00%, 9.00% floor, 1.00% PIK, 4.25% ETP</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10/19/2020</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7/15/2027</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65,251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VTX Intermediate Holdings, Inc. (dba VertexOne)</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SOFR+9.00%, 9.50% floor, 4.50% ETP</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12/28/2021</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12/28/2026</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3"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- 30.66%*</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8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3"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Biotechnology</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Mustang Bio, Inc.</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SOFR+8.75%, 9.25% floor, 3.50% ETP</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3/4/2022</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4/15/2027</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29,709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29,709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TRACON Pharmaceuticals, Inc.</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PRIME+5.00%, 8.50% floor, 4.25% ETP</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9/2/2022</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9/1/2026</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3"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Biotechnology - 6.89%*</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39,709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3"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8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Interactions Corporation</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SOFR+9.26%, 9.76% floor, 3.4375% ETP</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6/24/2022</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6/15/2027</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ShareThis, Inc.</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SOFR+9.25%, 11.86% floor, 3.00% ETP</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12/3/2018</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7/15/2025</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SOFR+8.25%, 10.86% floor, 3.00% ETP</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8/18/2020</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7/15/2025</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Vesta Payment Solutions, Inc.</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SOFR+7.00%, 9.00% floor, 3.00% ETP</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11/29/2022</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11/15/2026</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3"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- 14.96%*</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8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3"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Education Services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Turning Tech Intermediate, Inc. (dba Echo 360, Inc.)</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SOFR+8.50%, 9.00% floor, 13.00% cash cap, 3.00% ETP</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6/22/2021</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12/14/2025</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3"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Education Services - 4.39%*</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8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3"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Brivo, Inc.</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SOFR+6.85%, 10.89% floor, 50% of interest PIK, 3.00% ETP</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10/20/2022</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10/20/2027</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43,912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43,912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Intellisite Holdings, Inc. (dba Epic IO Technologies, Inc.)</w:t>
            </w:r>
          </w:p>
        </w:tc>
        <w:tc>
          <w:tcPr>
            <w:tcW w:w="146"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SOFR+9.75%, 10.25% floor, 2.00% ETP</w:t>
            </w:r>
          </w:p>
        </w:tc>
        <w:tc>
          <w:tcPr>
            <w:tcW w:w="14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12/17/2021</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12/17/2025</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3"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- 13.46%*</w:t>
            </w:r>
          </w:p>
        </w:tc>
        <w:tc>
          <w:tcPr>
            <w:tcW w:w="146"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312"/>
        <w:gridCol w:w="146"/>
        <w:gridCol w:w="1370"/>
        <w:gridCol w:w="146"/>
        <w:gridCol w:w="1031"/>
        <w:gridCol w:w="146"/>
        <w:gridCol w:w="817"/>
        <w:gridCol w:w="146"/>
        <w:gridCol w:w="167"/>
        <w:gridCol w:w="167"/>
        <w:gridCol w:w="690"/>
        <w:gridCol w:w="146"/>
        <w:gridCol w:w="146"/>
        <w:gridCol w:w="146"/>
        <w:gridCol w:w="146"/>
        <w:gridCol w:w="691"/>
        <w:gridCol w:w="146"/>
        <w:gridCol w:w="146"/>
        <w:gridCol w:w="148"/>
        <w:gridCol w:w="148"/>
        <w:gridCol w:w="701"/>
        <w:gridCol w:w="146"/>
        <w:gridCol w:w="146"/>
        <w:gridCol w:w="90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135"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58" w:type="dxa"/>
            <w:gridSpan w:val="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8"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Moximed, Inc.</w:t>
            </w:r>
          </w:p>
        </w:tc>
        <w:tc>
          <w:tcPr>
            <w:tcW w:w="146"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PRIME+5.25%, 8.75% floor, 3.50% ETP</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6/24/2022</w:t>
            </w:r>
          </w:p>
        </w:tc>
        <w:tc>
          <w:tcPr>
            <w:tcW w:w="146" w:type="dxa"/>
            <w:tcBorders/>
            <w:shd w:fill="FFFFFF" w:val="clear"/>
            <w:vAlign w:val="center"/>
          </w:tcPr>
          <w:p>
            <w:pPr>
              <w:pStyle w:val="TableContents"/>
              <w:bidi w:val="0"/>
              <w:spacing w:before="0" w:after="283"/>
              <w:jc w:val="center"/>
              <w:rPr/>
            </w:pPr>
            <w:r>
              <w:rPr/>
              <w:t> </w:t>
            </w:r>
          </w:p>
        </w:tc>
        <w:tc>
          <w:tcPr>
            <w:tcW w:w="817"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7/1/2027</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Revelle Aesthetics, Inc.</w:t>
            </w:r>
          </w:p>
        </w:tc>
        <w:tc>
          <w:tcPr>
            <w:tcW w:w="146" w:type="dxa"/>
            <w:tcBorders/>
            <w:shd w:fill="CFF0FC" w:val="clear"/>
            <w:vAlign w:val="center"/>
          </w:tcPr>
          <w:p>
            <w:pPr>
              <w:pStyle w:val="TableContents"/>
              <w:bidi w:val="0"/>
              <w:spacing w:before="0" w:after="283"/>
              <w:jc w:val="left"/>
              <w:rPr/>
            </w:pPr>
            <w:r>
              <w:rPr/>
              <w:t> </w:t>
            </w:r>
          </w:p>
        </w:tc>
        <w:tc>
          <w:tcPr>
            <w:tcW w:w="1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PRIME+5.50%, 8.75% floor, 4.00% ETP</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3/30/2022</w:t>
            </w:r>
          </w:p>
        </w:tc>
        <w:tc>
          <w:tcPr>
            <w:tcW w:w="146" w:type="dxa"/>
            <w:tcBorders/>
            <w:shd w:fill="CFF0FC" w:val="clear"/>
            <w:vAlign w:val="center"/>
          </w:tcPr>
          <w:p>
            <w:pPr>
              <w:pStyle w:val="TableContents"/>
              <w:bidi w:val="0"/>
              <w:spacing w:before="0" w:after="283"/>
              <w:jc w:val="center"/>
              <w:rPr/>
            </w:pPr>
            <w:r>
              <w:rPr/>
              <w:t> </w:t>
            </w:r>
          </w:p>
        </w:tc>
        <w:tc>
          <w:tcPr>
            <w:tcW w:w="817"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4/1/2027</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8"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- 4.71%*</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7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8"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Technology</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Allurion Technologies, Inc.</w:t>
            </w:r>
          </w:p>
        </w:tc>
        <w:tc>
          <w:tcPr>
            <w:tcW w:w="146" w:type="dxa"/>
            <w:tcBorders/>
            <w:shd w:fill="CFF0FC" w:val="clear"/>
            <w:vAlign w:val="center"/>
          </w:tcPr>
          <w:p>
            <w:pPr>
              <w:pStyle w:val="TableContents"/>
              <w:bidi w:val="0"/>
              <w:spacing w:before="0" w:after="283"/>
              <w:jc w:val="left"/>
              <w:rPr/>
            </w:pPr>
            <w:r>
              <w:rPr/>
              <w:t> </w:t>
            </w:r>
          </w:p>
        </w:tc>
        <w:tc>
          <w:tcPr>
            <w:tcW w:w="1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PRIME+6.44%, 9.50% floor, 3.00% ETP</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12/30/2021</w:t>
            </w:r>
          </w:p>
        </w:tc>
        <w:tc>
          <w:tcPr>
            <w:tcW w:w="146" w:type="dxa"/>
            <w:tcBorders/>
            <w:shd w:fill="CFF0FC" w:val="clear"/>
            <w:vAlign w:val="center"/>
          </w:tcPr>
          <w:p>
            <w:pPr>
              <w:pStyle w:val="TableContents"/>
              <w:bidi w:val="0"/>
              <w:spacing w:before="0" w:after="283"/>
              <w:jc w:val="center"/>
              <w:rPr/>
            </w:pPr>
            <w:r>
              <w:rPr/>
              <w:t> </w:t>
            </w:r>
          </w:p>
        </w:tc>
        <w:tc>
          <w:tcPr>
            <w:tcW w:w="817"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12/30/2026</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EBR Systems, Inc.</w:t>
            </w:r>
          </w:p>
        </w:tc>
        <w:tc>
          <w:tcPr>
            <w:tcW w:w="146"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PRIME+4.90%, 8.90% floor, 4.50% ETP</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6/30/2022</w:t>
            </w:r>
          </w:p>
        </w:tc>
        <w:tc>
          <w:tcPr>
            <w:tcW w:w="146" w:type="dxa"/>
            <w:tcBorders/>
            <w:shd w:fill="FFFFFF" w:val="clear"/>
            <w:vAlign w:val="center"/>
          </w:tcPr>
          <w:p>
            <w:pPr>
              <w:pStyle w:val="TableContents"/>
              <w:bidi w:val="0"/>
              <w:spacing w:before="0" w:after="283"/>
              <w:jc w:val="center"/>
              <w:rPr/>
            </w:pPr>
            <w:r>
              <w:rPr/>
              <w:t> </w:t>
            </w:r>
          </w:p>
        </w:tc>
        <w:tc>
          <w:tcPr>
            <w:tcW w:w="817"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6/15/2027</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19,648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19,648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(8)(20)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1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SOFR+8.75%, 9.25% floor, 3.50% ETP</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12/1/2020</w:t>
            </w:r>
          </w:p>
        </w:tc>
        <w:tc>
          <w:tcPr>
            <w:tcW w:w="146" w:type="dxa"/>
            <w:tcBorders/>
            <w:shd w:fill="CFF0FC" w:val="clear"/>
            <w:vAlign w:val="center"/>
          </w:tcPr>
          <w:p>
            <w:pPr>
              <w:pStyle w:val="TableContents"/>
              <w:bidi w:val="0"/>
              <w:spacing w:before="0" w:after="283"/>
              <w:jc w:val="center"/>
              <w:rPr/>
            </w:pPr>
            <w:r>
              <w:rPr/>
              <w:t> </w:t>
            </w:r>
          </w:p>
        </w:tc>
        <w:tc>
          <w:tcPr>
            <w:tcW w:w="817"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12/1/2025</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Mingle Healthcare Solutions, Inc.</w:t>
            </w:r>
          </w:p>
        </w:tc>
        <w:tc>
          <w:tcPr>
            <w:tcW w:w="146"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SOFR+9.50%, 12.01% floor, .25% PIK, 10.50% ETP</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8/15/2018</w:t>
            </w:r>
          </w:p>
        </w:tc>
        <w:tc>
          <w:tcPr>
            <w:tcW w:w="146" w:type="dxa"/>
            <w:tcBorders/>
            <w:shd w:fill="FFFFFF" w:val="clear"/>
            <w:vAlign w:val="center"/>
          </w:tcPr>
          <w:p>
            <w:pPr>
              <w:pStyle w:val="TableContents"/>
              <w:bidi w:val="0"/>
              <w:spacing w:before="0" w:after="283"/>
              <w:jc w:val="center"/>
              <w:rPr/>
            </w:pPr>
            <w:r>
              <w:rPr/>
              <w:t> </w:t>
            </w:r>
          </w:p>
        </w:tc>
        <w:tc>
          <w:tcPr>
            <w:tcW w:w="817"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12/15/2023</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Nalu Medical, Inc.</w:t>
            </w:r>
          </w:p>
        </w:tc>
        <w:tc>
          <w:tcPr>
            <w:tcW w:w="146" w:type="dxa"/>
            <w:tcBorders/>
            <w:shd w:fill="CFF0FC" w:val="clear"/>
            <w:vAlign w:val="center"/>
          </w:tcPr>
          <w:p>
            <w:pPr>
              <w:pStyle w:val="TableContents"/>
              <w:bidi w:val="0"/>
              <w:spacing w:before="0" w:after="283"/>
              <w:jc w:val="left"/>
              <w:rPr/>
            </w:pPr>
            <w:r>
              <w:rPr/>
              <w:t> </w:t>
            </w:r>
          </w:p>
        </w:tc>
        <w:tc>
          <w:tcPr>
            <w:tcW w:w="1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PRIME+2.70%, 6.70% floor, 2.00% PIK, 4.50% ETP</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10/12/2022</w:t>
            </w:r>
          </w:p>
        </w:tc>
        <w:tc>
          <w:tcPr>
            <w:tcW w:w="146" w:type="dxa"/>
            <w:tcBorders/>
            <w:shd w:fill="CFF0FC" w:val="clear"/>
            <w:vAlign w:val="center"/>
          </w:tcPr>
          <w:p>
            <w:pPr>
              <w:pStyle w:val="TableContents"/>
              <w:bidi w:val="0"/>
              <w:spacing w:before="0" w:after="283"/>
              <w:jc w:val="center"/>
              <w:rPr/>
            </w:pPr>
            <w:r>
              <w:rPr/>
              <w:t> </w:t>
            </w:r>
          </w:p>
        </w:tc>
        <w:tc>
          <w:tcPr>
            <w:tcW w:w="817"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10/12/2027</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Route 92 Medical, Inc.</w:t>
            </w:r>
          </w:p>
        </w:tc>
        <w:tc>
          <w:tcPr>
            <w:tcW w:w="146"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SOFR+8.48%, 8.98% floor, 3.95% ETP</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8/17/2021</w:t>
            </w:r>
          </w:p>
        </w:tc>
        <w:tc>
          <w:tcPr>
            <w:tcW w:w="146" w:type="dxa"/>
            <w:tcBorders/>
            <w:shd w:fill="FFFFFF" w:val="clear"/>
            <w:vAlign w:val="center"/>
          </w:tcPr>
          <w:p>
            <w:pPr>
              <w:pStyle w:val="TableContents"/>
              <w:bidi w:val="0"/>
              <w:spacing w:before="0" w:after="283"/>
              <w:jc w:val="center"/>
              <w:rPr/>
            </w:pPr>
            <w:r>
              <w:rPr/>
              <w:t> </w:t>
            </w:r>
          </w:p>
        </w:tc>
        <w:tc>
          <w:tcPr>
            <w:tcW w:w="817"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7/1/2026</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SetPoint Medical Corporation</w:t>
            </w:r>
          </w:p>
        </w:tc>
        <w:tc>
          <w:tcPr>
            <w:tcW w:w="146" w:type="dxa"/>
            <w:tcBorders/>
            <w:shd w:fill="CFF0FC" w:val="clear"/>
            <w:vAlign w:val="center"/>
          </w:tcPr>
          <w:p>
            <w:pPr>
              <w:pStyle w:val="TableContents"/>
              <w:bidi w:val="0"/>
              <w:spacing w:before="0" w:after="283"/>
              <w:jc w:val="left"/>
              <w:rPr/>
            </w:pPr>
            <w:r>
              <w:rPr/>
              <w:t> </w:t>
            </w:r>
          </w:p>
        </w:tc>
        <w:tc>
          <w:tcPr>
            <w:tcW w:w="1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SOFR+5.75%, 9.00% floor, 4.00% ETP</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12/29/2022</w:t>
            </w:r>
          </w:p>
        </w:tc>
        <w:tc>
          <w:tcPr>
            <w:tcW w:w="146" w:type="dxa"/>
            <w:tcBorders/>
            <w:shd w:fill="CFF0FC" w:val="clear"/>
            <w:vAlign w:val="center"/>
          </w:tcPr>
          <w:p>
            <w:pPr>
              <w:pStyle w:val="TableContents"/>
              <w:bidi w:val="0"/>
              <w:spacing w:before="0" w:after="283"/>
              <w:jc w:val="center"/>
              <w:rPr/>
            </w:pPr>
            <w:r>
              <w:rPr/>
              <w:t> </w:t>
            </w:r>
          </w:p>
        </w:tc>
        <w:tc>
          <w:tcPr>
            <w:tcW w:w="817"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12/1/2027</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VERO Biotech LLC</w:t>
            </w:r>
          </w:p>
        </w:tc>
        <w:tc>
          <w:tcPr>
            <w:tcW w:w="146"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SOFR+9.05%, 9.55% floor, 3.00% ETP</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12/29/2020</w:t>
            </w:r>
          </w:p>
        </w:tc>
        <w:tc>
          <w:tcPr>
            <w:tcW w:w="146" w:type="dxa"/>
            <w:tcBorders/>
            <w:shd w:fill="FFFFFF" w:val="clear"/>
            <w:vAlign w:val="center"/>
          </w:tcPr>
          <w:p>
            <w:pPr>
              <w:pStyle w:val="TableContents"/>
              <w:bidi w:val="0"/>
              <w:spacing w:before="0" w:after="283"/>
              <w:jc w:val="center"/>
              <w:rPr/>
            </w:pPr>
            <w:r>
              <w:rPr/>
              <w:t> </w:t>
            </w:r>
          </w:p>
        </w:tc>
        <w:tc>
          <w:tcPr>
            <w:tcW w:w="817"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12/1/2024</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8"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Technology - 39.22%*</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226,709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8"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CloudPay, Inc.</w:t>
            </w:r>
          </w:p>
        </w:tc>
        <w:tc>
          <w:tcPr>
            <w:tcW w:w="146"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PRIME+6.25%, 10.25% floor, 2.00% ETP</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9/26/2022</w:t>
            </w:r>
          </w:p>
        </w:tc>
        <w:tc>
          <w:tcPr>
            <w:tcW w:w="146" w:type="dxa"/>
            <w:tcBorders/>
            <w:shd w:fill="FFFFFF" w:val="clear"/>
            <w:vAlign w:val="center"/>
          </w:tcPr>
          <w:p>
            <w:pPr>
              <w:pStyle w:val="TableContents"/>
              <w:bidi w:val="0"/>
              <w:spacing w:before="0" w:after="283"/>
              <w:jc w:val="center"/>
              <w:rPr/>
            </w:pPr>
            <w:r>
              <w:rPr/>
              <w:t> </w:t>
            </w:r>
          </w:p>
        </w:tc>
        <w:tc>
          <w:tcPr>
            <w:tcW w:w="817"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8/17/2027</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59,693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59,693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(3)(8)(12)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Snagajob.com, Inc.</w:t>
            </w:r>
          </w:p>
        </w:tc>
        <w:tc>
          <w:tcPr>
            <w:tcW w:w="146" w:type="dxa"/>
            <w:tcBorders/>
            <w:shd w:fill="CFF0FC" w:val="clear"/>
            <w:vAlign w:val="center"/>
          </w:tcPr>
          <w:p>
            <w:pPr>
              <w:pStyle w:val="TableContents"/>
              <w:bidi w:val="0"/>
              <w:spacing w:before="0" w:after="283"/>
              <w:jc w:val="left"/>
              <w:rPr/>
            </w:pPr>
            <w:r>
              <w:rPr/>
              <w:t> </w:t>
            </w:r>
          </w:p>
        </w:tc>
        <w:tc>
          <w:tcPr>
            <w:tcW w:w="1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SOFR+8.50%, 9.00% floor, 9.00% cash cap, 2.75% ETP</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9/29/2021</w:t>
            </w:r>
          </w:p>
        </w:tc>
        <w:tc>
          <w:tcPr>
            <w:tcW w:w="146" w:type="dxa"/>
            <w:tcBorders/>
            <w:shd w:fill="CFF0FC" w:val="clear"/>
            <w:vAlign w:val="center"/>
          </w:tcPr>
          <w:p>
            <w:pPr>
              <w:pStyle w:val="TableContents"/>
              <w:bidi w:val="0"/>
              <w:spacing w:before="0" w:after="283"/>
              <w:jc w:val="center"/>
              <w:rPr/>
            </w:pPr>
            <w:r>
              <w:rPr/>
              <w:t> </w:t>
            </w:r>
          </w:p>
        </w:tc>
        <w:tc>
          <w:tcPr>
            <w:tcW w:w="817"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9/1/2025</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37,609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8"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- 16.75%*</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97,267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7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8"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Madison Reed, Inc.</w:t>
            </w:r>
          </w:p>
        </w:tc>
        <w:tc>
          <w:tcPr>
            <w:tcW w:w="146" w:type="dxa"/>
            <w:tcBorders/>
            <w:shd w:fill="CFF0FC" w:val="clear"/>
            <w:vAlign w:val="center"/>
          </w:tcPr>
          <w:p>
            <w:pPr>
              <w:pStyle w:val="TableContents"/>
              <w:bidi w:val="0"/>
              <w:spacing w:before="0" w:after="283"/>
              <w:jc w:val="left"/>
              <w:rPr/>
            </w:pPr>
            <w:r>
              <w:rPr/>
              <w:t> </w:t>
            </w:r>
          </w:p>
        </w:tc>
        <w:tc>
          <w:tcPr>
            <w:tcW w:w="1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PRIME+4.75%, 11.00% floor, 3.00% ETP</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12/16/2022</w:t>
            </w:r>
          </w:p>
        </w:tc>
        <w:tc>
          <w:tcPr>
            <w:tcW w:w="146" w:type="dxa"/>
            <w:tcBorders/>
            <w:shd w:fill="CFF0FC" w:val="clear"/>
            <w:vAlign w:val="center"/>
          </w:tcPr>
          <w:p>
            <w:pPr>
              <w:pStyle w:val="TableContents"/>
              <w:bidi w:val="0"/>
              <w:spacing w:before="0" w:after="283"/>
              <w:jc w:val="center"/>
              <w:rPr/>
            </w:pPr>
            <w:r>
              <w:rPr/>
              <w:t> </w:t>
            </w:r>
          </w:p>
        </w:tc>
        <w:tc>
          <w:tcPr>
            <w:tcW w:w="817"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12/16/2026</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Marley Spoon AG</w:t>
            </w:r>
          </w:p>
        </w:tc>
        <w:tc>
          <w:tcPr>
            <w:tcW w:w="146"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SOFR+8.50%, 1.25% PIK, 9.26% floor</w:t>
            </w:r>
          </w:p>
        </w:tc>
        <w:tc>
          <w:tcPr>
            <w:tcW w:w="146"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6/30/2021</w:t>
            </w:r>
          </w:p>
        </w:tc>
        <w:tc>
          <w:tcPr>
            <w:tcW w:w="146" w:type="dxa"/>
            <w:tcBorders/>
            <w:shd w:fill="FFFFFF" w:val="clear"/>
            <w:vAlign w:val="center"/>
          </w:tcPr>
          <w:p>
            <w:pPr>
              <w:pStyle w:val="TableContents"/>
              <w:bidi w:val="0"/>
              <w:spacing w:before="0" w:after="283"/>
              <w:jc w:val="center"/>
              <w:rPr/>
            </w:pPr>
            <w:r>
              <w:rPr/>
              <w:t> </w:t>
            </w:r>
          </w:p>
        </w:tc>
        <w:tc>
          <w:tcPr>
            <w:tcW w:w="817"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6/15/2025</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46,754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(3)(4)(8)(11)</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8"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- 9.70%*</w:t>
            </w:r>
          </w:p>
        </w:tc>
        <w:tc>
          <w:tcPr>
            <w:tcW w:w="146"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55,853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55,853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264"/>
        <w:gridCol w:w="146"/>
        <w:gridCol w:w="1210"/>
        <w:gridCol w:w="146"/>
        <w:gridCol w:w="994"/>
        <w:gridCol w:w="146"/>
        <w:gridCol w:w="801"/>
        <w:gridCol w:w="146"/>
        <w:gridCol w:w="154"/>
        <w:gridCol w:w="154"/>
        <w:gridCol w:w="732"/>
        <w:gridCol w:w="146"/>
        <w:gridCol w:w="146"/>
        <w:gridCol w:w="146"/>
        <w:gridCol w:w="146"/>
        <w:gridCol w:w="826"/>
        <w:gridCol w:w="146"/>
        <w:gridCol w:w="146"/>
        <w:gridCol w:w="146"/>
        <w:gridCol w:w="146"/>
        <w:gridCol w:w="826"/>
        <w:gridCol w:w="146"/>
        <w:gridCol w:w="146"/>
        <w:gridCol w:w="893"/>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15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2927"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0"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Bombora, Inc.</w:t>
            </w:r>
          </w:p>
        </w:tc>
        <w:tc>
          <w:tcPr>
            <w:tcW w:w="146"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SOFR+5.00%, 5.76% floor, 3.75% PIK, 2.00% ETP</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3/31/2021</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3/31/2025</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Fidelis Cybersecurity, Inc.</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SOFR+11.00%, 12.00% floor, 2.39% ETP</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5/13/2021</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5/13/2024</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SOFR+11.00%, 12.00% floor, 2.00% ETP</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3/25/2022</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5/13/2024</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INRIX, Inc.</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SOFR+9.00%, 9.76% floor, 2.50% ETP</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11/15/2021</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11/15/2025</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Skillshare, Inc.</w:t>
            </w:r>
          </w:p>
        </w:tc>
        <w:tc>
          <w:tcPr>
            <w:tcW w:w="146"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SOFR+6.50%, 10.72% floor, 3.00% ETP</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11/8/2022</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11/8/2026</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Synack, Inc.</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PRIME+4.25%, 8.25% floor</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6/30/2022</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6/30/2027</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- 25.44%*</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146,535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Kin Insurance, Inc.</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PRIME+6.25%, 12.50% floor, 3.00% ETP</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9/26/2022</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9/15/2026</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- 8.53%*</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3PL Central LLC</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SOFR+4.50%, 6.50</w:t>
            </w:r>
            <w:r>
              <w:rPr>
                <w:rFonts w:ascii="Times New Roman" w:hAnsi="Times New Roman"/>
                <w:color w:val="000000"/>
                <w:sz w:val="20"/>
              </w:rPr>
              <w:t> </w:t>
            </w:r>
            <w:r>
              <w:rPr>
                <w:rFonts w:ascii="Times New Roman" w:hAnsi="Times New Roman"/>
                <w:b w:val="false"/>
                <w:color w:val="000000"/>
                <w:sz w:val="16"/>
              </w:rPr>
              <w:t>floor, 2.50% PIK, 2.00% ETP</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11/9/2022</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11/9/2027</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65,163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(4)(8)</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- 11.18%*</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766"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Senior Secured Term Loans - 185.89%*</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1,077,552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1,070,831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766"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Second Lien Term Loans</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0"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Dejero Labs Inc.</w:t>
            </w:r>
          </w:p>
        </w:tc>
        <w:tc>
          <w:tcPr>
            <w:tcW w:w="146"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SOFR+5.00%, 5.50</w:t>
            </w:r>
            <w:r>
              <w:rPr>
                <w:rFonts w:ascii="Times New Roman" w:hAnsi="Times New Roman"/>
                <w:color w:val="000000"/>
                <w:sz w:val="20"/>
              </w:rPr>
              <w:t> </w:t>
            </w:r>
            <w:r>
              <w:rPr>
                <w:rFonts w:ascii="Times New Roman" w:hAnsi="Times New Roman"/>
                <w:b w:val="false"/>
                <w:color w:val="000000"/>
                <w:sz w:val="16"/>
              </w:rPr>
              <w:t>floor, 5.00% PIK, 3.00% ETP</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12/22/2021</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12/22/2025</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(3)(4)(8)(10)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0"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- 2.37%*</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2766"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Second Lien Term Loans - 2.37%*</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2766" w:type="dxa"/>
            <w:gridSpan w:val="4"/>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Preferred Stocks</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Aria Systems, Inc.</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G</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7/10/2018</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289,419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- 0.06%*</w:t>
            </w:r>
          </w:p>
        </w:tc>
        <w:tc>
          <w:tcPr>
            <w:tcW w:w="146"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Technology</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CareCloud, Inc.</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11% Series A Cumulative Redeemable Perpetual</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1/8/2020</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462,064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(15)(17)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Technology - 2.14%*</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766"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Preferred Stocks - 2.20%*</w:t>
            </w:r>
          </w:p>
        </w:tc>
        <w:tc>
          <w:tcPr>
            <w:tcW w:w="14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488"/>
        <w:gridCol w:w="146"/>
        <w:gridCol w:w="1211"/>
        <w:gridCol w:w="146"/>
        <w:gridCol w:w="1085"/>
        <w:gridCol w:w="146"/>
        <w:gridCol w:w="841"/>
        <w:gridCol w:w="146"/>
        <w:gridCol w:w="159"/>
        <w:gridCol w:w="159"/>
        <w:gridCol w:w="900"/>
        <w:gridCol w:w="146"/>
        <w:gridCol w:w="146"/>
        <w:gridCol w:w="146"/>
        <w:gridCol w:w="146"/>
        <w:gridCol w:w="511"/>
        <w:gridCol w:w="146"/>
        <w:gridCol w:w="146"/>
        <w:gridCol w:w="156"/>
        <w:gridCol w:w="156"/>
        <w:gridCol w:w="547"/>
        <w:gridCol w:w="146"/>
        <w:gridCol w:w="146"/>
        <w:gridCol w:w="933"/>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152"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991"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Stocks</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0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FiscalNote, Inc.</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10/19/2020</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230,881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(7)(19)</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- 0.25%*</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0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Quantum Corporation</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8/13/2021</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459,720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(3)(7)(15)(17)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zSpace, Inc.</w:t>
            </w:r>
          </w:p>
        </w:tc>
        <w:tc>
          <w:tcPr>
            <w:tcW w:w="146" w:type="dxa"/>
            <w:tcBorders/>
            <w:shd w:fill="CFF0FC" w:val="clear"/>
            <w:vAlign w:val="center"/>
          </w:tcPr>
          <w:p>
            <w:pPr>
              <w:pStyle w:val="TableContents"/>
              <w:bidi w:val="0"/>
              <w:spacing w:before="0" w:after="283"/>
              <w:jc w:val="left"/>
              <w:rPr/>
            </w:pPr>
            <w:r>
              <w:rPr/>
              <w:t> </w:t>
            </w:r>
          </w:p>
        </w:tc>
        <w:tc>
          <w:tcPr>
            <w:tcW w:w="1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12/31/2020</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6,078,499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5"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- 0.09%*</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991"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Common Stocks - 0.34%*</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991"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0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Advertising</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STN Video Inc.</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Class B Non-Voting Stock</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6/30/2017</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6/30/2027</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Advertising - 0.00%*</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0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3DNA Corp. (dba NationBuilder)</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C-1 Preferred Stock</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12/28/2018</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12/28/2028</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273,164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Aria Systems, Inc.</w:t>
            </w:r>
          </w:p>
        </w:tc>
        <w:tc>
          <w:tcPr>
            <w:tcW w:w="146" w:type="dxa"/>
            <w:tcBorders/>
            <w:shd w:fill="CFF0FC" w:val="clear"/>
            <w:vAlign w:val="center"/>
          </w:tcPr>
          <w:p>
            <w:pPr>
              <w:pStyle w:val="TableContents"/>
              <w:bidi w:val="0"/>
              <w:spacing w:before="0" w:after="283"/>
              <w:jc w:val="left"/>
              <w:rPr/>
            </w:pPr>
            <w:r>
              <w:rPr/>
              <w:t> </w:t>
            </w:r>
          </w:p>
        </w:tc>
        <w:tc>
          <w:tcPr>
            <w:tcW w:w="1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G Preferred Stock</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6/29/2018</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6/29/2028</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2,387,705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Circadence Corporation</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A-6 Preferred Stock</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12/20/2018</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12/20/2028</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1,538,462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A-6 Preferred Stock</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10/31/2019</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10/31/2029</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384,615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Dtex Systems, Inc.</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C-Prime Preferred Stock</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6/1/2018</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6/1/2025</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C-Prime Preferred Stock</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7/11/2019</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7/11/2026</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833,333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FiscalNote, Inc.</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Earnout</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7/29/2022</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7/29/2027</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(7)(13)(19)</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Porch Group, Inc.</w:t>
            </w:r>
          </w:p>
        </w:tc>
        <w:tc>
          <w:tcPr>
            <w:tcW w:w="146" w:type="dxa"/>
            <w:tcBorders/>
            <w:shd w:fill="CFF0FC" w:val="clear"/>
            <w:vAlign w:val="center"/>
          </w:tcPr>
          <w:p>
            <w:pPr>
              <w:pStyle w:val="TableContents"/>
              <w:bidi w:val="0"/>
              <w:spacing w:before="0" w:after="283"/>
              <w:jc w:val="left"/>
              <w:rPr/>
            </w:pPr>
            <w:r>
              <w:rPr/>
              <w:t> </w:t>
            </w:r>
          </w:p>
        </w:tc>
        <w:tc>
          <w:tcPr>
            <w:tcW w:w="1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Earnout</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12/23/2020</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12/23/2023</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(7)(13)(15)</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5"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- 0.63%*</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5"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Biotechnology</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0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Mustang Bio, Inc.</w:t>
            </w:r>
          </w:p>
        </w:tc>
        <w:tc>
          <w:tcPr>
            <w:tcW w:w="146" w:type="dxa"/>
            <w:tcBorders/>
            <w:shd w:fill="CFF0FC" w:val="clear"/>
            <w:vAlign w:val="center"/>
          </w:tcPr>
          <w:p>
            <w:pPr>
              <w:pStyle w:val="TableContents"/>
              <w:bidi w:val="0"/>
              <w:spacing w:before="0" w:after="283"/>
              <w:jc w:val="left"/>
              <w:rPr/>
            </w:pPr>
            <w:r>
              <w:rPr/>
              <w:t> </w:t>
            </w:r>
          </w:p>
        </w:tc>
        <w:tc>
          <w:tcPr>
            <w:tcW w:w="1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3/4/2022</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3/4/2032</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748,036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TRACON Pharmaceuticals, Inc.</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9/2/2022</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9/2/2032</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(7)(15)</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Biotechnology - 0.04%*</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5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0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Computer &amp; Electronics Retail</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Massdrop, Inc.</w:t>
            </w:r>
          </w:p>
        </w:tc>
        <w:tc>
          <w:tcPr>
            <w:tcW w:w="14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B Preferred Stock</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7/22/2019</w:t>
            </w:r>
          </w:p>
        </w:tc>
        <w:tc>
          <w:tcPr>
            <w:tcW w:w="146" w:type="dxa"/>
            <w:tcBorders/>
            <w:shd w:fill="FFFFFF" w:val="clear"/>
            <w:vAlign w:val="center"/>
          </w:tcPr>
          <w:p>
            <w:pPr>
              <w:pStyle w:val="TableContents"/>
              <w:bidi w:val="0"/>
              <w:spacing w:before="0" w:after="283"/>
              <w:jc w:val="center"/>
              <w:rPr/>
            </w:pPr>
            <w:r>
              <w:rPr/>
              <w:t> </w:t>
            </w:r>
          </w:p>
        </w:tc>
        <w:tc>
          <w:tcPr>
            <w:tcW w:w="8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7/22/2029</w:t>
            </w:r>
          </w:p>
        </w:tc>
        <w:tc>
          <w:tcPr>
            <w:tcW w:w="14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848,093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5"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Computer &amp; Electronics Retail - 0.01%*</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388"/>
        <w:gridCol w:w="146"/>
        <w:gridCol w:w="1286"/>
        <w:gridCol w:w="146"/>
        <w:gridCol w:w="1082"/>
        <w:gridCol w:w="146"/>
        <w:gridCol w:w="840"/>
        <w:gridCol w:w="146"/>
        <w:gridCol w:w="155"/>
        <w:gridCol w:w="155"/>
        <w:gridCol w:w="978"/>
        <w:gridCol w:w="146"/>
        <w:gridCol w:w="146"/>
        <w:gridCol w:w="146"/>
        <w:gridCol w:w="146"/>
        <w:gridCol w:w="511"/>
        <w:gridCol w:w="146"/>
        <w:gridCol w:w="146"/>
        <w:gridCol w:w="156"/>
        <w:gridCol w:w="156"/>
        <w:gridCol w:w="546"/>
        <w:gridCol w:w="146"/>
        <w:gridCol w:w="146"/>
        <w:gridCol w:w="893"/>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127"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966"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0"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Interactions Corporation</w:t>
            </w:r>
          </w:p>
        </w:tc>
        <w:tc>
          <w:tcPr>
            <w:tcW w:w="146"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6/24/2022</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6/24/2032</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189,408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ShareThis, Inc.</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D-3 Preferred Stock</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12/3/2018</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12/3/2028</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647,615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- 0.34%*</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Brivo, Inc.</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A-2 Preferred Stock</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10/20/2022</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10/20/2032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Epic IO Technologies, Inc.</w:t>
            </w:r>
          </w:p>
        </w:tc>
        <w:tc>
          <w:tcPr>
            <w:tcW w:w="146"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12/17/2021</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12/17/2024</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0"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- 0.10%*</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0"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Moximed, Inc.</w:t>
            </w:r>
          </w:p>
        </w:tc>
        <w:tc>
          <w:tcPr>
            <w:tcW w:w="146"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C Preferred Stock</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6/24/2022</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6/24/2032</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Revelle Aesthetics, Inc.</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A-2 Preferred Stock</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3/30/2022</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3/30/3032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- 0.05%*</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Technology</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Allurion Technologies, Inc.</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C Preferred Stock</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3/30/2021</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3/30/2031</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132,979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D-1 Preferred Stock</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6/14/2022</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3/30/2031</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CareCloud, Inc.</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1/8/2020</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1/8/2023</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EBR Systems, Inc.</w:t>
            </w:r>
          </w:p>
        </w:tc>
        <w:tc>
          <w:tcPr>
            <w:tcW w:w="146"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6/30/2022</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6/30/2032</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(7)(13)(20)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G Convertible Preferred Stock</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11/19/2021</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11/19/2031</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27,978,115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Mingle Healthcare Solutions, Inc.</w:t>
            </w:r>
          </w:p>
        </w:tc>
        <w:tc>
          <w:tcPr>
            <w:tcW w:w="146"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CC Preferred Stock</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8/15/2018</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8/15/2028</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1,770,973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Nalu Medical, Inc.</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D-2 Preferred Stock</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10/12/2022</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10/12/2032</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91,717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Route 92 Medical, Inc.</w:t>
            </w:r>
          </w:p>
        </w:tc>
        <w:tc>
          <w:tcPr>
            <w:tcW w:w="146"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8/17/2021</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8/17/2031</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SetPoint Medical Corporation</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B Preferred Stock</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6/29/2021</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6/29/2031</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B Preferred Stock</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12/29/2022</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12/29/2032</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VERO Biotech LLC</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12/29/2020</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12/29/2025</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(7)(13)</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Technology - 0.45%*</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7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CloudPay, Inc.</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B Preferred Stock</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6/30/2020</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6/30/2030</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(3)(7)(12)</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D Preferred Stock</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8/17/2021</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8/17/2031</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(3)(7)(12)</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8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Snagajob.com, Inc.</w:t>
            </w:r>
          </w:p>
        </w:tc>
        <w:tc>
          <w:tcPr>
            <w:tcW w:w="146" w:type="dxa"/>
            <w:tcBorders/>
            <w:shd w:fill="CFF0FC" w:val="clear"/>
            <w:vAlign w:val="center"/>
          </w:tcPr>
          <w:p>
            <w:pPr>
              <w:pStyle w:val="TableContents"/>
              <w:bidi w:val="0"/>
              <w:spacing w:before="0" w:after="283"/>
              <w:jc w:val="left"/>
              <w:rPr/>
            </w:pPr>
            <w:r>
              <w:rPr/>
              <w:t> </w:t>
            </w:r>
          </w:p>
        </w:tc>
        <w:tc>
          <w:tcPr>
            <w:tcW w:w="1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B-1 Preferred Stock</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9/29/2021</w:t>
            </w:r>
          </w:p>
        </w:tc>
        <w:tc>
          <w:tcPr>
            <w:tcW w:w="146" w:type="dxa"/>
            <w:tcBorders/>
            <w:shd w:fill="CFF0FC" w:val="clear"/>
            <w:vAlign w:val="center"/>
          </w:tcPr>
          <w:p>
            <w:pPr>
              <w:pStyle w:val="TableContents"/>
              <w:bidi w:val="0"/>
              <w:spacing w:before="0" w:after="283"/>
              <w:jc w:val="center"/>
              <w:rPr/>
            </w:pPr>
            <w:r>
              <w:rPr/>
              <w:t> </w:t>
            </w:r>
          </w:p>
        </w:tc>
        <w:tc>
          <w:tcPr>
            <w:tcW w:w="84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9/29/2031</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763,269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0"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- 0.23%*</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305"/>
        <w:gridCol w:w="146"/>
        <w:gridCol w:w="1055"/>
        <w:gridCol w:w="146"/>
        <w:gridCol w:w="999"/>
        <w:gridCol w:w="146"/>
        <w:gridCol w:w="803"/>
        <w:gridCol w:w="146"/>
        <w:gridCol w:w="152"/>
        <w:gridCol w:w="152"/>
        <w:gridCol w:w="862"/>
        <w:gridCol w:w="146"/>
        <w:gridCol w:w="146"/>
        <w:gridCol w:w="146"/>
        <w:gridCol w:w="146"/>
        <w:gridCol w:w="826"/>
        <w:gridCol w:w="146"/>
        <w:gridCol w:w="146"/>
        <w:gridCol w:w="146"/>
        <w:gridCol w:w="146"/>
        <w:gridCol w:w="826"/>
        <w:gridCol w:w="146"/>
        <w:gridCol w:w="146"/>
        <w:gridCol w:w="87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2813"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652"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6"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Madison Reed, Inc.</w:t>
            </w:r>
          </w:p>
        </w:tc>
        <w:tc>
          <w:tcPr>
            <w:tcW w:w="146"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12/16/2022</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6"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- 0.02%*</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6"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Bombora, Inc.</w:t>
            </w:r>
          </w:p>
        </w:tc>
        <w:tc>
          <w:tcPr>
            <w:tcW w:w="146"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3/31/2021</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3/31/2031</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121,581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Fidelis Cybersecurity, Inc.</w:t>
            </w:r>
          </w:p>
        </w:tc>
        <w:tc>
          <w:tcPr>
            <w:tcW w:w="14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3/25/2022</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3/25/2032</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(7)(16)</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INRIX, Inc.</w:t>
            </w:r>
          </w:p>
        </w:tc>
        <w:tc>
          <w:tcPr>
            <w:tcW w:w="146"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7/26/2019</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7/26/2029</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150,804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Longtail Ad Solutions, Inc. (dba JW Player)</w:t>
            </w:r>
          </w:p>
        </w:tc>
        <w:tc>
          <w:tcPr>
            <w:tcW w:w="14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12/12/2019</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12/12/2029</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387,596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Skillshare, Inc.</w:t>
            </w:r>
          </w:p>
        </w:tc>
        <w:tc>
          <w:tcPr>
            <w:tcW w:w="146"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11/8/2022</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11/8/2026</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(7)(13)</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Synack, Inc.</w:t>
            </w:r>
          </w:p>
        </w:tc>
        <w:tc>
          <w:tcPr>
            <w:tcW w:w="14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6/30/2022</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6/30/2032</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100,645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- 0.56%*</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Kin Insurance, Inc.</w:t>
            </w:r>
          </w:p>
        </w:tc>
        <w:tc>
          <w:tcPr>
            <w:tcW w:w="14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D-3 Preferred Stock</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9/26/2022</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9/26/2032</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41,576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- 0.05%*</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Specialized Consumer Services</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AllClear ID, Inc.</w:t>
            </w:r>
          </w:p>
        </w:tc>
        <w:tc>
          <w:tcPr>
            <w:tcW w:w="14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9/1/2017</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9/1/2027</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870,514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Credit Sesame, Inc.</w:t>
            </w:r>
          </w:p>
        </w:tc>
        <w:tc>
          <w:tcPr>
            <w:tcW w:w="146"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1/7/2020</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1/7/2030</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191,601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6"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Specialized Consumer Services - 0.14%*</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6"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Dejero Labs Inc.</w:t>
            </w:r>
          </w:p>
        </w:tc>
        <w:tc>
          <w:tcPr>
            <w:tcW w:w="146"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5/31/2019</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5/31/2029</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333,621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(3)(7)(10)</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Scale Computing, Inc.</w:t>
            </w:r>
          </w:p>
        </w:tc>
        <w:tc>
          <w:tcPr>
            <w:tcW w:w="14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3/29/2019</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3/29/2029</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9,665,667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- 0.03%*</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lef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RealWear, Inc.</w:t>
            </w:r>
          </w:p>
        </w:tc>
        <w:tc>
          <w:tcPr>
            <w:tcW w:w="14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 Preferred Stock</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10/5/2018</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10/5/2028</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112,451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 Preferred Stock</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12/28/2018</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12/28/2028</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22,491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 Preferred Stock</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6/27/2019</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6/27/2029</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- 0.10%*</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2652"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- 2.75%*</w:t>
            </w:r>
          </w:p>
        </w:tc>
        <w:tc>
          <w:tcPr>
            <w:tcW w:w="14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pPr>
            <w:r>
              <w:rPr/>
              <w:t> </w:t>
            </w:r>
          </w:p>
        </w:tc>
      </w:tr>
      <w:tr>
        <w:trPr/>
        <w:tc>
          <w:tcPr>
            <w:tcW w:w="2813"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Non-Control/Non-Affiliate Investments - 193.55%*</w:t>
            </w:r>
          </w:p>
        </w:tc>
        <w:tc>
          <w:tcPr>
            <w:tcW w:w="146"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0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10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1,126,879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1,114,935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pPr>
            <w:r>
              <w:rPr/>
              <w:t> </w:t>
            </w:r>
          </w:p>
        </w:tc>
      </w:tr>
    </w:tbl>
    <w:p>
      <w:pPr>
        <w:pStyle w:val="TextBody"/>
        <w:bidi w:val="0"/>
        <w:spacing w:before="0" w:after="120"/>
        <w:jc w:val="center"/>
        <w:rPr/>
      </w:pPr>
      <w:r>
        <w:rPr/>
        <w:t> </w:t>
      </w:r>
    </w:p>
    <w:p>
      <w:pPr>
        <w:pStyle w:val="TextBody"/>
        <w:bidi w:val="0"/>
        <w:spacing w:before="0" w:after="60"/>
        <w:jc w:val="center"/>
        <w:rPr>
          <w:rFonts w:ascii="Times New Roman" w:hAnsi="Times New Roman"/>
          <w:sz w:val="20"/>
        </w:rPr>
      </w:pPr>
      <w:r>
        <w:rPr>
          <w:rFonts w:ascii="Times New Roman" w:hAnsi="Times New Roman"/>
          <w:b w:val="false"/>
          <w:color w:val="000000"/>
          <w:sz w:val="20"/>
        </w:rPr>
        <w:t>See notes to financial statements</w:t>
      </w:r>
      <w:r>
        <w:rPr>
          <w:rFonts w:ascii="Times New Roman" w:hAnsi="Times New Roman"/>
          <w:b w:val="false"/>
          <w:color w:val="000000"/>
          <w:sz w:val="16"/>
        </w:rPr>
        <w: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Schedule of Investments – (continued)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December 31, 2022</w:t>
      </w:r>
    </w:p>
    <w:tbl>
      <w:tblPr>
        <w:tblW w:w="10205" w:type="dxa"/>
        <w:jc w:val="left"/>
        <w:tblInd w:w="0" w:type="dxa"/>
        <w:tblLayout w:type="fixed"/>
        <w:tblCellMar>
          <w:top w:w="28" w:type="dxa"/>
          <w:left w:w="28" w:type="dxa"/>
          <w:bottom w:w="28" w:type="dxa"/>
          <w:right w:w="28" w:type="dxa"/>
        </w:tblCellMar>
      </w:tblPr>
      <w:tblGrid>
        <w:gridCol w:w="181"/>
        <w:gridCol w:w="158"/>
        <w:gridCol w:w="800"/>
        <w:gridCol w:w="146"/>
        <w:gridCol w:w="1257"/>
        <w:gridCol w:w="146"/>
        <w:gridCol w:w="1023"/>
        <w:gridCol w:w="146"/>
        <w:gridCol w:w="814"/>
        <w:gridCol w:w="146"/>
        <w:gridCol w:w="154"/>
        <w:gridCol w:w="154"/>
        <w:gridCol w:w="873"/>
        <w:gridCol w:w="146"/>
        <w:gridCol w:w="146"/>
        <w:gridCol w:w="256"/>
        <w:gridCol w:w="146"/>
        <w:gridCol w:w="826"/>
        <w:gridCol w:w="146"/>
        <w:gridCol w:w="146"/>
        <w:gridCol w:w="256"/>
        <w:gridCol w:w="146"/>
        <w:gridCol w:w="826"/>
        <w:gridCol w:w="146"/>
        <w:gridCol w:w="146"/>
        <w:gridCol w:w="875"/>
      </w:tblGrid>
      <w:tr>
        <w:trPr/>
        <w:tc>
          <w:tcPr>
            <w:tcW w:w="1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2542"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(18)</w:t>
            </w:r>
          </w:p>
        </w:tc>
      </w:tr>
      <w:tr>
        <w:trPr/>
        <w:tc>
          <w:tcPr>
            <w:tcW w:w="181" w:type="dxa"/>
            <w:tcBorders/>
            <w:shd w:fill="FFFFFF" w:val="clear"/>
            <w:vAlign w:val="center"/>
          </w:tcPr>
          <w:p>
            <w:pPr>
              <w:pStyle w:val="TableContents"/>
              <w:bidi w:val="0"/>
              <w:spacing w:before="0" w:after="283"/>
              <w:jc w:val="left"/>
              <w:rPr/>
            </w:pPr>
            <w:r>
              <w:rPr/>
              <w:t> </w:t>
            </w:r>
          </w:p>
        </w:tc>
        <w:tc>
          <w:tcPr>
            <w:tcW w:w="2361"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Stocks</w:t>
            </w:r>
          </w:p>
        </w:tc>
        <w:tc>
          <w:tcPr>
            <w:tcW w:w="14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r>
      <w:tr>
        <w:trPr/>
        <w:tc>
          <w:tcPr>
            <w:tcW w:w="181"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03"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pPr>
            <w:r>
              <w:rPr/>
              <w:t> </w:t>
            </w:r>
          </w:p>
        </w:tc>
      </w:tr>
      <w:tr>
        <w:trPr/>
        <w:tc>
          <w:tcPr>
            <w:tcW w:w="181"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Coginiti Corp</w:t>
            </w:r>
          </w:p>
        </w:tc>
        <w:tc>
          <w:tcPr>
            <w:tcW w:w="146"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3/9/2020</w:t>
            </w:r>
          </w:p>
        </w:tc>
        <w:tc>
          <w:tcPr>
            <w:tcW w:w="146"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1,040,160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81"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03"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- 0.20%*</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left"/>
              <w:rPr/>
            </w:pPr>
            <w:r>
              <w:rPr/>
              <w:t> </w:t>
            </w:r>
          </w:p>
        </w:tc>
      </w:tr>
      <w:tr>
        <w:trPr/>
        <w:tc>
          <w:tcPr>
            <w:tcW w:w="181"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r>
      <w:tr>
        <w:trPr/>
        <w:tc>
          <w:tcPr>
            <w:tcW w:w="181" w:type="dxa"/>
            <w:tcBorders/>
            <w:shd w:fill="CFF0FC" w:val="clear"/>
            <w:vAlign w:val="center"/>
          </w:tcPr>
          <w:p>
            <w:pPr>
              <w:pStyle w:val="TableContents"/>
              <w:bidi w:val="0"/>
              <w:spacing w:before="0" w:after="283"/>
              <w:jc w:val="left"/>
              <w:rPr/>
            </w:pPr>
            <w:r>
              <w:rPr/>
              <w:t> </w:t>
            </w:r>
          </w:p>
        </w:tc>
        <w:tc>
          <w:tcPr>
            <w:tcW w:w="2361"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Common Stocks - 0.20%*</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pPr>
            <w:r>
              <w:rPr/>
              <w:t> </w:t>
            </w:r>
          </w:p>
        </w:tc>
      </w:tr>
      <w:tr>
        <w:trPr/>
        <w:tc>
          <w:tcPr>
            <w:tcW w:w="181"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r>
      <w:tr>
        <w:trPr/>
        <w:tc>
          <w:tcPr>
            <w:tcW w:w="181" w:type="dxa"/>
            <w:tcBorders/>
            <w:shd w:fill="CFF0FC" w:val="clear"/>
            <w:vAlign w:val="center"/>
          </w:tcPr>
          <w:p>
            <w:pPr>
              <w:pStyle w:val="TableContents"/>
              <w:bidi w:val="0"/>
              <w:spacing w:before="0" w:after="283"/>
              <w:jc w:val="left"/>
              <w:rPr/>
            </w:pPr>
            <w:r>
              <w:rPr/>
              <w:t> </w:t>
            </w:r>
          </w:p>
        </w:tc>
        <w:tc>
          <w:tcPr>
            <w:tcW w:w="2361"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left"/>
              <w:rPr/>
            </w:pPr>
            <w:r>
              <w:rPr/>
              <w:t> </w:t>
            </w:r>
          </w:p>
        </w:tc>
      </w:tr>
      <w:tr>
        <w:trPr/>
        <w:tc>
          <w:tcPr>
            <w:tcW w:w="181"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03"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r>
      <w:tr>
        <w:trPr/>
        <w:tc>
          <w:tcPr>
            <w:tcW w:w="181"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Coginiti Corp</w:t>
            </w:r>
          </w:p>
        </w:tc>
        <w:tc>
          <w:tcPr>
            <w:tcW w:w="146" w:type="dxa"/>
            <w:tcBorders/>
            <w:shd w:fill="CFF0FC" w:val="clear"/>
            <w:vAlign w:val="center"/>
          </w:tcPr>
          <w:p>
            <w:pPr>
              <w:pStyle w:val="TableContents"/>
              <w:bidi w:val="0"/>
              <w:spacing w:before="0" w:after="283"/>
              <w:jc w:val="left"/>
              <w:rPr/>
            </w:pPr>
            <w:r>
              <w:rPr/>
              <w:t> </w:t>
            </w:r>
          </w:p>
        </w:tc>
        <w:tc>
          <w:tcPr>
            <w:tcW w:w="125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3/9/2020</w:t>
            </w:r>
          </w:p>
        </w:tc>
        <w:tc>
          <w:tcPr>
            <w:tcW w:w="146" w:type="dxa"/>
            <w:tcBorders/>
            <w:shd w:fill="CFF0FC" w:val="clear"/>
            <w:vAlign w:val="center"/>
          </w:tcPr>
          <w:p>
            <w:pPr>
              <w:pStyle w:val="TableContents"/>
              <w:bidi w:val="0"/>
              <w:spacing w:before="0" w:after="283"/>
              <w:jc w:val="center"/>
              <w:rPr/>
            </w:pPr>
            <w:r>
              <w:rPr/>
              <w:t> </w:t>
            </w:r>
          </w:p>
        </w:tc>
        <w:tc>
          <w:tcPr>
            <w:tcW w:w="81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3/9/2030</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811,770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(7)</w:t>
            </w:r>
          </w:p>
        </w:tc>
      </w:tr>
      <w:tr>
        <w:trPr/>
        <w:tc>
          <w:tcPr>
            <w:tcW w:w="181"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03"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- 0.16%*</w:t>
            </w:r>
          </w:p>
        </w:tc>
        <w:tc>
          <w:tcPr>
            <w:tcW w:w="14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r>
      <w:tr>
        <w:trPr/>
        <w:tc>
          <w:tcPr>
            <w:tcW w:w="181"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left"/>
              <w:rPr/>
            </w:pPr>
            <w:r>
              <w:rPr/>
              <w:t> </w:t>
            </w:r>
          </w:p>
        </w:tc>
      </w:tr>
      <w:tr>
        <w:trPr/>
        <w:tc>
          <w:tcPr>
            <w:tcW w:w="181" w:type="dxa"/>
            <w:tcBorders/>
            <w:shd w:fill="FFFFFF" w:val="clear"/>
            <w:vAlign w:val="center"/>
          </w:tcPr>
          <w:p>
            <w:pPr>
              <w:pStyle w:val="TableContents"/>
              <w:bidi w:val="0"/>
              <w:spacing w:before="0" w:after="283"/>
              <w:jc w:val="left"/>
              <w:rPr/>
            </w:pPr>
            <w:r>
              <w:rPr/>
              <w:t> </w:t>
            </w:r>
          </w:p>
        </w:tc>
        <w:tc>
          <w:tcPr>
            <w:tcW w:w="2361"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- 0.16%*</w:t>
            </w:r>
          </w:p>
        </w:tc>
        <w:tc>
          <w:tcPr>
            <w:tcW w:w="14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r>
      <w:tr>
        <w:trPr/>
        <w:tc>
          <w:tcPr>
            <w:tcW w:w="2542"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Affiliate Investments - 0.36%*</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left"/>
              <w:rPr/>
            </w:pPr>
            <w:r>
              <w:rPr/>
              <w:t> </w:t>
            </w:r>
          </w:p>
        </w:tc>
      </w:tr>
      <w:tr>
        <w:trPr/>
        <w:tc>
          <w:tcPr>
            <w:tcW w:w="181" w:type="dxa"/>
            <w:tcBorders/>
            <w:shd w:fill="FFFFFF" w:val="clear"/>
            <w:vAlign w:val="center"/>
          </w:tcPr>
          <w:p>
            <w:pPr>
              <w:pStyle w:val="TableContents"/>
              <w:bidi w:val="0"/>
              <w:spacing w:before="0" w:after="283"/>
              <w:jc w:val="left"/>
              <w:rPr/>
            </w:pPr>
            <w:r>
              <w:rPr/>
              <w:t> </w:t>
            </w:r>
          </w:p>
        </w:tc>
        <w:tc>
          <w:tcPr>
            <w:tcW w:w="2361" w:type="dxa"/>
            <w:gridSpan w:val="4"/>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Control Investments</w:t>
            </w:r>
          </w:p>
        </w:tc>
        <w:tc>
          <w:tcPr>
            <w:tcW w:w="14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(14)</w:t>
            </w:r>
          </w:p>
        </w:tc>
      </w:tr>
      <w:tr>
        <w:trPr/>
        <w:tc>
          <w:tcPr>
            <w:tcW w:w="181" w:type="dxa"/>
            <w:tcBorders/>
            <w:shd w:fill="CFF0FC" w:val="clear"/>
            <w:vAlign w:val="center"/>
          </w:tcPr>
          <w:p>
            <w:pPr>
              <w:pStyle w:val="TableContents"/>
              <w:bidi w:val="0"/>
              <w:spacing w:before="0" w:after="283"/>
              <w:jc w:val="left"/>
              <w:rPr/>
            </w:pPr>
            <w:r>
              <w:rPr/>
              <w:t> </w:t>
            </w:r>
          </w:p>
        </w:tc>
        <w:tc>
          <w:tcPr>
            <w:tcW w:w="2361"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left"/>
              <w:rPr/>
            </w:pPr>
            <w:r>
              <w:rPr/>
              <w:t> </w:t>
            </w:r>
          </w:p>
        </w:tc>
      </w:tr>
      <w:tr>
        <w:trPr/>
        <w:tc>
          <w:tcPr>
            <w:tcW w:w="181"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03"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r>
      <w:tr>
        <w:trPr/>
        <w:tc>
          <w:tcPr>
            <w:tcW w:w="181"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Pivot3, Inc.</w:t>
            </w:r>
          </w:p>
        </w:tc>
        <w:tc>
          <w:tcPr>
            <w:tcW w:w="146" w:type="dxa"/>
            <w:tcBorders/>
            <w:shd w:fill="CFF0FC" w:val="clear"/>
            <w:vAlign w:val="center"/>
          </w:tcPr>
          <w:p>
            <w:pPr>
              <w:pStyle w:val="TableContents"/>
              <w:bidi w:val="0"/>
              <w:spacing w:before="0" w:after="283"/>
              <w:jc w:val="left"/>
              <w:rPr/>
            </w:pPr>
            <w:r>
              <w:rPr/>
              <w:t> </w:t>
            </w:r>
          </w:p>
        </w:tc>
        <w:tc>
          <w:tcPr>
            <w:tcW w:w="125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LIBOR+8.50% PIK, 11.00% floor, 4.00% ETP</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5/13/2019</w:t>
            </w:r>
          </w:p>
        </w:tc>
        <w:tc>
          <w:tcPr>
            <w:tcW w:w="146" w:type="dxa"/>
            <w:tcBorders/>
            <w:shd w:fill="CFF0FC" w:val="clear"/>
            <w:vAlign w:val="center"/>
          </w:tcPr>
          <w:p>
            <w:pPr>
              <w:pStyle w:val="TableContents"/>
              <w:bidi w:val="0"/>
              <w:spacing w:before="0" w:after="283"/>
              <w:jc w:val="center"/>
              <w:rPr/>
            </w:pPr>
            <w:r>
              <w:rPr/>
              <w:t> </w:t>
            </w:r>
          </w:p>
        </w:tc>
        <w:tc>
          <w:tcPr>
            <w:tcW w:w="81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1/15/2023</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18,598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(4)(7)</w:t>
            </w:r>
          </w:p>
        </w:tc>
      </w:tr>
      <w:tr>
        <w:trPr/>
        <w:tc>
          <w:tcPr>
            <w:tcW w:w="181"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03"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- 1.61%*</w:t>
            </w:r>
          </w:p>
        </w:tc>
        <w:tc>
          <w:tcPr>
            <w:tcW w:w="14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r>
      <w:tr>
        <w:trPr/>
        <w:tc>
          <w:tcPr>
            <w:tcW w:w="181"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left"/>
              <w:rPr/>
            </w:pPr>
            <w:r>
              <w:rPr/>
              <w:t> </w:t>
            </w:r>
          </w:p>
        </w:tc>
      </w:tr>
      <w:tr>
        <w:trPr/>
        <w:tc>
          <w:tcPr>
            <w:tcW w:w="181" w:type="dxa"/>
            <w:tcBorders/>
            <w:shd w:fill="FFFFFF" w:val="clear"/>
            <w:vAlign w:val="center"/>
          </w:tcPr>
          <w:p>
            <w:pPr>
              <w:pStyle w:val="TableContents"/>
              <w:bidi w:val="0"/>
              <w:spacing w:before="0" w:after="283"/>
              <w:jc w:val="left"/>
              <w:rPr/>
            </w:pPr>
            <w:r>
              <w:rPr/>
              <w:t> </w:t>
            </w:r>
          </w:p>
        </w:tc>
        <w:tc>
          <w:tcPr>
            <w:tcW w:w="2361"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Senior Secured Term Loans - 1.61%*</w:t>
            </w:r>
          </w:p>
        </w:tc>
        <w:tc>
          <w:tcPr>
            <w:tcW w:w="14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r>
      <w:tr>
        <w:trPr/>
        <w:tc>
          <w:tcPr>
            <w:tcW w:w="2542" w:type="dxa"/>
            <w:gridSpan w:val="5"/>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Control Investments - 1.61%*</w:t>
            </w:r>
          </w:p>
        </w:tc>
        <w:tc>
          <w:tcPr>
            <w:tcW w:w="146"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1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left"/>
              <w:rPr/>
            </w:pPr>
            <w:r>
              <w:rPr/>
              <w:t> </w:t>
            </w:r>
          </w:p>
        </w:tc>
      </w:tr>
      <w:tr>
        <w:trPr/>
        <w:tc>
          <w:tcPr>
            <w:tcW w:w="1139" w:type="dxa"/>
            <w:gridSpan w:val="3"/>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- 195.52%*</w:t>
            </w:r>
          </w:p>
        </w:tc>
        <w:tc>
          <w:tcPr>
            <w:tcW w:w="146"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1,150,602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1,126,309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12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196"/>
        <w:gridCol w:w="5181"/>
        <w:gridCol w:w="379"/>
        <w:gridCol w:w="379"/>
        <w:gridCol w:w="379"/>
        <w:gridCol w:w="379"/>
        <w:gridCol w:w="379"/>
        <w:gridCol w:w="379"/>
        <w:gridCol w:w="379"/>
        <w:gridCol w:w="379"/>
        <w:gridCol w:w="379"/>
        <w:gridCol w:w="379"/>
        <w:gridCol w:w="379"/>
        <w:gridCol w:w="498"/>
      </w:tblGrid>
      <w:tr>
        <w:trPr/>
        <w:tc>
          <w:tcPr>
            <w:tcW w:w="1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8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(1)</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Disclosures of interest rates on notes include cash interest rates and payment-in-kind (“PIK”) interest rates, as applicable. Unless otherwise indicated, all of the Company’s variable interest rate debt instruments bear interest at a rate that is determined by reference to the 3</w:t>
              <w:noBreakHyphen/>
              <w:t>Month London Interbank Offered Rate (“LIBOR”), the U.S. Prime Rate, or the 3-Month Secured Overnight Financing Rate ("SOFR"). At December 31, 2022, the 3</w:t>
              <w:noBreakHyphen/>
              <w:t>Month LIBOR was 4.77%, the U.S. Prime Rate was 7.50%, and the 3-Month SOFR was 4.79%.</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(2)</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(3)</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 is not a qualifying asset as defined under Section 55(a) of the Investment Company Act of 1940, as amended (the “1940 Act”). Non-qualifying assets at fair value represent 10.65% of total assets as of December 31, 2022.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(4)</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Represents a PIK security. PIK interest is accrued and will be paid at maturity.</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(5)</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Disclosures of end-of-term-payments (“ETP”) are one-time payments stated as a percentage of original principal amount.</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(6)</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Investments are held at Fair Value net of the Fair Value of Unfunded Commitments. Refer to "Note 8 – Commitments and Contingencies" for additional detail.</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(7)</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Investments are non-income producing.</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(8)</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The investment is an eligible loan investment in the collateral under the Credit Facility (as defined in "Note 7 – Borrowings").</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(9)</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All portfolio companies are domiciled in the United States, unless otherwise noted.</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(10)</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is domiciled in Canada.</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(11)</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is domiciled in Germany</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(12)</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is domiciled in United Kingdom.</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(13)</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 is either a cash success fee payable or earnout of shares based on the consummation of certain trigger events.</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(14)</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Control portfolio company, as defined under the 1940 Act, in which the Company owns more than 25% of the investment’s voting securities or has greater than 50% representation on its board.</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(15)</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is publicly traded and listed on NASDAQ.</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(16)</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The warrant count is based upon a percentage of ownership of Fidelis Cybersecurity, Inc.</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(17)</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 is not a "restricted security" under the Securities Act.</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(18)</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(19)</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is publicly traded and listed on NYSE.</w:t>
            </w:r>
          </w:p>
        </w:tc>
      </w:tr>
      <w:tr>
        <w:trPr/>
        <w:tc>
          <w:tcPr>
            <w:tcW w:w="357" w:type="dxa"/>
            <w:gridSpan w:val="2"/>
            <w:tcBorders/>
            <w:shd w:fill="FFFFFF" w:val="clear"/>
            <w:vAlign w:val="center"/>
          </w:tcPr>
          <w:p>
            <w:pPr>
              <w:pStyle w:val="TableContents"/>
              <w:bidi w:val="0"/>
              <w:spacing w:before="0" w:after="283"/>
              <w:jc w:val="center"/>
              <w:rPr>
                <w:rFonts w:ascii="Times New Roman" w:hAnsi="Times New Roman"/>
                <w:b w:val="false"/>
                <w:color w:val="000000"/>
                <w:sz w:val="11"/>
              </w:rPr>
            </w:pPr>
            <w:r>
              <w:rPr>
                <w:rFonts w:ascii="Times New Roman" w:hAnsi="Times New Roman"/>
                <w:b w:val="false"/>
                <w:color w:val="000000"/>
                <w:sz w:val="11"/>
              </w:rPr>
              <w:t>(20)</w:t>
            </w:r>
          </w:p>
        </w:tc>
        <w:tc>
          <w:tcPr>
            <w:tcW w:w="9848" w:type="dxa"/>
            <w:gridSpan w:val="13"/>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Portfolio company is publicly traded and listed on ASX.</w:t>
            </w:r>
          </w:p>
        </w:tc>
      </w:tr>
      <w:tr>
        <w:trPr/>
        <w:tc>
          <w:tcPr>
            <w:tcW w:w="16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51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Value as a percentage of net assets.</w:t>
            </w:r>
          </w:p>
        </w:tc>
        <w:tc>
          <w:tcPr>
            <w:tcW w:w="37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See notes to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11" w:name="notestofinancialstatements_777521"/>
      <w:bookmarkEnd w:id="11"/>
      <w:r>
        <w:rPr>
          <w:rFonts w:ascii="Times New Roman" w:hAnsi="Times New Roman"/>
          <w:b/>
          <w:color w:val="000000"/>
          <w:sz w:val="20"/>
        </w:rPr>
        <w:t>Notes to Financial Statements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Note 1 – Organization</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Runway Growth Finance Corp. (formerly known as Runway Growth Credit Fund Inc.)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Company was formed primarily to lend to, and selectively invest in, high growth-potential companies in technology, life sciences, healthcare information and services, business services, select consumer services and products in other high-growth industries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On October 25, 2021, the Company closed its initial public offering ("IPO"), issuing 6,850,000</w:t>
      </w:r>
      <w:r>
        <w:rPr>
          <w:rFonts w:ascii="Times New Roman" w:hAnsi="Times New Roman"/>
          <w:color w:val="000000"/>
          <w:sz w:val="20"/>
        </w:rPr>
        <w:t xml:space="preserve"> </w:t>
      </w:r>
      <w:r>
        <w:rPr>
          <w:rFonts w:ascii="Times New Roman" w:hAnsi="Times New Roman"/>
          <w:b w:val="false"/>
          <w:color w:val="000000"/>
          <w:sz w:val="20"/>
        </w:rPr>
        <w:t>shares of its common stock at a public offering price of $14.60</w:t>
      </w:r>
      <w:r>
        <w:rPr>
          <w:rFonts w:ascii="Times New Roman" w:hAnsi="Times New Roman"/>
          <w:color w:val="000000"/>
          <w:sz w:val="20"/>
        </w:rPr>
        <w:t xml:space="preserve"> </w:t>
      </w:r>
      <w:r>
        <w:rPr>
          <w:rFonts w:ascii="Times New Roman" w:hAnsi="Times New Roman"/>
          <w:b w:val="false"/>
          <w:color w:val="000000"/>
          <w:sz w:val="20"/>
        </w:rPr>
        <w:t>per share. Net of underwriting fees and offering costs, the Company received net proceeds of $93.0</w:t>
      </w:r>
      <w:r>
        <w:rPr>
          <w:rFonts w:ascii="Times New Roman" w:hAnsi="Times New Roman"/>
          <w:color w:val="000000"/>
          <w:sz w:val="20"/>
        </w:rPr>
        <w:t xml:space="preserve"> </w:t>
      </w:r>
      <w:r>
        <w:rPr>
          <w:rFonts w:ascii="Times New Roman" w:hAnsi="Times New Roman"/>
          <w:b w:val="false"/>
          <w:color w:val="000000"/>
          <w:sz w:val="20"/>
        </w:rPr>
        <w:t>million. The Company's common stock began trading on the Nasdaq Global Select Market LLC on October 21, 2021 under the symbol “RWAY”.</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accompanying interim unaudited financial statements of the Company are prepared on the accrual basis of accounting in conformity with U.S. Generally Accepted Accounting Principles (“U.S. GAAP”) and pursuant to the requirements for reporting on Form 10</w:t>
        <w:noBreakHyphen/>
        <w:t>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2023. The interim unaudited financial statements and notes hereto should be read in conjunction with the audited financial statements and notes thereto contained in the Company’s annual report on Form 10-K for the year ended December 31, 2022, filed with the Securities and Exchange Commission (the "SEC") on March 2, 2023.</w:t>
      </w:r>
    </w:p>
    <w:p>
      <w:pPr>
        <w:pStyle w:val="TextBody"/>
        <w:bidi w:val="0"/>
        <w:spacing w:before="0" w:after="240"/>
        <w:jc w:val="both"/>
        <w:rPr>
          <w:rFonts w:ascii="Times New Roman" w:hAnsi="Times New Roman"/>
          <w:sz w:val="20"/>
        </w:rPr>
      </w:pPr>
      <w:r>
        <w:rPr>
          <w:rFonts w:ascii="Times New Roman" w:hAnsi="Times New Roman"/>
          <w:b w:val="false"/>
          <w:color w:val="000000"/>
          <w:sz w:val="20"/>
        </w:rPr>
        <w:t>Certain items in the September 30, 2022 and December 31, 2022 financial statements have been reclassified to conform to the September 30, 2023</w:t>
      </w:r>
      <w:r>
        <w:rPr>
          <w:rFonts w:ascii="Times New Roman" w:hAnsi="Times New Roman"/>
          <w:color w:val="000000"/>
          <w:sz w:val="20"/>
        </w:rPr>
        <w:t xml:space="preserve"> </w:t>
      </w:r>
      <w:r>
        <w:rPr>
          <w:rFonts w:ascii="Times New Roman" w:hAnsi="Times New Roman"/>
          <w:b w:val="false"/>
          <w:color w:val="000000"/>
          <w:sz w:val="20"/>
        </w:rPr>
        <w:t>presentation with no effect on the net assets on the Statements of Assets and Liabilities, and no net effect on the net increase in net assets resulting from operations on the Statements of Operations.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0" w:after="240"/>
        <w:jc w:val="both"/>
        <w:rPr>
          <w:rFonts w:ascii="Times New Roman" w:hAnsi="Times New Roman"/>
          <w:sz w:val="20"/>
        </w:rPr>
      </w:pPr>
      <w:r>
        <w:rPr>
          <w:rFonts w:ascii="Times New Roman" w:hAnsi="Times New Roman"/>
          <w:b w:val="false"/>
          <w:color w:val="000000"/>
          <w:sz w:val="20"/>
        </w:rPr>
        <w:t>Cash consists solely of funds deposited with financial institutions, while cash equivalents consists of short-term liquid investments in money market funds. Cash and cash equivalents are carried at cost, which approximates fair value. As of September 30, 2023 and December 31, 2022, $7.5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$5.6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were invested in money market funds, respectively. Interest earned in money market funds are recorded in Other income on the Statements of Operations.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Debt and Deferred Debt Costs</w:t>
      </w:r>
    </w:p>
    <w:p>
      <w:pPr>
        <w:pStyle w:val="TextBody"/>
        <w:bidi w:val="0"/>
        <w:spacing w:before="120" w:after="240"/>
        <w:jc w:val="both"/>
        <w:rPr>
          <w:rFonts w:ascii="Times New Roman" w:hAnsi="Times New Roman"/>
          <w:b w:val="false"/>
          <w:color w:val="000000"/>
          <w:sz w:val="20"/>
        </w:rPr>
      </w:pPr>
      <w:r>
        <w:rPr>
          <w:rFonts w:ascii="Times New Roman" w:hAnsi="Times New Roman"/>
          <w:b w:val="false"/>
          <w:color w:val="000000"/>
          <w:sz w:val="20"/>
        </w:rPr>
        <w:t>The debt of the Company is carried at amortized cost, which is comprised of the principal amount borrowed, net of unamortized debt issuance costs on the Statements of Assets and Liabilities. Debt issuance costs are fees and other direct incremental costs incurred by the Company in relation to debt financing and are recognized as Unamortized deferred debt costs on the Statements of Assets and Liabilities and amortized over the life of the related debt instrument, or the life of the cost respective service if shorter, using the straight-line method, which closely approximates the effective yield method. To the extent there are no outstanding borrowings, the deferred debt costs are presented as an asset on the Statements of Assets and Liabilities.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Amortization of deferred debt costs and interest expense on the outstanding principal balance are recorded in Interest and other deferred financing expenses on the Statements of Operations. Accrued but unpaid interest is included within Interest payable on the Statements of Assets and Liabilities. For more information, refer to “Note 7 – Borrowings.”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Investment Transactions and Related Investment Income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gain (loss) on investments on the Statements of Operations.</w:t>
      </w:r>
    </w:p>
    <w:p>
      <w:pPr>
        <w:pStyle w:val="TextBody"/>
        <w:bidi w:val="0"/>
        <w:spacing w:before="0" w:after="240"/>
        <w:jc w:val="both"/>
        <w:rPr>
          <w:rFonts w:ascii="Times New Roman" w:hAnsi="Times New Roman"/>
          <w:sz w:val="20"/>
        </w:rPr>
      </w:pPr>
      <w:r>
        <w:rPr>
          <w:rFonts w:ascii="Times New Roman" w:hAnsi="Times New Roman"/>
          <w:b w:val="false"/>
          <w:color w:val="000000"/>
          <w:sz w:val="20"/>
        </w:rPr>
        <w:t>Dividends are recorded on the ex-dividend date. Interest income, if any, adjusted for amortization of market premium and accretion of market discount, is recorded on an accrual basis to the extent that the Company expects to collect such amounts. Original issue discount (“OID”),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debt investment, any unamortized loan origination fees, end-of-term payments, and unamortized market discounts are recorded as interest income and any prepayment penalties are recorded as fee income. Upon amending terms of an existing investment, any amendment fees charged are recorded as fee income.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For the three and nine months ended September 30, 2023, approximately 11.9%</w:t>
      </w:r>
      <w:r>
        <w:rPr>
          <w:rFonts w:ascii="Times New Roman" w:hAnsi="Times New Roman"/>
          <w:color w:val="000000"/>
          <w:sz w:val="20"/>
        </w:rPr>
        <w:t xml:space="preserve"> </w:t>
      </w:r>
      <w:r>
        <w:rPr>
          <w:rFonts w:ascii="Times New Roman" w:hAnsi="Times New Roman"/>
          <w:b w:val="false"/>
          <w:color w:val="000000"/>
          <w:sz w:val="20"/>
        </w:rPr>
        <w:t>and 12.3%, respectively, of the Company’s total investment income was attributable to non-cash PIK interest. For the three and nine months ended September 30, 2022, approximately 4.4%</w:t>
      </w:r>
      <w:r>
        <w:rPr>
          <w:rFonts w:ascii="Times New Roman" w:hAnsi="Times New Roman"/>
          <w:color w:val="000000"/>
          <w:sz w:val="20"/>
        </w:rPr>
        <w:t xml:space="preserve"> </w:t>
      </w:r>
      <w:r>
        <w:rPr>
          <w:rFonts w:ascii="Times New Roman" w:hAnsi="Times New Roman"/>
          <w:b w:val="false"/>
          <w:color w:val="000000"/>
          <w:sz w:val="20"/>
        </w:rPr>
        <w:t>and 8.9%, respectively, of the Company’s total investment income was attributable to non-cash PIK interest.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Investments Denominated in Foreign Currency</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At each balance sheet date, portfolio company investments denominated in foreign currencies are translated into U.S. dollars using the spot exchange rate on the last business day of the period. Purchases and sales of foreign portfolio company investments, and any income from such investments, are translated into U.S. dollars using the rates of exchange prevailing on the respective dates of such transactions. As of September 30, 2023, the Company held one investment denominated in a foreign currency. As of December 31, 2022, the Company did not hold any investments denominated in a foreign currency.</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Although the fair values of foreign portfolio company investments and the fluctuation in such fair values are translated into U.S. dollars using the applicable foreign exchange rates described above, the Company does not isolate the portion of the change in fair value resulting from foreign currency exchange rates fluctuations from the change in fair value of the underlying investment. All fluctuations in fair value are included in Net change in unrealized gain (loss) on investments on the Company’s Statements of Operations.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Non-Accrual of Investments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Debt investments are placed on non-accrual status when principal, interest, and other obligations become materially past due or when there is reasonable doubt that principal, interest, or other obligations will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associated with the debt investment is no longer accreted to interest income as of the date the loan is placed on non-accrual status. Any payments received on non-accrual loans are first applied to principal prior to recovery of any foregone interest or end of term payment fees.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pStyle w:val="TextBody"/>
        <w:bidi w:val="0"/>
        <w:spacing w:before="0" w:after="240"/>
        <w:jc w:val="both"/>
        <w:rPr>
          <w:rFonts w:ascii="Times New Roman" w:hAnsi="Times New Roman"/>
          <w:sz w:val="20"/>
        </w:rPr>
      </w:pPr>
      <w:r>
        <w:rPr>
          <w:rFonts w:ascii="Times New Roman" w:hAnsi="Times New Roman"/>
          <w:b w:val="false"/>
          <w:color w:val="000000"/>
          <w:sz w:val="20"/>
        </w:rPr>
        <w:t>As of September 30, 2023, and December 31, 2022, the Company has not written off any accrued and uncollected PIK interest. As of September 30, 2023, the Company had one</w:t>
      </w:r>
      <w:r>
        <w:rPr>
          <w:rFonts w:ascii="Times New Roman" w:hAnsi="Times New Roman"/>
          <w:color w:val="000000"/>
          <w:sz w:val="20"/>
        </w:rPr>
        <w:t xml:space="preserve"> </w:t>
      </w:r>
      <w:r>
        <w:rPr>
          <w:rFonts w:ascii="Times New Roman" w:hAnsi="Times New Roman"/>
          <w:b w:val="false"/>
          <w:color w:val="000000"/>
          <w:sz w:val="20"/>
        </w:rPr>
        <w:t>loan to Pivot3, Inc. on non-accrual status with a cost basis of $18.0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a fair value of $11.6</w:t>
      </w:r>
      <w:r>
        <w:rPr>
          <w:rFonts w:ascii="Times New Roman" w:hAnsi="Times New Roman"/>
          <w:color w:val="000000"/>
          <w:sz w:val="20"/>
        </w:rPr>
        <w:t xml:space="preserve"> </w:t>
      </w:r>
      <w:r>
        <w:rPr>
          <w:rFonts w:ascii="Times New Roman" w:hAnsi="Times New Roman"/>
          <w:b w:val="false"/>
          <w:color w:val="000000"/>
          <w:sz w:val="20"/>
        </w:rPr>
        <w:t>million, representing 1.1%</w:t>
      </w:r>
      <w:r>
        <w:rPr>
          <w:rFonts w:ascii="Times New Roman" w:hAnsi="Times New Roman"/>
          <w:color w:val="000000"/>
          <w:sz w:val="20"/>
        </w:rPr>
        <w:t xml:space="preserve"> </w:t>
      </w:r>
      <w:r>
        <w:rPr>
          <w:rFonts w:ascii="Times New Roman" w:hAnsi="Times New Roman"/>
          <w:b w:val="false"/>
          <w:color w:val="000000"/>
          <w:sz w:val="20"/>
        </w:rPr>
        <w:t>of the Company’s total investment portfolio. From being placed on non-accrual status through September 30, 2023, cumulative interest of $6.0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would be receivable and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OID would be accreted into the cost basis, for a total of $6.3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not recorded in Interest income from control investments on the Statements of Operations. As of December 31, 2022, the Company had one</w:t>
      </w:r>
      <w:r>
        <w:rPr>
          <w:rFonts w:ascii="Times New Roman" w:hAnsi="Times New Roman"/>
          <w:color w:val="000000"/>
          <w:sz w:val="20"/>
        </w:rPr>
        <w:t xml:space="preserve"> </w:t>
      </w:r>
      <w:r>
        <w:rPr>
          <w:rFonts w:ascii="Times New Roman" w:hAnsi="Times New Roman"/>
          <w:b w:val="false"/>
          <w:color w:val="000000"/>
          <w:sz w:val="20"/>
        </w:rPr>
        <w:t>loan to Pivot3, Inc. on non-accrual status with a cost basis of $19.2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a fair value of $9.3</w:t>
      </w:r>
      <w:r>
        <w:rPr>
          <w:rFonts w:ascii="Times New Roman" w:hAnsi="Times New Roman"/>
          <w:color w:val="000000"/>
          <w:sz w:val="20"/>
        </w:rPr>
        <w:t xml:space="preserve"> </w:t>
      </w:r>
      <w:r>
        <w:rPr>
          <w:rFonts w:ascii="Times New Roman" w:hAnsi="Times New Roman"/>
          <w:b w:val="false"/>
          <w:color w:val="000000"/>
          <w:sz w:val="20"/>
        </w:rPr>
        <w:t>million, representing 0.8%</w:t>
      </w:r>
      <w:r>
        <w:rPr>
          <w:rFonts w:ascii="Times New Roman" w:hAnsi="Times New Roman"/>
          <w:color w:val="000000"/>
          <w:sz w:val="20"/>
        </w:rPr>
        <w:t xml:space="preserve"> </w:t>
      </w:r>
      <w:r>
        <w:rPr>
          <w:rFonts w:ascii="Times New Roman" w:hAnsi="Times New Roman"/>
          <w:b w:val="false"/>
          <w:color w:val="000000"/>
          <w:sz w:val="20"/>
        </w:rPr>
        <w:t>of the Company’s total investment portfolio. From being placed on non-accrual status through December 31, 2022, cumulative interest of $3.6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would be payable and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OID would be accreted into the cost basis, for a total of $3.9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not recorded in Interest income from control investments on the Statements of Operations.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Company measures the value of its financial instruments at fair value in accordance with ASC Topic 820, Fair Value Measurements and Disclosure (“ASC Topic 820”), issued by the FASB. Fair value is the price that would be received to sell an asset or paid to transfer a liability in an orderly transaction between market participants at the measurement date. With the exception of the Company’s borrowings, which are reported at amortized cost, all assets and liabilities approximate fair value on the Statements of Assets and Liabilities.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Level 1—Valuations are based on quoted prices in active markets for identical assets or liabilities that are accessible at the measurement 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Level 2—Valuations are based on quoted prices in markets that are not active or for which all significant inputs are observable, either directly or indirectly and model-based valuation techniques for which all significant inputs are observable.</w:t>
      </w:r>
    </w:p>
    <w:p>
      <w:pPr>
        <w:pStyle w:val="TextBody"/>
        <w:bidi w:val="0"/>
        <w:spacing w:before="240" w:after="240"/>
        <w:jc w:val="both"/>
        <w:rPr>
          <w:color w:val="000000"/>
        </w:rPr>
      </w:pPr>
      <w:r>
        <w:rPr>
          <w:color w:val="000000"/>
        </w:rPr>
        <w:t>•</w:t>
      </w:r>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pStyle w:val="TextBody"/>
        <w:bidi w:val="0"/>
        <w:spacing w:before="40" w:after="240"/>
        <w:jc w:val="both"/>
        <w:rPr>
          <w:rFonts w:ascii="Times New Roman" w:hAnsi="Times New Roman"/>
          <w:b w:val="false"/>
          <w:color w:val="000000"/>
          <w:sz w:val="20"/>
        </w:rPr>
      </w:pPr>
      <w:r>
        <w:rPr>
          <w:rFonts w:ascii="Times New Roman" w:hAnsi="Times New Roman"/>
          <w:b w:val="false"/>
          <w:color w:val="000000"/>
          <w:sz w:val="20"/>
        </w:rPr>
        <w:t>In certain cases, the inputs used to measure fair value may fall into different levels of the fair value hierarchy. In such cases, a financial instrument’s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instrument.</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pStyle w:val="TextBody"/>
        <w:bidi w:val="0"/>
        <w:spacing w:before="40" w:after="283"/>
        <w:jc w:val="both"/>
        <w:rPr>
          <w:rFonts w:ascii="Times New Roman" w:hAnsi="Times New Roman"/>
          <w:sz w:val="20"/>
        </w:rPr>
      </w:pPr>
      <w:r>
        <w:rPr>
          <w:rFonts w:ascii="Times New Roman" w:hAnsi="Times New Roman"/>
          <w:b w:val="false"/>
          <w:color w:val="000000"/>
          <w:sz w:val="20"/>
        </w:rPr>
        <w:t>Rule 2a-5 under the 1940 Act established requirements for determining fair value of a BDC's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The SEC also adopted new Rule 31a-4 under the 1940 Act ("Rule 31a-4"), which provides the recordkeeping requirements associated with fair value determinations. The Company's Board of Directors has not designated a valuation designee.</w:t>
      </w:r>
      <w:r>
        <w:rPr>
          <w:rFonts w:ascii="Times New Roman" w:hAnsi="Times New Roman"/>
          <w:color w:val="000000"/>
          <w:sz w:val="20"/>
        </w:rPr>
        <w:t xml:space="preserve"> </w:t>
      </w:r>
    </w:p>
    <w:p>
      <w:pPr>
        <w:pStyle w:val="TextBody"/>
        <w:bidi w:val="0"/>
        <w:spacing w:before="360" w:after="240"/>
        <w:jc w:val="left"/>
        <w:rPr>
          <w:rFonts w:ascii="Times New Roman" w:hAnsi="Times New Roman"/>
          <w:b w:val="false"/>
          <w:i/>
          <w:color w:val="000000"/>
          <w:sz w:val="20"/>
        </w:rPr>
      </w:pPr>
      <w:r>
        <w:rPr>
          <w:rFonts w:ascii="Times New Roman" w:hAnsi="Times New Roman"/>
          <w:b w:val="false"/>
          <w:i/>
          <w:color w:val="000000"/>
          <w:sz w:val="20"/>
        </w:rPr>
        <w:t>Investment Valuation Techniques</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With respect to investments for which market quotations are not readily available, the Company undertakes a multi-step valuation process each quarter, as described below: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quarterly valuation process begins with each portfolio company investment being initially valued by RGC’s investment professionals that are responsible for the portfolio investment;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Preliminary valuation conclusions are then documented and discussed with RGC’s senior investment team;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At least once annually, the valuation for each portfolio investment is reviewed by an independent valuation firm. Certain investments, however, may not be evaluated by an independent valuation firm if the net asset value and other aspects of such investments in the aggregate do not exceed certain thresholds;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Audit Committee then reviews these preliminary valuations from RGC and the independent valuation firm, if any, and makes a recommendation to the Company’s Board of Directors regarding such valuations;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231F20"/>
          <w:sz w:val="20"/>
        </w:rPr>
      </w:pPr>
      <w:r>
        <w:rPr>
          <w:rFonts w:ascii="Times New Roman" w:hAnsi="Times New Roman"/>
          <w:b w:val="false"/>
          <w:color w:val="231F20"/>
          <w:sz w:val="20"/>
        </w:rPr>
        <w:t xml:space="preserve">The Company’s Board of Directors reviews the recommended preliminary valuations and determines the fair value of each investment in the Company’s portfolio, in good faith, based on the input of RGC, the independent valuation firm and the Audit Committee. </w:t>
      </w:r>
    </w:p>
    <w:p>
      <w:pPr>
        <w:pStyle w:val="TextBody"/>
        <w:bidi w:val="0"/>
        <w:spacing w:before="40" w:after="240"/>
        <w:jc w:val="both"/>
        <w:rPr>
          <w:rFonts w:ascii="Times New Roman" w:hAnsi="Times New Roman"/>
          <w:b w:val="false"/>
          <w:color w:val="231F20"/>
          <w:sz w:val="20"/>
        </w:rPr>
      </w:pPr>
      <w:r>
        <w:rPr>
          <w:rFonts w:ascii="Times New Roman" w:hAnsi="Times New Roman"/>
          <w:b w:val="false"/>
          <w:color w:val="231F20"/>
          <w:sz w:val="20"/>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and equity instruments and, thus, RGC’s senior investment team must estimate the fair value of these investment securities based on models utilizing unobservable inputs.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Audit Committee of the Company’s Board of Directors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pStyle w:val="TextBody"/>
        <w:bidi w:val="0"/>
        <w:spacing w:before="0" w:after="240"/>
        <w:jc w:val="both"/>
        <w:rPr>
          <w:rFonts w:ascii="Times New Roman" w:hAnsi="Times New Roman"/>
          <w:b w:val="false"/>
          <w:color w:val="000000"/>
          <w:sz w:val="20"/>
          <w:u w:val="single"/>
        </w:rPr>
      </w:pPr>
      <w:r>
        <w:rPr>
          <w:rFonts w:ascii="Times New Roman" w:hAnsi="Times New Roman"/>
          <w:b w:val="false"/>
          <w:color w:val="000000"/>
          <w:sz w:val="20"/>
          <w:u w:val="single"/>
        </w:rPr>
        <w:t>Debt Investments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To determine the fair value of the Company’s debt investments, the Company compares the cost basis of the debt investment, which includes OID,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(decreases) in these unobservable inputs could result in a significantly higher (lower) fair value measurements.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200"/>
        <w:jc w:val="both"/>
        <w:rPr>
          <w:rFonts w:ascii="Times New Roman" w:hAnsi="Times New Roman"/>
          <w:b w:val="false"/>
          <w:color w:val="000000"/>
          <w:sz w:val="20"/>
          <w:u w:val="single"/>
        </w:rPr>
      </w:pPr>
      <w:r>
        <w:rPr>
          <w:rFonts w:ascii="Times New Roman" w:hAnsi="Times New Roman"/>
          <w:b w:val="false"/>
          <w:color w:val="000000"/>
          <w:sz w:val="20"/>
          <w:u w:val="single"/>
        </w:rPr>
        <w:t>Warrants</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Fair value of warrants is primarily determined using a Black Scholes option-pricing model. Privately held warrants and equity-related securities are valued based on an analysis of various factors including, but not limited to,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40" w:after="240"/>
        <w:jc w:val="both"/>
        <w:rPr>
          <w:rFonts w:ascii="Times New Roman" w:hAnsi="Times New Roman"/>
          <w:b w:val="false"/>
          <w:color w:val="000000"/>
          <w:sz w:val="20"/>
        </w:rPr>
      </w:pPr>
      <w:r>
        <w:rPr>
          <w:rFonts w:ascii="Times New Roman" w:hAnsi="Times New Roman"/>
          <w:b w:val="false"/>
          <w:color w:val="000000"/>
          <w:sz w:val="20"/>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pStyle w:val="TextBody"/>
        <w:bidi w:val="0"/>
        <w:spacing w:before="0" w:after="240"/>
        <w:jc w:val="both"/>
        <w:rPr>
          <w:rFonts w:ascii="Times New Roman" w:hAnsi="Times New Roman"/>
          <w:b w:val="false"/>
          <w:color w:val="000000"/>
          <w:sz w:val="20"/>
          <w:u w:val="single"/>
        </w:rPr>
      </w:pPr>
      <w:r>
        <w:rPr>
          <w:rFonts w:ascii="Times New Roman" w:hAnsi="Times New Roman"/>
          <w:b w:val="false"/>
          <w:color w:val="000000"/>
          <w:sz w:val="20"/>
          <w:u w:val="single"/>
        </w:rPr>
        <w:t>Equity Investments</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fair value of an equity investment in a privately held company is initially the face value of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Investment Classification</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U.S. federal income taxes in the future.</w:t>
      </w:r>
    </w:p>
    <w:p>
      <w:pPr>
        <w:pStyle w:val="TextBody"/>
        <w:bidi w:val="0"/>
        <w:spacing w:before="0" w:after="240"/>
        <w:jc w:val="both"/>
        <w:rPr>
          <w:rFonts w:ascii="Times New Roman" w:hAnsi="Times New Roman"/>
          <w:sz w:val="20"/>
        </w:rPr>
      </w:pPr>
      <w:r>
        <w:rPr>
          <w:rFonts w:ascii="Times New Roman" w:hAnsi="Times New Roman"/>
          <w:b w:val="false"/>
          <w:color w:val="000000"/>
          <w:sz w:val="20"/>
        </w:rPr>
        <w:t>Depending on the level of taxable income earned in a tax year, the Company may choose to carry forward such taxable income in excess of current year dividend distributions from such current year taxable income into the next tax year and pay a 4%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Section 946-205-45-3 of the ASC, permanent tax differences are reclassified from accumulated undistributed earnings to paid-in-capital at the end of each year and have no impact on total net assets. For more information, refer to "Note 10 – Income Taxes."</w:t>
      </w:r>
      <w:r>
        <w:rPr>
          <w:rFonts w:ascii="Times New Roman" w:hAnsi="Times New Roman"/>
          <w:color w:val="000000"/>
          <w:sz w:val="20"/>
        </w:rPr>
        <w:t xml:space="preserve">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Per Share Information</w:t>
      </w:r>
    </w:p>
    <w:p>
      <w:pPr>
        <w:pStyle w:val="TextBody"/>
        <w:bidi w:val="0"/>
        <w:spacing w:before="0" w:after="240"/>
        <w:jc w:val="both"/>
        <w:rPr>
          <w:rFonts w:ascii="Times New Roman" w:hAnsi="Times New Roman"/>
          <w:sz w:val="20"/>
        </w:rPr>
      </w:pPr>
      <w:r>
        <w:rPr>
          <w:rFonts w:ascii="Times New Roman" w:hAnsi="Times New Roman"/>
          <w:b w:val="false"/>
          <w:color w:val="000000"/>
          <w:sz w:val="20"/>
        </w:rPr>
        <w:t>Basic and diluted earnings (loss) per common share is calculated using the weighted-average number of common shares outstanding for the period presented. For the three and nine months ended September 30, 2023 and 2022, basic and diluted earnings per share of common stock were the same because there were no</w:t>
      </w:r>
      <w:r>
        <w:rPr>
          <w:rFonts w:ascii="Times New Roman" w:hAnsi="Times New Roman"/>
          <w:color w:val="000000"/>
          <w:sz w:val="20"/>
        </w:rPr>
        <w:t xml:space="preserve"> </w:t>
      </w:r>
      <w:r>
        <w:rPr>
          <w:rFonts w:ascii="Times New Roman" w:hAnsi="Times New Roman"/>
          <w:b w:val="false"/>
          <w:color w:val="000000"/>
          <w:sz w:val="20"/>
        </w:rPr>
        <w:t>potentially dilutive securities outstanding. Per share data is based on the weighted-average shares outstanding.</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Distributions</w:t>
      </w:r>
    </w:p>
    <w:p>
      <w:pPr>
        <w:pStyle w:val="TextBody"/>
        <w:bidi w:val="0"/>
        <w:spacing w:before="0" w:after="240"/>
        <w:jc w:val="both"/>
        <w:rPr>
          <w:rFonts w:ascii="Times New Roman" w:hAnsi="Times New Roman"/>
          <w:sz w:val="20"/>
        </w:rPr>
      </w:pPr>
      <w:r>
        <w:rPr>
          <w:rFonts w:ascii="Times New Roman" w:hAnsi="Times New Roman"/>
          <w:b w:val="false"/>
          <w:color w:val="000000"/>
          <w:sz w:val="20"/>
        </w:rPr>
        <w:t>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w:t>
      </w:r>
      <w:r>
        <w:rPr>
          <w:rFonts w:ascii="Times New Roman" w:hAnsi="Times New Roman"/>
          <w:color w:val="000000"/>
          <w:sz w:val="20"/>
        </w:rPr>
        <w:t xml:space="preserve">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Organization and Offering Costs</w:t>
      </w:r>
    </w:p>
    <w:p>
      <w:pPr>
        <w:pStyle w:val="TextBody"/>
        <w:bidi w:val="0"/>
        <w:spacing w:before="0" w:after="240"/>
        <w:jc w:val="both"/>
        <w:rPr>
          <w:rFonts w:ascii="Times New Roman" w:hAnsi="Times New Roman"/>
          <w:sz w:val="20"/>
        </w:rPr>
      </w:pPr>
      <w:r>
        <w:rPr>
          <w:rFonts w:ascii="Times New Roman" w:hAnsi="Times New Roman"/>
          <w:b w:val="false"/>
          <w:color w:val="000000"/>
          <w:sz w:val="20"/>
        </w:rPr>
        <w:t>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Advisory Agreement (as defined in Note 3 – Related Party Agreements and Transactions), the Company and RGC agreed that organization and offering costs incurred in connection with the Initial Private Offering (as defined in Note 9 – Net Assets) would be borne by the Company up to a maximum amount of $1.0</w:t>
      </w:r>
      <w:r>
        <w:rPr>
          <w:rFonts w:ascii="Times New Roman" w:hAnsi="Times New Roman"/>
          <w:color w:val="000000"/>
          <w:sz w:val="20"/>
        </w:rPr>
        <w:t xml:space="preserve"> </w:t>
      </w:r>
      <w:r>
        <w:rPr>
          <w:rFonts w:ascii="Times New Roman" w:hAnsi="Times New Roman"/>
          <w:b w:val="false"/>
          <w:color w:val="000000"/>
          <w:sz w:val="20"/>
        </w:rPr>
        <w:t>million, provided that the amount of such costs in excess of $1.0</w:t>
      </w:r>
      <w:r>
        <w:rPr>
          <w:rFonts w:ascii="Times New Roman" w:hAnsi="Times New Roman"/>
          <w:color w:val="000000"/>
          <w:sz w:val="20"/>
        </w:rPr>
        <w:t xml:space="preserve"> </w:t>
      </w:r>
      <w:r>
        <w:rPr>
          <w:rFonts w:ascii="Times New Roman" w:hAnsi="Times New Roman"/>
          <w:b w:val="false"/>
          <w:color w:val="000000"/>
          <w:sz w:val="20"/>
        </w:rPr>
        <w:t>million would be paid by RGC. As of December 31, 2016, the Company had already incurred the maximum amount of $1.0</w:t>
      </w:r>
      <w:r>
        <w:rPr>
          <w:rFonts w:ascii="Times New Roman" w:hAnsi="Times New Roman"/>
          <w:color w:val="000000"/>
          <w:sz w:val="20"/>
        </w:rPr>
        <w:t xml:space="preserve"> </w:t>
      </w:r>
      <w:r>
        <w:rPr>
          <w:rFonts w:ascii="Times New Roman" w:hAnsi="Times New Roman"/>
          <w:b w:val="false"/>
          <w:color w:val="000000"/>
          <w:sz w:val="20"/>
        </w:rPr>
        <w:t>million in organization and offering costs incurred in connection with the Initial Private Offering.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Offering costs related to the Second Private Offering (as defined in Note 9 – Net Assets) were accumulated and charged to additional paid in capital at the time of closing beginning in 2019. These offering costs related to the Second Private Offering were subject to a cap of $0.6</w:t>
      </w:r>
      <w:r>
        <w:rPr>
          <w:rFonts w:ascii="Times New Roman" w:hAnsi="Times New Roman"/>
          <w:color w:val="000000"/>
          <w:sz w:val="20"/>
        </w:rPr>
        <w:t xml:space="preserve"> </w:t>
      </w:r>
      <w:r>
        <w:rPr>
          <w:rFonts w:ascii="Times New Roman" w:hAnsi="Times New Roman"/>
          <w:b w:val="false"/>
          <w:color w:val="000000"/>
          <w:sz w:val="20"/>
        </w:rPr>
        <w:t>million, excluding placement agent fees which had no cap, of which the Company will bear the cost. At the completion of the Second Private Offering, the Company had accumulated and recorded $0.7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in offering costs and $0.2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in placement agent fees related to the Second Private Offering. Under the terms of the Second Private Offering, offering costs in excess of $0.6</w:t>
      </w:r>
      <w:r>
        <w:rPr>
          <w:rFonts w:ascii="Times New Roman" w:hAnsi="Times New Roman"/>
          <w:color w:val="000000"/>
          <w:sz w:val="20"/>
        </w:rPr>
        <w:t xml:space="preserve"> </w:t>
      </w:r>
      <w:r>
        <w:rPr>
          <w:rFonts w:ascii="Times New Roman" w:hAnsi="Times New Roman"/>
          <w:b w:val="false"/>
          <w:color w:val="000000"/>
          <w:sz w:val="20"/>
        </w:rPr>
        <w:t>million, excluding placement agent fees, were reimbursed by RGC.</w:t>
      </w:r>
    </w:p>
    <w:p>
      <w:pPr>
        <w:pStyle w:val="TextBody"/>
        <w:bidi w:val="0"/>
        <w:spacing w:before="0" w:after="240"/>
        <w:jc w:val="both"/>
        <w:rPr>
          <w:rFonts w:ascii="Times New Roman" w:hAnsi="Times New Roman"/>
          <w:sz w:val="20"/>
        </w:rPr>
      </w:pPr>
      <w:r>
        <w:rPr>
          <w:rFonts w:ascii="Times New Roman" w:hAnsi="Times New Roman"/>
          <w:b w:val="false"/>
          <w:color w:val="000000"/>
          <w:sz w:val="20"/>
        </w:rPr>
        <w:t>Offering costs related to the IPO were accumulated and charged to additional paid in capital at the time of closing in October 2021. The Company had accumulated and recorded $7.0</w:t>
      </w:r>
      <w:r>
        <w:rPr>
          <w:rFonts w:ascii="Times New Roman" w:hAnsi="Times New Roman"/>
          <w:color w:val="000000"/>
          <w:sz w:val="20"/>
        </w:rPr>
        <w:t xml:space="preserve"> </w:t>
      </w:r>
      <w:r>
        <w:rPr>
          <w:rFonts w:ascii="Times New Roman" w:hAnsi="Times New Roman"/>
          <w:b w:val="false"/>
          <w:color w:val="000000"/>
          <w:sz w:val="20"/>
        </w:rPr>
        <w:t>million of offering costs related to the Company’s IPO. The offering costs were fully born by the Company and included underwriting fees, legal fees, and other costs pertaining to the preparation of the Company’s offering materials as well as travel-related expenses.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both"/>
        <w:rPr>
          <w:rFonts w:ascii="Times New Roman" w:hAnsi="Times New Roman"/>
          <w:sz w:val="20"/>
        </w:rPr>
      </w:pPr>
      <w:r>
        <w:rPr>
          <w:rFonts w:ascii="Times New Roman" w:hAnsi="Times New Roman"/>
          <w:b w:val="false"/>
          <w:color w:val="000000"/>
          <w:sz w:val="20"/>
        </w:rPr>
        <w:t>In June 2022, the FASB issued ASU 2022-03, "Fair Value Measurement (Topic 820) - Fair Value Measurement of Equity Securities Subject to Contractual Sale Restrictions", which was issued to (1)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new guidance is effective for interim and annual periods beginning after December 15, 2023. The Company does not anticipate the new standard will have a material impact to the financial statements and related disclosures.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In July 2023, the SEC released final rules requiring disclosure by public companies of material cybersecurity incidents and policies and procedures related to cybersecurity risk management, strategy and governance ("Cybersecurity Rules"). The Cybersecurity Rules require public companies to (1) disclose cybersecurity incidents that detail the nature, scope, timing, and impact of such incidents and (2) disclose registrant's risk management, strategy, and governance regarding cybersecurity risks, including the board of directors’ oversight of cybersecurity risks and the impact of any such risks on its business strategy, results of operations and financial condition. The Cybersecurity Rules are incorporated under Regulation S-K as new Item 106. The Company intends to comply with the new disclosure requirements under the Cybersecurity Rules in its annual report on Form 10-K effective for the fiscal year ending December 15, 2023 or later.</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3 – Related Party Agreements and Transactions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Second Amended and Restated Advisory Agreement</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Advisory Agreement”). On August 3, 2017, the Board of Directors approved certain amendments to the Prior Advisory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advisory agreement (the “Advisory Agreement”) at a virtual meeting and recommended that the Company’s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Advisory Agreement to include certain revisions to the management and incentive fee calculation mechanisms and clarify language relating to liquidity events. On May 2, 2023, the Company's Board of Directors renewed the Advisory agreement for a period of twelve months commencing May 27, 2023. Under the terms of the Advisory Agreement, RGC: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determines the composition of the Company’s portfolio, the nature and timing of the changes to the portfolio and the manner of implementing such changes;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identifies, evaluates and negotiates the structure of the investments the Company makes;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executes, closes and monitors the investments the Company makes;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determines the securities and other assets that the Company will purchase, retain or sell;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performs due diligence on prospective investments;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provides the Company with other such investment advisory, research and related services as the Company may, from time to time, reasonably require for the investment of its funds.</w:t>
      </w:r>
    </w:p>
    <w:p>
      <w:pPr>
        <w:pStyle w:val="TextBody"/>
        <w:bidi w:val="0"/>
        <w:spacing w:before="0" w:after="240"/>
        <w:jc w:val="both"/>
        <w:rPr>
          <w:rFonts w:ascii="Times New Roman" w:hAnsi="Times New Roman"/>
          <w:sz w:val="20"/>
        </w:rPr>
      </w:pPr>
      <w:r>
        <w:rPr>
          <w:rFonts w:ascii="Times New Roman" w:hAnsi="Times New Roman"/>
          <w:b w:val="false"/>
          <w:color w:val="000000"/>
          <w:sz w:val="20"/>
        </w:rPr>
        <w:t>Pursuant to the Advisory Agreement, the Company pays RGC a fee for its investment advisory and management services consisting of two</w:t>
      </w:r>
      <w:r>
        <w:rPr>
          <w:rFonts w:ascii="Times New Roman" w:hAnsi="Times New Roman"/>
          <w:color w:val="000000"/>
          <w:sz w:val="20"/>
        </w:rPr>
        <w:t xml:space="preserve"> </w:t>
      </w:r>
      <w:r>
        <w:rPr>
          <w:rFonts w:ascii="Times New Roman" w:hAnsi="Times New Roman"/>
          <w:b w:val="false"/>
          <w:color w:val="000000"/>
          <w:sz w:val="20"/>
        </w:rPr>
        <w:t>components – a base management fee and an incentive fee. The cost of both the base management fee and incentive fee are ultimately borne by the Company’s stockholders.</w:t>
      </w:r>
    </w:p>
    <w:p>
      <w:pPr>
        <w:pStyle w:val="TextBody"/>
        <w:bidi w:val="0"/>
        <w:spacing w:before="360" w:after="240"/>
        <w:jc w:val="left"/>
        <w:rPr>
          <w:rFonts w:ascii="Times New Roman" w:hAnsi="Times New Roman"/>
          <w:b w:val="false"/>
          <w:i/>
          <w:color w:val="000000"/>
          <w:sz w:val="20"/>
        </w:rPr>
      </w:pPr>
      <w:r>
        <w:rPr>
          <w:rFonts w:ascii="Times New Roman" w:hAnsi="Times New Roman"/>
          <w:b w:val="false"/>
          <w:i/>
          <w:color w:val="000000"/>
          <w:sz w:val="20"/>
        </w:rPr>
        <w:t>Base Management Fee</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base management fee is payable on the first day of each calendar quarter and is calculated on the Company's "Gross Assets" which, for purposes of the Advisory Agreement, is defined as the Company’s gross assets, including assets purchased with borrowed funds or other forms of leverage, as well as any PIK interest, as of the end of the most recently completed fiscal quarter. The base management fee will be an amount equal to 0.375% (1.50% annualized) of the Company’s average daily Gross Assets during the most recently completed calendar quarter, so long as the aggregate amount of the Company’s Gross Assets as of the end of the most recently completed calendar quarter is equal to or greater than $1.0</w:t>
      </w:r>
      <w:r>
        <w:rPr>
          <w:rFonts w:ascii="Times New Roman" w:hAnsi="Times New Roman"/>
          <w:color w:val="000000"/>
          <w:sz w:val="20"/>
        </w:rPr>
        <w:t xml:space="preserve"> </w:t>
      </w:r>
      <w:r>
        <w:rPr>
          <w:rFonts w:ascii="Times New Roman" w:hAnsi="Times New Roman"/>
          <w:b w:val="false"/>
          <w:color w:val="000000"/>
          <w:sz w:val="20"/>
        </w:rPr>
        <w:t>billion. If the aggregate amount of the Company’s Gross Assets as of the end of the most recently completed calendar quarter is less than $1.0</w:t>
      </w:r>
      <w:r>
        <w:rPr>
          <w:rFonts w:ascii="Times New Roman" w:hAnsi="Times New Roman"/>
          <w:color w:val="000000"/>
          <w:sz w:val="20"/>
        </w:rPr>
        <w:t xml:space="preserve"> </w:t>
      </w:r>
      <w:r>
        <w:rPr>
          <w:rFonts w:ascii="Times New Roman" w:hAnsi="Times New Roman"/>
          <w:b w:val="false"/>
          <w:color w:val="000000"/>
          <w:sz w:val="20"/>
        </w:rPr>
        <w:t>billion but equal to or greater than $500.0</w:t>
      </w:r>
      <w:r>
        <w:rPr>
          <w:rFonts w:ascii="Times New Roman" w:hAnsi="Times New Roman"/>
          <w:color w:val="000000"/>
          <w:sz w:val="20"/>
        </w:rPr>
        <w:t xml:space="preserve"> </w:t>
      </w:r>
      <w:r>
        <w:rPr>
          <w:rFonts w:ascii="Times New Roman" w:hAnsi="Times New Roman"/>
          <w:b w:val="false"/>
          <w:color w:val="000000"/>
          <w:sz w:val="20"/>
        </w:rPr>
        <w:t>million,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less than $500.0</w:t>
      </w:r>
      <w:r>
        <w:rPr>
          <w:rFonts w:ascii="Times New Roman" w:hAnsi="Times New Roman"/>
          <w:color w:val="000000"/>
          <w:sz w:val="20"/>
        </w:rPr>
        <w:t xml:space="preserve"> </w:t>
      </w:r>
      <w:r>
        <w:rPr>
          <w:rFonts w:ascii="Times New Roman" w:hAnsi="Times New Roman"/>
          <w:b w:val="false"/>
          <w:color w:val="000000"/>
          <w:sz w:val="20"/>
        </w:rPr>
        <w:t>million, the base management fee will be an amount equal to 0.4375% (1.75% annualized) of the Company’s average daily Gross Assets during the most recently completed calendar quarter.</w:t>
      </w:r>
    </w:p>
    <w:p>
      <w:pPr>
        <w:pStyle w:val="TextBody"/>
        <w:bidi w:val="0"/>
        <w:spacing w:before="0" w:after="240"/>
        <w:jc w:val="both"/>
        <w:rPr>
          <w:rFonts w:ascii="Times New Roman" w:hAnsi="Times New Roman"/>
          <w:sz w:val="20"/>
        </w:rPr>
      </w:pPr>
      <w:r>
        <w:rPr>
          <w:rFonts w:ascii="Times New Roman" w:hAnsi="Times New Roman"/>
          <w:b w:val="false"/>
          <w:color w:val="000000"/>
          <w:sz w:val="20"/>
        </w:rPr>
        <w:t>For the three and nine months ended September 30, 2023, RGC earned base management fees at a rate of 1.50% per annum, amounting to $4.3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$12.6</w:t>
      </w:r>
      <w:r>
        <w:rPr>
          <w:rFonts w:ascii="Times New Roman" w:hAnsi="Times New Roman"/>
          <w:color w:val="000000"/>
          <w:sz w:val="20"/>
        </w:rPr>
        <w:t xml:space="preserve"> </w:t>
      </w:r>
      <w:r>
        <w:rPr>
          <w:rFonts w:ascii="Times New Roman" w:hAnsi="Times New Roman"/>
          <w:b w:val="false"/>
          <w:color w:val="000000"/>
          <w:sz w:val="20"/>
        </w:rPr>
        <w:t>million, respectively. For the three and nine months ended September 30, 2022, RGC earned base management fees at a rate of 1.60% per annum, amounting to $3.1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$8.5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2022.</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val="false"/>
          <w:i/>
          <w:color w:val="000000"/>
          <w:sz w:val="20"/>
        </w:rPr>
      </w:pPr>
      <w:r>
        <w:rPr>
          <w:rFonts w:ascii="Times New Roman" w:hAnsi="Times New Roman"/>
          <w:b w:val="false"/>
          <w:i/>
          <w:color w:val="000000"/>
          <w:sz w:val="20"/>
        </w:rPr>
        <w:t>Incentive Fee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Under the investment-income component (the “Income Incentive Fee”), the Company pays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were deferred incentive fees payable, both of which are included in incentive fees payable on the Statements of Assets and Liabilities agreement with the Administrator (the “Administration Agreement”), and any dividends paid on any issued and outstanding preferred stock, but excluding the incentive fee). pre-incentive fee net investment income includes, in the case of investments with a deferred interest feature (such as OID accretion,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or unrealized capital gains (losses).</w:t>
      </w:r>
    </w:p>
    <w:p>
      <w:pPr>
        <w:pStyle w:val="TextBody"/>
        <w:bidi w:val="0"/>
        <w:spacing w:before="0" w:after="240"/>
        <w:jc w:val="both"/>
        <w:rPr>
          <w:rFonts w:ascii="Times New Roman" w:hAnsi="Times New Roman"/>
          <w:sz w:val="20"/>
        </w:rPr>
      </w:pPr>
      <w:r>
        <w:rPr>
          <w:rFonts w:ascii="Times New Roman" w:hAnsi="Times New Roman"/>
          <w:b w:val="false"/>
          <w:color w:val="000000"/>
          <w:sz w:val="20"/>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w:t>
      </w:r>
      <w:r>
        <w:rPr>
          <w:rFonts w:ascii="Times New Roman" w:hAnsi="Times New Roman"/>
          <w:color w:val="000000"/>
          <w:sz w:val="20"/>
        </w:rPr>
        <w:t xml:space="preserve"> </w:t>
      </w:r>
      <w:r>
        <w:rPr>
          <w:rFonts w:ascii="Times New Roman" w:hAnsi="Times New Roman"/>
          <w:b w:val="false"/>
          <w:color w:val="000000"/>
          <w:sz w:val="20"/>
        </w:rPr>
        <w:t>net investment income in each calendar quarter as follows: (1) no</w:t>
      </w:r>
      <w:r>
        <w:rPr>
          <w:rFonts w:ascii="Times New Roman" w:hAnsi="Times New Roman"/>
          <w:color w:val="000000"/>
          <w:sz w:val="20"/>
        </w:rPr>
        <w:t xml:space="preserve"> </w:t>
      </w:r>
      <w:r>
        <w:rPr>
          <w:rFonts w:ascii="Times New Roman" w:hAnsi="Times New Roman"/>
          <w:b w:val="false"/>
          <w:color w:val="000000"/>
          <w:sz w:val="20"/>
        </w:rPr>
        <w:t>Income Incentive Fee in any calendar quarter in which the Company’s pre-incentive fee</w:t>
      </w:r>
      <w:r>
        <w:rPr>
          <w:rFonts w:ascii="Times New Roman" w:hAnsi="Times New Roman"/>
          <w:color w:val="000000"/>
          <w:sz w:val="20"/>
        </w:rPr>
        <w:t xml:space="preserve"> </w:t>
      </w:r>
      <w:r>
        <w:rPr>
          <w:rFonts w:ascii="Times New Roman" w:hAnsi="Times New Roman"/>
          <w:b w:val="false"/>
          <w:color w:val="000000"/>
          <w:sz w:val="20"/>
        </w:rPr>
        <w:t>net investment income does not exceed the hurdle rate of 2.0%; (2) 80% of the Company’s pre-incentive fee net investment income with respect to that portion of such pre-incentive fee</w:t>
      </w:r>
      <w:r>
        <w:rPr>
          <w:rFonts w:ascii="Times New Roman" w:hAnsi="Times New Roman"/>
          <w:color w:val="000000"/>
          <w:sz w:val="20"/>
        </w:rPr>
        <w:t xml:space="preserve"> </w:t>
      </w:r>
      <w:r>
        <w:rPr>
          <w:rFonts w:ascii="Times New Roman" w:hAnsi="Times New Roman"/>
          <w:b w:val="false"/>
          <w:color w:val="000000"/>
          <w:sz w:val="20"/>
        </w:rPr>
        <w:t>net investment income, if any, that exceeds the hurdle rate but is less than 2.667% in any calendar quarter (10.668% annualized) (the portion of the Company’s pre-incentive fee</w:t>
      </w:r>
      <w:r>
        <w:rPr>
          <w:rFonts w:ascii="Times New Roman" w:hAnsi="Times New Roman"/>
          <w:color w:val="000000"/>
          <w:sz w:val="20"/>
        </w:rPr>
        <w:t xml:space="preserve"> </w:t>
      </w:r>
      <w:r>
        <w:rPr>
          <w:rFonts w:ascii="Times New Roman" w:hAnsi="Times New Roman"/>
          <w:b w:val="false"/>
          <w:color w:val="000000"/>
          <w:sz w:val="20"/>
        </w:rPr>
        <w:t>net investment income that exceeds the hurdle but is less than 2.667% is referred to as the “catch-up”; the “catch-up” is meant to provide RGC with 20.0% of the Company’s pre-incentive fee net investment income as if a hurdle did not apply if the Company’s pre-incentive fee</w:t>
      </w:r>
      <w:r>
        <w:rPr>
          <w:rFonts w:ascii="Times New Roman" w:hAnsi="Times New Roman"/>
          <w:color w:val="000000"/>
          <w:sz w:val="20"/>
        </w:rPr>
        <w:t xml:space="preserve"> </w:t>
      </w:r>
      <w:r>
        <w:rPr>
          <w:rFonts w:ascii="Times New Roman" w:hAnsi="Times New Roman"/>
          <w:b w:val="false"/>
          <w:color w:val="000000"/>
          <w:sz w:val="20"/>
        </w:rPr>
        <w:t>net investment income exceeds 2.667% in any calendar quarter (10.668% annualized)); and (3) 20.0% of the amount of the Company’s pre-incentive fee</w:t>
      </w:r>
      <w:r>
        <w:rPr>
          <w:rFonts w:ascii="Times New Roman" w:hAnsi="Times New Roman"/>
          <w:color w:val="000000"/>
          <w:sz w:val="20"/>
        </w:rPr>
        <w:t xml:space="preserve"> </w:t>
      </w:r>
      <w:r>
        <w:rPr>
          <w:rFonts w:ascii="Times New Roman" w:hAnsi="Times New Roman"/>
          <w:b w:val="false"/>
          <w:color w:val="000000"/>
          <w:sz w:val="20"/>
        </w:rPr>
        <w:t>net investment income, if any, that exceeds 2.667% in any calendar quarter (10.668% annualized) payable to RGC (once the hurdle is reached and the catch-up is achieved, 20.0% of all pre-incentive fee net investment income thereafter is allocated to RGC).</w:t>
      </w:r>
    </w:p>
    <w:p>
      <w:pPr>
        <w:pStyle w:val="TextBody"/>
        <w:bidi w:val="0"/>
        <w:spacing w:before="0" w:after="240"/>
        <w:jc w:val="both"/>
        <w:rPr>
          <w:rFonts w:ascii="Times New Roman" w:hAnsi="Times New Roman"/>
          <w:sz w:val="20"/>
        </w:rPr>
      </w:pPr>
      <w:r>
        <w:rPr>
          <w:rFonts w:ascii="Times New Roman" w:hAnsi="Times New Roman"/>
          <w:b w:val="false"/>
          <w:color w:val="000000"/>
          <w:sz w:val="20"/>
        </w:rPr>
        <w:t>Until the consummation of a Spin-Off transaction (defined below),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w:t>
      </w:r>
      <w:r>
        <w:rPr>
          <w:rFonts w:ascii="Times New Roman" w:hAnsi="Times New Roman"/>
          <w:color w:val="000000"/>
          <w:sz w:val="20"/>
        </w:rPr>
        <w:t xml:space="preserve"> </w:t>
      </w:r>
      <w:r>
        <w:rPr>
          <w:rFonts w:ascii="Times New Roman" w:hAnsi="Times New Roman"/>
          <w:b w:val="false"/>
          <w:color w:val="000000"/>
          <w:sz w:val="20"/>
        </w:rPr>
        <w:t>net investment income adjusted to include any realized capital gains and losses (“Adjusted pre-incentive fee</w:t>
      </w:r>
      <w:r>
        <w:rPr>
          <w:rFonts w:ascii="Times New Roman" w:hAnsi="Times New Roman"/>
          <w:color w:val="000000"/>
          <w:sz w:val="20"/>
        </w:rPr>
        <w:t xml:space="preserve"> </w:t>
      </w:r>
      <w:r>
        <w:rPr>
          <w:rFonts w:ascii="Times New Roman" w:hAnsi="Times New Roman"/>
          <w:b w:val="false"/>
          <w:color w:val="000000"/>
          <w:sz w:val="20"/>
        </w:rPr>
        <w:t>net investment income”),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pre-incentive fee</w:t>
      </w:r>
      <w:r>
        <w:rPr>
          <w:rFonts w:ascii="Times New Roman" w:hAnsi="Times New Roman"/>
          <w:color w:val="000000"/>
          <w:sz w:val="20"/>
        </w:rPr>
        <w:t xml:space="preserve"> </w:t>
      </w:r>
      <w:r>
        <w:rPr>
          <w:rFonts w:ascii="Times New Roman" w:hAnsi="Times New Roman"/>
          <w:b w:val="false"/>
          <w:color w:val="000000"/>
          <w:sz w:val="20"/>
        </w:rPr>
        <w:t>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 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240"/>
        <w:jc w:val="both"/>
        <w:rPr>
          <w:rFonts w:ascii="Times New Roman" w:hAnsi="Times New Roman"/>
          <w:sz w:val="20"/>
        </w:rPr>
      </w:pPr>
      <w:r>
        <w:rPr>
          <w:rFonts w:ascii="Times New Roman" w:hAnsi="Times New Roman"/>
          <w:b w:val="false"/>
          <w:color w:val="000000"/>
          <w:sz w:val="20"/>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losses through the end of such year, less the aggregate amount of any previously paid Capital Gains Fee. For the foregoing purpose, the Company’s “aggregate cumulative realized capital gains” will not include any unrealized gains. If such amount is negative, then no</w:t>
      </w:r>
      <w:r>
        <w:rPr>
          <w:rFonts w:ascii="Times New Roman" w:hAnsi="Times New Roman"/>
          <w:color w:val="000000"/>
          <w:sz w:val="20"/>
        </w:rPr>
        <w:t xml:space="preserve"> </w:t>
      </w:r>
      <w:r>
        <w:rPr>
          <w:rFonts w:ascii="Times New Roman" w:hAnsi="Times New Roman"/>
          <w:b w:val="false"/>
          <w:color w:val="000000"/>
          <w:sz w:val="20"/>
        </w:rPr>
        <w:t>Capital Gains Fee will be payable for such year.</w:t>
      </w:r>
    </w:p>
    <w:p>
      <w:pPr>
        <w:pStyle w:val="TextBody"/>
        <w:bidi w:val="0"/>
        <w:spacing w:before="0" w:after="240"/>
        <w:jc w:val="both"/>
        <w:rPr>
          <w:rFonts w:ascii="Times New Roman" w:hAnsi="Times New Roman"/>
          <w:sz w:val="20"/>
        </w:rPr>
      </w:pPr>
      <w:r>
        <w:rPr>
          <w:rFonts w:ascii="Times New Roman" w:hAnsi="Times New Roman"/>
          <w:b w:val="false"/>
          <w:color w:val="000000"/>
          <w:sz w:val="20"/>
        </w:rPr>
        <w:t>For the three and nine months ended September 30, 2023, RGC earned incentive fees of $5.5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$15.0</w:t>
      </w:r>
      <w:r>
        <w:rPr>
          <w:rFonts w:ascii="Times New Roman" w:hAnsi="Times New Roman"/>
          <w:color w:val="000000"/>
          <w:sz w:val="20"/>
        </w:rPr>
        <w:t xml:space="preserve"> </w:t>
      </w:r>
      <w:r>
        <w:rPr>
          <w:rFonts w:ascii="Times New Roman" w:hAnsi="Times New Roman"/>
          <w:b w:val="false"/>
          <w:color w:val="000000"/>
          <w:sz w:val="20"/>
        </w:rPr>
        <w:t>million, respectively; $4.0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$10.9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which were payable in cash, respectively, and $1.5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$4.1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were accrued and generated from deferred interest, respectively. For the three and nine months ended September 30, 2022, RGC earned incentive fees of $3.6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$8.6</w:t>
      </w:r>
      <w:r>
        <w:rPr>
          <w:rFonts w:ascii="Times New Roman" w:hAnsi="Times New Roman"/>
          <w:color w:val="000000"/>
          <w:sz w:val="20"/>
        </w:rPr>
        <w:t xml:space="preserve"> </w:t>
      </w:r>
      <w:r>
        <w:rPr>
          <w:rFonts w:ascii="Times New Roman" w:hAnsi="Times New Roman"/>
          <w:b w:val="false"/>
          <w:color w:val="000000"/>
          <w:sz w:val="20"/>
        </w:rPr>
        <w:t>million, respectively; of which $3.2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$7.3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were payable in cash, respectively, and $0.4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were accrued and generated from deferred interest, respectively. All incentive fees accrued and generated from deferred interest (i.e., PIK and certain discount accretion) are not payable until receipt of respective cash by the Company. As of September 30, 2023, $4.3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were payable in cash, and $8.4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were deferred incentive fees payable, both of which are included in incentive fees payable on the Statements of Assets and Liabilities. As of December 31, 2022, $3.8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were payable in cash, and $5.0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were deferred incentive fees payable, both of which are included in incentive fees payable on the Statements of Assets and Liabilities.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capital gains incentive fee consists of fees related to realized gains and losses and unrealized capital losses. With respect to the incentive fee expense accrual related to the capital gains incentive fee, U.S. GAAP requires that the capital gains incentive fee accrual consider the cumulative aggregate unrealized gains in the calculation, as a capital gains incentive fee would be payable if such unrealized gains were realized even though such unrealized gains are not permitted to be considered in calculating the fee actually payable under the Advisory Agreement. As of each of September 30, 2023 and December 31, 2022, there was no</w:t>
      </w:r>
      <w:r>
        <w:rPr>
          <w:rFonts w:ascii="Times New Roman" w:hAnsi="Times New Roman"/>
          <w:color w:val="000000"/>
          <w:sz w:val="20"/>
        </w:rPr>
        <w:t xml:space="preserve"> </w:t>
      </w:r>
      <w:r>
        <w:rPr>
          <w:rFonts w:ascii="Times New Roman" w:hAnsi="Times New Roman"/>
          <w:b w:val="false"/>
          <w:color w:val="000000"/>
          <w:sz w:val="20"/>
        </w:rPr>
        <w:t>capital gains incentive fee accrued, earned or payable to RGC under the Advisory Agreement.</w:t>
      </w:r>
    </w:p>
    <w:p>
      <w:pPr>
        <w:pStyle w:val="TextBody"/>
        <w:bidi w:val="0"/>
        <w:spacing w:before="360" w:after="240"/>
        <w:jc w:val="left"/>
        <w:rPr>
          <w:rFonts w:ascii="Times New Roman" w:hAnsi="Times New Roman"/>
          <w:b w:val="false"/>
          <w:i/>
          <w:color w:val="000000"/>
          <w:sz w:val="20"/>
        </w:rPr>
      </w:pPr>
      <w:r>
        <w:rPr>
          <w:rFonts w:ascii="Times New Roman" w:hAnsi="Times New Roman"/>
          <w:b w:val="false"/>
          <w:i/>
          <w:color w:val="000000"/>
          <w:sz w:val="20"/>
        </w:rPr>
        <w:t>Spin-Off Incentive Fee</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Income Incentive Fee will be payable in connection with a Public Fund Spin-Off as follows. The Income Incentive Fee will be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 (x)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w:t>
      </w:r>
      <w:r>
        <w:rPr>
          <w:rFonts w:ascii="Times New Roman" w:hAnsi="Times New Roman"/>
          <w:color w:val="000000"/>
          <w:sz w:val="20"/>
        </w:rPr>
        <w:t xml:space="preserve"> </w:t>
      </w:r>
      <w:r>
        <w:rPr>
          <w:rFonts w:ascii="Times New Roman" w:hAnsi="Times New Roman"/>
          <w:b w:val="false"/>
          <w:color w:val="000000"/>
          <w:sz w:val="20"/>
        </w:rPr>
        <w:t>net investment income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Capital Gains Fee will be payable in respect of the exchanged shares of the Company’s common stock in connection with the Public Fund Spin-Off and will be calculated as of the date of the completion of the Public Fund Spin-Off as if such date were a calendar year-end for purposes of calculating and paying the Capital Gains Fee.</w:t>
      </w:r>
    </w:p>
    <w:p>
      <w:pPr>
        <w:pStyle w:val="TextBody"/>
        <w:bidi w:val="0"/>
        <w:spacing w:before="0" w:after="240"/>
        <w:jc w:val="both"/>
        <w:rPr>
          <w:rFonts w:ascii="Times New Roman" w:hAnsi="Times New Roman"/>
          <w:sz w:val="20"/>
        </w:rPr>
      </w:pPr>
      <w:r>
        <w:rPr>
          <w:rFonts w:ascii="Times New Roman" w:hAnsi="Times New Roman"/>
          <w:b w:val="false"/>
          <w:color w:val="000000"/>
          <w:sz w:val="20"/>
        </w:rPr>
        <w:t>No Income Incentive Fee or Capital Gains Fee will be payable in connection with the Public Fund Spin-Off unless, on the date of the completion of the Public Fund Spin-Off, the sum of the Company’s (i) pre-incentive fee</w:t>
      </w:r>
      <w:r>
        <w:rPr>
          <w:rFonts w:ascii="Times New Roman" w:hAnsi="Times New Roman"/>
          <w:color w:val="000000"/>
          <w:sz w:val="20"/>
        </w:rPr>
        <w:t xml:space="preserve"> </w:t>
      </w:r>
      <w:r>
        <w:rPr>
          <w:rFonts w:ascii="Times New Roman" w:hAnsi="Times New Roman"/>
          <w:b w:val="false"/>
          <w:color w:val="000000"/>
          <w:sz w:val="20"/>
        </w:rPr>
        <w:t>net investment income and (ii) realized capital gains less realized capital losses and unrealized capital losses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Administration Agreement</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Company reimburses the Administrator for the allocable portion of overhead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 as well as any expenses paid by the Administrator on the Company's behalf.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For the three months ended September 30, 2023, the Company incurred $0.4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Administration agreement expenses, of which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was payable to a third-party service provider and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was overhead allocation expense. For the nine months ended September 30, 2023, the Company incurred $1.6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Administration agreement expenses, of which $0.7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was payable to a third-party service provider and $0.9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was overhead allocation expense. As of September 30, 2023, the Company had accrued a net payable to the Administrator of $0.4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a payable to the third-party service provider of $0.3</w:t>
      </w:r>
      <w:r>
        <w:rPr>
          <w:rFonts w:ascii="Times New Roman" w:hAnsi="Times New Roman"/>
          <w:color w:val="000000"/>
          <w:sz w:val="20"/>
        </w:rPr>
        <w:t xml:space="preserve"> </w:t>
      </w:r>
      <w:r>
        <w:rPr>
          <w:rFonts w:ascii="Times New Roman" w:hAnsi="Times New Roman"/>
          <w:b w:val="false"/>
          <w:color w:val="000000"/>
          <w:sz w:val="20"/>
        </w:rPr>
        <w:t>million, which are included in Accrued expenses and other liabilities on the Statements of Assets and Liabilities. For the three months ended September 30, 2022, the Company incurred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Administration agreement expenses, of which $0.2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was payable to a third-party service provider and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was overhead allocation expense. For the nine months ended September 30, 2022, the Company incurred $1.3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Administration agreement expenses, of which $0.6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was payable to a third-party service provider and $0.7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was overhead allocation expense. As of September 30, 2022, the Company had accrued a net payable to the Administrator of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a payable to the third-party service provider of $0.2</w:t>
      </w:r>
      <w:r>
        <w:rPr>
          <w:rFonts w:ascii="Times New Roman" w:hAnsi="Times New Roman"/>
          <w:color w:val="000000"/>
          <w:sz w:val="20"/>
        </w:rPr>
        <w:t xml:space="preserve"> </w:t>
      </w:r>
      <w:r>
        <w:rPr>
          <w:rFonts w:ascii="Times New Roman" w:hAnsi="Times New Roman"/>
          <w:b w:val="false"/>
          <w:color w:val="000000"/>
          <w:sz w:val="20"/>
        </w:rPr>
        <w:t>million, which are included in Accrued expenses and other liabilities on the Statements of Assets and Liabilities.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for so long as RGC or one of its affiliates remains the Company’s investment adviser. Other than with respect to this limited license, the Company has no legal right to the “Runway Growth Finance” name.</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Strategic Relationship</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In December 2016, the Company and RGC entered into a strategic relationship with Oaktree Capital Management, L.P (“Oaktree”). In connection with the strategic relationship, OCM Growth Holdings ("OCM Growth") purchased an aggregate of 14,571,334</w:t>
      </w:r>
      <w:r>
        <w:rPr>
          <w:rFonts w:ascii="Times New Roman" w:hAnsi="Times New Roman"/>
          <w:color w:val="000000"/>
          <w:sz w:val="20"/>
        </w:rPr>
        <w:t xml:space="preserve"> </w:t>
      </w:r>
      <w:r>
        <w:rPr>
          <w:rFonts w:ascii="Times New Roman" w:hAnsi="Times New Roman"/>
          <w:b w:val="false"/>
          <w:color w:val="000000"/>
          <w:sz w:val="20"/>
        </w:rPr>
        <w:t>shares of the Company's common stock for an aggregate purchase price of $219.3</w:t>
      </w:r>
      <w:r>
        <w:rPr>
          <w:rFonts w:ascii="Times New Roman" w:hAnsi="Times New Roman"/>
          <w:color w:val="000000"/>
          <w:sz w:val="20"/>
        </w:rPr>
        <w:t xml:space="preserve"> </w:t>
      </w:r>
      <w:r>
        <w:rPr>
          <w:rFonts w:ascii="Times New Roman" w:hAnsi="Times New Roman"/>
          <w:b w:val="false"/>
          <w:color w:val="000000"/>
          <w:sz w:val="20"/>
        </w:rPr>
        <w:t>million in the Company's Initial Private Offering and Second Private Offering. As of September 30, 2023, OCM Growth and Oaktree Opportunities Fund Xb Holdings</w:t>
        <w:br/>
        <w:t>(Delaware), L.P. (together with OCM Growth, the “OCM Holders”), each an affiliate of Oaktree, own 21,030,568</w:t>
      </w:r>
      <w:r>
        <w:rPr>
          <w:rFonts w:ascii="Times New Roman" w:hAnsi="Times New Roman"/>
          <w:color w:val="000000"/>
          <w:sz w:val="20"/>
        </w:rPr>
        <w:t xml:space="preserve"> </w:t>
      </w:r>
      <w:r>
        <w:rPr>
          <w:rFonts w:ascii="Times New Roman" w:hAnsi="Times New Roman"/>
          <w:b w:val="false"/>
          <w:color w:val="000000"/>
          <w:sz w:val="20"/>
        </w:rPr>
        <w:t>shares and 24,100</w:t>
      </w:r>
      <w:r>
        <w:rPr>
          <w:rFonts w:ascii="Times New Roman" w:hAnsi="Times New Roman"/>
          <w:color w:val="000000"/>
          <w:sz w:val="20"/>
        </w:rPr>
        <w:t xml:space="preserve"> </w:t>
      </w:r>
      <w:r>
        <w:rPr>
          <w:rFonts w:ascii="Times New Roman" w:hAnsi="Times New Roman"/>
          <w:b w:val="false"/>
          <w:color w:val="000000"/>
          <w:sz w:val="20"/>
        </w:rPr>
        <w:t>shares of our common stock, respectively, or approximately 52%</w:t>
      </w:r>
      <w:r>
        <w:rPr>
          <w:rFonts w:ascii="Times New Roman" w:hAnsi="Times New Roman"/>
          <w:color w:val="000000"/>
          <w:sz w:val="20"/>
        </w:rPr>
        <w:t xml:space="preserve"> </w:t>
      </w:r>
      <w:r>
        <w:rPr>
          <w:rFonts w:ascii="Times New Roman" w:hAnsi="Times New Roman"/>
          <w:b w:val="false"/>
          <w:color w:val="000000"/>
          <w:sz w:val="20"/>
        </w:rPr>
        <w:t>of the Company's outstanding shares. Pursuant to an irrevocable proxy, certain shares held by OCM Growth must be voted in the same proportion that the Company's other stockholders vote their shares. Of the 21,054,668</w:t>
      </w:r>
      <w:r>
        <w:rPr>
          <w:rFonts w:ascii="Times New Roman" w:hAnsi="Times New Roman"/>
          <w:color w:val="000000"/>
          <w:sz w:val="20"/>
        </w:rPr>
        <w:t xml:space="preserve"> </w:t>
      </w:r>
      <w:r>
        <w:rPr>
          <w:rFonts w:ascii="Times New Roman" w:hAnsi="Times New Roman"/>
          <w:b w:val="false"/>
          <w:color w:val="000000"/>
          <w:sz w:val="20"/>
        </w:rPr>
        <w:t>shares of Company’s common stock owned by the OCM Holders, 19,896,113</w:t>
      </w:r>
      <w:r>
        <w:rPr>
          <w:rFonts w:ascii="Times New Roman" w:hAnsi="Times New Roman"/>
          <w:color w:val="000000"/>
          <w:sz w:val="20"/>
        </w:rPr>
        <w:t xml:space="preserve"> </w:t>
      </w:r>
      <w:r>
        <w:rPr>
          <w:rFonts w:ascii="Times New Roman" w:hAnsi="Times New Roman"/>
          <w:b w:val="false"/>
          <w:color w:val="000000"/>
          <w:sz w:val="20"/>
        </w:rPr>
        <w:t>shares, or approximately 49%</w:t>
      </w:r>
      <w:r>
        <w:rPr>
          <w:rFonts w:ascii="Times New Roman" w:hAnsi="Times New Roman"/>
          <w:color w:val="000000"/>
          <w:sz w:val="20"/>
        </w:rPr>
        <w:t xml:space="preserve"> </w:t>
      </w:r>
      <w:r>
        <w:rPr>
          <w:rFonts w:ascii="Times New Roman" w:hAnsi="Times New Roman"/>
          <w:b w:val="false"/>
          <w:color w:val="000000"/>
          <w:sz w:val="20"/>
        </w:rPr>
        <w:t>of the Company’s outstanding shares, are subject to this proxy voting arrangement.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In connection with OCM Growth’s commitment, the Company entered into a stockholder agreement, dated December 15, 2016, with OCM Growth, pursuant to which OCM Growth has a right to nominate a member of the Company’s Board of Directors for election for so long as OCM Growth holds shares of the Company’s common stock in an amount equal to, in the aggregate, at least one-third (33%) of OCM Growth’s initial $125.0</w:t>
      </w:r>
      <w:r>
        <w:rPr>
          <w:rFonts w:ascii="Times New Roman" w:hAnsi="Times New Roman"/>
          <w:color w:val="000000"/>
          <w:sz w:val="20"/>
        </w:rPr>
        <w:t xml:space="preserve"> </w:t>
      </w:r>
      <w:r>
        <w:rPr>
          <w:rFonts w:ascii="Times New Roman" w:hAnsi="Times New Roman"/>
          <w:b w:val="false"/>
          <w:color w:val="000000"/>
          <w:sz w:val="20"/>
        </w:rPr>
        <w:t>million capital commitment. Gregory M. Share, Managing Director of Oaktree's Global Opportunities Group in Los Angeles, serves on the Company’s Board of Directors as OCM Growth’s director nominee and is considered an interested director. OCM Growth also holds a minority interest in RGC and has the right to appoint a member of RGC’s board of managers and a member of RGC’s investment committee. Mr. Share is OCM Growth’s appointee to RGC’s board of managers and investment committee.</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4 – Investments</w:t>
      </w:r>
    </w:p>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Control and Affiliate Investments</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50.0% representation on the investee company's board of directors.</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Company’s affiliate and control investments as of September 30, 2023 along with the transactions during the nine months ended September 30, 2023 are as follows:</w:t>
      </w:r>
    </w:p>
    <w:tbl>
      <w:tblPr>
        <w:tblW w:w="10650" w:type="dxa"/>
        <w:jc w:val="left"/>
        <w:tblInd w:w="0" w:type="dxa"/>
        <w:tblLayout w:type="fixed"/>
        <w:tblCellMar>
          <w:top w:w="28" w:type="dxa"/>
          <w:left w:w="28" w:type="dxa"/>
          <w:bottom w:w="28" w:type="dxa"/>
          <w:right w:w="28" w:type="dxa"/>
        </w:tblCellMar>
      </w:tblPr>
      <w:tblGrid>
        <w:gridCol w:w="293"/>
        <w:gridCol w:w="493"/>
        <w:gridCol w:w="453"/>
        <w:gridCol w:w="146"/>
        <w:gridCol w:w="931"/>
        <w:gridCol w:w="146"/>
        <w:gridCol w:w="207"/>
        <w:gridCol w:w="154"/>
        <w:gridCol w:w="540"/>
        <w:gridCol w:w="146"/>
        <w:gridCol w:w="146"/>
        <w:gridCol w:w="196"/>
        <w:gridCol w:w="146"/>
        <w:gridCol w:w="511"/>
        <w:gridCol w:w="146"/>
        <w:gridCol w:w="146"/>
        <w:gridCol w:w="196"/>
        <w:gridCol w:w="146"/>
        <w:gridCol w:w="601"/>
        <w:gridCol w:w="146"/>
        <w:gridCol w:w="146"/>
        <w:gridCol w:w="199"/>
        <w:gridCol w:w="148"/>
        <w:gridCol w:w="584"/>
        <w:gridCol w:w="166"/>
        <w:gridCol w:w="146"/>
        <w:gridCol w:w="205"/>
        <w:gridCol w:w="153"/>
        <w:gridCol w:w="363"/>
        <w:gridCol w:w="146"/>
        <w:gridCol w:w="146"/>
        <w:gridCol w:w="196"/>
        <w:gridCol w:w="146"/>
        <w:gridCol w:w="571"/>
        <w:gridCol w:w="166"/>
        <w:gridCol w:w="146"/>
        <w:gridCol w:w="196"/>
        <w:gridCol w:w="146"/>
        <w:gridCol w:w="60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97"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Investment Income Earned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of December 31, 2022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 Additions</w:t>
            </w:r>
            <w:r>
              <w:rPr>
                <w:rFonts w:ascii="Times New Roman" w:hAnsi="Times New Roman"/>
                <w:b/>
                <w:color w:val="000000"/>
                <w:sz w:val="11"/>
              </w:rPr>
              <w:t>(1)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 Reductions</w:t>
            </w:r>
            <w:r>
              <w:rPr>
                <w:rFonts w:ascii="Times New Roman" w:hAnsi="Times New Roman"/>
                <w:b/>
                <w:color w:val="000000"/>
                <w:sz w:val="11"/>
              </w:rPr>
              <w:t>(2)</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September 30, 2023</w:t>
            </w:r>
            <w:r>
              <w:rPr>
                <w:rFonts w:ascii="Times New Roman" w:hAnsi="Times New Roman"/>
                <w:b/>
                <w:color w:val="000000"/>
                <w:sz w:val="11"/>
              </w:rPr>
              <w:t>(3)</w:t>
            </w:r>
          </w:p>
        </w:tc>
        <w:tc>
          <w:tcPr>
            <w:tcW w:w="191" w:type="dxa"/>
            <w:tcBorders/>
            <w:shd w:fill="FFFFFF" w:val="clear"/>
            <w:vAlign w:val="center"/>
          </w:tcPr>
          <w:p>
            <w:pPr>
              <w:pStyle w:val="TableContents"/>
              <w:bidi w:val="0"/>
              <w:spacing w:before="0" w:after="283"/>
              <w:jc w:val="center"/>
              <w:rPr/>
            </w:pPr>
            <w:r>
              <w:rPr/>
              <w:t> </w:t>
            </w:r>
          </w:p>
        </w:tc>
      </w:tr>
      <w:tr>
        <w:trPr/>
        <w:tc>
          <w:tcPr>
            <w:tcW w:w="12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51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2023"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5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SOFR+8.75%, 8.00% ceiling, 5.00% ETP, due 11/30/2026</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2023"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Senior Secured Term Loans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51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2023"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Preferred Stocks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5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Gynesonics, Inc.</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A-2 Preferred Stock</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2023"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Preferred Stocks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2023"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51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Coginiti Corp</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2023"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Common Stocks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2023"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5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Coginiti Corp</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Warrant for common stock, expires 3/09/2030</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859</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Gynesonics, Inc.</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Success fee</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2023"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6"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51,130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47,535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51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2023"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pPr>
            <w:r>
              <w:rPr/>
              <w:t> </w:t>
            </w:r>
          </w:p>
        </w:tc>
        <w:tc>
          <w:tcPr>
            <w:tcW w:w="51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Pivot3, Inc.</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LIBOR+8.50% PIK, 11.00% floor, 4.00% ETP, due 10/15/2023</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2023"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Senior Secured Term Loans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(3)</w:t>
      </w:r>
    </w:p>
    <w:p>
      <w:pPr>
        <w:pStyle w:val="TextBody"/>
        <w:bidi w:val="0"/>
        <w:jc w:val="both"/>
        <w:rPr>
          <w:rFonts w:ascii="Times New Roman" w:hAnsi="Times New Roman"/>
          <w:sz w:val="20"/>
        </w:rPr>
      </w:pPr>
      <w:r>
        <w:rPr>
          <w:rFonts w:ascii="Times New Roman" w:hAnsi="Times New Roman"/>
          <w:b w:val="false"/>
          <w:color w:val="000000"/>
          <w:sz w:val="16"/>
        </w:rPr>
        <w:t>All investments in the portfolio companies, which as of September 30, 2023 represented 10.36%</w:t>
      </w:r>
      <w:r>
        <w:rPr>
          <w:rFonts w:ascii="Times New Roman" w:hAnsi="Times New Roman"/>
          <w:color w:val="000000"/>
          <w:sz w:val="20"/>
        </w:rPr>
        <w:t xml:space="preserve"> </w:t>
      </w:r>
      <w:r>
        <w:rPr>
          <w:rFonts w:ascii="Times New Roman" w:hAnsi="Times New Roman"/>
          <w:b w:val="false"/>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The Company’s affiliate and control investments as of December 31, 2022, along with the transactions during the year ended December 31, 2022 are as follows:</w:t>
      </w:r>
    </w:p>
    <w:tbl>
      <w:tblPr>
        <w:tblW w:w="10679" w:type="dxa"/>
        <w:jc w:val="left"/>
        <w:tblInd w:w="0" w:type="dxa"/>
        <w:tblLayout w:type="fixed"/>
        <w:tblCellMar>
          <w:top w:w="28" w:type="dxa"/>
          <w:left w:w="28" w:type="dxa"/>
          <w:bottom w:w="28" w:type="dxa"/>
          <w:right w:w="28" w:type="dxa"/>
        </w:tblCellMar>
      </w:tblPr>
      <w:tblGrid>
        <w:gridCol w:w="293"/>
        <w:gridCol w:w="514"/>
        <w:gridCol w:w="267"/>
        <w:gridCol w:w="146"/>
        <w:gridCol w:w="931"/>
        <w:gridCol w:w="146"/>
        <w:gridCol w:w="207"/>
        <w:gridCol w:w="154"/>
        <w:gridCol w:w="540"/>
        <w:gridCol w:w="146"/>
        <w:gridCol w:w="146"/>
        <w:gridCol w:w="196"/>
        <w:gridCol w:w="146"/>
        <w:gridCol w:w="601"/>
        <w:gridCol w:w="146"/>
        <w:gridCol w:w="146"/>
        <w:gridCol w:w="196"/>
        <w:gridCol w:w="146"/>
        <w:gridCol w:w="511"/>
        <w:gridCol w:w="146"/>
        <w:gridCol w:w="146"/>
        <w:gridCol w:w="196"/>
        <w:gridCol w:w="146"/>
        <w:gridCol w:w="661"/>
        <w:gridCol w:w="166"/>
        <w:gridCol w:w="146"/>
        <w:gridCol w:w="196"/>
        <w:gridCol w:w="146"/>
        <w:gridCol w:w="571"/>
        <w:gridCol w:w="166"/>
        <w:gridCol w:w="146"/>
        <w:gridCol w:w="196"/>
        <w:gridCol w:w="146"/>
        <w:gridCol w:w="571"/>
        <w:gridCol w:w="166"/>
        <w:gridCol w:w="146"/>
        <w:gridCol w:w="196"/>
        <w:gridCol w:w="146"/>
        <w:gridCol w:w="51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Investment Income Earned 2022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of December 31, 2021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 Additions</w:t>
            </w:r>
            <w:r>
              <w:rPr>
                <w:rFonts w:ascii="Times New Roman" w:hAnsi="Times New Roman"/>
                <w:b/>
                <w:color w:val="000000"/>
                <w:sz w:val="11"/>
              </w:rPr>
              <w:t>(1)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 Reductions</w:t>
            </w:r>
            <w:r>
              <w:rPr>
                <w:rFonts w:ascii="Times New Roman" w:hAnsi="Times New Roman"/>
                <w:b/>
                <w:color w:val="000000"/>
                <w:sz w:val="11"/>
              </w:rPr>
              <w:t>(2)</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December 31, 2022</w:t>
            </w:r>
            <w:r>
              <w:rPr>
                <w:rFonts w:ascii="Times New Roman" w:hAnsi="Times New Roman"/>
                <w:b/>
                <w:color w:val="000000"/>
                <w:sz w:val="11"/>
              </w:rPr>
              <w:t>(3)</w:t>
            </w:r>
          </w:p>
        </w:tc>
        <w:tc>
          <w:tcPr>
            <w:tcW w:w="191" w:type="dxa"/>
            <w:tcBorders/>
            <w:shd w:fill="FFFFFF" w:val="clear"/>
            <w:vAlign w:val="center"/>
          </w:tcPr>
          <w:p>
            <w:pPr>
              <w:pStyle w:val="TableContents"/>
              <w:bidi w:val="0"/>
              <w:spacing w:before="0" w:after="283"/>
              <w:jc w:val="center"/>
              <w:rPr/>
            </w:pPr>
            <w:r>
              <w:rPr/>
              <w:t> </w:t>
            </w:r>
          </w:p>
        </w:tc>
      </w:tr>
      <w:tr>
        <w:trPr/>
        <w:tc>
          <w:tcPr>
            <w:tcW w:w="107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858"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781"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Coginiti Corp</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LIBOR+9.50% PIK, 10.81% floor, due 12/15/2022</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858"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Senior Secured Term Loans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858"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Coginiti Corp</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927" w:type="dxa"/>
            <w:gridSpan w:val="3"/>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Common Stocks</w:t>
            </w:r>
          </w:p>
        </w:tc>
        <w:tc>
          <w:tcPr>
            <w:tcW w:w="9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858"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781"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Coginiti Corp</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Warrant for Common Stock, exercise price $0.01/share, expires 3/9/2030</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858"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858"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51" w:type="dxa"/>
            <w:gridSpan w:val="5"/>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858"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Senior Secured Term Loans</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69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Mojix, Inc.</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LIBOR+12.00% , 12.00% cash cap, 5% ETP, due 1/15/2025</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sz w:val="4"/>
                <w:szCs w:val="4"/>
              </w:rPr>
            </w:pPr>
            <w:r>
              <w:rPr>
                <w:sz w:val="4"/>
                <w:szCs w:val="4"/>
              </w:rPr>
            </w:r>
          </w:p>
        </w:tc>
        <w:tc>
          <w:tcPr>
            <w:tcW w:w="514"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LIBOR+12.00% , 12.00% cash cap, 5% ETP, due 1/15/2025</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(2,818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5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LIBOR+12.00% , 12.00% cash cap, 5% ETP, due 1/15/2025</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sz w:val="4"/>
                <w:szCs w:val="4"/>
              </w:rPr>
            </w:pPr>
            <w:r>
              <w:rPr>
                <w:sz w:val="4"/>
                <w:szCs w:val="4"/>
              </w:rPr>
            </w:r>
          </w:p>
        </w:tc>
        <w:tc>
          <w:tcPr>
            <w:tcW w:w="514"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LIBOR+12.00% , 12.00% cash cap, 5% ETP, due 1/15/2025</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5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LIBOR+12.00% , 12.00% cash cap, 5% ETP, due 1/15/2025</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sz w:val="4"/>
                <w:szCs w:val="4"/>
              </w:rPr>
            </w:pPr>
            <w:r>
              <w:rPr>
                <w:sz w:val="4"/>
                <w:szCs w:val="4"/>
              </w:rPr>
            </w:r>
          </w:p>
        </w:tc>
        <w:tc>
          <w:tcPr>
            <w:tcW w:w="514"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LIBOR+12.00% , 12.00% cash cap, 5% ETP, due</w:t>
            </w:r>
            <w:r>
              <w:rPr>
                <w:rFonts w:ascii="Times New Roman" w:hAnsi="Times New Roman"/>
                <w:color w:val="000000"/>
                <w:sz w:val="20"/>
              </w:rPr>
              <w:t xml:space="preserve"> </w:t>
            </w:r>
            <w:r>
              <w:rPr>
                <w:rFonts w:ascii="Times New Roman" w:hAnsi="Times New Roman"/>
                <w:b w:val="false"/>
                <w:color w:val="000000"/>
                <w:sz w:val="16"/>
              </w:rPr>
              <w:t>1/15/2025</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Pivot3, Inc.</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LIBOR+8.50% PIK, 11.00% floor, due 11/15/2022</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858"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Senior Secured Term Loans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28,261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27"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Preferred Stocks</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781"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Mojix, Inc.</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A-1 Preferred Stock</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Pivot3 Holdings, Inc.</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Series 1 Preferred Stock</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1858" w:type="dxa"/>
            <w:gridSpan w:val="4"/>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Preferred Stocks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927" w:type="dxa"/>
            <w:gridSpan w:val="3"/>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69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pPr>
            <w:r>
              <w:rPr/>
              <w:t> </w:t>
            </w:r>
          </w:p>
        </w:tc>
        <w:tc>
          <w:tcPr>
            <w:tcW w:w="781" w:type="dxa"/>
            <w:gridSpan w:val="2"/>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Mojix, Inc.</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Warrant for Common Stock, exercise price $1.286/share, expires 12/13/2030</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5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Warrant for Common Stock, exercise price $2.1286/share, expires 12/13/2030</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3" w:type="dxa"/>
            <w:tcBorders/>
            <w:shd w:fill="CFF0FC" w:val="clear"/>
            <w:vAlign w:val="center"/>
          </w:tcPr>
          <w:p>
            <w:pPr>
              <w:pStyle w:val="TableContents"/>
              <w:bidi w:val="0"/>
              <w:spacing w:before="0" w:after="283"/>
              <w:jc w:val="left"/>
              <w:rPr>
                <w:sz w:val="4"/>
                <w:szCs w:val="4"/>
              </w:rPr>
            </w:pPr>
            <w:r>
              <w:rPr>
                <w:sz w:val="4"/>
                <w:szCs w:val="4"/>
              </w:rPr>
            </w:r>
          </w:p>
        </w:tc>
        <w:tc>
          <w:tcPr>
            <w:tcW w:w="514"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Warrant for Common Stock, exercise price $5.57338/share, expires 12/13/2030</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vAlign w:val="center"/>
          </w:tcPr>
          <w:p>
            <w:pPr>
              <w:pStyle w:val="TableContents"/>
              <w:bidi w:val="0"/>
              <w:spacing w:before="0" w:after="283"/>
              <w:jc w:val="left"/>
              <w:rPr/>
            </w:pPr>
            <w:r>
              <w:rPr/>
              <w:t> </w:t>
            </w:r>
          </w:p>
        </w:tc>
        <w:tc>
          <w:tcPr>
            <w:tcW w:w="1858" w:type="dxa"/>
            <w:gridSpan w:val="4"/>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1" w:type="dxa"/>
            <w:gridSpan w:val="5"/>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(3)</w:t>
      </w:r>
    </w:p>
    <w:p>
      <w:pPr>
        <w:pStyle w:val="TextBody"/>
        <w:bidi w:val="0"/>
        <w:jc w:val="both"/>
        <w:rPr>
          <w:rFonts w:ascii="Times New Roman" w:hAnsi="Times New Roman"/>
          <w:sz w:val="20"/>
        </w:rPr>
      </w:pPr>
      <w:r>
        <w:rPr>
          <w:rFonts w:ascii="Times New Roman" w:hAnsi="Times New Roman"/>
          <w:b w:val="false"/>
          <w:color w:val="000000"/>
          <w:sz w:val="16"/>
        </w:rPr>
        <w:t>All investments in the portfolio company, which as of December 31, 2022 represented 1.97%</w:t>
      </w:r>
      <w:r>
        <w:rPr>
          <w:rFonts w:ascii="Times New Roman" w:hAnsi="Times New Roman"/>
          <w:color w:val="000000"/>
          <w:sz w:val="20"/>
        </w:rPr>
        <w:t xml:space="preserve"> </w:t>
      </w:r>
      <w:r>
        <w:rPr>
          <w:rFonts w:ascii="Times New Roman" w:hAnsi="Times New Roman"/>
          <w:b w:val="false"/>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Portfolio Composition</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following tables show the fair value of the Company's portfolio of investments by geographic region and industry as of September 30, 2023 and December 31, 2022:</w:t>
      </w:r>
    </w:p>
    <w:tbl>
      <w:tblPr>
        <w:tblW w:w="10205" w:type="dxa"/>
        <w:jc w:val="left"/>
        <w:tblInd w:w="0" w:type="dxa"/>
        <w:tblLayout w:type="fixed"/>
        <w:tblCellMar>
          <w:top w:w="28" w:type="dxa"/>
          <w:left w:w="28" w:type="dxa"/>
          <w:bottom w:w="28" w:type="dxa"/>
          <w:right w:w="28" w:type="dxa"/>
        </w:tblCellMar>
      </w:tblPr>
      <w:tblGrid>
        <w:gridCol w:w="1900"/>
        <w:gridCol w:w="146"/>
        <w:gridCol w:w="316"/>
        <w:gridCol w:w="235"/>
        <w:gridCol w:w="1333"/>
        <w:gridCol w:w="146"/>
        <w:gridCol w:w="146"/>
        <w:gridCol w:w="231"/>
        <w:gridCol w:w="955"/>
        <w:gridCol w:w="231"/>
        <w:gridCol w:w="382"/>
        <w:gridCol w:w="146"/>
        <w:gridCol w:w="316"/>
        <w:gridCol w:w="235"/>
        <w:gridCol w:w="1333"/>
        <w:gridCol w:w="146"/>
        <w:gridCol w:w="146"/>
        <w:gridCol w:w="218"/>
        <w:gridCol w:w="900"/>
        <w:gridCol w:w="218"/>
        <w:gridCol w:w="526"/>
      </w:tblGrid>
      <w:tr>
        <w:trPr/>
        <w:tc>
          <w:tcPr>
            <w:tcW w:w="1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9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38"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1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Geographic Region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6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19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Western United States</w:t>
            </w:r>
          </w:p>
        </w:tc>
        <w:tc>
          <w:tcPr>
            <w:tcW w:w="146" w:type="dxa"/>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235"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362,323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63.50</w:t>
            </w:r>
          </w:p>
        </w:tc>
        <w:tc>
          <w:tcPr>
            <w:tcW w:w="231"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235"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346,372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60.13</w:t>
            </w:r>
          </w:p>
        </w:tc>
        <w:tc>
          <w:tcPr>
            <w:tcW w:w="218"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r>
      <w:tr>
        <w:trPr/>
        <w:tc>
          <w:tcPr>
            <w:tcW w:w="190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Northeastern United States</w:t>
            </w:r>
          </w:p>
        </w:tc>
        <w:tc>
          <w:tcPr>
            <w:tcW w:w="146" w:type="dxa"/>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257,623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45.16</w:t>
            </w:r>
          </w:p>
        </w:tc>
        <w:tc>
          <w:tcPr>
            <w:tcW w:w="231"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351,654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61.04</w:t>
            </w:r>
          </w:p>
        </w:tc>
        <w:tc>
          <w:tcPr>
            <w:tcW w:w="218"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r>
      <w:tr>
        <w:trPr/>
        <w:tc>
          <w:tcPr>
            <w:tcW w:w="19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Midwestern United States</w:t>
            </w:r>
          </w:p>
        </w:tc>
        <w:tc>
          <w:tcPr>
            <w:tcW w:w="146" w:type="dxa"/>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100,641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17.64</w:t>
            </w:r>
          </w:p>
        </w:tc>
        <w:tc>
          <w:tcPr>
            <w:tcW w:w="231"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74,745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12.98</w:t>
            </w:r>
          </w:p>
        </w:tc>
        <w:tc>
          <w:tcPr>
            <w:tcW w:w="218"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pPr>
            <w:r>
              <w:rPr/>
              <w:t> </w:t>
            </w:r>
          </w:p>
        </w:tc>
      </w:tr>
      <w:tr>
        <w:trPr/>
        <w:tc>
          <w:tcPr>
            <w:tcW w:w="190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South Central United States</w:t>
            </w:r>
          </w:p>
        </w:tc>
        <w:tc>
          <w:tcPr>
            <w:tcW w:w="146" w:type="dxa"/>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86,702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15.20</w:t>
            </w:r>
          </w:p>
        </w:tc>
        <w:tc>
          <w:tcPr>
            <w:tcW w:w="231"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14.76</w:t>
            </w:r>
          </w:p>
        </w:tc>
        <w:tc>
          <w:tcPr>
            <w:tcW w:w="218"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r>
      <w:tr>
        <w:trPr/>
        <w:tc>
          <w:tcPr>
            <w:tcW w:w="19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United Kingdom</w:t>
            </w:r>
          </w:p>
        </w:tc>
        <w:tc>
          <w:tcPr>
            <w:tcW w:w="146" w:type="dxa"/>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13.34</w:t>
            </w:r>
          </w:p>
        </w:tc>
        <w:tc>
          <w:tcPr>
            <w:tcW w:w="231"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60,783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10.55</w:t>
            </w:r>
          </w:p>
        </w:tc>
        <w:tc>
          <w:tcPr>
            <w:tcW w:w="218"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pPr>
            <w:r>
              <w:rPr/>
              <w:t> </w:t>
            </w:r>
          </w:p>
        </w:tc>
      </w:tr>
      <w:tr>
        <w:trPr/>
        <w:tc>
          <w:tcPr>
            <w:tcW w:w="190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Germany</w:t>
            </w:r>
          </w:p>
        </w:tc>
        <w:tc>
          <w:tcPr>
            <w:tcW w:w="146" w:type="dxa"/>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7.89</w:t>
            </w:r>
          </w:p>
        </w:tc>
        <w:tc>
          <w:tcPr>
            <w:tcW w:w="231"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8.07</w:t>
            </w:r>
          </w:p>
        </w:tc>
        <w:tc>
          <w:tcPr>
            <w:tcW w:w="218"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r>
      <w:tr>
        <w:trPr/>
        <w:tc>
          <w:tcPr>
            <w:tcW w:w="19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Southeastern United States</w:t>
            </w:r>
          </w:p>
        </w:tc>
        <w:tc>
          <w:tcPr>
            <w:tcW w:w="146" w:type="dxa"/>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7.30</w:t>
            </w:r>
          </w:p>
        </w:tc>
        <w:tc>
          <w:tcPr>
            <w:tcW w:w="231"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33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12.98</w:t>
            </w:r>
          </w:p>
        </w:tc>
        <w:tc>
          <w:tcPr>
            <w:tcW w:w="218"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pPr>
            <w:r>
              <w:rPr/>
              <w:t> </w:t>
            </w:r>
          </w:p>
        </w:tc>
      </w:tr>
      <w:tr>
        <w:trPr/>
        <w:tc>
          <w:tcPr>
            <w:tcW w:w="190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Northwestern United States</w:t>
            </w:r>
          </w:p>
        </w:tc>
        <w:tc>
          <w:tcPr>
            <w:tcW w:w="146" w:type="dxa"/>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26,468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4.64</w:t>
            </w:r>
          </w:p>
        </w:tc>
        <w:tc>
          <w:tcPr>
            <w:tcW w:w="231"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12.61</w:t>
            </w:r>
          </w:p>
        </w:tc>
        <w:tc>
          <w:tcPr>
            <w:tcW w:w="218"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r>
      <w:tr>
        <w:trPr/>
        <w:tc>
          <w:tcPr>
            <w:tcW w:w="19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Canada</w:t>
            </w:r>
          </w:p>
        </w:tc>
        <w:tc>
          <w:tcPr>
            <w:tcW w:w="146" w:type="dxa"/>
            <w:tcBorders/>
            <w:shd w:fill="CFF0FC" w:val="clear"/>
            <w:vAlign w:val="center"/>
          </w:tcPr>
          <w:p>
            <w:pPr>
              <w:pStyle w:val="TableContents"/>
              <w:bidi w:val="0"/>
              <w:spacing w:before="0" w:after="283"/>
              <w:jc w:val="center"/>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14,408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2.40</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pPr>
            <w:r>
              <w:rPr/>
              <w:t> </w:t>
            </w:r>
          </w:p>
        </w:tc>
      </w:tr>
      <w:tr>
        <w:trPr/>
        <w:tc>
          <w:tcPr>
            <w:tcW w:w="190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1,010,927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177.20</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1,126,309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195.52</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83"/>
        <w:gridCol w:w="146"/>
        <w:gridCol w:w="286"/>
        <w:gridCol w:w="212"/>
        <w:gridCol w:w="1206"/>
        <w:gridCol w:w="146"/>
        <w:gridCol w:w="146"/>
        <w:gridCol w:w="210"/>
        <w:gridCol w:w="866"/>
        <w:gridCol w:w="210"/>
        <w:gridCol w:w="347"/>
        <w:gridCol w:w="146"/>
        <w:gridCol w:w="286"/>
        <w:gridCol w:w="212"/>
        <w:gridCol w:w="1206"/>
        <w:gridCol w:w="146"/>
        <w:gridCol w:w="146"/>
        <w:gridCol w:w="200"/>
        <w:gridCol w:w="825"/>
        <w:gridCol w:w="200"/>
        <w:gridCol w:w="480"/>
      </w:tblGrid>
      <w:tr>
        <w:trPr/>
        <w:tc>
          <w:tcPr>
            <w:tcW w:w="2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5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0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2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25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Health Care Technology</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204,760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35.89</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240,844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41.81</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r>
      <w:tr>
        <w:trPr/>
        <w:tc>
          <w:tcPr>
            <w:tcW w:w="25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Application Software</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30.72</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31.96</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Data Processing &amp; Outsourced Services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20.72</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97,404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16.91</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Human Resource &amp; Employment Services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19.85</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16.98</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Internet Software and Services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15.82</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149,780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26.00</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System Software</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83,927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14.71</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13.58</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Property &amp; Casualty Insurance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75,050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13.16</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8.58</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Internet &amp; Direct Marketing Retail</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55,878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9.80</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9.72</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Electronic Equipment &amp; Instruments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9.14</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78,114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13.56</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Education Services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4.49</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4.39</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Health Care Equipment</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2.66</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27,433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4.76</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Technology Hardware, Storage &amp; Peripherals</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0.16</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0.19</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Specialized Consumer Services</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0.07</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0.14</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Biotechnology</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21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6.93</w:t>
            </w:r>
          </w:p>
        </w:tc>
        <w:tc>
          <w:tcPr>
            <w:tcW w:w="20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r>
      <w:tr>
        <w:trPr/>
        <w:tc>
          <w:tcPr>
            <w:tcW w:w="25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Computer &amp; Electronics Retail</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10"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2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200"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r>
      <w:tr>
        <w:trPr/>
        <w:tc>
          <w:tcPr>
            <w:tcW w:w="258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1,010,927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177.20</w:t>
            </w:r>
          </w:p>
        </w:tc>
        <w:tc>
          <w:tcPr>
            <w:tcW w:w="210"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1,126,309</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195.52</w:t>
            </w:r>
          </w:p>
        </w:tc>
        <w:tc>
          <w:tcPr>
            <w:tcW w:w="200"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pStyle w:val="TextBody"/>
        <w:bidi w:val="0"/>
        <w:spacing w:before="0" w:after="240"/>
        <w:jc w:val="both"/>
        <w:rPr>
          <w:rFonts w:ascii="Times New Roman" w:hAnsi="Times New Roman"/>
          <w:sz w:val="20"/>
        </w:rPr>
      </w:pPr>
      <w:r>
        <w:rPr>
          <w:rFonts w:ascii="Times New Roman" w:hAnsi="Times New Roman"/>
          <w:b w:val="false"/>
          <w:color w:val="000000"/>
          <w:sz w:val="20"/>
        </w:rPr>
        <w:t>Warrants provide exposure and potential gains upon equity gains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three and nine months ended September 30, 2023, the Company had net realized gains (losses) of $0.0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$(1.2) million, respectively, and a net unrealized gain (loss) of $(0.5) million</w:t>
      </w:r>
      <w:r>
        <w:rPr>
          <w:rFonts w:ascii="Times New Roman" w:hAnsi="Times New Roman"/>
          <w:color w:val="000000"/>
          <w:sz w:val="20"/>
        </w:rPr>
        <w:t xml:space="preserve"> </w:t>
      </w:r>
      <w:r>
        <w:rPr>
          <w:rFonts w:ascii="Times New Roman" w:hAnsi="Times New Roman"/>
          <w:b w:val="false"/>
          <w:color w:val="000000"/>
          <w:sz w:val="20"/>
        </w:rPr>
        <w:t>and $(3.1) million, respectively, from its investments in warrants. For the three and nine months ended September 30, 2022, the Company had net realized gains (losses) of $(0.6) million</w:t>
      </w:r>
      <w:r>
        <w:rPr>
          <w:rFonts w:ascii="Times New Roman" w:hAnsi="Times New Roman"/>
          <w:color w:val="000000"/>
          <w:sz w:val="20"/>
        </w:rPr>
        <w:t xml:space="preserve"> </w:t>
      </w:r>
      <w:r>
        <w:rPr>
          <w:rFonts w:ascii="Times New Roman" w:hAnsi="Times New Roman"/>
          <w:b w:val="false"/>
          <w:color w:val="000000"/>
          <w:sz w:val="20"/>
        </w:rPr>
        <w:t>and $(0.9) million, respectively, and a net unrealized gain (loss) of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$0.3</w:t>
      </w:r>
      <w:r>
        <w:rPr>
          <w:rFonts w:ascii="Times New Roman" w:hAnsi="Times New Roman"/>
          <w:color w:val="000000"/>
          <w:sz w:val="20"/>
        </w:rPr>
        <w:t xml:space="preserve"> </w:t>
      </w:r>
      <w:r>
        <w:rPr>
          <w:rFonts w:ascii="Times New Roman" w:hAnsi="Times New Roman"/>
          <w:b w:val="false"/>
          <w:color w:val="000000"/>
          <w:sz w:val="20"/>
        </w:rPr>
        <w:t>million, respectively, from its investments in warrants. Realized gains (losses) from warrants are included in the respective control, affiliate, or non-control/non-affiliate Net realized gain (loss) on investments on the Statements of Operations. Net change in unrealized gain (loss) from investments in warrants is included in the respective control, affiliate, or non-control/non-affiliate Net change in unrealized gain (loss) on investments on the Statements of Operations.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5 – Fair Value of Financial Instruments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Company’s assets recorded at fair value have been categorized based upon a fair value hierarchy in accordance with ASC Topic 820. Refer to "Note 2  –  Summary of Significant Accounting Policies" for a discussion of the Company’s policies.</w:t>
      </w:r>
    </w:p>
    <w:p>
      <w:pPr>
        <w:pStyle w:val="TextBody"/>
        <w:bidi w:val="0"/>
        <w:spacing w:before="0" w:after="240"/>
        <w:jc w:val="both"/>
        <w:rPr>
          <w:rFonts w:ascii="Times New Roman" w:hAnsi="Times New Roman"/>
          <w:sz w:val="20"/>
        </w:rPr>
      </w:pPr>
      <w:r>
        <w:rPr>
          <w:rFonts w:ascii="Times New Roman" w:hAnsi="Times New Roman"/>
          <w:b w:val="false"/>
          <w:color w:val="000000"/>
          <w:sz w:val="20"/>
        </w:rPr>
        <w:t>Investments measured at fair value on a recurring basis are categorized in the tables below based upon the lowest level of significant input to the valuations as of September 30, 2023 and December 31, 2022</w:t>
      </w:r>
      <w:r>
        <w:rPr>
          <w:rFonts w:ascii="Times New Roman" w:hAnsi="Times New Roman"/>
          <w:color w:val="000000"/>
          <w:sz w:val="20"/>
        </w:rPr>
        <w:t xml:space="preserve"> </w:t>
      </w:r>
      <w:r>
        <w:rPr>
          <w:rFonts w:ascii="Times New Roman" w:hAnsi="Times New Roman"/>
          <w:b w:val="false"/>
          <w:color w:val="000000"/>
          <w:sz w:val="20"/>
        </w:rPr>
        <w:t>(in thousands):</w:t>
      </w:r>
    </w:p>
    <w:tbl>
      <w:tblPr>
        <w:tblW w:w="7541" w:type="dxa"/>
        <w:jc w:val="left"/>
        <w:tblInd w:w="0" w:type="dxa"/>
        <w:tblLayout w:type="fixed"/>
        <w:tblCellMar>
          <w:top w:w="28" w:type="dxa"/>
          <w:left w:w="28" w:type="dxa"/>
          <w:bottom w:w="28" w:type="dxa"/>
          <w:right w:w="28" w:type="dxa"/>
        </w:tblCellMar>
      </w:tblPr>
      <w:tblGrid>
        <w:gridCol w:w="2216"/>
        <w:gridCol w:w="246"/>
        <w:gridCol w:w="246"/>
        <w:gridCol w:w="146"/>
        <w:gridCol w:w="601"/>
        <w:gridCol w:w="146"/>
        <w:gridCol w:w="146"/>
        <w:gridCol w:w="196"/>
        <w:gridCol w:w="146"/>
        <w:gridCol w:w="376"/>
        <w:gridCol w:w="146"/>
        <w:gridCol w:w="146"/>
        <w:gridCol w:w="196"/>
        <w:gridCol w:w="146"/>
        <w:gridCol w:w="691"/>
        <w:gridCol w:w="146"/>
        <w:gridCol w:w="146"/>
        <w:gridCol w:w="196"/>
        <w:gridCol w:w="146"/>
        <w:gridCol w:w="826"/>
        <w:gridCol w:w="291"/>
      </w:tblGrid>
      <w:tr>
        <w:trPr/>
        <w:tc>
          <w:tcPr>
            <w:tcW w:w="22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1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78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Investments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972"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ind w:left="0" w:right="0" w:firstLine="100"/>
              <w:jc w:val="center"/>
              <w:rPr/>
            </w:pPr>
            <w:r>
              <w:rPr/>
              <w:t> </w:t>
            </w:r>
          </w:p>
        </w:tc>
      </w:tr>
      <w:tr>
        <w:trPr/>
        <w:tc>
          <w:tcPr>
            <w:tcW w:w="22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b w:val="false"/>
                <w:color w:val="000000"/>
                <w:sz w:val="16"/>
              </w:rPr>
              <w:t>Senior Secured Term Loans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947,515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947,515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1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b w:val="false"/>
                <w:color w:val="000000"/>
                <w:sz w:val="16"/>
              </w:rPr>
              <w:t>Second Lien Term Loans</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b w:val="false"/>
                <w:color w:val="000000"/>
                <w:sz w:val="16"/>
              </w:rPr>
              <w:t>Preferred Stock</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22,039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33,258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16" w:type="dxa"/>
            <w:tcBorders/>
            <w:shd w:fill="CFF0FC"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b w:val="false"/>
                <w:color w:val="000000"/>
                <w:sz w:val="16"/>
              </w:rPr>
              <w:t>Common Stock</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1,963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b w:val="false"/>
                <w:color w:val="000000"/>
                <w:sz w:val="16"/>
              </w:rPr>
              <w:t>Warrants</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14,013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Portfolio Investments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998,434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1,010,927</w:t>
            </w:r>
          </w:p>
        </w:tc>
        <w:tc>
          <w:tcPr>
            <w:tcW w:w="291" w:type="dxa"/>
            <w:tcBorders/>
            <w:shd w:fill="CFF0FC" w:val="clear"/>
            <w:vAlign w:val="center"/>
          </w:tcPr>
          <w:p>
            <w:pPr>
              <w:pStyle w:val="TableContents"/>
              <w:bidi w:val="0"/>
              <w:spacing w:before="0" w:after="283"/>
              <w:jc w:val="left"/>
              <w:rPr/>
            </w:pPr>
            <w:r>
              <w:rPr/>
              <w:t> </w:t>
            </w:r>
          </w:p>
        </w:tc>
      </w:tr>
      <w:tr>
        <w:trPr/>
        <w:tc>
          <w:tcPr>
            <w:tcW w:w="221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equivalents</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7,480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998,434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1,018,407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tbl>
      <w:tblPr>
        <w:tblW w:w="7661" w:type="dxa"/>
        <w:jc w:val="left"/>
        <w:tblInd w:w="0" w:type="dxa"/>
        <w:tblLayout w:type="fixed"/>
        <w:tblCellMar>
          <w:top w:w="28" w:type="dxa"/>
          <w:left w:w="28" w:type="dxa"/>
          <w:bottom w:w="28" w:type="dxa"/>
          <w:right w:w="28" w:type="dxa"/>
        </w:tblCellMar>
      </w:tblPr>
      <w:tblGrid>
        <w:gridCol w:w="2216"/>
        <w:gridCol w:w="146"/>
        <w:gridCol w:w="196"/>
        <w:gridCol w:w="146"/>
        <w:gridCol w:w="601"/>
        <w:gridCol w:w="146"/>
        <w:gridCol w:w="146"/>
        <w:gridCol w:w="196"/>
        <w:gridCol w:w="146"/>
        <w:gridCol w:w="511"/>
        <w:gridCol w:w="146"/>
        <w:gridCol w:w="146"/>
        <w:gridCol w:w="196"/>
        <w:gridCol w:w="146"/>
        <w:gridCol w:w="826"/>
        <w:gridCol w:w="146"/>
        <w:gridCol w:w="146"/>
        <w:gridCol w:w="196"/>
        <w:gridCol w:w="146"/>
        <w:gridCol w:w="826"/>
        <w:gridCol w:w="291"/>
      </w:tblGrid>
      <w:tr>
        <w:trPr/>
        <w:tc>
          <w:tcPr>
            <w:tcW w:w="2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0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b w:val="false"/>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1,080,121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1,080,121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16"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b w:val="false"/>
                <w:color w:val="000000"/>
                <w:sz w:val="16"/>
              </w:rPr>
              <w:t>Second Lien Term Loans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13,654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b w:val="false"/>
                <w:color w:val="000000"/>
                <w:sz w:val="16"/>
              </w:rPr>
              <w:t>Preferred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12,682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16"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3,097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16"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b w:val="false"/>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Portfolio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1,111,946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1,126,309</w:t>
            </w:r>
          </w:p>
        </w:tc>
        <w:tc>
          <w:tcPr>
            <w:tcW w:w="291" w:type="dxa"/>
            <w:tcBorders/>
            <w:shd w:fill="CFF0FC" w:val="clear"/>
            <w:vAlign w:val="center"/>
          </w:tcPr>
          <w:p>
            <w:pPr>
              <w:pStyle w:val="TableContents"/>
              <w:bidi w:val="0"/>
              <w:spacing w:before="0" w:after="283"/>
              <w:jc w:val="left"/>
              <w:rPr/>
            </w:pPr>
            <w:r>
              <w:rPr/>
              <w:t> </w:t>
            </w:r>
          </w:p>
        </w:tc>
      </w:tr>
      <w:tr>
        <w:trPr/>
        <w:tc>
          <w:tcPr>
            <w:tcW w:w="221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1,111,946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1,131,899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The Company transfers investments in and out of Levels 1, 2 and 3 as of the beginning balance sheet date, based on changes in the use of observable and unobservable inputs utilized to perform the valuation for the period.</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The following table presents a rollforward of Level 3 assets measured at fair value as of September 30, 2023 (in thousands):</w:t>
      </w:r>
    </w:p>
    <w:tbl>
      <w:tblPr>
        <w:tblW w:w="10205" w:type="dxa"/>
        <w:jc w:val="left"/>
        <w:tblInd w:w="0" w:type="dxa"/>
        <w:tblLayout w:type="fixed"/>
        <w:tblCellMar>
          <w:top w:w="28" w:type="dxa"/>
          <w:left w:w="28" w:type="dxa"/>
          <w:bottom w:w="28" w:type="dxa"/>
          <w:right w:w="28" w:type="dxa"/>
        </w:tblCellMar>
      </w:tblPr>
      <w:tblGrid>
        <w:gridCol w:w="1900"/>
        <w:gridCol w:w="146"/>
        <w:gridCol w:w="206"/>
        <w:gridCol w:w="153"/>
        <w:gridCol w:w="631"/>
        <w:gridCol w:w="166"/>
        <w:gridCol w:w="146"/>
        <w:gridCol w:w="208"/>
        <w:gridCol w:w="155"/>
        <w:gridCol w:w="544"/>
        <w:gridCol w:w="166"/>
        <w:gridCol w:w="146"/>
        <w:gridCol w:w="219"/>
        <w:gridCol w:w="163"/>
        <w:gridCol w:w="926"/>
        <w:gridCol w:w="166"/>
        <w:gridCol w:w="146"/>
        <w:gridCol w:w="225"/>
        <w:gridCol w:w="168"/>
        <w:gridCol w:w="692"/>
        <w:gridCol w:w="146"/>
        <w:gridCol w:w="146"/>
        <w:gridCol w:w="196"/>
        <w:gridCol w:w="146"/>
        <w:gridCol w:w="601"/>
        <w:gridCol w:w="166"/>
        <w:gridCol w:w="146"/>
        <w:gridCol w:w="196"/>
        <w:gridCol w:w="146"/>
        <w:gridCol w:w="826"/>
        <w:gridCol w:w="218"/>
      </w:tblGrid>
      <w:tr>
        <w:trPr/>
        <w:tc>
          <w:tcPr>
            <w:tcW w:w="1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9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Term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 Term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Fair value at December 31, 2022</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3"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5"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3"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1,080,121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8"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1,111,946</w:t>
            </w:r>
          </w:p>
        </w:tc>
        <w:tc>
          <w:tcPr>
            <w:tcW w:w="218" w:type="dxa"/>
            <w:tcBorders/>
            <w:shd w:fill="CFF0FC" w:val="clear"/>
            <w:vAlign w:val="center"/>
          </w:tcPr>
          <w:p>
            <w:pPr>
              <w:pStyle w:val="TableContents"/>
              <w:bidi w:val="0"/>
              <w:spacing w:before="0" w:after="283"/>
              <w:jc w:val="left"/>
              <w:rPr/>
            </w:pPr>
            <w:r>
              <w:rPr/>
              <w:t> </w:t>
            </w:r>
          </w:p>
        </w:tc>
      </w:tr>
      <w:tr>
        <w:trPr/>
        <w:tc>
          <w:tcPr>
            <w:tcW w:w="190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Transfers out of Level 3</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(891</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00"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Purchases of investments</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78,611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105,117</w:t>
            </w:r>
          </w:p>
        </w:tc>
        <w:tc>
          <w:tcPr>
            <w:tcW w:w="218" w:type="dxa"/>
            <w:tcBorders/>
            <w:shd w:fill="CFF0FC" w:val="clear"/>
            <w:vAlign w:val="center"/>
          </w:tcPr>
          <w:p>
            <w:pPr>
              <w:pStyle w:val="TableContents"/>
              <w:bidi w:val="0"/>
              <w:spacing w:before="0" w:after="283"/>
              <w:jc w:val="left"/>
              <w:rPr/>
            </w:pPr>
            <w:r>
              <w:rPr/>
              <w:t> </w:t>
            </w:r>
          </w:p>
        </w:tc>
      </w:tr>
      <w:tr>
        <w:trPr/>
        <w:tc>
          <w:tcPr>
            <w:tcW w:w="190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PIK interest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15,334</w:t>
            </w:r>
          </w:p>
        </w:tc>
        <w:tc>
          <w:tcPr>
            <w:tcW w:w="218" w:type="dxa"/>
            <w:tcBorders/>
            <w:shd w:fill="FFFFFF" w:val="clear"/>
            <w:vAlign w:val="center"/>
          </w:tcPr>
          <w:p>
            <w:pPr>
              <w:pStyle w:val="TableContents"/>
              <w:bidi w:val="0"/>
              <w:spacing w:before="0" w:after="283"/>
              <w:jc w:val="left"/>
              <w:rPr/>
            </w:pPr>
            <w:r>
              <w:rPr/>
              <w:t> </w:t>
            </w:r>
          </w:p>
        </w:tc>
      </w:tr>
      <w:tr>
        <w:trPr/>
        <w:tc>
          <w:tcPr>
            <w:tcW w:w="1900"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Sales or repayments of investments</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(232,717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(232,717</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0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(1,178</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unrealized gain (loss)</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(3,308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(6,483</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0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Amortization of fixed income premiums or accretion of discounts</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7,306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Fair value at September 30, 2023</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947,515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998,434</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unrealized gain (loss) on Level 3 investments still held as of September 30, 2023</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(8,366</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Net of reorganization and restructuring of investments.</w:t>
      </w:r>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The following table presents a rollforward of Level 3 assets measured at fair value as of September 30, 2022 (in thousands):</w:t>
      </w:r>
    </w:p>
    <w:tbl>
      <w:tblPr>
        <w:tblW w:w="10205" w:type="dxa"/>
        <w:jc w:val="left"/>
        <w:tblInd w:w="0" w:type="dxa"/>
        <w:tblLayout w:type="fixed"/>
        <w:tblCellMar>
          <w:top w:w="28" w:type="dxa"/>
          <w:left w:w="28" w:type="dxa"/>
          <w:bottom w:w="28" w:type="dxa"/>
          <w:right w:w="28" w:type="dxa"/>
        </w:tblCellMar>
      </w:tblPr>
      <w:tblGrid>
        <w:gridCol w:w="1999"/>
        <w:gridCol w:w="146"/>
        <w:gridCol w:w="211"/>
        <w:gridCol w:w="157"/>
        <w:gridCol w:w="552"/>
        <w:gridCol w:w="166"/>
        <w:gridCol w:w="146"/>
        <w:gridCol w:w="207"/>
        <w:gridCol w:w="154"/>
        <w:gridCol w:w="603"/>
        <w:gridCol w:w="166"/>
        <w:gridCol w:w="146"/>
        <w:gridCol w:w="226"/>
        <w:gridCol w:w="168"/>
        <w:gridCol w:w="868"/>
        <w:gridCol w:w="166"/>
        <w:gridCol w:w="146"/>
        <w:gridCol w:w="229"/>
        <w:gridCol w:w="170"/>
        <w:gridCol w:w="703"/>
        <w:gridCol w:w="166"/>
        <w:gridCol w:w="146"/>
        <w:gridCol w:w="196"/>
        <w:gridCol w:w="146"/>
        <w:gridCol w:w="601"/>
        <w:gridCol w:w="166"/>
        <w:gridCol w:w="146"/>
        <w:gridCol w:w="196"/>
        <w:gridCol w:w="146"/>
        <w:gridCol w:w="751"/>
        <w:gridCol w:w="216"/>
      </w:tblGrid>
      <w:tr>
        <w:trPr/>
        <w:tc>
          <w:tcPr>
            <w:tcW w:w="1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9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Term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 Term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Fair value at December 31, 2021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7"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4"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8"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623,054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0"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657,346</w:t>
            </w:r>
          </w:p>
        </w:tc>
        <w:tc>
          <w:tcPr>
            <w:tcW w:w="216" w:type="dxa"/>
            <w:tcBorders/>
            <w:shd w:fill="CFF0FC" w:val="clear"/>
            <w:vAlign w:val="center"/>
          </w:tcPr>
          <w:p>
            <w:pPr>
              <w:pStyle w:val="TableContents"/>
              <w:bidi w:val="0"/>
              <w:spacing w:before="0" w:after="283"/>
              <w:jc w:val="left"/>
              <w:rPr/>
            </w:pPr>
            <w:r>
              <w:rPr/>
              <w:t> </w:t>
            </w:r>
          </w:p>
        </w:tc>
      </w:tr>
      <w:tr>
        <w:trPr/>
        <w:tc>
          <w:tcPr>
            <w:tcW w:w="19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Transfers out of Level 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(2,239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(2,239</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99"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Purchases of investments</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385,651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392,693</w:t>
            </w:r>
          </w:p>
        </w:tc>
        <w:tc>
          <w:tcPr>
            <w:tcW w:w="216" w:type="dxa"/>
            <w:tcBorders/>
            <w:shd w:fill="CFF0FC" w:val="clear"/>
            <w:vAlign w:val="center"/>
          </w:tcPr>
          <w:p>
            <w:pPr>
              <w:pStyle w:val="TableContents"/>
              <w:bidi w:val="0"/>
              <w:spacing w:before="0" w:after="283"/>
              <w:jc w:val="left"/>
              <w:rPr/>
            </w:pPr>
            <w:r>
              <w:rPr/>
              <w:t> </w:t>
            </w:r>
          </w:p>
        </w:tc>
      </w:tr>
      <w:tr>
        <w:trPr/>
        <w:tc>
          <w:tcPr>
            <w:tcW w:w="19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PIK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6,345</w:t>
            </w:r>
          </w:p>
        </w:tc>
        <w:tc>
          <w:tcPr>
            <w:tcW w:w="216" w:type="dxa"/>
            <w:tcBorders/>
            <w:shd w:fill="FFFFFF" w:val="clear"/>
            <w:vAlign w:val="center"/>
          </w:tcPr>
          <w:p>
            <w:pPr>
              <w:pStyle w:val="TableContents"/>
              <w:bidi w:val="0"/>
              <w:spacing w:before="0" w:after="283"/>
              <w:jc w:val="left"/>
              <w:rPr/>
            </w:pPr>
            <w:r>
              <w:rPr/>
              <w:t> </w:t>
            </w:r>
          </w:p>
        </w:tc>
      </w:tr>
      <w:tr>
        <w:trPr/>
        <w:tc>
          <w:tcPr>
            <w:tcW w:w="1999"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Sales or repayments of investments</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(143,171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(145,479</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(851</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unrealized gain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(13,349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(16,527</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Amortization of fixed income premiums or accretion of discounts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4,576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Fair Value at September 30, 2022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862,528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895,864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unrealized gain (loss) on Level 3 investments still held as of September 30, 2022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(17,715</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Net of reorganization and restructuring of investments.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The following table provides quantitative information regarding Level 3 fair value measurements as of September 30, 2023 (in thousands):</w:t>
      </w:r>
    </w:p>
    <w:tbl>
      <w:tblPr>
        <w:tblW w:w="10205" w:type="dxa"/>
        <w:jc w:val="left"/>
        <w:tblInd w:w="0" w:type="dxa"/>
        <w:tblLayout w:type="fixed"/>
        <w:tblCellMar>
          <w:top w:w="28" w:type="dxa"/>
          <w:left w:w="28" w:type="dxa"/>
          <w:bottom w:w="28" w:type="dxa"/>
          <w:right w:w="28" w:type="dxa"/>
        </w:tblCellMar>
      </w:tblPr>
      <w:tblGrid>
        <w:gridCol w:w="1689"/>
        <w:gridCol w:w="146"/>
        <w:gridCol w:w="196"/>
        <w:gridCol w:w="146"/>
        <w:gridCol w:w="691"/>
        <w:gridCol w:w="146"/>
        <w:gridCol w:w="146"/>
        <w:gridCol w:w="3253"/>
        <w:gridCol w:w="146"/>
        <w:gridCol w:w="1622"/>
        <w:gridCol w:w="146"/>
        <w:gridCol w:w="1878"/>
      </w:tblGrid>
      <w:tr>
        <w:trPr/>
        <w:tc>
          <w:tcPr>
            <w:tcW w:w="1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r>
      <w:tr>
        <w:trPr/>
        <w:tc>
          <w:tcPr>
            <w:tcW w:w="1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1689"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Senior Secured Term Loans</w:t>
            </w:r>
            <w:r>
              <w:rPr>
                <w:rFonts w:ascii="Times New Roman" w:hAnsi="Times New Roman"/>
                <w:b w:val="false"/>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912,757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Discounted Cash Flow analysis</w:t>
            </w:r>
          </w:p>
        </w:tc>
        <w:tc>
          <w:tcPr>
            <w:tcW w:w="146"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Discount rate</w:t>
            </w:r>
          </w:p>
        </w:tc>
        <w:tc>
          <w:tcPr>
            <w:tcW w:w="146" w:type="dxa"/>
            <w:tcBorders/>
            <w:shd w:fill="FFFFFF" w:val="clear"/>
            <w:vAlign w:val="center"/>
          </w:tcPr>
          <w:p>
            <w:pPr>
              <w:pStyle w:val="TableContents"/>
              <w:bidi w:val="0"/>
              <w:spacing w:before="0" w:after="283"/>
              <w:jc w:val="center"/>
              <w:rPr/>
            </w:pPr>
            <w:r>
              <w:rPr/>
              <w:t> </w:t>
            </w:r>
          </w:p>
        </w:tc>
        <w:tc>
          <w:tcPr>
            <w:tcW w:w="187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11.6% - 20.6% (15.3%)</w:t>
            </w:r>
          </w:p>
        </w:tc>
      </w:tr>
      <w:tr>
        <w:trPr/>
        <w:tc>
          <w:tcPr>
            <w:tcW w:w="16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Market approach</w:t>
            </w:r>
          </w:p>
        </w:tc>
        <w:tc>
          <w:tcPr>
            <w:tcW w:w="146" w:type="dxa"/>
            <w:tcBorders/>
            <w:shd w:fill="CFF0FC" w:val="clear"/>
            <w:vAlign w:val="center"/>
          </w:tcPr>
          <w:p>
            <w:pPr>
              <w:pStyle w:val="TableContents"/>
              <w:bidi w:val="0"/>
              <w:spacing w:before="0" w:after="283"/>
              <w:jc w:val="left"/>
              <w:rPr/>
            </w:pPr>
            <w:r>
              <w:rPr/>
              <w:t> </w:t>
            </w:r>
          </w:p>
        </w:tc>
        <w:tc>
          <w:tcPr>
            <w:tcW w:w="16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Origination yield</w:t>
            </w:r>
          </w:p>
        </w:tc>
        <w:tc>
          <w:tcPr>
            <w:tcW w:w="146" w:type="dxa"/>
            <w:tcBorders/>
            <w:shd w:fill="CFF0FC" w:val="clear"/>
            <w:vAlign w:val="center"/>
          </w:tcPr>
          <w:p>
            <w:pPr>
              <w:pStyle w:val="TableContents"/>
              <w:bidi w:val="0"/>
              <w:spacing w:before="0" w:after="283"/>
              <w:jc w:val="center"/>
              <w:rPr/>
            </w:pPr>
            <w:r>
              <w:rPr/>
              <w:t> </w:t>
            </w:r>
          </w:p>
        </w:tc>
        <w:tc>
          <w:tcPr>
            <w:tcW w:w="187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9.7% - 15.9% (12.7%)</w:t>
            </w:r>
          </w:p>
        </w:tc>
      </w:tr>
      <w:tr>
        <w:trPr/>
        <w:tc>
          <w:tcPr>
            <w:tcW w:w="16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PWERM</w:t>
            </w:r>
          </w:p>
        </w:tc>
        <w:tc>
          <w:tcPr>
            <w:tcW w:w="146"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Discount rate</w:t>
            </w:r>
          </w:p>
        </w:tc>
        <w:tc>
          <w:tcPr>
            <w:tcW w:w="146" w:type="dxa"/>
            <w:tcBorders/>
            <w:shd w:fill="FFFFFF" w:val="clear"/>
            <w:vAlign w:val="center"/>
          </w:tcPr>
          <w:p>
            <w:pPr>
              <w:pStyle w:val="TableContents"/>
              <w:bidi w:val="0"/>
              <w:spacing w:before="0" w:after="283"/>
              <w:jc w:val="center"/>
              <w:rPr/>
            </w:pPr>
            <w:r>
              <w:rPr/>
              <w:t> </w:t>
            </w:r>
          </w:p>
        </w:tc>
        <w:tc>
          <w:tcPr>
            <w:tcW w:w="187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21.5% - 42.5% (35.9%)</w:t>
            </w:r>
          </w:p>
        </w:tc>
      </w:tr>
      <w:tr>
        <w:trPr/>
        <w:tc>
          <w:tcPr>
            <w:tcW w:w="1689"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Second Lien Term Loans</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Discounted Cash Flow analysis</w:t>
            </w:r>
          </w:p>
        </w:tc>
        <w:tc>
          <w:tcPr>
            <w:tcW w:w="146" w:type="dxa"/>
            <w:tcBorders/>
            <w:shd w:fill="CFF0FC" w:val="clear"/>
            <w:vAlign w:val="center"/>
          </w:tcPr>
          <w:p>
            <w:pPr>
              <w:pStyle w:val="TableContents"/>
              <w:bidi w:val="0"/>
              <w:spacing w:before="0" w:after="283"/>
              <w:jc w:val="left"/>
              <w:rPr/>
            </w:pPr>
            <w:r>
              <w:rPr/>
              <w:t> </w:t>
            </w:r>
          </w:p>
        </w:tc>
        <w:tc>
          <w:tcPr>
            <w:tcW w:w="16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87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16.8% - 16.8% (16.8%)</w:t>
            </w:r>
          </w:p>
        </w:tc>
      </w:tr>
      <w:tr>
        <w:trPr/>
        <w:tc>
          <w:tcPr>
            <w:tcW w:w="16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Market approach</w:t>
            </w:r>
          </w:p>
        </w:tc>
        <w:tc>
          <w:tcPr>
            <w:tcW w:w="146"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Origination yield</w:t>
            </w:r>
          </w:p>
        </w:tc>
        <w:tc>
          <w:tcPr>
            <w:tcW w:w="146" w:type="dxa"/>
            <w:tcBorders/>
            <w:shd w:fill="FFFFFF" w:val="clear"/>
            <w:vAlign w:val="center"/>
          </w:tcPr>
          <w:p>
            <w:pPr>
              <w:pStyle w:val="TableContents"/>
              <w:bidi w:val="0"/>
              <w:spacing w:before="0" w:after="283"/>
              <w:jc w:val="center"/>
              <w:rPr/>
            </w:pPr>
            <w:r>
              <w:rPr/>
              <w:t> </w:t>
            </w:r>
          </w:p>
        </w:tc>
        <w:tc>
          <w:tcPr>
            <w:tcW w:w="187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16.7% - 16.7% (16.7%)</w:t>
            </w:r>
          </w:p>
        </w:tc>
      </w:tr>
      <w:tr>
        <w:trPr/>
        <w:tc>
          <w:tcPr>
            <w:tcW w:w="16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Preferred Stock</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Recent private market and merger and acquisition transaction prices</w:t>
            </w:r>
          </w:p>
        </w:tc>
        <w:tc>
          <w:tcPr>
            <w:tcW w:w="146" w:type="dxa"/>
            <w:tcBorders/>
            <w:shd w:fill="CFF0FC" w:val="clear"/>
            <w:vAlign w:val="center"/>
          </w:tcPr>
          <w:p>
            <w:pPr>
              <w:pStyle w:val="TableContents"/>
              <w:bidi w:val="0"/>
              <w:spacing w:before="0" w:after="283"/>
              <w:jc w:val="left"/>
              <w:rPr/>
            </w:pPr>
            <w:r>
              <w:rPr/>
              <w:t> </w:t>
            </w:r>
          </w:p>
        </w:tc>
        <w:tc>
          <w:tcPr>
            <w:tcW w:w="16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187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r>
      <w:tr>
        <w:trPr/>
        <w:tc>
          <w:tcPr>
            <w:tcW w:w="16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21,807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Option pricing model</w:t>
            </w:r>
          </w:p>
        </w:tc>
        <w:tc>
          <w:tcPr>
            <w:tcW w:w="146"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Risk-Free Rate</w:t>
            </w:r>
          </w:p>
        </w:tc>
        <w:tc>
          <w:tcPr>
            <w:tcW w:w="146" w:type="dxa"/>
            <w:tcBorders/>
            <w:shd w:fill="FFFFFF" w:val="clear"/>
            <w:vAlign w:val="center"/>
          </w:tcPr>
          <w:p>
            <w:pPr>
              <w:pStyle w:val="TableContents"/>
              <w:bidi w:val="0"/>
              <w:spacing w:before="0" w:after="283"/>
              <w:jc w:val="center"/>
              <w:rPr/>
            </w:pPr>
            <w:r>
              <w:rPr/>
              <w:t> </w:t>
            </w:r>
          </w:p>
        </w:tc>
        <w:tc>
          <w:tcPr>
            <w:tcW w:w="187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5.1% - 5.1% (5.1%)</w:t>
            </w:r>
          </w:p>
        </w:tc>
      </w:tr>
      <w:tr>
        <w:trPr/>
        <w:tc>
          <w:tcPr>
            <w:tcW w:w="16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Average industry volatility</w:t>
            </w:r>
          </w:p>
        </w:tc>
        <w:tc>
          <w:tcPr>
            <w:tcW w:w="146" w:type="dxa"/>
            <w:tcBorders/>
            <w:shd w:fill="CFF0FC" w:val="clear"/>
            <w:vAlign w:val="center"/>
          </w:tcPr>
          <w:p>
            <w:pPr>
              <w:pStyle w:val="TableContents"/>
              <w:bidi w:val="0"/>
              <w:spacing w:before="0" w:after="283"/>
              <w:jc w:val="center"/>
              <w:rPr/>
            </w:pPr>
            <w:r>
              <w:rPr/>
              <w:t> </w:t>
            </w:r>
          </w:p>
        </w:tc>
        <w:tc>
          <w:tcPr>
            <w:tcW w:w="187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50.0% - 50.0% (50.0%)</w:t>
            </w:r>
          </w:p>
        </w:tc>
      </w:tr>
      <w:tr>
        <w:trPr/>
        <w:tc>
          <w:tcPr>
            <w:tcW w:w="16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Estimated time to exit</w:t>
            </w:r>
          </w:p>
        </w:tc>
        <w:tc>
          <w:tcPr>
            <w:tcW w:w="146" w:type="dxa"/>
            <w:tcBorders/>
            <w:shd w:fill="FFFFFF" w:val="clear"/>
            <w:vAlign w:val="center"/>
          </w:tcPr>
          <w:p>
            <w:pPr>
              <w:pStyle w:val="TableContents"/>
              <w:bidi w:val="0"/>
              <w:spacing w:before="0" w:after="283"/>
              <w:jc w:val="center"/>
              <w:rPr/>
            </w:pPr>
            <w:r>
              <w:rPr/>
              <w:t> </w:t>
            </w:r>
          </w:p>
        </w:tc>
        <w:tc>
          <w:tcPr>
            <w:tcW w:w="1878"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6"/>
              </w:rPr>
              <w:t>1.7</w:t>
            </w:r>
            <w:r>
              <w:rPr>
                <w:rFonts w:ascii="Times New Roman" w:hAnsi="Times New Roman"/>
                <w:color w:val="000000"/>
                <w:sz w:val="20"/>
              </w:rPr>
              <w:t> </w:t>
            </w:r>
            <w:r>
              <w:rPr>
                <w:rFonts w:ascii="Times New Roman" w:hAnsi="Times New Roman"/>
                <w:b w:val="false"/>
                <w:color w:val="000000"/>
                <w:sz w:val="16"/>
              </w:rPr>
              <w:t>- 1.7</w:t>
            </w:r>
            <w:r>
              <w:rPr>
                <w:rFonts w:ascii="Times New Roman" w:hAnsi="Times New Roman"/>
                <w:color w:val="000000"/>
                <w:sz w:val="20"/>
              </w:rPr>
              <w:t> </w:t>
            </w:r>
            <w:r>
              <w:rPr>
                <w:rFonts w:ascii="Times New Roman" w:hAnsi="Times New Roman"/>
                <w:b w:val="false"/>
                <w:color w:val="000000"/>
                <w:sz w:val="16"/>
              </w:rPr>
              <w:t>(1.7</w:t>
            </w:r>
            <w:r>
              <w:rPr>
                <w:rFonts w:ascii="Times New Roman" w:hAnsi="Times New Roman"/>
                <w:color w:val="000000"/>
                <w:sz w:val="20"/>
              </w:rPr>
              <w:t> </w:t>
            </w:r>
            <w:r>
              <w:rPr>
                <w:rFonts w:ascii="Times New Roman" w:hAnsi="Times New Roman"/>
                <w:b w:val="false"/>
                <w:color w:val="000000"/>
                <w:sz w:val="16"/>
              </w:rPr>
              <w:t>years)</w:t>
            </w:r>
          </w:p>
        </w:tc>
      </w:tr>
      <w:tr>
        <w:trPr/>
        <w:tc>
          <w:tcPr>
            <w:tcW w:w="16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Revenue multiples</w:t>
            </w:r>
          </w:p>
        </w:tc>
        <w:tc>
          <w:tcPr>
            <w:tcW w:w="146" w:type="dxa"/>
            <w:tcBorders/>
            <w:shd w:fill="CFF0FC" w:val="clear"/>
            <w:vAlign w:val="center"/>
          </w:tcPr>
          <w:p>
            <w:pPr>
              <w:pStyle w:val="TableContents"/>
              <w:bidi w:val="0"/>
              <w:spacing w:before="0" w:after="283"/>
              <w:jc w:val="center"/>
              <w:rPr/>
            </w:pPr>
            <w:r>
              <w:rPr/>
              <w:t> </w:t>
            </w:r>
          </w:p>
        </w:tc>
        <w:tc>
          <w:tcPr>
            <w:tcW w:w="187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9.33x - 9.33x (9.33x)</w:t>
            </w:r>
          </w:p>
        </w:tc>
      </w:tr>
      <w:tr>
        <w:trPr/>
        <w:tc>
          <w:tcPr>
            <w:tcW w:w="168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3"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Recent private market and merger and acquisition transaction prices</w:t>
            </w:r>
          </w:p>
        </w:tc>
        <w:tc>
          <w:tcPr>
            <w:tcW w:w="146"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FFFFFF" w:val="clear"/>
            <w:vAlign w:val="center"/>
          </w:tcPr>
          <w:p>
            <w:pPr>
              <w:pStyle w:val="TableContents"/>
              <w:bidi w:val="0"/>
              <w:spacing w:before="0" w:after="283"/>
              <w:jc w:val="center"/>
              <w:rPr/>
            </w:pPr>
            <w:r>
              <w:rPr/>
              <w:t> </w:t>
            </w:r>
          </w:p>
        </w:tc>
        <w:tc>
          <w:tcPr>
            <w:tcW w:w="187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r>
      <w:tr>
        <w:trPr/>
        <w:tc>
          <w:tcPr>
            <w:tcW w:w="1689"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Warrants</w:t>
            </w:r>
            <w:r>
              <w:rPr>
                <w:rFonts w:ascii="Times New Roman" w:hAnsi="Times New Roman"/>
                <w:b w:val="false"/>
                <w:color w:val="000000"/>
                <w:sz w:val="11"/>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Option pricing model</w:t>
            </w:r>
          </w:p>
        </w:tc>
        <w:tc>
          <w:tcPr>
            <w:tcW w:w="146" w:type="dxa"/>
            <w:tcBorders/>
            <w:shd w:fill="CFF0FC" w:val="clear"/>
            <w:vAlign w:val="center"/>
          </w:tcPr>
          <w:p>
            <w:pPr>
              <w:pStyle w:val="TableContents"/>
              <w:bidi w:val="0"/>
              <w:spacing w:before="0" w:after="283"/>
              <w:jc w:val="left"/>
              <w:rPr/>
            </w:pPr>
            <w:r>
              <w:rPr/>
              <w:t> </w:t>
            </w:r>
          </w:p>
        </w:tc>
        <w:tc>
          <w:tcPr>
            <w:tcW w:w="16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Risk-free interest rate</w:t>
            </w:r>
          </w:p>
        </w:tc>
        <w:tc>
          <w:tcPr>
            <w:tcW w:w="146" w:type="dxa"/>
            <w:tcBorders/>
            <w:shd w:fill="CFF0FC" w:val="clear"/>
            <w:vAlign w:val="center"/>
          </w:tcPr>
          <w:p>
            <w:pPr>
              <w:pStyle w:val="TableContents"/>
              <w:bidi w:val="0"/>
              <w:spacing w:before="0" w:after="283"/>
              <w:jc w:val="center"/>
              <w:rPr/>
            </w:pPr>
            <w:r>
              <w:rPr/>
              <w:t> </w:t>
            </w:r>
          </w:p>
        </w:tc>
        <w:tc>
          <w:tcPr>
            <w:tcW w:w="187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4.2% - 5.5% (4.6%)</w:t>
            </w:r>
          </w:p>
        </w:tc>
      </w:tr>
      <w:tr>
        <w:trPr/>
        <w:tc>
          <w:tcPr>
            <w:tcW w:w="16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Average industry volatility</w:t>
            </w:r>
          </w:p>
        </w:tc>
        <w:tc>
          <w:tcPr>
            <w:tcW w:w="146" w:type="dxa"/>
            <w:tcBorders/>
            <w:shd w:fill="FFFFFF" w:val="clear"/>
            <w:vAlign w:val="center"/>
          </w:tcPr>
          <w:p>
            <w:pPr>
              <w:pStyle w:val="TableContents"/>
              <w:bidi w:val="0"/>
              <w:spacing w:before="0" w:after="283"/>
              <w:jc w:val="center"/>
              <w:rPr/>
            </w:pPr>
            <w:r>
              <w:rPr/>
              <w:t> </w:t>
            </w:r>
          </w:p>
        </w:tc>
        <w:tc>
          <w:tcPr>
            <w:tcW w:w="187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25.0% - 107.5% (47.5%)</w:t>
            </w:r>
          </w:p>
        </w:tc>
      </w:tr>
      <w:tr>
        <w:trPr/>
        <w:tc>
          <w:tcPr>
            <w:tcW w:w="16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Estimated time to exit</w:t>
            </w:r>
          </w:p>
        </w:tc>
        <w:tc>
          <w:tcPr>
            <w:tcW w:w="146" w:type="dxa"/>
            <w:tcBorders/>
            <w:shd w:fill="CFF0FC" w:val="clear"/>
            <w:vAlign w:val="center"/>
          </w:tcPr>
          <w:p>
            <w:pPr>
              <w:pStyle w:val="TableContents"/>
              <w:bidi w:val="0"/>
              <w:spacing w:before="0" w:after="283"/>
              <w:jc w:val="center"/>
              <w:rPr/>
            </w:pPr>
            <w:r>
              <w:rPr/>
              <w:t> </w:t>
            </w:r>
          </w:p>
        </w:tc>
        <w:tc>
          <w:tcPr>
            <w:tcW w:w="1878"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6"/>
              </w:rPr>
              <w:t>0.8</w:t>
            </w:r>
            <w:r>
              <w:rPr>
                <w:rFonts w:ascii="Times New Roman" w:hAnsi="Times New Roman"/>
                <w:color w:val="000000"/>
                <w:sz w:val="20"/>
              </w:rPr>
              <w:t> </w:t>
            </w:r>
            <w:r>
              <w:rPr>
                <w:rFonts w:ascii="Times New Roman" w:hAnsi="Times New Roman"/>
                <w:b w:val="false"/>
                <w:color w:val="000000"/>
                <w:sz w:val="16"/>
              </w:rPr>
              <w:t>- 8.4</w:t>
            </w:r>
            <w:r>
              <w:rPr>
                <w:rFonts w:ascii="Times New Roman" w:hAnsi="Times New Roman"/>
                <w:color w:val="000000"/>
                <w:sz w:val="20"/>
              </w:rPr>
              <w:t> </w:t>
            </w:r>
            <w:r>
              <w:rPr>
                <w:rFonts w:ascii="Times New Roman" w:hAnsi="Times New Roman"/>
                <w:b w:val="false"/>
                <w:color w:val="000000"/>
                <w:sz w:val="16"/>
              </w:rPr>
              <w:t>(2.9</w:t>
            </w:r>
            <w:r>
              <w:rPr>
                <w:rFonts w:ascii="Times New Roman" w:hAnsi="Times New Roman"/>
                <w:color w:val="000000"/>
                <w:sz w:val="20"/>
              </w:rPr>
              <w:t> </w:t>
            </w:r>
            <w:r>
              <w:rPr>
                <w:rFonts w:ascii="Times New Roman" w:hAnsi="Times New Roman"/>
                <w:b w:val="false"/>
                <w:color w:val="000000"/>
                <w:sz w:val="16"/>
              </w:rPr>
              <w:t>years)</w:t>
            </w:r>
          </w:p>
        </w:tc>
      </w:tr>
      <w:tr>
        <w:trPr/>
        <w:tc>
          <w:tcPr>
            <w:tcW w:w="16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Revenue multiples</w:t>
            </w:r>
          </w:p>
        </w:tc>
        <w:tc>
          <w:tcPr>
            <w:tcW w:w="146" w:type="dxa"/>
            <w:tcBorders/>
            <w:shd w:fill="FFFFFF" w:val="clear"/>
            <w:vAlign w:val="center"/>
          </w:tcPr>
          <w:p>
            <w:pPr>
              <w:pStyle w:val="TableContents"/>
              <w:bidi w:val="0"/>
              <w:spacing w:before="0" w:after="283"/>
              <w:jc w:val="center"/>
              <w:rPr/>
            </w:pPr>
            <w:r>
              <w:rPr/>
              <w:t> </w:t>
            </w:r>
          </w:p>
        </w:tc>
        <w:tc>
          <w:tcPr>
            <w:tcW w:w="187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1.01x - 6.57x (4.03x)</w:t>
            </w:r>
          </w:p>
        </w:tc>
      </w:tr>
      <w:tr>
        <w:trPr/>
        <w:tc>
          <w:tcPr>
            <w:tcW w:w="16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3"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PWERM</w:t>
            </w:r>
          </w:p>
        </w:tc>
        <w:tc>
          <w:tcPr>
            <w:tcW w:w="146" w:type="dxa"/>
            <w:tcBorders/>
            <w:shd w:fill="CFF0FC" w:val="clear"/>
            <w:vAlign w:val="center"/>
          </w:tcPr>
          <w:p>
            <w:pPr>
              <w:pStyle w:val="TableContents"/>
              <w:bidi w:val="0"/>
              <w:spacing w:before="0" w:after="283"/>
              <w:jc w:val="left"/>
              <w:rPr/>
            </w:pPr>
            <w:r>
              <w:rPr/>
              <w:t> </w:t>
            </w:r>
          </w:p>
        </w:tc>
        <w:tc>
          <w:tcPr>
            <w:tcW w:w="1622"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Discount rate</w:t>
            </w:r>
          </w:p>
        </w:tc>
        <w:tc>
          <w:tcPr>
            <w:tcW w:w="146" w:type="dxa"/>
            <w:tcBorders/>
            <w:shd w:fill="CFF0FC" w:val="clear"/>
            <w:vAlign w:val="center"/>
          </w:tcPr>
          <w:p>
            <w:pPr>
              <w:pStyle w:val="TableContents"/>
              <w:bidi w:val="0"/>
              <w:spacing w:before="0" w:after="283"/>
              <w:jc w:val="center"/>
              <w:rPr/>
            </w:pPr>
            <w:r>
              <w:rPr/>
              <w:t> </w:t>
            </w:r>
          </w:p>
        </w:tc>
        <w:tc>
          <w:tcPr>
            <w:tcW w:w="1878"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20.0% - 45.0% (34.2%)</w:t>
            </w:r>
          </w:p>
        </w:tc>
      </w:tr>
      <w:tr>
        <w:trPr/>
        <w:tc>
          <w:tcPr>
            <w:tcW w:w="16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Revenue multiples</w:t>
            </w:r>
          </w:p>
        </w:tc>
        <w:tc>
          <w:tcPr>
            <w:tcW w:w="146" w:type="dxa"/>
            <w:tcBorders/>
            <w:shd w:fill="FFFFFF" w:val="clear"/>
            <w:vAlign w:val="center"/>
          </w:tcPr>
          <w:p>
            <w:pPr>
              <w:pStyle w:val="TableContents"/>
              <w:bidi w:val="0"/>
              <w:spacing w:before="0" w:after="283"/>
              <w:jc w:val="center"/>
              <w:rPr/>
            </w:pPr>
            <w:r>
              <w:rPr/>
              <w:t> </w:t>
            </w:r>
          </w:p>
        </w:tc>
        <w:tc>
          <w:tcPr>
            <w:tcW w:w="1878"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2.53x - 224.09x (47.40x)</w:t>
            </w:r>
          </w:p>
        </w:tc>
      </w:tr>
      <w:tr>
        <w:trPr/>
        <w:tc>
          <w:tcPr>
            <w:tcW w:w="168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Level 3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998,434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2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8"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The following table provides quantitative information regarding Level 3 fair value measurements as of December 31, 2022 (in thousands):</w:t>
      </w:r>
    </w:p>
    <w:tbl>
      <w:tblPr>
        <w:tblW w:w="10205" w:type="dxa"/>
        <w:jc w:val="left"/>
        <w:tblInd w:w="0" w:type="dxa"/>
        <w:tblLayout w:type="fixed"/>
        <w:tblCellMar>
          <w:top w:w="28" w:type="dxa"/>
          <w:left w:w="28" w:type="dxa"/>
          <w:bottom w:w="28" w:type="dxa"/>
          <w:right w:w="28" w:type="dxa"/>
        </w:tblCellMar>
      </w:tblPr>
      <w:tblGrid>
        <w:gridCol w:w="1664"/>
        <w:gridCol w:w="146"/>
        <w:gridCol w:w="196"/>
        <w:gridCol w:w="146"/>
        <w:gridCol w:w="826"/>
        <w:gridCol w:w="146"/>
        <w:gridCol w:w="146"/>
        <w:gridCol w:w="3174"/>
        <w:gridCol w:w="146"/>
        <w:gridCol w:w="1604"/>
        <w:gridCol w:w="146"/>
        <w:gridCol w:w="1865"/>
      </w:tblGrid>
      <w:tr>
        <w:trPr/>
        <w:tc>
          <w:tcPr>
            <w:tcW w:w="1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1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166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Senior Secured Term Loans</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1,053,748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Discounted Cash Flow analysis</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Discount rate</w:t>
            </w:r>
          </w:p>
        </w:tc>
        <w:tc>
          <w:tcPr>
            <w:tcW w:w="146" w:type="dxa"/>
            <w:tcBorders/>
            <w:shd w:fill="CFF0FC" w:val="clear"/>
            <w:vAlign w:val="center"/>
          </w:tcPr>
          <w:p>
            <w:pPr>
              <w:pStyle w:val="TableContents"/>
              <w:bidi w:val="0"/>
              <w:spacing w:before="0" w:after="283"/>
              <w:jc w:val="left"/>
              <w:rPr/>
            </w:pPr>
            <w:r>
              <w:rPr/>
              <w:t> </w:t>
            </w:r>
          </w:p>
        </w:tc>
        <w:tc>
          <w:tcPr>
            <w:tcW w:w="186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11.1% - 28.0% (15.2%)</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Market approach</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Origination yield</w:t>
            </w:r>
          </w:p>
        </w:tc>
        <w:tc>
          <w:tcPr>
            <w:tcW w:w="146"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10.5% - 19.3% (12.9%)</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26,373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PWERM</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Discount rate</w:t>
            </w:r>
          </w:p>
        </w:tc>
        <w:tc>
          <w:tcPr>
            <w:tcW w:w="146" w:type="dxa"/>
            <w:tcBorders/>
            <w:shd w:fill="CFF0FC" w:val="clear"/>
            <w:vAlign w:val="center"/>
          </w:tcPr>
          <w:p>
            <w:pPr>
              <w:pStyle w:val="TableContents"/>
              <w:bidi w:val="0"/>
              <w:spacing w:before="0" w:after="283"/>
              <w:jc w:val="left"/>
              <w:rPr/>
            </w:pPr>
            <w:r>
              <w:rPr/>
              <w:t> </w:t>
            </w:r>
          </w:p>
        </w:tc>
        <w:tc>
          <w:tcPr>
            <w:tcW w:w="186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27.4% - 37.4% (30.9%)</w:t>
            </w:r>
          </w:p>
        </w:tc>
      </w:tr>
      <w:tr>
        <w:trPr/>
        <w:tc>
          <w:tcPr>
            <w:tcW w:w="166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Second Lien Term Loans</w:t>
            </w:r>
            <w:r>
              <w:rPr>
                <w:rFonts w:ascii="Times New Roman" w:hAnsi="Times New Roman"/>
                <w:b w:val="false"/>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Discounted Cash Flow analysis</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Discount rate</w:t>
            </w:r>
          </w:p>
        </w:tc>
        <w:tc>
          <w:tcPr>
            <w:tcW w:w="146"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16.1% - 16.1% (16.1%)</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Market approach</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Origination yield</w:t>
            </w:r>
          </w:p>
        </w:tc>
        <w:tc>
          <w:tcPr>
            <w:tcW w:w="146" w:type="dxa"/>
            <w:tcBorders/>
            <w:shd w:fill="CFF0FC" w:val="clear"/>
            <w:vAlign w:val="center"/>
          </w:tcPr>
          <w:p>
            <w:pPr>
              <w:pStyle w:val="TableContents"/>
              <w:bidi w:val="0"/>
              <w:spacing w:before="0" w:after="283"/>
              <w:jc w:val="left"/>
              <w:rPr/>
            </w:pPr>
            <w:r>
              <w:rPr/>
              <w:t> </w:t>
            </w:r>
          </w:p>
        </w:tc>
        <w:tc>
          <w:tcPr>
            <w:tcW w:w="186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12.2% - 12.2% (12.2%)</w:t>
            </w:r>
          </w:p>
        </w:tc>
      </w:tr>
      <w:tr>
        <w:trPr/>
        <w:tc>
          <w:tcPr>
            <w:tcW w:w="166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Preferred Stock</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Recent private market and merger and acquisition transaction prices</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r>
      <w:tr>
        <w:trPr/>
        <w:tc>
          <w:tcPr>
            <w:tcW w:w="166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7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Recent private market and merger and acquisition transaction prices</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c>
          <w:tcPr>
            <w:tcW w:w="146" w:type="dxa"/>
            <w:tcBorders/>
            <w:shd w:fill="CFF0FC" w:val="clear"/>
            <w:vAlign w:val="center"/>
          </w:tcPr>
          <w:p>
            <w:pPr>
              <w:pStyle w:val="TableContents"/>
              <w:bidi w:val="0"/>
              <w:spacing w:before="0" w:after="283"/>
              <w:jc w:val="center"/>
              <w:rPr/>
            </w:pPr>
            <w:r>
              <w:rPr/>
              <w:t> </w:t>
            </w:r>
          </w:p>
        </w:tc>
        <w:tc>
          <w:tcPr>
            <w:tcW w:w="186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N/A</w:t>
            </w:r>
          </w:p>
        </w:tc>
      </w:tr>
      <w:tr>
        <w:trPr/>
        <w:tc>
          <w:tcPr>
            <w:tcW w:w="1664"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Warrants</w:t>
            </w:r>
            <w:r>
              <w:rPr>
                <w:rFonts w:ascii="Times New Roman" w:hAnsi="Times New Roman"/>
                <w:b w:val="false"/>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Option pricing model</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Risk-free interest rate</w:t>
            </w:r>
          </w:p>
        </w:tc>
        <w:tc>
          <w:tcPr>
            <w:tcW w:w="146"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2.7% - 4.9% (4.3%)</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Average industry volatility</w:t>
            </w:r>
          </w:p>
        </w:tc>
        <w:tc>
          <w:tcPr>
            <w:tcW w:w="146" w:type="dxa"/>
            <w:tcBorders/>
            <w:shd w:fill="CFF0FC" w:val="clear"/>
            <w:vAlign w:val="center"/>
          </w:tcPr>
          <w:p>
            <w:pPr>
              <w:pStyle w:val="TableContents"/>
              <w:bidi w:val="0"/>
              <w:spacing w:before="0" w:after="283"/>
              <w:jc w:val="left"/>
              <w:rPr/>
            </w:pPr>
            <w:r>
              <w:rPr/>
              <w:t> </w:t>
            </w:r>
          </w:p>
        </w:tc>
        <w:tc>
          <w:tcPr>
            <w:tcW w:w="186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25.0% - 98.4% (49.0%)</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Estimated time to exit</w:t>
            </w:r>
          </w:p>
        </w:tc>
        <w:tc>
          <w:tcPr>
            <w:tcW w:w="146"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6"/>
              </w:rPr>
              <w:t>0.5</w:t>
            </w:r>
            <w:r>
              <w:rPr>
                <w:rFonts w:ascii="Times New Roman" w:hAnsi="Times New Roman"/>
                <w:color w:val="000000"/>
                <w:sz w:val="20"/>
              </w:rPr>
              <w:t> </w:t>
            </w:r>
            <w:r>
              <w:rPr>
                <w:rFonts w:ascii="Times New Roman" w:hAnsi="Times New Roman"/>
                <w:b w:val="false"/>
                <w:color w:val="000000"/>
                <w:sz w:val="16"/>
              </w:rPr>
              <w:t>- 5.0</w:t>
            </w:r>
            <w:r>
              <w:rPr>
                <w:rFonts w:ascii="Times New Roman" w:hAnsi="Times New Roman"/>
                <w:color w:val="000000"/>
                <w:sz w:val="20"/>
              </w:rPr>
              <w:t> </w:t>
            </w:r>
            <w:r>
              <w:rPr>
                <w:rFonts w:ascii="Times New Roman" w:hAnsi="Times New Roman"/>
                <w:b w:val="false"/>
                <w:color w:val="000000"/>
                <w:sz w:val="16"/>
              </w:rPr>
              <w:t>(2.2</w:t>
            </w:r>
            <w:r>
              <w:rPr>
                <w:rFonts w:ascii="Times New Roman" w:hAnsi="Times New Roman"/>
                <w:color w:val="000000"/>
                <w:sz w:val="20"/>
              </w:rPr>
              <w:t> </w:t>
            </w:r>
            <w:r>
              <w:rPr>
                <w:rFonts w:ascii="Times New Roman" w:hAnsi="Times New Roman"/>
                <w:b w:val="false"/>
                <w:color w:val="000000"/>
                <w:sz w:val="16"/>
              </w:rPr>
              <w:t>years)</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Revenue multiples</w:t>
            </w:r>
          </w:p>
        </w:tc>
        <w:tc>
          <w:tcPr>
            <w:tcW w:w="146" w:type="dxa"/>
            <w:tcBorders/>
            <w:shd w:fill="CFF0FC" w:val="clear"/>
            <w:vAlign w:val="center"/>
          </w:tcPr>
          <w:p>
            <w:pPr>
              <w:pStyle w:val="TableContents"/>
              <w:bidi w:val="0"/>
              <w:spacing w:before="0" w:after="283"/>
              <w:jc w:val="left"/>
              <w:rPr/>
            </w:pPr>
            <w:r>
              <w:rPr/>
              <w:t> </w:t>
            </w:r>
          </w:p>
        </w:tc>
        <w:tc>
          <w:tcPr>
            <w:tcW w:w="186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1.16x - 88.63x (5.47x)</w:t>
            </w:r>
          </w:p>
        </w:tc>
      </w:tr>
      <w:tr>
        <w:trPr/>
        <w:tc>
          <w:tcPr>
            <w:tcW w:w="16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PWERM</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Discount rate</w:t>
            </w:r>
          </w:p>
        </w:tc>
        <w:tc>
          <w:tcPr>
            <w:tcW w:w="146"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20.0% - 40.0% (34.6%)</w:t>
            </w:r>
          </w:p>
        </w:tc>
      </w:tr>
      <w:tr>
        <w:trPr/>
        <w:tc>
          <w:tcPr>
            <w:tcW w:w="166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4"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Revenue multiples</w:t>
            </w:r>
          </w:p>
        </w:tc>
        <w:tc>
          <w:tcPr>
            <w:tcW w:w="146" w:type="dxa"/>
            <w:tcBorders/>
            <w:shd w:fill="CFF0FC" w:val="clear"/>
            <w:vAlign w:val="center"/>
          </w:tcPr>
          <w:p>
            <w:pPr>
              <w:pStyle w:val="TableContents"/>
              <w:bidi w:val="0"/>
              <w:spacing w:before="0" w:after="283"/>
              <w:jc w:val="left"/>
              <w:rPr/>
            </w:pPr>
            <w:r>
              <w:rPr/>
              <w:t> </w:t>
            </w:r>
          </w:p>
        </w:tc>
        <w:tc>
          <w:tcPr>
            <w:tcW w:w="1865"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2.35x - 199.38x (13.10x)</w:t>
            </w:r>
          </w:p>
        </w:tc>
      </w:tr>
      <w:tr>
        <w:trPr/>
        <w:tc>
          <w:tcPr>
            <w:tcW w:w="166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Level 3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1,111,946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period ended September 30, 2023 and the year ended December 31, 2022.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Fair Value of Financial Instruments Reported at Cost</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fair value of the Company’s Credit Facility, April 2026 Notes, December 2026 Notes, July 2027 Notes, August 2027 Notes, and December 2027 Notes (as defined in "Note 7 – Borrowings") is estimated using the relative market yield approach. The fair value of the Company's Credit Facility, December 2026 Notes and August 2027 Notes are estimated using Level 3 inputs by discounting remaining payments using comparable market rates or market quotes for similar instruments at the measurement date. The fair value of the Company's July 2027 Notes and December 2027 Notes is based on vendor pricing received by the Company, which is considered a Level 2 input, and reflects the market close price of the notes traded on the Nasdaq Global Select Market LLC under the symbol "RWAYL" and "RWAYZ", respectively.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As of both September 30, 2023, and December 31, 2022, the carrying values of the Credit Facility, April 2026 Notes, July 2027 Notes, August 2027 Notes, and December 2027 Notes approximate fair value. As of September 30, 2023, the fair value of the December 2026 Notes was approximately $53.7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the carrying value was approximately $69.4</w:t>
      </w:r>
      <w:r>
        <w:rPr>
          <w:rFonts w:ascii="Times New Roman" w:hAnsi="Times New Roman"/>
          <w:color w:val="000000"/>
          <w:sz w:val="20"/>
        </w:rPr>
        <w:t xml:space="preserve"> </w:t>
      </w:r>
      <w:r>
        <w:rPr>
          <w:rFonts w:ascii="Times New Roman" w:hAnsi="Times New Roman"/>
          <w:b w:val="false"/>
          <w:color w:val="000000"/>
          <w:sz w:val="20"/>
        </w:rPr>
        <w:t>million, net of unamortized deferred debt costs of $0.6</w:t>
      </w:r>
      <w:r>
        <w:rPr>
          <w:rFonts w:ascii="Times New Roman" w:hAnsi="Times New Roman"/>
          <w:color w:val="000000"/>
          <w:sz w:val="20"/>
        </w:rPr>
        <w:t xml:space="preserve"> </w:t>
      </w:r>
      <w:r>
        <w:rPr>
          <w:rFonts w:ascii="Times New Roman" w:hAnsi="Times New Roman"/>
          <w:b w:val="false"/>
          <w:color w:val="000000"/>
          <w:sz w:val="20"/>
        </w:rPr>
        <w:t>million. As of December 31, 2022, the fair value of the December 2026 Notes was approximately $57.0</w:t>
      </w:r>
      <w:r>
        <w:rPr>
          <w:rFonts w:ascii="Times New Roman" w:hAnsi="Times New Roman"/>
          <w:color w:val="000000"/>
          <w:sz w:val="20"/>
        </w:rPr>
        <w:t xml:space="preserve"> </w:t>
      </w:r>
      <w:r>
        <w:rPr>
          <w:rFonts w:ascii="Times New Roman" w:hAnsi="Times New Roman"/>
          <w:b w:val="false"/>
          <w:color w:val="000000"/>
          <w:sz w:val="20"/>
        </w:rPr>
        <w:t>million and the carrying value was approximately $69.2</w:t>
      </w:r>
      <w:r>
        <w:rPr>
          <w:rFonts w:ascii="Times New Roman" w:hAnsi="Times New Roman"/>
          <w:color w:val="000000"/>
          <w:sz w:val="20"/>
        </w:rPr>
        <w:t xml:space="preserve"> </w:t>
      </w:r>
      <w:r>
        <w:rPr>
          <w:rFonts w:ascii="Times New Roman" w:hAnsi="Times New Roman"/>
          <w:b w:val="false"/>
          <w:color w:val="000000"/>
          <w:sz w:val="20"/>
        </w:rPr>
        <w:t>million, net of unamortized deferred debt costs of $0.8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6 – Concentration of Credit Risk</w:t>
      </w:r>
    </w:p>
    <w:p>
      <w:pPr>
        <w:pStyle w:val="TextBody"/>
        <w:bidi w:val="0"/>
        <w:jc w:val="both"/>
        <w:rPr>
          <w:rFonts w:ascii="Times New Roman" w:hAnsi="Times New Roman"/>
          <w:sz w:val="20"/>
        </w:rPr>
      </w:pPr>
      <w:r>
        <w:rPr>
          <w:rFonts w:ascii="Times New Roman" w:hAnsi="Times New Roman"/>
          <w:b w:val="false"/>
          <w:color w:val="000000"/>
          <w:sz w:val="20"/>
        </w:rPr>
        <w:t>In the normal course of business, the Company maintains its cash balances at large, high credit-quality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val="false"/>
          <w:color w:val="000000"/>
          <w:sz w:val="20"/>
        </w:rPr>
        <w:t>In the event that a portfolio company completely fails to perform according to the terms of their loan agreement, the amount of loss due to credit risk from the Company's investments would equal the sum of the Company’s recorded investments in the portfolio company and the portion of unfunded commitments currently eligible to be drawn. Refer to "Note 8 – Commitments and Contingencies" for a summary of the aggregate balance of unfunded commitments as of September 30, 2023. The Company collateralizes its investments by obtaining a first priority security interest in a portfolio company’s assets, which may include its intellectual property.</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0"/>
        </w:rPr>
        <w:t>As of September 30, 2023 and December 31, 2022, the Company’s five</w:t>
      </w:r>
      <w:r>
        <w:rPr>
          <w:rFonts w:ascii="Times New Roman" w:hAnsi="Times New Roman"/>
          <w:color w:val="000000"/>
          <w:sz w:val="20"/>
        </w:rPr>
        <w:t xml:space="preserve"> </w:t>
      </w:r>
      <w:r>
        <w:rPr>
          <w:rFonts w:ascii="Times New Roman" w:hAnsi="Times New Roman"/>
          <w:b w:val="false"/>
          <w:color w:val="000000"/>
          <w:sz w:val="20"/>
        </w:rPr>
        <w:t>largest debt investments in portfolio companies represented approximately 38.5%</w:t>
      </w:r>
      <w:r>
        <w:rPr>
          <w:rFonts w:ascii="Times New Roman" w:hAnsi="Times New Roman"/>
          <w:color w:val="000000"/>
          <w:sz w:val="20"/>
        </w:rPr>
        <w:t xml:space="preserve"> </w:t>
      </w:r>
      <w:r>
        <w:rPr>
          <w:rFonts w:ascii="Times New Roman" w:hAnsi="Times New Roman"/>
          <w:b w:val="false"/>
          <w:color w:val="000000"/>
          <w:sz w:val="20"/>
        </w:rPr>
        <w:t>and 30.0%, respectively, of the total fair value of the Company’s debt investments in portfolio companies. As of September 30, 2023 and December 31, 2022, the Company had debt investments in 13</w:t>
      </w:r>
      <w:r>
        <w:rPr>
          <w:rFonts w:ascii="Times New Roman" w:hAnsi="Times New Roman"/>
          <w:color w:val="000000"/>
          <w:sz w:val="20"/>
        </w:rPr>
        <w:t xml:space="preserve"> </w:t>
      </w:r>
      <w:r>
        <w:rPr>
          <w:rFonts w:ascii="Times New Roman" w:hAnsi="Times New Roman"/>
          <w:b w:val="false"/>
          <w:color w:val="000000"/>
          <w:sz w:val="20"/>
        </w:rPr>
        <w:t>and 16</w:t>
      </w:r>
      <w:r>
        <w:rPr>
          <w:rFonts w:ascii="Times New Roman" w:hAnsi="Times New Roman"/>
          <w:color w:val="000000"/>
          <w:sz w:val="20"/>
        </w:rPr>
        <w:t xml:space="preserve"> </w:t>
      </w:r>
      <w:r>
        <w:rPr>
          <w:rFonts w:ascii="Times New Roman" w:hAnsi="Times New Roman"/>
          <w:b w:val="false"/>
          <w:color w:val="000000"/>
          <w:sz w:val="20"/>
        </w:rPr>
        <w:t>portfolio companies, respectively, that represented 5% or more of the Company’s net assets.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7 – Borrowings</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following table shows the Company's borrowings as of September 30, 2023 and December 31, 2022 (in thousands):</w:t>
      </w:r>
    </w:p>
    <w:tbl>
      <w:tblPr>
        <w:tblW w:w="11397" w:type="dxa"/>
        <w:jc w:val="left"/>
        <w:tblInd w:w="0" w:type="dxa"/>
        <w:tblLayout w:type="fixed"/>
        <w:tblCellMar>
          <w:top w:w="28" w:type="dxa"/>
          <w:left w:w="28" w:type="dxa"/>
          <w:bottom w:w="28" w:type="dxa"/>
          <w:right w:w="28" w:type="dxa"/>
        </w:tblCellMar>
      </w:tblPr>
      <w:tblGrid>
        <w:gridCol w:w="826"/>
        <w:gridCol w:w="146"/>
        <w:gridCol w:w="199"/>
        <w:gridCol w:w="148"/>
        <w:gridCol w:w="704"/>
        <w:gridCol w:w="146"/>
        <w:gridCol w:w="146"/>
        <w:gridCol w:w="196"/>
        <w:gridCol w:w="146"/>
        <w:gridCol w:w="691"/>
        <w:gridCol w:w="146"/>
        <w:gridCol w:w="146"/>
        <w:gridCol w:w="196"/>
        <w:gridCol w:w="146"/>
        <w:gridCol w:w="571"/>
        <w:gridCol w:w="166"/>
        <w:gridCol w:w="146"/>
        <w:gridCol w:w="196"/>
        <w:gridCol w:w="146"/>
        <w:gridCol w:w="691"/>
        <w:gridCol w:w="146"/>
        <w:gridCol w:w="146"/>
        <w:gridCol w:w="199"/>
        <w:gridCol w:w="148"/>
        <w:gridCol w:w="704"/>
        <w:gridCol w:w="146"/>
        <w:gridCol w:w="146"/>
        <w:gridCol w:w="196"/>
        <w:gridCol w:w="146"/>
        <w:gridCol w:w="691"/>
        <w:gridCol w:w="146"/>
        <w:gridCol w:w="146"/>
        <w:gridCol w:w="196"/>
        <w:gridCol w:w="146"/>
        <w:gridCol w:w="661"/>
        <w:gridCol w:w="166"/>
        <w:gridCol w:w="146"/>
        <w:gridCol w:w="196"/>
        <w:gridCol w:w="146"/>
        <w:gridCol w:w="691"/>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2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0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Deferred Debt Cost</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Deferred Debt Cost</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Credit Facility</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(4,170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(4,640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332,360</w:t>
            </w:r>
          </w:p>
        </w:tc>
        <w:tc>
          <w:tcPr>
            <w:tcW w:w="191" w:type="dxa"/>
            <w:tcBorders/>
            <w:shd w:fill="CFF0FC" w:val="clear"/>
            <w:vAlign w:val="center"/>
          </w:tcPr>
          <w:p>
            <w:pPr>
              <w:pStyle w:val="TableContents"/>
              <w:bidi w:val="0"/>
              <w:spacing w:before="0" w:after="283"/>
              <w:jc w:val="left"/>
              <w:rPr/>
            </w:pPr>
            <w:r>
              <w:rPr/>
              <w:t> </w:t>
            </w:r>
          </w:p>
        </w:tc>
      </w:tr>
      <w:tr>
        <w:trPr/>
        <w:tc>
          <w:tcPr>
            <w:tcW w:w="8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April 2026 Notes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December 2026 Notes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69,182</w:t>
            </w:r>
          </w:p>
        </w:tc>
        <w:tc>
          <w:tcPr>
            <w:tcW w:w="191" w:type="dxa"/>
            <w:tcBorders/>
            <w:shd w:fill="CFF0FC" w:val="clear"/>
            <w:vAlign w:val="center"/>
          </w:tcPr>
          <w:p>
            <w:pPr>
              <w:pStyle w:val="TableContents"/>
              <w:bidi w:val="0"/>
              <w:spacing w:before="0" w:after="283"/>
              <w:jc w:val="left"/>
              <w:rPr/>
            </w:pPr>
            <w:r>
              <w:rPr/>
              <w:t> </w:t>
            </w:r>
          </w:p>
        </w:tc>
      </w:tr>
      <w:tr>
        <w:trPr/>
        <w:tc>
          <w:tcPr>
            <w:tcW w:w="8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July 2027 Notes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78,120</w:t>
            </w:r>
          </w:p>
        </w:tc>
        <w:tc>
          <w:tcPr>
            <w:tcW w:w="191" w:type="dxa"/>
            <w:tcBorders/>
            <w:shd w:fill="FFFFFF" w:val="clear"/>
            <w:vAlign w:val="center"/>
          </w:tcPr>
          <w:p>
            <w:pPr>
              <w:pStyle w:val="TableContents"/>
              <w:bidi w:val="0"/>
              <w:spacing w:before="0" w:after="283"/>
              <w:jc w:val="left"/>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August 2027 Notes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19,454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19,347</w:t>
            </w:r>
          </w:p>
        </w:tc>
        <w:tc>
          <w:tcPr>
            <w:tcW w:w="191" w:type="dxa"/>
            <w:tcBorders/>
            <w:shd w:fill="CFF0FC" w:val="clear"/>
            <w:vAlign w:val="center"/>
          </w:tcPr>
          <w:p>
            <w:pPr>
              <w:pStyle w:val="TableContents"/>
              <w:bidi w:val="0"/>
              <w:spacing w:before="0" w:after="283"/>
              <w:jc w:val="left"/>
              <w:rPr/>
            </w:pPr>
            <w:r>
              <w:rPr/>
              <w:t> </w:t>
            </w:r>
          </w:p>
        </w:tc>
      </w:tr>
      <w:tr>
        <w:trPr/>
        <w:tc>
          <w:tcPr>
            <w:tcW w:w="8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December 2027 Notes</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49,948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747,250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440,985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647,250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548,957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b w:val="false"/>
          <w:color w:val="000000"/>
          <w:sz w:val="11"/>
        </w:rPr>
        <w:t xml:space="preserve">(1) </w:t>
      </w:r>
      <w:r>
        <w:rPr>
          <w:rFonts w:ascii="Times New Roman" w:hAnsi="Times New Roman"/>
          <w:b w:val="false"/>
          <w:color w:val="000000"/>
          <w:sz w:val="16"/>
        </w:rPr>
        <w:t>Net of accumulated amortization.</w:t>
      </w:r>
    </w:p>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For the three months ended September 30, 2023 and 2022, the components of interest expense, amortization of deferred debt costs, unused fees on the Credit Facility (as defined below), and any other costs associated with the Company's borrowings were as follows (dollars in thousands):</w:t>
      </w:r>
    </w:p>
    <w:tbl>
      <w:tblPr>
        <w:tblW w:w="10205" w:type="dxa"/>
        <w:jc w:val="left"/>
        <w:tblInd w:w="0" w:type="dxa"/>
        <w:tblLayout w:type="fixed"/>
        <w:tblCellMar>
          <w:top w:w="28" w:type="dxa"/>
          <w:left w:w="28" w:type="dxa"/>
          <w:bottom w:w="28" w:type="dxa"/>
          <w:right w:w="28" w:type="dxa"/>
        </w:tblCellMar>
      </w:tblPr>
      <w:tblGrid>
        <w:gridCol w:w="1897"/>
        <w:gridCol w:w="146"/>
        <w:gridCol w:w="241"/>
        <w:gridCol w:w="179"/>
        <w:gridCol w:w="630"/>
        <w:gridCol w:w="146"/>
        <w:gridCol w:w="146"/>
        <w:gridCol w:w="356"/>
        <w:gridCol w:w="264"/>
        <w:gridCol w:w="685"/>
        <w:gridCol w:w="146"/>
        <w:gridCol w:w="146"/>
        <w:gridCol w:w="304"/>
        <w:gridCol w:w="226"/>
        <w:gridCol w:w="584"/>
        <w:gridCol w:w="146"/>
        <w:gridCol w:w="146"/>
        <w:gridCol w:w="460"/>
        <w:gridCol w:w="342"/>
        <w:gridCol w:w="1412"/>
        <w:gridCol w:w="146"/>
        <w:gridCol w:w="146"/>
        <w:gridCol w:w="172"/>
        <w:gridCol w:w="497"/>
        <w:gridCol w:w="172"/>
        <w:gridCol w:w="470"/>
      </w:tblGrid>
      <w:tr>
        <w:trPr/>
        <w:tc>
          <w:tcPr>
            <w:tcW w:w="1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8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Amortization of </w:t>
              <w:br/>
              <w:t>Deferred Debt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Unused Facility and </w:t>
              <w:br/>
              <w:t>Other 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Interest and Other Debt Financing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Cost of Debt</w:t>
            </w:r>
          </w:p>
        </w:tc>
      </w:tr>
      <w:tr>
        <w:trPr/>
        <w:tc>
          <w:tcPr>
            <w:tcW w:w="18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September 30, 2023</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pPr>
            <w:r>
              <w:rPr/>
              <w:t> </w:t>
            </w:r>
          </w:p>
        </w:tc>
        <w:tc>
          <w:tcPr>
            <w:tcW w:w="809"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center"/>
              <w:rPr/>
            </w:pPr>
            <w:r>
              <w:rPr/>
              <w:t> </w:t>
            </w:r>
          </w:p>
        </w:tc>
        <w:tc>
          <w:tcPr>
            <w:tcW w:w="949"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center"/>
              <w:rPr/>
            </w:pPr>
            <w:r>
              <w:rPr/>
              <w:t> </w:t>
            </w:r>
          </w:p>
        </w:tc>
        <w:tc>
          <w:tcPr>
            <w:tcW w:w="1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69" w:type="dxa"/>
            <w:gridSpan w:val="2"/>
            <w:tcBorders/>
            <w:shd w:fill="CFF0FC" w:val="clear"/>
            <w:vAlign w:val="center"/>
          </w:tcPr>
          <w:p>
            <w:pPr>
              <w:pStyle w:val="TableContents"/>
              <w:bidi w:val="0"/>
              <w:spacing w:before="0" w:after="283"/>
              <w:jc w:val="center"/>
              <w:rPr/>
            </w:pPr>
            <w:r>
              <w:rPr/>
              <w:t> </w:t>
            </w:r>
          </w:p>
        </w:tc>
        <w:tc>
          <w:tcPr>
            <w:tcW w:w="172" w:type="dxa"/>
            <w:tcBorders/>
            <w:shd w:fill="CFF0FC" w:val="clear"/>
            <w:vAlign w:val="center"/>
          </w:tcPr>
          <w:p>
            <w:pPr>
              <w:pStyle w:val="TableContents"/>
              <w:bidi w:val="0"/>
              <w:spacing w:before="0" w:after="283"/>
              <w:jc w:val="center"/>
              <w:rPr/>
            </w:pPr>
            <w:r>
              <w:rPr/>
              <w:t> </w:t>
            </w:r>
          </w:p>
        </w:tc>
        <w:tc>
          <w:tcPr>
            <w:tcW w:w="470" w:type="dxa"/>
            <w:tcBorders/>
            <w:shd w:fill="CFF0FC" w:val="clear"/>
            <w:vAlign w:val="center"/>
          </w:tcPr>
          <w:p>
            <w:pPr>
              <w:pStyle w:val="TableContents"/>
              <w:bidi w:val="0"/>
              <w:spacing w:before="0" w:after="283"/>
              <w:jc w:val="center"/>
              <w:rPr/>
            </w:pPr>
            <w:r>
              <w:rPr/>
              <w:t> </w:t>
            </w:r>
          </w:p>
        </w:tc>
      </w:tr>
      <w:tr>
        <w:trPr/>
        <w:tc>
          <w:tcPr>
            <w:tcW w:w="18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Credit Facility</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9"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6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6"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2"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9.45</w:t>
            </w:r>
          </w:p>
        </w:tc>
        <w:tc>
          <w:tcPr>
            <w:tcW w:w="172"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8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April 2026 Notes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4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9.08</w:t>
            </w:r>
          </w:p>
        </w:tc>
        <w:tc>
          <w:tcPr>
            <w:tcW w:w="172"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left"/>
              <w:rPr/>
            </w:pPr>
            <w:r>
              <w:rPr/>
              <w:t> </w:t>
            </w:r>
          </w:p>
        </w:tc>
      </w:tr>
      <w:tr>
        <w:trPr/>
        <w:tc>
          <w:tcPr>
            <w:tcW w:w="18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December 2026 Notes</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4.56</w:t>
            </w:r>
          </w:p>
        </w:tc>
        <w:tc>
          <w:tcPr>
            <w:tcW w:w="172"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r>
      <w:tr>
        <w:trPr/>
        <w:tc>
          <w:tcPr>
            <w:tcW w:w="18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July 2027 Notes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4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8.20</w:t>
            </w:r>
          </w:p>
        </w:tc>
        <w:tc>
          <w:tcPr>
            <w:tcW w:w="172"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left"/>
              <w:rPr/>
            </w:pPr>
            <w:r>
              <w:rPr/>
              <w:t> </w:t>
            </w:r>
          </w:p>
        </w:tc>
      </w:tr>
      <w:tr>
        <w:trPr/>
        <w:tc>
          <w:tcPr>
            <w:tcW w:w="18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August 2027 Notes</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7.70</w:t>
            </w:r>
          </w:p>
        </w:tc>
        <w:tc>
          <w:tcPr>
            <w:tcW w:w="172"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r>
      <w:tr>
        <w:trPr/>
        <w:tc>
          <w:tcPr>
            <w:tcW w:w="18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December 2027 Notes</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ind w:left="0" w:right="0" w:firstLine="200"/>
              <w:jc w:val="left"/>
              <w:rPr/>
            </w:pPr>
            <w:r>
              <w:rPr/>
              <w:t> </w:t>
            </w:r>
          </w:p>
        </w:tc>
      </w:tr>
      <w:tr>
        <w:trPr/>
        <w:tc>
          <w:tcPr>
            <w:tcW w:w="1897"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89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pPr>
            <w:r>
              <w:rPr/>
              <w:t> </w:t>
            </w:r>
          </w:p>
        </w:tc>
        <w:tc>
          <w:tcPr>
            <w:tcW w:w="809"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center"/>
              <w:rPr/>
            </w:pPr>
            <w:r>
              <w:rPr/>
              <w:t> </w:t>
            </w:r>
          </w:p>
        </w:tc>
        <w:tc>
          <w:tcPr>
            <w:tcW w:w="949"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center"/>
              <w:rPr/>
            </w:pPr>
            <w:r>
              <w:rPr/>
              <w:t> </w:t>
            </w:r>
          </w:p>
        </w:tc>
        <w:tc>
          <w:tcPr>
            <w:tcW w:w="8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center"/>
              <w:rPr/>
            </w:pPr>
            <w:r>
              <w:rPr/>
              <w:t> </w:t>
            </w:r>
          </w:p>
        </w:tc>
        <w:tc>
          <w:tcPr>
            <w:tcW w:w="1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69" w:type="dxa"/>
            <w:gridSpan w:val="2"/>
            <w:tcBorders/>
            <w:shd w:fill="CFF0FC" w:val="clear"/>
            <w:vAlign w:val="center"/>
          </w:tcPr>
          <w:p>
            <w:pPr>
              <w:pStyle w:val="TableContents"/>
              <w:bidi w:val="0"/>
              <w:spacing w:before="0" w:after="283"/>
              <w:jc w:val="center"/>
              <w:rPr/>
            </w:pPr>
            <w:r>
              <w:rPr/>
              <w:t> </w:t>
            </w:r>
          </w:p>
        </w:tc>
        <w:tc>
          <w:tcPr>
            <w:tcW w:w="172" w:type="dxa"/>
            <w:tcBorders/>
            <w:shd w:fill="CFF0FC" w:val="clear"/>
            <w:vAlign w:val="center"/>
          </w:tcPr>
          <w:p>
            <w:pPr>
              <w:pStyle w:val="TableContents"/>
              <w:bidi w:val="0"/>
              <w:spacing w:before="0" w:after="283"/>
              <w:jc w:val="center"/>
              <w:rPr/>
            </w:pPr>
            <w:r>
              <w:rPr/>
              <w:t> </w:t>
            </w:r>
          </w:p>
        </w:tc>
        <w:tc>
          <w:tcPr>
            <w:tcW w:w="470" w:type="dxa"/>
            <w:tcBorders/>
            <w:shd w:fill="CFF0FC" w:val="clear"/>
            <w:vAlign w:val="center"/>
          </w:tcPr>
          <w:p>
            <w:pPr>
              <w:pStyle w:val="TableContents"/>
              <w:bidi w:val="0"/>
              <w:spacing w:before="0" w:after="283"/>
              <w:jc w:val="center"/>
              <w:rPr/>
            </w:pPr>
            <w:r>
              <w:rPr/>
              <w:t> </w:t>
            </w:r>
          </w:p>
        </w:tc>
      </w:tr>
      <w:tr>
        <w:trPr/>
        <w:tc>
          <w:tcPr>
            <w:tcW w:w="189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September 30, 2022</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c>
          <w:tcPr>
            <w:tcW w:w="80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center"/>
              <w:rPr/>
            </w:pPr>
            <w:r>
              <w:rPr/>
              <w:t> </w:t>
            </w:r>
          </w:p>
        </w:tc>
        <w:tc>
          <w:tcPr>
            <w:tcW w:w="94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center"/>
              <w:rPr/>
            </w:pPr>
            <w:r>
              <w:rPr/>
              <w:t> </w:t>
            </w:r>
          </w:p>
        </w:tc>
        <w:tc>
          <w:tcPr>
            <w:tcW w:w="8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t> </w:t>
            </w:r>
          </w:p>
        </w:tc>
        <w:tc>
          <w:tcPr>
            <w:tcW w:w="1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9" w:type="dxa"/>
            <w:gridSpan w:val="2"/>
            <w:tcBorders/>
            <w:shd w:fill="FFFFFF" w:val="cle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center"/>
              <w:rPr/>
            </w:pPr>
            <w:r>
              <w:rPr/>
              <w:t> </w:t>
            </w:r>
          </w:p>
        </w:tc>
        <w:tc>
          <w:tcPr>
            <w:tcW w:w="470" w:type="dxa"/>
            <w:tcBorders/>
            <w:shd w:fill="FFFFFF" w:val="clear"/>
            <w:vAlign w:val="center"/>
          </w:tcPr>
          <w:p>
            <w:pPr>
              <w:pStyle w:val="TableContents"/>
              <w:bidi w:val="0"/>
              <w:spacing w:before="0" w:after="283"/>
              <w:jc w:val="center"/>
              <w:rPr/>
            </w:pPr>
            <w:r>
              <w:rPr/>
              <w:t> </w:t>
            </w:r>
          </w:p>
        </w:tc>
      </w:tr>
      <w:tr>
        <w:trPr/>
        <w:tc>
          <w:tcPr>
            <w:tcW w:w="18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Credit Facility</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9"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6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6"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2" w:type="dxa"/>
            <w:tcBorders/>
            <w:shd w:fill="CFF0FC" w:val="clear"/>
            <w:vAlign w:val="center"/>
          </w:tcPr>
          <w:p>
            <w:pPr>
              <w:pStyle w:val="TableContents"/>
              <w:bidi w:val="0"/>
              <w:spacing w:before="0" w:after="283"/>
              <w:jc w:val="left"/>
              <w:rPr/>
            </w:pPr>
            <w:r>
              <w:rPr/>
              <w:t> </w:t>
            </w:r>
          </w:p>
        </w:tc>
        <w:tc>
          <w:tcPr>
            <w:tcW w:w="14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7.34</w:t>
            </w:r>
          </w:p>
        </w:tc>
        <w:tc>
          <w:tcPr>
            <w:tcW w:w="172"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8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December 2026 Notes</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w:t>
            </w:r>
          </w:p>
        </w:tc>
        <w:tc>
          <w:tcPr>
            <w:tcW w:w="172"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r>
      <w:tr>
        <w:trPr/>
        <w:tc>
          <w:tcPr>
            <w:tcW w:w="189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July 2027 Notes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0"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141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7.98</w:t>
            </w:r>
          </w:p>
        </w:tc>
        <w:tc>
          <w:tcPr>
            <w:tcW w:w="172"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left"/>
              <w:rPr/>
            </w:pPr>
            <w:r>
              <w:rPr/>
              <w:t> </w:t>
            </w:r>
          </w:p>
        </w:tc>
      </w:tr>
      <w:tr>
        <w:trPr/>
        <w:tc>
          <w:tcPr>
            <w:tcW w:w="189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August 2027 Notes</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ind w:left="0" w:right="0" w:firstLine="200"/>
              <w:jc w:val="left"/>
              <w:rPr/>
            </w:pPr>
            <w:r>
              <w:rPr/>
              <w:t> </w:t>
            </w:r>
          </w:p>
        </w:tc>
      </w:tr>
      <w:tr>
        <w:trPr/>
        <w:tc>
          <w:tcPr>
            <w:tcW w:w="1897"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6.75</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jc w:val="both"/>
        <w:rPr/>
      </w:pPr>
      <w:r>
        <w:rPr/>
        <w:t> </w:t>
      </w:r>
    </w:p>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For the nine months ended September 30, 2023 and 2022, the components of interest expense, amortization of deferred debt costs, unused fees on the Credit Facility (as defined below), and any other costs associated with the Company's borrowings were as follows (dollars in thousands):</w:t>
      </w:r>
    </w:p>
    <w:tbl>
      <w:tblPr>
        <w:tblW w:w="10205" w:type="dxa"/>
        <w:jc w:val="left"/>
        <w:tblInd w:w="0" w:type="dxa"/>
        <w:tblLayout w:type="fixed"/>
        <w:tblCellMar>
          <w:top w:w="28" w:type="dxa"/>
          <w:left w:w="28" w:type="dxa"/>
          <w:bottom w:w="28" w:type="dxa"/>
          <w:right w:w="28" w:type="dxa"/>
        </w:tblCellMar>
      </w:tblPr>
      <w:tblGrid>
        <w:gridCol w:w="1831"/>
        <w:gridCol w:w="146"/>
        <w:gridCol w:w="227"/>
        <w:gridCol w:w="169"/>
        <w:gridCol w:w="699"/>
        <w:gridCol w:w="146"/>
        <w:gridCol w:w="146"/>
        <w:gridCol w:w="298"/>
        <w:gridCol w:w="222"/>
        <w:gridCol w:w="779"/>
        <w:gridCol w:w="146"/>
        <w:gridCol w:w="146"/>
        <w:gridCol w:w="271"/>
        <w:gridCol w:w="201"/>
        <w:gridCol w:w="707"/>
        <w:gridCol w:w="146"/>
        <w:gridCol w:w="146"/>
        <w:gridCol w:w="453"/>
        <w:gridCol w:w="337"/>
        <w:gridCol w:w="1391"/>
        <w:gridCol w:w="146"/>
        <w:gridCol w:w="146"/>
        <w:gridCol w:w="171"/>
        <w:gridCol w:w="495"/>
        <w:gridCol w:w="171"/>
        <w:gridCol w:w="469"/>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Amortization of </w:t>
              <w:br/>
              <w:t>Deferred Debt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Unused Facility and </w:t>
              <w:br/>
              <w:t xml:space="preserve">Other Fees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Interest and Other Debt Financing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Cost of Debt</w:t>
            </w:r>
          </w:p>
        </w:tc>
      </w:tr>
      <w:tr>
        <w:trPr/>
        <w:tc>
          <w:tcPr>
            <w:tcW w:w="183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Nine Months Ended September 30, 2023</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center"/>
              <w:rPr/>
            </w:pPr>
            <w:r>
              <w:rPr/>
              <w:t> </w:t>
            </w:r>
          </w:p>
        </w:tc>
        <w:tc>
          <w:tcPr>
            <w:tcW w:w="86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center"/>
              <w:rPr/>
            </w:pPr>
            <w:r>
              <w:rPr/>
              <w:t> </w:t>
            </w:r>
          </w:p>
        </w:tc>
        <w:tc>
          <w:tcPr>
            <w:tcW w:w="10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90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7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gridSpan w:val="2"/>
            <w:tcBorders/>
            <w:shd w:fill="FFFFFF" w:val="cle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469" w:type="dxa"/>
            <w:tcBorders/>
            <w:shd w:fill="FFFFFF" w:val="cle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Credit Facility</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9"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0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7" w:type="dxa"/>
            <w:tcBorders/>
            <w:shd w:fill="CFF0FC" w:val="clear"/>
            <w:vAlign w:val="center"/>
          </w:tcPr>
          <w:p>
            <w:pPr>
              <w:pStyle w:val="TableContents"/>
              <w:bidi w:val="0"/>
              <w:spacing w:before="0" w:after="283"/>
              <w:jc w:val="left"/>
              <w:rPr/>
            </w:pPr>
            <w:r>
              <w:rPr/>
              <w:t> </w:t>
            </w:r>
          </w:p>
        </w:tc>
        <w:tc>
          <w:tcPr>
            <w:tcW w:w="13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4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8.91</w:t>
            </w:r>
          </w:p>
        </w:tc>
        <w:tc>
          <w:tcPr>
            <w:tcW w:w="171"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8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April 2026 Notes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8.99</w:t>
            </w:r>
          </w:p>
        </w:tc>
        <w:tc>
          <w:tcPr>
            <w:tcW w:w="17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December 2026 Notes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13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4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4.56</w:t>
            </w:r>
          </w:p>
        </w:tc>
        <w:tc>
          <w:tcPr>
            <w:tcW w:w="171"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July 2027 Notes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8.21</w:t>
            </w:r>
          </w:p>
        </w:tc>
        <w:tc>
          <w:tcPr>
            <w:tcW w:w="17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August 2027 Notes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13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4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7.73</w:t>
            </w:r>
          </w:p>
        </w:tc>
        <w:tc>
          <w:tcPr>
            <w:tcW w:w="171"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December 2027 Notes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8.15</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center"/>
              <w:rPr/>
            </w:pPr>
            <w:r>
              <w:rPr/>
              <w:t> </w:t>
            </w:r>
          </w:p>
        </w:tc>
        <w:tc>
          <w:tcPr>
            <w:tcW w:w="86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center"/>
              <w:rPr/>
            </w:pPr>
            <w:r>
              <w:rPr/>
              <w:t> </w:t>
            </w:r>
          </w:p>
        </w:tc>
        <w:tc>
          <w:tcPr>
            <w:tcW w:w="10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90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7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gridSpan w:val="2"/>
            <w:tcBorders/>
            <w:shd w:fill="FFFFFF" w:val="cle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469" w:type="dxa"/>
            <w:tcBorders/>
            <w:shd w:fill="FFFFFF" w:val="cle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Nine Months Ended September 30, 2022</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center"/>
              <w:rPr/>
            </w:pPr>
            <w:r>
              <w:rPr/>
              <w:t> </w:t>
            </w:r>
          </w:p>
        </w:tc>
        <w:tc>
          <w:tcPr>
            <w:tcW w:w="86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center"/>
              <w:rPr/>
            </w:pPr>
            <w:r>
              <w:rPr/>
              <w:t> </w:t>
            </w:r>
          </w:p>
        </w:tc>
        <w:tc>
          <w:tcPr>
            <w:tcW w:w="100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90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pPr>
            <w:r>
              <w:rPr/>
              <w:t> </w:t>
            </w:r>
          </w:p>
        </w:tc>
        <w:tc>
          <w:tcPr>
            <w:tcW w:w="172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66" w:type="dxa"/>
            <w:gridSpan w:val="2"/>
            <w:tcBorders/>
            <w:shd w:fill="CFF0FC" w:val="clear"/>
            <w:vAlign w:val="center"/>
          </w:tcPr>
          <w:p>
            <w:pPr>
              <w:pStyle w:val="TableContents"/>
              <w:bidi w:val="0"/>
              <w:spacing w:before="0" w:after="283"/>
              <w:jc w:val="center"/>
              <w:rPr/>
            </w:pPr>
            <w:r>
              <w:rPr/>
              <w:t> </w:t>
            </w:r>
          </w:p>
        </w:tc>
        <w:tc>
          <w:tcPr>
            <w:tcW w:w="171" w:type="dxa"/>
            <w:tcBorders/>
            <w:shd w:fill="CFF0FC" w:val="clear"/>
            <w:vAlign w:val="center"/>
          </w:tcPr>
          <w:p>
            <w:pPr>
              <w:pStyle w:val="TableContents"/>
              <w:bidi w:val="0"/>
              <w:spacing w:before="0" w:after="283"/>
              <w:jc w:val="center"/>
              <w:rPr/>
            </w:pPr>
            <w:r>
              <w:rPr/>
              <w:t> </w:t>
            </w:r>
          </w:p>
        </w:tc>
        <w:tc>
          <w:tcPr>
            <w:tcW w:w="469" w:type="dxa"/>
            <w:tcBorders/>
            <w:shd w:fill="CFF0FC" w:val="cle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Credit Facility</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9"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0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7"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7.70</w:t>
            </w:r>
          </w:p>
        </w:tc>
        <w:tc>
          <w:tcPr>
            <w:tcW w:w="17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December 2026 Notes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13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4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4.52</w:t>
            </w:r>
          </w:p>
        </w:tc>
        <w:tc>
          <w:tcPr>
            <w:tcW w:w="171"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July 2027 Notes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7.98</w:t>
            </w:r>
          </w:p>
        </w:tc>
        <w:tc>
          <w:tcPr>
            <w:tcW w:w="17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August 2027 Notes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ind w:left="0" w:right="0" w:firstLine="200"/>
              <w:jc w:val="left"/>
              <w:rPr/>
            </w:pPr>
            <w:r>
              <w:rPr/>
              <w:t> </w:t>
            </w:r>
          </w:p>
        </w:tc>
      </w:tr>
      <w:tr>
        <w:trPr/>
        <w:tc>
          <w:tcPr>
            <w:tcW w:w="183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6.55</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center"/>
              <w:rPr/>
            </w:pPr>
            <w:r>
              <w:rPr/>
              <w:t> </w:t>
            </w:r>
          </w:p>
        </w:tc>
        <w:tc>
          <w:tcPr>
            <w:tcW w:w="86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center"/>
              <w:rPr/>
            </w:pPr>
            <w:r>
              <w:rPr/>
              <w:t> </w:t>
            </w:r>
          </w:p>
        </w:tc>
        <w:tc>
          <w:tcPr>
            <w:tcW w:w="10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90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7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gridSpan w:val="2"/>
            <w:tcBorders/>
            <w:shd w:fill="FFFFFF" w:val="cle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469" w:type="dxa"/>
            <w:tcBorders/>
            <w:shd w:fill="FFFFFF" w:val="clear"/>
            <w:vAlign w:val="center"/>
          </w:tcPr>
          <w:p>
            <w:pPr>
              <w:pStyle w:val="TableContents"/>
              <w:bidi w:val="0"/>
              <w:spacing w:before="0" w:after="283"/>
              <w:jc w:val="center"/>
              <w:rPr/>
            </w:pPr>
            <w:r>
              <w:rPr/>
              <w:t> </w:t>
            </w:r>
          </w:p>
        </w:tc>
      </w:tr>
    </w:tbl>
    <w:p>
      <w:pPr>
        <w:pStyle w:val="TextBody"/>
        <w:bidi w:val="0"/>
        <w:spacing w:before="0" w:after="120"/>
        <w:jc w:val="both"/>
        <w:rPr/>
      </w:pPr>
      <w:r>
        <w:rPr/>
        <w:t> </w:t>
      </w:r>
    </w:p>
    <w:p>
      <w:pPr>
        <w:pStyle w:val="TextBody"/>
        <w:bidi w:val="0"/>
        <w:spacing w:before="120" w:after="283"/>
        <w:jc w:val="both"/>
        <w:rPr>
          <w:rFonts w:ascii="Times New Roman" w:hAnsi="Times New Roman"/>
          <w:b w:val="false"/>
          <w:color w:val="2B333D"/>
          <w:sz w:val="16"/>
        </w:rPr>
      </w:pPr>
      <w:r>
        <w:rPr>
          <w:rFonts w:ascii="Times New Roman" w:hAnsi="Times New Roman"/>
          <w:b w:val="false"/>
          <w:color w:val="2B333D"/>
          <w:sz w:val="16"/>
        </w:rPr>
        <w:t>(1)</w:t>
      </w:r>
    </w:p>
    <w:p>
      <w:pPr>
        <w:pStyle w:val="TextBody"/>
        <w:bidi w:val="0"/>
        <w:spacing w:before="120" w:after="283"/>
        <w:jc w:val="both"/>
        <w:rPr>
          <w:rFonts w:ascii="Times New Roman" w:hAnsi="Times New Roman"/>
          <w:sz w:val="20"/>
        </w:rPr>
      </w:pPr>
      <w:r>
        <w:rPr>
          <w:rFonts w:ascii="Times New Roman" w:hAnsi="Times New Roman"/>
          <w:b w:val="false"/>
          <w:color w:val="2B333D"/>
          <w:sz w:val="16"/>
        </w:rPr>
        <w:t>Unused facility and other fees for the nine months ended September 30, 2022 include supplemental fees of $0.4</w:t>
      </w:r>
      <w:r>
        <w:rPr>
          <w:rFonts w:ascii="Times New Roman" w:hAnsi="Times New Roman"/>
          <w:color w:val="2B333D"/>
          <w:sz w:val="20"/>
        </w:rPr>
        <w:t xml:space="preserve"> </w:t>
      </w:r>
      <w:r>
        <w:rPr>
          <w:rFonts w:ascii="Times New Roman" w:hAnsi="Times New Roman"/>
          <w:b w:val="false"/>
          <w:color w:val="2B333D"/>
          <w:sz w:val="16"/>
        </w:rPr>
        <w:t>million, which were predominantly incurred in the first half of 2022</w:t>
      </w:r>
      <w:r>
        <w:rPr>
          <w:rFonts w:ascii="Times New Roman" w:hAnsi="Times New Roman"/>
          <w:color w:val="2B333D"/>
          <w:sz w:val="20"/>
        </w:rPr>
        <w:t xml:space="preserve"> </w:t>
      </w:r>
      <w:r>
        <w:rPr>
          <w:rFonts w:ascii="Times New Roman" w:hAnsi="Times New Roman"/>
          <w:b w:val="false"/>
          <w:color w:val="2B333D"/>
          <w:sz w:val="16"/>
        </w:rPr>
        <w:t>and were nonrecurring in nature.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0" w:after="240"/>
        <w:jc w:val="both"/>
        <w:rPr>
          <w:rFonts w:ascii="Times New Roman" w:hAnsi="Times New Roman"/>
          <w:sz w:val="20"/>
        </w:rPr>
      </w:pPr>
      <w:r>
        <w:rPr>
          <w:rFonts w:ascii="Times New Roman" w:hAnsi="Times New Roman"/>
          <w:b w:val="false"/>
          <w:color w:val="000000"/>
          <w:sz w:val="20"/>
        </w:rPr>
        <w:t>On May 31, 2019, the Company entered into a Credit Agreement with KeyBank National Association, acting as administrative agent and syndication agent and the other lenders party thereto, which initially provided the Company with a $100.0</w:t>
      </w:r>
      <w:r>
        <w:rPr>
          <w:rFonts w:ascii="Times New Roman" w:hAnsi="Times New Roman"/>
          <w:color w:val="000000"/>
          <w:sz w:val="20"/>
        </w:rPr>
        <w:t xml:space="preserve"> </w:t>
      </w:r>
      <w:r>
        <w:rPr>
          <w:rFonts w:ascii="Times New Roman" w:hAnsi="Times New Roman"/>
          <w:b w:val="false"/>
          <w:color w:val="000000"/>
          <w:sz w:val="20"/>
        </w:rPr>
        <w:t>million commitment, subject to borrowing base requirements (as amended and restated from time to time, the “Credit Facility”). As of September 30, 2023, the Company had $500.0</w:t>
      </w:r>
      <w:r>
        <w:rPr>
          <w:rFonts w:ascii="Times New Roman" w:hAnsi="Times New Roman"/>
          <w:color w:val="000000"/>
          <w:sz w:val="20"/>
        </w:rPr>
        <w:t xml:space="preserve"> </w:t>
      </w:r>
      <w:r>
        <w:rPr>
          <w:rFonts w:ascii="Times New Roman" w:hAnsi="Times New Roman"/>
          <w:b w:val="false"/>
          <w:color w:val="000000"/>
          <w:sz w:val="20"/>
        </w:rPr>
        <w:t>million in total commitments available under the Credit Facility. The availability period under the Credit Facility expires on April 20, 2025</w:t>
      </w:r>
      <w:r>
        <w:rPr>
          <w:rFonts w:ascii="Times New Roman" w:hAnsi="Times New Roman"/>
          <w:color w:val="000000"/>
          <w:sz w:val="20"/>
        </w:rPr>
        <w:t xml:space="preserve"> </w:t>
      </w:r>
      <w:r>
        <w:rPr>
          <w:rFonts w:ascii="Times New Roman" w:hAnsi="Times New Roman"/>
          <w:b w:val="false"/>
          <w:color w:val="000000"/>
          <w:sz w:val="20"/>
        </w:rPr>
        <w:t>and is followed by a one-year</w:t>
      </w:r>
      <w:r>
        <w:rPr>
          <w:rFonts w:ascii="Times New Roman" w:hAnsi="Times New Roman"/>
          <w:color w:val="000000"/>
          <w:sz w:val="20"/>
        </w:rPr>
        <w:t xml:space="preserve"> </w:t>
      </w:r>
      <w:r>
        <w:rPr>
          <w:rFonts w:ascii="Times New Roman" w:hAnsi="Times New Roman"/>
          <w:b w:val="false"/>
          <w:color w:val="000000"/>
          <w:sz w:val="20"/>
        </w:rPr>
        <w:t>amortization period. The stated maturity date under the Credit Facility is April 20, 2026, unless extended.</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Borrowings under the Credit Facility bear interest on a per annum rate equal to the Adjusted Term Secured Overnight Financing Rate (“SOFR”) plus an applicable margin rate that ranges from 2.95% to 3.35% per annum depending on the Company’s leverage ratio and number of eligible loans</w:t>
      </w:r>
      <w:r>
        <w:rPr>
          <w:rFonts w:ascii="Times New Roman" w:hAnsi="Times New Roman"/>
          <w:color w:val="000000"/>
          <w:sz w:val="20"/>
        </w:rPr>
        <w:t xml:space="preserve"> </w:t>
      </w:r>
      <w:r>
        <w:rPr>
          <w:rFonts w:ascii="Times New Roman" w:hAnsi="Times New Roman"/>
          <w:b w:val="false"/>
          <w:color w:val="000000"/>
          <w:sz w:val="20"/>
        </w:rPr>
        <w:t>in the collateral pool. The Credit Facility provides for a variable advance rate of up to 65% on eligible term loans. The Company also pays an unused commitment fee that ranges from 0.25% to 1.00% per annum based on the total unused lender commitments under the Credit Facility.</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For the three and nine months ended September 30, 2023, the weighted average outstanding principal balance was $250.3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$298.0</w:t>
      </w:r>
      <w:r>
        <w:rPr>
          <w:rFonts w:ascii="Times New Roman" w:hAnsi="Times New Roman"/>
          <w:color w:val="000000"/>
          <w:sz w:val="20"/>
        </w:rPr>
        <w:t xml:space="preserve"> </w:t>
      </w:r>
      <w:r>
        <w:rPr>
          <w:rFonts w:ascii="Times New Roman" w:hAnsi="Times New Roman"/>
          <w:b w:val="false"/>
          <w:color w:val="000000"/>
          <w:sz w:val="20"/>
        </w:rPr>
        <w:t>million, respectively, and the weighted average effective interest rate was 8.07%</w:t>
      </w:r>
      <w:r>
        <w:rPr>
          <w:rFonts w:ascii="Times New Roman" w:hAnsi="Times New Roman"/>
          <w:color w:val="000000"/>
          <w:sz w:val="20"/>
        </w:rPr>
        <w:t xml:space="preserve"> </w:t>
      </w:r>
      <w:r>
        <w:rPr>
          <w:rFonts w:ascii="Times New Roman" w:hAnsi="Times New Roman"/>
          <w:b w:val="false"/>
          <w:color w:val="000000"/>
          <w:sz w:val="20"/>
        </w:rPr>
        <w:t>and 7.99%, respectively. For the three and nine months ended September 30, 2022, the weighted average outstanding principal balance was $126.0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$85.1</w:t>
      </w:r>
      <w:r>
        <w:rPr>
          <w:rFonts w:ascii="Times New Roman" w:hAnsi="Times New Roman"/>
          <w:color w:val="000000"/>
          <w:sz w:val="20"/>
        </w:rPr>
        <w:t xml:space="preserve"> </w:t>
      </w:r>
      <w:r>
        <w:rPr>
          <w:rFonts w:ascii="Times New Roman" w:hAnsi="Times New Roman"/>
          <w:b w:val="false"/>
          <w:color w:val="000000"/>
          <w:sz w:val="20"/>
        </w:rPr>
        <w:t>million, respectively, and the weighted average effective interest rate was 5.25%</w:t>
      </w:r>
      <w:r>
        <w:rPr>
          <w:rFonts w:ascii="Times New Roman" w:hAnsi="Times New Roman"/>
          <w:color w:val="000000"/>
          <w:sz w:val="20"/>
        </w:rPr>
        <w:t xml:space="preserve"> </w:t>
      </w:r>
      <w:r>
        <w:rPr>
          <w:rFonts w:ascii="Times New Roman" w:hAnsi="Times New Roman"/>
          <w:b w:val="false"/>
          <w:color w:val="000000"/>
          <w:sz w:val="20"/>
        </w:rPr>
        <w:t>and 4.01%, respectively.</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2026 Notes</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On December 10, 2021, the Company entered into a master note purchase agreement, completing a private debt offering of $70.0</w:t>
      </w:r>
      <w:r>
        <w:rPr>
          <w:rFonts w:ascii="Times New Roman" w:hAnsi="Times New Roman"/>
          <w:color w:val="000000"/>
          <w:sz w:val="20"/>
        </w:rPr>
        <w:t xml:space="preserve"> </w:t>
      </w:r>
      <w:r>
        <w:rPr>
          <w:rFonts w:ascii="Times New Roman" w:hAnsi="Times New Roman"/>
          <w:b w:val="false"/>
          <w:color w:val="000000"/>
          <w:sz w:val="20"/>
        </w:rPr>
        <w:t>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w:t>
      </w:r>
      <w:r>
        <w:rPr>
          <w:rFonts w:ascii="Times New Roman" w:hAnsi="Times New Roman"/>
          <w:color w:val="000000"/>
          <w:sz w:val="20"/>
        </w:rPr>
        <w:t xml:space="preserve"> </w:t>
      </w:r>
      <w:r>
        <w:rPr>
          <w:rFonts w:ascii="Times New Roman" w:hAnsi="Times New Roman"/>
          <w:b w:val="false"/>
          <w:color w:val="000000"/>
          <w:sz w:val="20"/>
        </w:rPr>
        <w:t>million closed on December 10, 2021 and the second issuance of $50.0</w:t>
      </w:r>
      <w:r>
        <w:rPr>
          <w:rFonts w:ascii="Times New Roman" w:hAnsi="Times New Roman"/>
          <w:color w:val="000000"/>
          <w:sz w:val="20"/>
        </w:rPr>
        <w:t xml:space="preserve"> </w:t>
      </w:r>
      <w:r>
        <w:rPr>
          <w:rFonts w:ascii="Times New Roman" w:hAnsi="Times New Roman"/>
          <w:b w:val="false"/>
          <w:color w:val="000000"/>
          <w:sz w:val="20"/>
        </w:rPr>
        <w:t>million closed on February 10, 2022.</w:t>
      </w:r>
      <w:r>
        <w:rPr>
          <w:rFonts w:ascii="Times New Roman" w:hAnsi="Times New Roman"/>
          <w:color w:val="000000"/>
          <w:sz w:val="20"/>
        </w:rPr>
        <w:t xml:space="preserve"> </w:t>
      </w:r>
      <w:r>
        <w:rPr>
          <w:rFonts w:ascii="Times New Roman" w:hAnsi="Times New Roman"/>
          <w:b w:val="false"/>
          <w:color w:val="000000"/>
          <w:sz w:val="20"/>
        </w:rPr>
        <w:t>On April 13, 2023, the Company completed the first supplement to the master note purchase agreement, resulting in an additional private debt offering of $25.0</w:t>
      </w:r>
      <w:r>
        <w:rPr>
          <w:rFonts w:ascii="Times New Roman" w:hAnsi="Times New Roman"/>
          <w:color w:val="000000"/>
          <w:sz w:val="20"/>
        </w:rPr>
        <w:t xml:space="preserve"> </w:t>
      </w:r>
      <w:r>
        <w:rPr>
          <w:rFonts w:ascii="Times New Roman" w:hAnsi="Times New Roman"/>
          <w:b w:val="false"/>
          <w:color w:val="000000"/>
          <w:sz w:val="20"/>
        </w:rPr>
        <w:t xml:space="preserve">million in aggregate principal amount of 8.54% interest-bearing unsecured Series 2023A Senior Notes due 2026 (the “April 2026 Notes”) to institutional accredited investors (as defined in the Securities Act).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Times New Roman" w:hAnsi="Times New Roman"/>
          <w:b w:val="false"/>
          <w:i/>
          <w:color w:val="000000"/>
          <w:sz w:val="20"/>
        </w:rPr>
        <w:t xml:space="preserve">pari passu </w:t>
      </w:r>
      <w:r>
        <w:rPr>
          <w:rFonts w:ascii="Times New Roman" w:hAnsi="Times New Roman"/>
          <w:b w:val="false"/>
          <w:color w:val="000000"/>
          <w:sz w:val="20"/>
        </w:rPr>
        <w:t>with all outstanding and future unsecured unsubordinated indebtedness issued by the Company.</w:t>
      </w:r>
    </w:p>
    <w:p>
      <w:pPr>
        <w:pStyle w:val="TextBody"/>
        <w:bidi w:val="0"/>
        <w:spacing w:before="240" w:after="240"/>
        <w:jc w:val="both"/>
        <w:rPr>
          <w:rFonts w:ascii="Times New Roman" w:hAnsi="Times New Roman"/>
          <w:b w:val="false"/>
          <w:i/>
          <w:color w:val="000000"/>
          <w:sz w:val="20"/>
        </w:rPr>
      </w:pPr>
      <w:r>
        <w:rPr>
          <w:rFonts w:ascii="Times New Roman" w:hAnsi="Times New Roman"/>
          <w:b w:val="false"/>
          <w:i/>
          <w:color w:val="000000"/>
          <w:sz w:val="20"/>
        </w:rPr>
        <w:t>December 2026 Notes</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December 2026 Notes bear an interest rate of 4.25% per year and are due on December 10, 2026, unless redeemed, purchased or prepaid prior to such date by the Company or its affiliates in accordance with their terms. Interest on the December 2026 Notes will be due semiannually</w:t>
      </w:r>
      <w:r>
        <w:rPr>
          <w:rFonts w:ascii="Times New Roman" w:hAnsi="Times New Roman"/>
          <w:color w:val="000000"/>
          <w:sz w:val="20"/>
        </w:rPr>
        <w:t xml:space="preserve"> </w:t>
      </w:r>
      <w:r>
        <w:rPr>
          <w:rFonts w:ascii="Times New Roman" w:hAnsi="Times New Roman"/>
          <w:b w:val="false"/>
          <w:color w:val="000000"/>
          <w:sz w:val="20"/>
        </w:rPr>
        <w:t>in arrears on June 10 and December 10 of each year, commencing on June 10, 2022.</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Aggregate costs in connection with the December 2026 Notes issuance</w:t>
      </w:r>
      <w:r>
        <w:rPr>
          <w:rFonts w:ascii="Times New Roman" w:hAnsi="Times New Roman"/>
          <w:color w:val="000000"/>
          <w:sz w:val="20"/>
        </w:rPr>
        <w:t xml:space="preserve"> </w:t>
      </w:r>
      <w:r>
        <w:rPr>
          <w:rFonts w:ascii="Times New Roman" w:hAnsi="Times New Roman"/>
          <w:b w:val="false"/>
          <w:color w:val="000000"/>
          <w:sz w:val="20"/>
        </w:rPr>
        <w:t>were $1.0</w:t>
      </w:r>
      <w:r>
        <w:rPr>
          <w:rFonts w:ascii="Times New Roman" w:hAnsi="Times New Roman"/>
          <w:color w:val="000000"/>
          <w:sz w:val="20"/>
        </w:rPr>
        <w:t xml:space="preserve"> </w:t>
      </w:r>
      <w:r>
        <w:rPr>
          <w:rFonts w:ascii="Times New Roman" w:hAnsi="Times New Roman"/>
          <w:b w:val="false"/>
          <w:color w:val="000000"/>
          <w:sz w:val="20"/>
        </w:rPr>
        <w:t>million, and were capitalized and deferred. As of September 30, 2023</w:t>
      </w:r>
      <w:r>
        <w:rPr>
          <w:rFonts w:ascii="Times New Roman" w:hAnsi="Times New Roman"/>
          <w:color w:val="000000"/>
          <w:sz w:val="20"/>
        </w:rPr>
        <w:t xml:space="preserve"> </w:t>
      </w:r>
      <w:r>
        <w:rPr>
          <w:rFonts w:ascii="Times New Roman" w:hAnsi="Times New Roman"/>
          <w:b w:val="false"/>
          <w:color w:val="000000"/>
          <w:sz w:val="20"/>
        </w:rPr>
        <w:t>and December 31, 2022, unamortized deferred debt costs related to the December 2026 Notes were $0.6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$0.8</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40"/>
        <w:jc w:val="both"/>
        <w:rPr>
          <w:rFonts w:ascii="Times New Roman" w:hAnsi="Times New Roman"/>
          <w:b w:val="false"/>
          <w:i/>
          <w:color w:val="000000"/>
          <w:sz w:val="20"/>
        </w:rPr>
      </w:pPr>
      <w:r>
        <w:rPr>
          <w:rFonts w:ascii="Times New Roman" w:hAnsi="Times New Roman"/>
          <w:b w:val="false"/>
          <w:i/>
          <w:color w:val="000000"/>
          <w:sz w:val="20"/>
        </w:rPr>
        <w:t>April 2026 Notes</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April 2026 Notes bear an interest rate of 8.54% per year and are due on April 13, 2026, unless redeemed, purchased or prepaid prior to such date by the Company or its affiliates in accordance with their terms. Interest on the April 2026 Notes will be due semiannually</w:t>
      </w:r>
      <w:r>
        <w:rPr>
          <w:rFonts w:ascii="Times New Roman" w:hAnsi="Times New Roman"/>
          <w:color w:val="000000"/>
          <w:sz w:val="20"/>
        </w:rPr>
        <w:t xml:space="preserve"> </w:t>
      </w:r>
      <w:r>
        <w:rPr>
          <w:rFonts w:ascii="Times New Roman" w:hAnsi="Times New Roman"/>
          <w:b w:val="false"/>
          <w:color w:val="000000"/>
          <w:sz w:val="20"/>
        </w:rPr>
        <w:t>in arrears on April 13 and October 13 of each year, commencing on October 13, 2023.</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Aggregate costs</w:t>
      </w:r>
      <w:r>
        <w:rPr>
          <w:rFonts w:ascii="Times New Roman" w:hAnsi="Times New Roman"/>
          <w:color w:val="000000"/>
          <w:sz w:val="20"/>
        </w:rPr>
        <w:t xml:space="preserve"> </w:t>
      </w:r>
      <w:r>
        <w:rPr>
          <w:rFonts w:ascii="Times New Roman" w:hAnsi="Times New Roman"/>
          <w:b w:val="false"/>
          <w:color w:val="000000"/>
          <w:sz w:val="20"/>
        </w:rPr>
        <w:t>in connection with the April 2026 Notes issuance were $0.4</w:t>
      </w:r>
      <w:r>
        <w:rPr>
          <w:rFonts w:ascii="Times New Roman" w:hAnsi="Times New Roman"/>
          <w:color w:val="000000"/>
          <w:sz w:val="20"/>
        </w:rPr>
        <w:t xml:space="preserve"> </w:t>
      </w:r>
      <w:r>
        <w:rPr>
          <w:rFonts w:ascii="Times New Roman" w:hAnsi="Times New Roman"/>
          <w:b w:val="false"/>
          <w:color w:val="000000"/>
          <w:sz w:val="20"/>
        </w:rPr>
        <w:t>million, and were capitalized and deferred. As of September 30, 2023</w:t>
      </w:r>
      <w:r>
        <w:rPr>
          <w:rFonts w:ascii="Times New Roman" w:hAnsi="Times New Roman"/>
          <w:b w:val="false"/>
          <w:color w:val="000000"/>
          <w:sz w:val="16"/>
        </w:rPr>
        <w:t>,</w:t>
      </w:r>
      <w:r>
        <w:rPr>
          <w:rFonts w:ascii="Times New Roman" w:hAnsi="Times New Roman"/>
          <w:color w:val="000000"/>
          <w:sz w:val="20"/>
        </w:rPr>
        <w:t xml:space="preserve"> </w:t>
      </w:r>
      <w:r>
        <w:rPr>
          <w:rFonts w:ascii="Times New Roman" w:hAnsi="Times New Roman"/>
          <w:b w:val="false"/>
          <w:color w:val="000000"/>
          <w:sz w:val="20"/>
        </w:rPr>
        <w:t>unamortized deferred debt costs related to the April 2026 Notes were $0.3</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2027 Notes</w:t>
      </w:r>
    </w:p>
    <w:p>
      <w:pPr>
        <w:pStyle w:val="TextBody"/>
        <w:bidi w:val="0"/>
        <w:spacing w:before="240" w:after="240"/>
        <w:jc w:val="both"/>
        <w:rPr>
          <w:rFonts w:ascii="Times New Roman" w:hAnsi="Times New Roman"/>
          <w:b w:val="false"/>
          <w:i/>
          <w:color w:val="000000"/>
          <w:sz w:val="20"/>
        </w:rPr>
      </w:pPr>
      <w:r>
        <w:rPr>
          <w:rFonts w:ascii="Times New Roman" w:hAnsi="Times New Roman"/>
          <w:b w:val="false"/>
          <w:i/>
          <w:color w:val="000000"/>
          <w:sz w:val="20"/>
        </w:rPr>
        <w:t>July 2027 Notes</w:t>
      </w:r>
    </w:p>
    <w:p>
      <w:pPr>
        <w:pStyle w:val="TextBody"/>
        <w:bidi w:val="0"/>
        <w:spacing w:before="0" w:after="240"/>
        <w:jc w:val="both"/>
        <w:rPr>
          <w:rFonts w:ascii="Times New Roman" w:hAnsi="Times New Roman"/>
          <w:sz w:val="20"/>
        </w:rPr>
      </w:pPr>
      <w:r>
        <w:rPr>
          <w:rFonts w:ascii="Times New Roman" w:hAnsi="Times New Roman"/>
          <w:b w:val="false"/>
          <w:color w:val="000000"/>
          <w:sz w:val="20"/>
        </w:rPr>
        <w:t>On July 28, 2022, the Company issued and sold $80.5</w:t>
      </w:r>
      <w:r>
        <w:rPr>
          <w:rFonts w:ascii="Times New Roman" w:hAnsi="Times New Roman"/>
          <w:color w:val="000000"/>
          <w:sz w:val="20"/>
        </w:rPr>
        <w:t xml:space="preserve"> </w:t>
      </w:r>
      <w:r>
        <w:rPr>
          <w:rFonts w:ascii="Times New Roman" w:hAnsi="Times New Roman"/>
          <w:b w:val="false"/>
          <w:color w:val="000000"/>
          <w:sz w:val="20"/>
        </w:rPr>
        <w:t>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July 2027 Notes bear an interest rate of 7.50% per year and are due on July 28, 2027.</w:t>
      </w:r>
      <w:r>
        <w:rPr>
          <w:rFonts w:ascii="Times New Roman" w:hAnsi="Times New Roman"/>
          <w:color w:val="000000"/>
          <w:sz w:val="20"/>
        </w:rPr>
        <w:t xml:space="preserve"> </w:t>
      </w:r>
      <w:r>
        <w:rPr>
          <w:rFonts w:ascii="Times New Roman" w:hAnsi="Times New Roman"/>
          <w:b w:val="false"/>
          <w:color w:val="000000"/>
          <w:sz w:val="20"/>
        </w:rPr>
        <w:t>Interest on the 2027 Notes will be due quarterly</w:t>
      </w:r>
      <w:r>
        <w:rPr>
          <w:rFonts w:ascii="Times New Roman" w:hAnsi="Times New Roman"/>
          <w:color w:val="000000"/>
          <w:sz w:val="20"/>
        </w:rPr>
        <w:t xml:space="preserve"> </w:t>
      </w:r>
      <w:r>
        <w:rPr>
          <w:rFonts w:ascii="Times New Roman" w:hAnsi="Times New Roman"/>
          <w:b w:val="false"/>
          <w:color w:val="000000"/>
          <w:sz w:val="20"/>
        </w:rPr>
        <w:t>in arrears on March 1, June 1, September 1 and December 1 of each year, commencing September 1, 2022. The July 2027 Notes may be redeemed in whole or in part at any time or from time to time at the Company’s option on or after July 28, 2024, at a redemption price of $25</w:t>
      </w:r>
      <w:r>
        <w:rPr>
          <w:rFonts w:ascii="Times New Roman" w:hAnsi="Times New Roman"/>
          <w:color w:val="000000"/>
          <w:sz w:val="20"/>
        </w:rPr>
        <w:t xml:space="preserve"> </w:t>
      </w:r>
      <w:r>
        <w:rPr>
          <w:rFonts w:ascii="Times New Roman" w:hAnsi="Times New Roman"/>
          <w:b w:val="false"/>
          <w:color w:val="000000"/>
          <w:sz w:val="20"/>
        </w:rPr>
        <w:t xml:space="preserve">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hAnsi="Times New Roman"/>
          <w:b w:val="false"/>
          <w:i/>
          <w:color w:val="000000"/>
          <w:sz w:val="20"/>
        </w:rPr>
        <w:t>pari passu</w:t>
      </w:r>
      <w:r>
        <w:rPr>
          <w:rFonts w:ascii="Times New Roman" w:hAnsi="Times New Roman"/>
          <w:color w:val="000000"/>
          <w:sz w:val="20"/>
        </w:rPr>
        <w:t xml:space="preserve"> </w:t>
      </w:r>
      <w:r>
        <w:rPr>
          <w:rFonts w:ascii="Times New Roman" w:hAnsi="Times New Roman"/>
          <w:b w:val="false"/>
          <w:color w:val="000000"/>
          <w:sz w:val="20"/>
        </w:rPr>
        <w:t>with the Company's existing and future unsecured, unsubordinated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Aggregate costs in connection with the July 2027 Notes issuance, including the underwriter’s discount and commissions, were</w:t>
      </w:r>
      <w:r>
        <w:rPr>
          <w:rFonts w:ascii="Times New Roman" w:hAnsi="Times New Roman"/>
          <w:color w:val="000000"/>
          <w:sz w:val="20"/>
        </w:rPr>
        <w:t xml:space="preserve"> </w:t>
      </w:r>
      <w:r>
        <w:rPr>
          <w:rFonts w:ascii="Times New Roman" w:hAnsi="Times New Roman"/>
          <w:b w:val="false"/>
          <w:color w:val="000000"/>
          <w:sz w:val="20"/>
        </w:rPr>
        <w:t>$2.7</w:t>
      </w:r>
      <w:r>
        <w:rPr>
          <w:rFonts w:ascii="Times New Roman" w:hAnsi="Times New Roman"/>
          <w:color w:val="000000"/>
          <w:sz w:val="20"/>
        </w:rPr>
        <w:t xml:space="preserve"> </w:t>
      </w:r>
      <w:r>
        <w:rPr>
          <w:rFonts w:ascii="Times New Roman" w:hAnsi="Times New Roman"/>
          <w:b w:val="false"/>
          <w:color w:val="000000"/>
          <w:sz w:val="20"/>
        </w:rPr>
        <w:t>million, and were capitalized and deferred. As of September 30, 2023</w:t>
      </w:r>
      <w:r>
        <w:rPr>
          <w:rFonts w:ascii="Times New Roman" w:hAnsi="Times New Roman"/>
          <w:color w:val="000000"/>
          <w:sz w:val="20"/>
        </w:rPr>
        <w:t xml:space="preserve"> </w:t>
      </w:r>
      <w:r>
        <w:rPr>
          <w:rFonts w:ascii="Times New Roman" w:hAnsi="Times New Roman"/>
          <w:b w:val="false"/>
          <w:color w:val="000000"/>
          <w:sz w:val="20"/>
        </w:rPr>
        <w:t>and December 31, 2022, unamortized deferred debt costs related to the July 2027 Notes were $2.1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$2.4</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240" w:after="240"/>
        <w:jc w:val="both"/>
        <w:rPr>
          <w:rFonts w:ascii="Times New Roman" w:hAnsi="Times New Roman"/>
          <w:b w:val="false"/>
          <w:i/>
          <w:color w:val="000000"/>
          <w:sz w:val="20"/>
        </w:rPr>
      </w:pPr>
      <w:r>
        <w:rPr>
          <w:rFonts w:ascii="Times New Roman" w:hAnsi="Times New Roman"/>
          <w:b w:val="false"/>
          <w:i/>
          <w:color w:val="000000"/>
          <w:sz w:val="20"/>
        </w:rPr>
        <w:t>August 2027 Notes</w:t>
      </w:r>
    </w:p>
    <w:p>
      <w:pPr>
        <w:pStyle w:val="TextBody"/>
        <w:bidi w:val="0"/>
        <w:spacing w:before="0" w:after="240"/>
        <w:jc w:val="both"/>
        <w:rPr>
          <w:rFonts w:ascii="Times New Roman" w:hAnsi="Times New Roman"/>
          <w:sz w:val="20"/>
        </w:rPr>
      </w:pPr>
      <w:r>
        <w:rPr>
          <w:rFonts w:ascii="Times New Roman" w:hAnsi="Times New Roman"/>
          <w:b w:val="false"/>
          <w:color w:val="000000"/>
          <w:sz w:val="20"/>
        </w:rPr>
        <w:t>On August 31, 2022, the Company issued and sold a private debt offering of $20.0</w:t>
      </w:r>
      <w:r>
        <w:rPr>
          <w:rFonts w:ascii="Times New Roman" w:hAnsi="Times New Roman"/>
          <w:color w:val="000000"/>
          <w:sz w:val="20"/>
        </w:rPr>
        <w:t xml:space="preserve"> </w:t>
      </w:r>
      <w:r>
        <w:rPr>
          <w:rFonts w:ascii="Times New Roman" w:hAnsi="Times New Roman"/>
          <w:b w:val="false"/>
          <w:color w:val="000000"/>
          <w:sz w:val="20"/>
        </w:rPr>
        <w:t>million in aggregate principal amount of 7.00% interest-bearing unsecured Series 2022A Senior Notes due 2027 (the “August 2027 Notes”) to HCM Master Fund Limited.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August 2027 Notes bear an interest rate of 7.00% per year and are due on August 31, 2027, unless redeemed, purchased or prepaid prior to such date by the Company or its affiliates in accordance with their terms. Interest on the August 2027 Notes will be due semiannually</w:t>
      </w:r>
      <w:r>
        <w:rPr>
          <w:rFonts w:ascii="Times New Roman" w:hAnsi="Times New Roman"/>
          <w:color w:val="000000"/>
          <w:sz w:val="20"/>
        </w:rPr>
        <w:t xml:space="preserve"> </w:t>
      </w:r>
      <w:r>
        <w:rPr>
          <w:rFonts w:ascii="Times New Roman" w:hAnsi="Times New Roman"/>
          <w:b w:val="false"/>
          <w:color w:val="000000"/>
          <w:sz w:val="20"/>
        </w:rPr>
        <w:t xml:space="preserve">in arrears on February 15 and August 15 of each year, commencing on February 15, 2023. The August 2027 Notes are general unsecured obligations of the Company that rank </w:t>
      </w:r>
      <w:r>
        <w:rPr>
          <w:rFonts w:ascii="Times New Roman" w:hAnsi="Times New Roman"/>
          <w:b w:val="false"/>
          <w:i/>
          <w:color w:val="000000"/>
          <w:sz w:val="20"/>
        </w:rPr>
        <w:t xml:space="preserve">pari passu </w:t>
      </w:r>
      <w:r>
        <w:rPr>
          <w:rFonts w:ascii="Times New Roman" w:hAnsi="Times New Roman"/>
          <w:b w:val="false"/>
          <w:color w:val="000000"/>
          <w:sz w:val="20"/>
        </w:rPr>
        <w:t>with all outstanding and future unsecured unsubordinated indebtedness issued by the Company.</w:t>
      </w:r>
    </w:p>
    <w:p>
      <w:pPr>
        <w:pStyle w:val="TextBody"/>
        <w:bidi w:val="0"/>
        <w:spacing w:before="0" w:after="240"/>
        <w:jc w:val="both"/>
        <w:rPr>
          <w:rFonts w:ascii="Times New Roman" w:hAnsi="Times New Roman"/>
          <w:sz w:val="20"/>
        </w:rPr>
      </w:pPr>
      <w:r>
        <w:rPr>
          <w:rFonts w:ascii="Times New Roman" w:hAnsi="Times New Roman"/>
          <w:b w:val="false"/>
          <w:color w:val="000000"/>
          <w:sz w:val="20"/>
        </w:rPr>
        <w:t>Aggregate costs in connection with the August 2027 Notes issuance were $0.7</w:t>
      </w:r>
      <w:r>
        <w:rPr>
          <w:rFonts w:ascii="Times New Roman" w:hAnsi="Times New Roman"/>
          <w:color w:val="000000"/>
          <w:sz w:val="20"/>
        </w:rPr>
        <w:t xml:space="preserve"> </w:t>
      </w:r>
      <w:r>
        <w:rPr>
          <w:rFonts w:ascii="Times New Roman" w:hAnsi="Times New Roman"/>
          <w:b w:val="false"/>
          <w:color w:val="000000"/>
          <w:sz w:val="20"/>
        </w:rPr>
        <w:t>million, and were capitalized and deferred. As of September 30, 2023 and December 31, 2022, unamortized deferred debt costs related to the August 2027 Notes were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$0.7</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240" w:after="240"/>
        <w:jc w:val="both"/>
        <w:rPr>
          <w:rFonts w:ascii="Times New Roman" w:hAnsi="Times New Roman"/>
          <w:b w:val="false"/>
          <w:i/>
          <w:color w:val="000000"/>
          <w:sz w:val="20"/>
        </w:rPr>
      </w:pPr>
      <w:r>
        <w:rPr>
          <w:rFonts w:ascii="Times New Roman" w:hAnsi="Times New Roman"/>
          <w:b w:val="false"/>
          <w:i/>
          <w:color w:val="000000"/>
          <w:sz w:val="20"/>
        </w:rPr>
        <w:t>December 2027 Notes</w:t>
      </w:r>
    </w:p>
    <w:p>
      <w:pPr>
        <w:pStyle w:val="TextBody"/>
        <w:bidi w:val="0"/>
        <w:spacing w:before="0" w:after="240"/>
        <w:jc w:val="both"/>
        <w:rPr>
          <w:rFonts w:ascii="Times New Roman" w:hAnsi="Times New Roman"/>
          <w:sz w:val="20"/>
        </w:rPr>
      </w:pPr>
      <w:r>
        <w:rPr>
          <w:rFonts w:ascii="Times New Roman" w:hAnsi="Times New Roman"/>
          <w:b w:val="false"/>
          <w:color w:val="000000"/>
          <w:sz w:val="20"/>
        </w:rPr>
        <w:t>On December 7, 2022, the Company issued and sold $51.75</w:t>
      </w:r>
      <w:r>
        <w:rPr>
          <w:rFonts w:ascii="Times New Roman" w:hAnsi="Times New Roman"/>
          <w:color w:val="000000"/>
          <w:sz w:val="20"/>
        </w:rPr>
        <w:t xml:space="preserve"> </w:t>
      </w:r>
      <w:r>
        <w:rPr>
          <w:rFonts w:ascii="Times New Roman" w:hAnsi="Times New Roman"/>
          <w:b w:val="false"/>
          <w:color w:val="000000"/>
          <w:sz w:val="20"/>
        </w:rPr>
        <w:t>million in aggregate principal amount of 8.00% interest-bearing unsecured Notes due 2027 (the "December 2027 Notes") under its shelf Registration Statement on Form N-2. The December 2027 Notes were issued pursuant to the Base Indenture dated July 28, 2022 (the "Base Indenture") and Second Supplemental Indenture, dated December 7, 2022 (together with the Base Indenture, the "Indenture"), between the Company and the Trustee, U.S. Bank Trust Company, National Association.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December 2027 Notes bear an interest rate of 8.0% per year and are due on December 28, 2027. Interest on the 2027 Notes will be due quarterly in arrears on March 1, June 1, September 1, and December 1 of each year, commencing March 1, 2023.</w:t>
      </w:r>
      <w:r>
        <w:rPr>
          <w:rFonts w:ascii="Times New Roman" w:hAnsi="Times New Roman"/>
          <w:color w:val="000000"/>
          <w:sz w:val="20"/>
        </w:rPr>
        <w:t xml:space="preserve"> </w:t>
      </w:r>
      <w:r>
        <w:rPr>
          <w:rFonts w:ascii="Times New Roman" w:hAnsi="Times New Roman"/>
          <w:b w:val="false"/>
          <w:color w:val="000000"/>
          <w:sz w:val="20"/>
        </w:rPr>
        <w:t>The December 2027 Notes may be redeemed in whole or in part at any time or from time to time at the Company's option on or after December 31, 2024, at a redemption price of $25</w:t>
      </w:r>
      <w:r>
        <w:rPr>
          <w:rFonts w:ascii="Times New Roman" w:hAnsi="Times New Roman"/>
          <w:color w:val="000000"/>
          <w:sz w:val="20"/>
        </w:rPr>
        <w:t xml:space="preserve"> </w:t>
      </w:r>
      <w:r>
        <w:rPr>
          <w:rFonts w:ascii="Times New Roman" w:hAnsi="Times New Roman"/>
          <w:b w:val="false"/>
          <w:color w:val="000000"/>
          <w:sz w:val="20"/>
        </w:rPr>
        <w:t>per December 2027 Note plus accrued and unpaid interest payments otherwise payable for the then-current quarterly interest period accrued to the date fixed for redemption.</w:t>
      </w:r>
      <w:r>
        <w:rPr>
          <w:rFonts w:ascii="Times New Roman" w:hAnsi="Times New Roman"/>
          <w:color w:val="000000"/>
          <w:sz w:val="20"/>
        </w:rPr>
        <w:t xml:space="preserve"> </w:t>
      </w:r>
      <w:r>
        <w:rPr>
          <w:rFonts w:ascii="Times New Roman" w:hAnsi="Times New Roman"/>
          <w:b w:val="false"/>
          <w:color w:val="000000"/>
          <w:sz w:val="20"/>
        </w:rPr>
        <w:t xml:space="preserve">The December 2027 Notes are general unsecured obligations of the Company that rank </w:t>
      </w:r>
      <w:r>
        <w:rPr>
          <w:rFonts w:ascii="Times New Roman" w:hAnsi="Times New Roman"/>
          <w:b w:val="false"/>
          <w:i/>
          <w:color w:val="000000"/>
          <w:sz w:val="20"/>
        </w:rPr>
        <w:t>pari passu</w:t>
      </w:r>
      <w:r>
        <w:rPr>
          <w:rFonts w:ascii="Times New Roman" w:hAnsi="Times New Roman"/>
          <w:color w:val="000000"/>
          <w:sz w:val="20"/>
        </w:rPr>
        <w:t xml:space="preserve"> </w:t>
      </w:r>
      <w:r>
        <w:rPr>
          <w:rFonts w:ascii="Times New Roman" w:hAnsi="Times New Roman"/>
          <w:b w:val="false"/>
          <w:color w:val="000000"/>
          <w:sz w:val="20"/>
        </w:rPr>
        <w:t>with the Company's existing and future unsecured, unsubordinated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Aggregate costs in connection with the December 2027 Notes issuance, including the underwriter's discount and commissions, were $1.8</w:t>
      </w:r>
      <w:r>
        <w:rPr>
          <w:rFonts w:ascii="Times New Roman" w:hAnsi="Times New Roman"/>
          <w:color w:val="000000"/>
          <w:sz w:val="20"/>
        </w:rPr>
        <w:t xml:space="preserve"> </w:t>
      </w:r>
      <w:r>
        <w:rPr>
          <w:rFonts w:ascii="Times New Roman" w:hAnsi="Times New Roman"/>
          <w:b w:val="false"/>
          <w:color w:val="000000"/>
          <w:sz w:val="20"/>
        </w:rPr>
        <w:t>million, and were capitalized and deferred. As of September 30, 2023 and December 31, 2022, unamortized deferred debt costs related to the December 2027 Notes were $1.5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$1.8</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8 – Commitments and Contingencies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0" w:after="240"/>
        <w:jc w:val="left"/>
        <w:rPr>
          <w:rFonts w:ascii="Times New Roman" w:hAnsi="Times New Roman"/>
          <w:b w:val="false"/>
          <w:color w:val="000000"/>
          <w:sz w:val="20"/>
        </w:rPr>
      </w:pPr>
      <w:r>
        <w:rPr>
          <w:rFonts w:ascii="Times New Roman" w:hAnsi="Times New Roman"/>
          <w:b w:val="false"/>
          <w:color w:val="000000"/>
          <w:sz w:val="20"/>
        </w:rPr>
        <w:t>The following table provides the Company’s contractual obligations as of September 30, 2023 (in thousands):</w:t>
      </w:r>
    </w:p>
    <w:tbl>
      <w:tblPr>
        <w:tblW w:w="9623" w:type="dxa"/>
        <w:jc w:val="left"/>
        <w:tblInd w:w="0" w:type="dxa"/>
        <w:tblLayout w:type="fixed"/>
        <w:tblCellMar>
          <w:top w:w="28" w:type="dxa"/>
          <w:left w:w="28" w:type="dxa"/>
          <w:bottom w:w="28" w:type="dxa"/>
          <w:right w:w="28" w:type="dxa"/>
        </w:tblCellMar>
      </w:tblPr>
      <w:tblGrid>
        <w:gridCol w:w="1899"/>
        <w:gridCol w:w="156"/>
        <w:gridCol w:w="196"/>
        <w:gridCol w:w="146"/>
        <w:gridCol w:w="691"/>
        <w:gridCol w:w="146"/>
        <w:gridCol w:w="146"/>
        <w:gridCol w:w="370"/>
        <w:gridCol w:w="211"/>
        <w:gridCol w:w="739"/>
        <w:gridCol w:w="146"/>
        <w:gridCol w:w="146"/>
        <w:gridCol w:w="256"/>
        <w:gridCol w:w="146"/>
        <w:gridCol w:w="691"/>
        <w:gridCol w:w="146"/>
        <w:gridCol w:w="146"/>
        <w:gridCol w:w="256"/>
        <w:gridCol w:w="146"/>
        <w:gridCol w:w="691"/>
        <w:gridCol w:w="146"/>
        <w:gridCol w:w="146"/>
        <w:gridCol w:w="484"/>
        <w:gridCol w:w="276"/>
        <w:gridCol w:w="710"/>
        <w:gridCol w:w="391"/>
      </w:tblGrid>
      <w:tr>
        <w:trPr/>
        <w:tc>
          <w:tcPr>
            <w:tcW w:w="18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9"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5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Contractual Obligations</w:t>
            </w:r>
            <w:r>
              <w:rPr>
                <w:rFonts w:ascii="Times New Roman" w:hAnsi="Times New Roman"/>
                <w:color w:val="000000"/>
                <w:sz w:val="16"/>
              </w:rPr>
              <w:t> </w:t>
            </w:r>
            <w:r>
              <w:rPr>
                <w:rFonts w:ascii="Times New Roman" w:hAnsi="Times New Roman"/>
                <w:b/>
                <w:color w:val="000000"/>
                <w:sz w:val="11"/>
              </w:rPr>
              <w:t>(1)</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9"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Borrowings</w:t>
            </w:r>
            <w:r>
              <w:rPr>
                <w:rFonts w:ascii="Times New Roman" w:hAnsi="Times New Roman"/>
                <w:color w:val="000000"/>
                <w:sz w:val="16"/>
              </w:rPr>
              <w:t> </w:t>
            </w:r>
            <w:r>
              <w:rPr>
                <w:rFonts w:ascii="Times New Roman" w:hAnsi="Times New Roman"/>
                <w:b w:val="false"/>
                <w:color w:val="000000"/>
                <w:sz w:val="11"/>
              </w:rPr>
              <w:t>(2)</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9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986"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189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Credit Facility</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21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276"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189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2026 Notes</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189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2027 Notes</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9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Borrowings</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222,250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18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Deferred Incentive Fees</w:t>
            </w:r>
          </w:p>
        </w:tc>
        <w:tc>
          <w:tcPr>
            <w:tcW w:w="15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5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458,697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224,798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Excludes interest payable on borrowings, accrued expenses, and commitments to extend credit to the Company’s portfolio companies.</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Amounts represent future principal repayments and not the carrying value of each liability (refer to “Note 7 – Borrowings”).</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The following table provides the Company’s contractual obligations as of December 31, 2022 (in thousands):</w:t>
      </w:r>
    </w:p>
    <w:tbl>
      <w:tblPr>
        <w:tblW w:w="9565" w:type="dxa"/>
        <w:jc w:val="left"/>
        <w:tblInd w:w="0" w:type="dxa"/>
        <w:tblLayout w:type="fixed"/>
        <w:tblCellMar>
          <w:top w:w="28" w:type="dxa"/>
          <w:left w:w="28" w:type="dxa"/>
          <w:bottom w:w="28" w:type="dxa"/>
          <w:right w:w="28" w:type="dxa"/>
        </w:tblCellMar>
      </w:tblPr>
      <w:tblGrid>
        <w:gridCol w:w="1899"/>
        <w:gridCol w:w="156"/>
        <w:gridCol w:w="196"/>
        <w:gridCol w:w="146"/>
        <w:gridCol w:w="691"/>
        <w:gridCol w:w="146"/>
        <w:gridCol w:w="146"/>
        <w:gridCol w:w="434"/>
        <w:gridCol w:w="247"/>
        <w:gridCol w:w="638"/>
        <w:gridCol w:w="146"/>
        <w:gridCol w:w="146"/>
        <w:gridCol w:w="256"/>
        <w:gridCol w:w="173"/>
        <w:gridCol w:w="607"/>
        <w:gridCol w:w="146"/>
        <w:gridCol w:w="146"/>
        <w:gridCol w:w="256"/>
        <w:gridCol w:w="146"/>
        <w:gridCol w:w="691"/>
        <w:gridCol w:w="146"/>
        <w:gridCol w:w="146"/>
        <w:gridCol w:w="412"/>
        <w:gridCol w:w="235"/>
        <w:gridCol w:w="823"/>
        <w:gridCol w:w="391"/>
      </w:tblGrid>
      <w:tr>
        <w:trPr/>
        <w:tc>
          <w:tcPr>
            <w:tcW w:w="18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9"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Contractual Obligations</w:t>
            </w:r>
            <w:r>
              <w:rPr>
                <w:rFonts w:ascii="Times New Roman" w:hAnsi="Times New Roman"/>
                <w:color w:val="000000"/>
                <w:sz w:val="16"/>
              </w:rPr>
              <w:t> </w:t>
            </w:r>
            <w:r>
              <w:rPr>
                <w:rFonts w:ascii="Times New Roman" w:hAnsi="Times New Roman"/>
                <w:b/>
                <w:color w:val="000000"/>
                <w:sz w:val="11"/>
              </w:rPr>
              <w:t>(1)</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9"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Borrowings</w:t>
            </w:r>
            <w:r>
              <w:rPr>
                <w:rFonts w:ascii="Times New Roman" w:hAnsi="Times New Roman"/>
                <w:color w:val="000000"/>
                <w:sz w:val="16"/>
              </w:rPr>
              <w:t> </w:t>
            </w:r>
            <w:r>
              <w:rPr>
                <w:rFonts w:ascii="Times New Roman" w:hAnsi="Times New Roman"/>
                <w:b w:val="false"/>
                <w:color w:val="000000"/>
                <w:sz w:val="11"/>
              </w:rPr>
              <w:t>(2)</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8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1058"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189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Credit Facility</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247"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73" w:type="dxa"/>
            <w:tcBorders/>
            <w:shd w:fill="CFF0FC" w:val="clear"/>
            <w:vAlign w:val="center"/>
          </w:tcPr>
          <w:p>
            <w:pPr>
              <w:pStyle w:val="TableContents"/>
              <w:bidi w:val="0"/>
              <w:spacing w:before="0" w:after="283"/>
              <w:jc w:val="left"/>
              <w:rPr/>
            </w:pPr>
            <w:r>
              <w:rPr/>
              <w:t> </w:t>
            </w:r>
          </w:p>
        </w:tc>
        <w:tc>
          <w:tcPr>
            <w:tcW w:w="6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235"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189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2026 Notes</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189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2027 Notes</w:t>
            </w:r>
          </w:p>
        </w:tc>
        <w:tc>
          <w:tcPr>
            <w:tcW w:w="1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9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Borrowings</w:t>
            </w:r>
          </w:p>
        </w:tc>
        <w:tc>
          <w:tcPr>
            <w:tcW w:w="1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18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Deferred Incentive Fees</w:t>
            </w:r>
          </w:p>
        </w:tc>
        <w:tc>
          <w:tcPr>
            <w:tcW w:w="15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5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564,259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560,273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Excludes interest payable on borrowings, accrued expenses, and commitments to extend credit to the Company’s portfolio companies.</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Amounts represent future principal repayments and not the carrying value of each liability (refer to “Note 7 – Borrowings”).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Company and RGC are not currently subject to any material legal proceedings, nor, to our knowledge, is any material legal proceeding threatened against us. From time to time, the Company or RGC may be a party to certain legal proceedings in the ordinary course of business, including proceedings relating to the enforcement of our rights under contracts with our portfolio companies. The Company's business is also subject to extensive regulation, which may result in regulatory proceedings against us. While the outcome of any such legal proceedings cannot be predicted with certainty, the Company does not expect that any such proceedings will have a material effect upon our financial condition or results of operations.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0" w:after="240"/>
        <w:jc w:val="both"/>
        <w:rPr>
          <w:rFonts w:ascii="Times New Roman" w:hAnsi="Times New Roman"/>
          <w:sz w:val="20"/>
        </w:rPr>
      </w:pPr>
      <w:r>
        <w:rPr>
          <w:rFonts w:ascii="Times New Roman" w:hAnsi="Times New Roman"/>
          <w:b w:val="false"/>
          <w:color w:val="000000"/>
          <w:sz w:val="20"/>
        </w:rPr>
        <w:t>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our balance sheet. The availability of such unfunded loan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Company's unfunded loan commitments to provide debt financing to its portfolio companies amounted to $203.5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$315.7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shown in the table below (in thousands):</w:t>
      </w:r>
    </w:p>
    <w:tbl>
      <w:tblPr>
        <w:tblW w:w="9779" w:type="dxa"/>
        <w:jc w:val="left"/>
        <w:tblInd w:w="0" w:type="dxa"/>
        <w:tblLayout w:type="fixed"/>
        <w:tblCellMar>
          <w:top w:w="28" w:type="dxa"/>
          <w:left w:w="28" w:type="dxa"/>
          <w:bottom w:w="28" w:type="dxa"/>
          <w:right w:w="28" w:type="dxa"/>
        </w:tblCellMar>
      </w:tblPr>
      <w:tblGrid>
        <w:gridCol w:w="4126"/>
        <w:gridCol w:w="146"/>
        <w:gridCol w:w="1981"/>
        <w:gridCol w:w="146"/>
        <w:gridCol w:w="293"/>
        <w:gridCol w:w="218"/>
        <w:gridCol w:w="1034"/>
        <w:gridCol w:w="146"/>
        <w:gridCol w:w="185"/>
        <w:gridCol w:w="249"/>
        <w:gridCol w:w="185"/>
        <w:gridCol w:w="879"/>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3PL Central LLC (dba Extensiv)</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18"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11,500</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Brivo,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12,000</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CloudPay,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Dtex Systems,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EBR Systems,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Interactions Corporation</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Intellisite Holdings, Inc. (dba Epic IO Technologies,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Kin Insurance,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Madison Reed,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1,200</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Moximed,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Nalu Medical,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Revelle Aesthetics,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Route 92 Medical,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38,564</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SetPoint Medical Corporation</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40,000</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40,000</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Skillshare,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15,000</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Snagajob.com, Inc.</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6,785</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6,785</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Synack, Inc.</w:t>
            </w:r>
          </w:p>
        </w:tc>
        <w:tc>
          <w:tcPr>
            <w:tcW w:w="146" w:type="dxa"/>
            <w:tcBorders/>
            <w:shd w:fill="CFF0FC" w:val="clear"/>
            <w:vAlign w:val="center"/>
          </w:tcPr>
          <w:p>
            <w:pPr>
              <w:pStyle w:val="TableContents"/>
              <w:bidi w:val="0"/>
              <w:spacing w:before="0" w:after="283"/>
              <w:jc w:val="left"/>
              <w:rPr/>
            </w:pPr>
            <w:r>
              <w:rPr/>
              <w:t> </w:t>
            </w:r>
          </w:p>
        </w:tc>
        <w:tc>
          <w:tcPr>
            <w:tcW w:w="198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Senior Secured Term Loan</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unused commitments to extend financing</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315,685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9 – Net Assets</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Company has the authority to issue 100,000,000</w:t>
      </w:r>
      <w:r>
        <w:rPr>
          <w:rFonts w:ascii="Times New Roman" w:hAnsi="Times New Roman"/>
          <w:color w:val="000000"/>
          <w:sz w:val="20"/>
        </w:rPr>
        <w:t xml:space="preserve"> </w:t>
      </w:r>
      <w:r>
        <w:rPr>
          <w:rFonts w:ascii="Times New Roman" w:hAnsi="Times New Roman"/>
          <w:b w:val="false"/>
          <w:color w:val="000000"/>
          <w:sz w:val="20"/>
        </w:rPr>
        <w:t>shares of common stock, $0.01</w:t>
      </w:r>
      <w:r>
        <w:rPr>
          <w:rFonts w:ascii="Times New Roman" w:hAnsi="Times New Roman"/>
          <w:color w:val="000000"/>
          <w:sz w:val="20"/>
        </w:rPr>
        <w:t xml:space="preserve"> </w:t>
      </w:r>
      <w:r>
        <w:rPr>
          <w:rFonts w:ascii="Times New Roman" w:hAnsi="Times New Roman"/>
          <w:b w:val="false"/>
          <w:color w:val="000000"/>
          <w:sz w:val="20"/>
        </w:rPr>
        <w:t>par value per share. In October 2015, in connection with the Company's formation, the Company issued and sold 1,667</w:t>
      </w:r>
      <w:r>
        <w:rPr>
          <w:rFonts w:ascii="Times New Roman" w:hAnsi="Times New Roman"/>
          <w:color w:val="000000"/>
          <w:sz w:val="20"/>
        </w:rPr>
        <w:t xml:space="preserve"> </w:t>
      </w:r>
      <w:r>
        <w:rPr>
          <w:rFonts w:ascii="Times New Roman" w:hAnsi="Times New Roman"/>
          <w:b w:val="false"/>
          <w:color w:val="000000"/>
          <w:sz w:val="20"/>
        </w:rPr>
        <w:t>shares of common stock to R. David Spreng, the President and Chief Executive Officer of the Company and Chairman of the Company's Board of Directors, for an aggregate purchase price of $25</w:t>
      </w:r>
      <w:r>
        <w:rPr>
          <w:rFonts w:ascii="Times New Roman" w:hAnsi="Times New Roman"/>
          <w:color w:val="000000"/>
          <w:sz w:val="20"/>
        </w:rPr>
        <w:t xml:space="preserve"> </w:t>
      </w:r>
      <w:r>
        <w:rPr>
          <w:rFonts w:ascii="Times New Roman" w:hAnsi="Times New Roman"/>
          <w:b w:val="false"/>
          <w:color w:val="000000"/>
          <w:sz w:val="20"/>
        </w:rPr>
        <w:t>thousand.</w:t>
      </w:r>
      <w:r>
        <w:rPr>
          <w:rFonts w:ascii="Times New Roman" w:hAnsi="Times New Roman"/>
          <w:color w:val="000000"/>
          <w:sz w:val="20"/>
        </w:rPr>
        <w:t xml:space="preserve">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Private Common Stock Offerings</w:t>
      </w:r>
    </w:p>
    <w:p>
      <w:pPr>
        <w:pStyle w:val="TextBody"/>
        <w:bidi w:val="0"/>
        <w:spacing w:before="0" w:after="240"/>
        <w:jc w:val="both"/>
        <w:rPr>
          <w:rFonts w:ascii="Times New Roman" w:hAnsi="Times New Roman"/>
          <w:sz w:val="20"/>
        </w:rPr>
      </w:pPr>
      <w:r>
        <w:rPr>
          <w:rFonts w:ascii="Times New Roman" w:hAnsi="Times New Roman"/>
          <w:b w:val="false"/>
          <w:color w:val="000000"/>
          <w:sz w:val="20"/>
        </w:rPr>
        <w:t>On December 1, 2017, the Company completed its initial private offering ("Initial Private Offering"), in which the Company issued 18,241,157</w:t>
      </w:r>
      <w:r>
        <w:rPr>
          <w:rFonts w:ascii="Times New Roman" w:hAnsi="Times New Roman"/>
          <w:color w:val="000000"/>
          <w:sz w:val="20"/>
        </w:rPr>
        <w:t xml:space="preserve"> </w:t>
      </w:r>
      <w:r>
        <w:rPr>
          <w:rFonts w:ascii="Times New Roman" w:hAnsi="Times New Roman"/>
          <w:b w:val="false"/>
          <w:color w:val="000000"/>
          <w:sz w:val="20"/>
        </w:rPr>
        <w:t>shares of its common stock to stockholders for a total purchase price of $275.0</w:t>
      </w:r>
      <w:r>
        <w:rPr>
          <w:rFonts w:ascii="Times New Roman" w:hAnsi="Times New Roman"/>
          <w:color w:val="000000"/>
          <w:sz w:val="20"/>
        </w:rPr>
        <w:t xml:space="preserve"> </w:t>
      </w:r>
      <w:r>
        <w:rPr>
          <w:rFonts w:ascii="Times New Roman" w:hAnsi="Times New Roman"/>
          <w:b w:val="false"/>
          <w:color w:val="000000"/>
          <w:sz w:val="20"/>
        </w:rPr>
        <w:t>million in reliance on exemptions from the registration requirements of the Securities Act, and other applicable securities laws.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Beginning October 15, 2019 and ending September 29, 2021, the Company had completed multiple closings under its second private offering (the "Second Private Offering") and had accepted aggregate capital commitments of $181.7</w:t>
      </w:r>
      <w:r>
        <w:rPr>
          <w:rFonts w:ascii="Times New Roman" w:hAnsi="Times New Roman"/>
          <w:color w:val="000000"/>
          <w:sz w:val="20"/>
        </w:rPr>
        <w:t xml:space="preserve"> </w:t>
      </w:r>
      <w:r>
        <w:rPr>
          <w:rFonts w:ascii="Times New Roman" w:hAnsi="Times New Roman"/>
          <w:b w:val="false"/>
          <w:color w:val="000000"/>
          <w:sz w:val="20"/>
        </w:rPr>
        <w:t>million. In connection with the Second Private Offering the Company has issued 9,617,379</w:t>
      </w:r>
      <w:r>
        <w:rPr>
          <w:rFonts w:ascii="Times New Roman" w:hAnsi="Times New Roman"/>
          <w:color w:val="000000"/>
          <w:sz w:val="20"/>
        </w:rPr>
        <w:t xml:space="preserve"> </w:t>
      </w:r>
      <w:r>
        <w:rPr>
          <w:rFonts w:ascii="Times New Roman" w:hAnsi="Times New Roman"/>
          <w:b w:val="false"/>
          <w:color w:val="000000"/>
          <w:sz w:val="20"/>
        </w:rPr>
        <w:t>shares of its common stock for a total purchase price of $144.3</w:t>
      </w:r>
      <w:r>
        <w:rPr>
          <w:rFonts w:ascii="Times New Roman" w:hAnsi="Times New Roman"/>
          <w:color w:val="000000"/>
          <w:sz w:val="20"/>
        </w:rPr>
        <w:t xml:space="preserve"> </w:t>
      </w:r>
      <w:r>
        <w:rPr>
          <w:rFonts w:ascii="Times New Roman" w:hAnsi="Times New Roman"/>
          <w:b w:val="false"/>
          <w:color w:val="000000"/>
          <w:sz w:val="20"/>
        </w:rPr>
        <w:t>million. Concurrent with the IPO, all undrawn commitments under the Second Private Offering were cancelled.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On March 31, 2020 and March 24, 2021, the Company had issued in aggregate 22,564</w:t>
      </w:r>
      <w:r>
        <w:rPr>
          <w:rFonts w:ascii="Times New Roman" w:hAnsi="Times New Roman"/>
          <w:color w:val="000000"/>
          <w:sz w:val="20"/>
        </w:rPr>
        <w:t xml:space="preserve"> </w:t>
      </w:r>
      <w:r>
        <w:rPr>
          <w:rFonts w:ascii="Times New Roman" w:hAnsi="Times New Roman"/>
          <w:b w:val="false"/>
          <w:color w:val="000000"/>
          <w:sz w:val="20"/>
        </w:rPr>
        <w:t>shares as an additional direct investment by Runway Growth Holdings LLC, an affiliate of RGC, at a per-share price of $15.00</w:t>
      </w:r>
      <w:r>
        <w:rPr>
          <w:rFonts w:ascii="Times New Roman" w:hAnsi="Times New Roman"/>
          <w:color w:val="000000"/>
          <w:sz w:val="20"/>
        </w:rPr>
        <w:t xml:space="preserve"> </w:t>
      </w:r>
      <w:r>
        <w:rPr>
          <w:rFonts w:ascii="Times New Roman" w:hAnsi="Times New Roman"/>
          <w:b w:val="false"/>
          <w:color w:val="000000"/>
          <w:sz w:val="20"/>
        </w:rPr>
        <w:t>for total proceeds of $0.3</w:t>
      </w:r>
      <w:r>
        <w:rPr>
          <w:rFonts w:ascii="Times New Roman" w:hAnsi="Times New Roman"/>
          <w:color w:val="000000"/>
          <w:sz w:val="20"/>
        </w:rPr>
        <w:t xml:space="preserve"> </w:t>
      </w:r>
      <w:r>
        <w:rPr>
          <w:rFonts w:ascii="Times New Roman" w:hAnsi="Times New Roman"/>
          <w:b w:val="false"/>
          <w:color w:val="000000"/>
          <w:sz w:val="20"/>
        </w:rPr>
        <w:t>million in a private offering pursuant to an exemption from registration under Regulation D of the Securities Act.</w:t>
      </w:r>
      <w:r>
        <w:rPr>
          <w:rFonts w:ascii="Times New Roman" w:hAnsi="Times New Roman"/>
          <w:color w:val="000000"/>
          <w:sz w:val="20"/>
        </w:rPr>
        <w:t xml:space="preserve">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0" w:after="240"/>
        <w:jc w:val="both"/>
        <w:rPr>
          <w:rFonts w:ascii="Times New Roman" w:hAnsi="Times New Roman"/>
          <w:sz w:val="20"/>
        </w:rPr>
      </w:pPr>
      <w:r>
        <w:rPr>
          <w:rFonts w:ascii="Times New Roman" w:hAnsi="Times New Roman"/>
          <w:b w:val="false"/>
          <w:color w:val="000000"/>
          <w:sz w:val="20"/>
        </w:rPr>
        <w:t>On October 25, 2021, the Company closed its IPO, issuing 6,850,000</w:t>
      </w:r>
      <w:r>
        <w:rPr>
          <w:rFonts w:ascii="Times New Roman" w:hAnsi="Times New Roman"/>
          <w:color w:val="000000"/>
          <w:sz w:val="20"/>
        </w:rPr>
        <w:t xml:space="preserve"> </w:t>
      </w:r>
      <w:r>
        <w:rPr>
          <w:rFonts w:ascii="Times New Roman" w:hAnsi="Times New Roman"/>
          <w:b w:val="false"/>
          <w:color w:val="000000"/>
          <w:sz w:val="20"/>
        </w:rPr>
        <w:t>shares of its common stock at a public offering price of $14.60</w:t>
      </w:r>
      <w:r>
        <w:rPr>
          <w:rFonts w:ascii="Times New Roman" w:hAnsi="Times New Roman"/>
          <w:color w:val="000000"/>
          <w:sz w:val="20"/>
        </w:rPr>
        <w:t xml:space="preserve"> </w:t>
      </w:r>
      <w:r>
        <w:rPr>
          <w:rFonts w:ascii="Times New Roman" w:hAnsi="Times New Roman"/>
          <w:b w:val="false"/>
          <w:color w:val="000000"/>
          <w:sz w:val="20"/>
        </w:rPr>
        <w:t>per share. Net of underwriting fees and offering costs, the Company received net cash proceeds of $93.0</w:t>
      </w:r>
      <w:r>
        <w:rPr>
          <w:rFonts w:ascii="Times New Roman" w:hAnsi="Times New Roman"/>
          <w:color w:val="000000"/>
          <w:sz w:val="20"/>
        </w:rPr>
        <w:t xml:space="preserve"> </w:t>
      </w:r>
      <w:r>
        <w:rPr>
          <w:rFonts w:ascii="Times New Roman" w:hAnsi="Times New Roman"/>
          <w:b w:val="false"/>
          <w:color w:val="000000"/>
          <w:sz w:val="20"/>
        </w:rPr>
        <w:t>million. The Company’s common stock began trading on the Nasdaq Global Select Market LLC on October 21, 2021 under the symbol “RWAY”.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Repurchase Program</w:t>
      </w:r>
    </w:p>
    <w:p>
      <w:pPr>
        <w:pStyle w:val="TextBody"/>
        <w:bidi w:val="0"/>
        <w:spacing w:before="0" w:after="240"/>
        <w:jc w:val="both"/>
        <w:rPr>
          <w:rFonts w:ascii="Times New Roman" w:hAnsi="Times New Roman"/>
          <w:sz w:val="20"/>
        </w:rPr>
      </w:pPr>
      <w:r>
        <w:rPr>
          <w:rFonts w:ascii="Times New Roman" w:hAnsi="Times New Roman"/>
          <w:b w:val="false"/>
          <w:color w:val="000000"/>
          <w:sz w:val="20"/>
        </w:rPr>
        <w:t>On February 24, 2022, the Board of Directors approved a repurchase program (the “Repurchase Program”) under which the Company could have repurchased up to $25.0</w:t>
      </w:r>
      <w:r>
        <w:rPr>
          <w:rFonts w:ascii="Times New Roman" w:hAnsi="Times New Roman"/>
          <w:color w:val="000000"/>
          <w:sz w:val="20"/>
        </w:rPr>
        <w:t xml:space="preserve"> </w:t>
      </w:r>
      <w:r>
        <w:rPr>
          <w:rFonts w:ascii="Times New Roman" w:hAnsi="Times New Roman"/>
          <w:b w:val="false"/>
          <w:color w:val="000000"/>
          <w:sz w:val="20"/>
        </w:rPr>
        <w:t>million of its outstanding common stock. Under the Repurchase Program, the Company could have repurchased shares at management’s discretion from time to time in open-market transactions, in accordance with all applicable securities laws and regulations. As of September 30, 2023 and December 31, 2022, the Company had repurchased 871,345</w:t>
      </w:r>
      <w:r>
        <w:rPr>
          <w:rFonts w:ascii="Times New Roman" w:hAnsi="Times New Roman"/>
          <w:color w:val="000000"/>
          <w:sz w:val="20"/>
        </w:rPr>
        <w:t xml:space="preserve"> </w:t>
      </w:r>
      <w:r>
        <w:rPr>
          <w:rFonts w:ascii="Times New Roman" w:hAnsi="Times New Roman"/>
          <w:b w:val="false"/>
          <w:color w:val="000000"/>
          <w:sz w:val="20"/>
        </w:rPr>
        <w:t xml:space="preserve">shares of the Company's common stock under the </w:t>
      </w:r>
      <w:r>
        <w:rPr>
          <w:rFonts w:ascii="Times New Roman" w:hAnsi="Times New Roman"/>
          <w:b w:val="false"/>
          <w:color w:val="404040"/>
          <w:sz w:val="20"/>
        </w:rPr>
        <w:t>Repurchase Program for an aggregate purchase price of $10.8</w:t>
      </w:r>
      <w:r>
        <w:rPr>
          <w:rFonts w:ascii="Times New Roman" w:hAnsi="Times New Roman"/>
          <w:color w:val="404040"/>
          <w:sz w:val="20"/>
        </w:rPr>
        <w:t xml:space="preserve"> </w:t>
      </w:r>
      <w:r>
        <w:rPr>
          <w:rFonts w:ascii="Times New Roman" w:hAnsi="Times New Roman"/>
          <w:b w:val="false"/>
          <w:color w:val="404040"/>
          <w:sz w:val="20"/>
        </w:rPr>
        <w:t>million.</w:t>
      </w:r>
      <w:r>
        <w:rPr>
          <w:rFonts w:ascii="Times New Roman" w:hAnsi="Times New Roman"/>
          <w:color w:val="000000"/>
          <w:sz w:val="20"/>
        </w:rPr>
        <w:t xml:space="preserve"> </w:t>
      </w:r>
      <w:r>
        <w:rPr>
          <w:rFonts w:ascii="Times New Roman" w:hAnsi="Times New Roman"/>
          <w:b w:val="false"/>
          <w:color w:val="000000"/>
          <w:sz w:val="20"/>
        </w:rPr>
        <w:t>The Board of Directors did not renew t</w:t>
      </w:r>
      <w:r>
        <w:rPr>
          <w:rFonts w:ascii="Times New Roman" w:hAnsi="Times New Roman"/>
          <w:b w:val="false"/>
          <w:color w:val="404040"/>
          <w:sz w:val="20"/>
        </w:rPr>
        <w:t xml:space="preserve">he Repurchase Program, </w:t>
      </w:r>
      <w:r>
        <w:rPr>
          <w:rFonts w:ascii="Times New Roman" w:hAnsi="Times New Roman"/>
          <w:b w:val="false"/>
          <w:color w:val="000000"/>
          <w:sz w:val="20"/>
        </w:rPr>
        <w:t>and it expired on February 24, 2023.</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Distributions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w:t>
      </w:r>
    </w:p>
    <w:p>
      <w:pPr>
        <w:pStyle w:val="TextBody"/>
        <w:bidi w:val="0"/>
        <w:spacing w:before="0" w:after="240"/>
        <w:jc w:val="both"/>
        <w:rPr>
          <w:rFonts w:ascii="Times New Roman" w:hAnsi="Times New Roman"/>
          <w:sz w:val="20"/>
        </w:rPr>
      </w:pPr>
      <w:r>
        <w:rPr>
          <w:rFonts w:ascii="Times New Roman" w:hAnsi="Times New Roman"/>
          <w:b w:val="false"/>
          <w:color w:val="000000"/>
          <w:sz w:val="20"/>
        </w:rPr>
        <w:t>For the three and nine months ended September 30, 2023, the Company declared and paid dividends in the amount of $18.2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$54.7</w:t>
      </w:r>
      <w:r>
        <w:rPr>
          <w:rFonts w:ascii="Times New Roman" w:hAnsi="Times New Roman"/>
          <w:color w:val="000000"/>
          <w:sz w:val="20"/>
        </w:rPr>
        <w:t xml:space="preserve"> </w:t>
      </w:r>
      <w:r>
        <w:rPr>
          <w:rFonts w:ascii="Times New Roman" w:hAnsi="Times New Roman"/>
          <w:b w:val="false"/>
          <w:color w:val="000000"/>
          <w:sz w:val="20"/>
        </w:rPr>
        <w:t>million, respectively, of which $17.5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$52.4</w:t>
      </w:r>
      <w:r>
        <w:rPr>
          <w:rFonts w:ascii="Times New Roman" w:hAnsi="Times New Roman"/>
          <w:color w:val="000000"/>
          <w:sz w:val="20"/>
        </w:rPr>
        <w:t xml:space="preserve"> </w:t>
      </w:r>
      <w:r>
        <w:rPr>
          <w:rFonts w:ascii="Times New Roman" w:hAnsi="Times New Roman"/>
          <w:b w:val="false"/>
          <w:color w:val="000000"/>
          <w:sz w:val="20"/>
        </w:rPr>
        <w:t>million, respectively, were distributed in cash and the remainder distributed in shares to stockholders pursuant to the Company’s Dividend Reinvestment Plan. For the three and nine months ended September 30, 2022, the Company declared dividends in the amount of $13.5</w:t>
      </w:r>
      <w:r>
        <w:rPr>
          <w:rFonts w:ascii="Times New Roman" w:hAnsi="Times New Roman"/>
          <w:color w:val="000000"/>
          <w:sz w:val="20"/>
        </w:rPr>
        <w:t xml:space="preserve"> </w:t>
      </w:r>
      <w:r>
        <w:rPr>
          <w:rFonts w:ascii="Times New Roman" w:hAnsi="Times New Roman"/>
          <w:b w:val="false"/>
          <w:color w:val="000000"/>
          <w:sz w:val="20"/>
        </w:rPr>
        <w:t>million, and $37.0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which $12.8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$26.7</w:t>
      </w:r>
      <w:r>
        <w:rPr>
          <w:rFonts w:ascii="Times New Roman" w:hAnsi="Times New Roman"/>
          <w:color w:val="000000"/>
          <w:sz w:val="20"/>
        </w:rPr>
        <w:t xml:space="preserve"> </w:t>
      </w:r>
      <w:r>
        <w:rPr>
          <w:rFonts w:ascii="Times New Roman" w:hAnsi="Times New Roman"/>
          <w:b w:val="false"/>
          <w:color w:val="000000"/>
          <w:sz w:val="20"/>
        </w:rPr>
        <w:t>million, respectively, were distributed in cash and the remainder distributed in shares to stockholders pursuant to the Company’s Dividend Reinvestment Plan.</w:t>
      </w:r>
      <w:r>
        <w:rPr>
          <w:rFonts w:ascii="Times New Roman" w:hAnsi="Times New Roman"/>
          <w:color w:val="000000"/>
          <w:sz w:val="20"/>
        </w:rPr>
        <w:t xml:space="preserve">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Dividend Reinvestment Plan</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Company maintains a dividend reinvestment plan for common stockholders (the "Dividend Reinvestment Plan"). The Company's Dividend Reinvestment Plan is administered by its transfer agent on behalf of the Company's record holders and participating brokerage firms. Brokerage firms and other financial intermediaries may decide not to participate in the Company's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During the three and nine months ended September 30, 2023, the Company purchased 54,930</w:t>
      </w:r>
      <w:r>
        <w:rPr>
          <w:rFonts w:ascii="Times New Roman" w:hAnsi="Times New Roman"/>
          <w:color w:val="000000"/>
          <w:sz w:val="20"/>
        </w:rPr>
        <w:t xml:space="preserve"> </w:t>
      </w:r>
      <w:r>
        <w:rPr>
          <w:rFonts w:ascii="Times New Roman" w:hAnsi="Times New Roman"/>
          <w:b w:val="false"/>
          <w:color w:val="000000"/>
          <w:sz w:val="20"/>
        </w:rPr>
        <w:t>and 182,435</w:t>
      </w:r>
      <w:r>
        <w:rPr>
          <w:rFonts w:ascii="Times New Roman" w:hAnsi="Times New Roman"/>
          <w:color w:val="000000"/>
          <w:sz w:val="20"/>
        </w:rPr>
        <w:t xml:space="preserve"> </w:t>
      </w:r>
      <w:r>
        <w:rPr>
          <w:rFonts w:ascii="Times New Roman" w:hAnsi="Times New Roman"/>
          <w:b w:val="false"/>
          <w:color w:val="000000"/>
          <w:sz w:val="20"/>
        </w:rPr>
        <w:t>shares of common stock in the open market under the Dividend Reinvestment Plan for a total of $0.7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$2.3</w:t>
      </w:r>
      <w:r>
        <w:rPr>
          <w:rFonts w:ascii="Times New Roman" w:hAnsi="Times New Roman"/>
          <w:color w:val="000000"/>
          <w:sz w:val="20"/>
        </w:rPr>
        <w:t xml:space="preserve"> </w:t>
      </w:r>
      <w:r>
        <w:rPr>
          <w:rFonts w:ascii="Times New Roman" w:hAnsi="Times New Roman"/>
          <w:b w:val="false"/>
          <w:color w:val="000000"/>
          <w:sz w:val="20"/>
        </w:rPr>
        <w:t>million, respectively. During the three and nine months ended September 30, 2022, the Company purchased 49,298</w:t>
      </w:r>
      <w:r>
        <w:rPr>
          <w:rFonts w:ascii="Times New Roman" w:hAnsi="Times New Roman"/>
          <w:color w:val="000000"/>
          <w:sz w:val="20"/>
        </w:rPr>
        <w:t xml:space="preserve"> </w:t>
      </w:r>
      <w:r>
        <w:rPr>
          <w:rFonts w:ascii="Times New Roman" w:hAnsi="Times New Roman"/>
          <w:b w:val="false"/>
          <w:color w:val="000000"/>
          <w:sz w:val="20"/>
        </w:rPr>
        <w:t>and 729,134</w:t>
      </w:r>
      <w:r>
        <w:rPr>
          <w:rFonts w:ascii="Times New Roman" w:hAnsi="Times New Roman"/>
          <w:color w:val="000000"/>
          <w:sz w:val="20"/>
        </w:rPr>
        <w:t xml:space="preserve"> </w:t>
      </w:r>
      <w:r>
        <w:rPr>
          <w:rFonts w:ascii="Times New Roman" w:hAnsi="Times New Roman"/>
          <w:b w:val="false"/>
          <w:color w:val="000000"/>
          <w:sz w:val="20"/>
        </w:rPr>
        <w:t>shares of common stock in the open market and under the Dividend Reinvestment Plan for a total of $0.7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$10.3</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following table summarizes the distributions declared and paid since inception through September 30, 2023:</w:t>
      </w:r>
    </w:p>
    <w:tbl>
      <w:tblPr>
        <w:tblW w:w="7829" w:type="dxa"/>
        <w:jc w:val="left"/>
        <w:tblInd w:w="0" w:type="dxa"/>
        <w:tblLayout w:type="fixed"/>
        <w:tblCellMar>
          <w:top w:w="28" w:type="dxa"/>
          <w:left w:w="28" w:type="dxa"/>
          <w:bottom w:w="28" w:type="dxa"/>
          <w:right w:w="28" w:type="dxa"/>
        </w:tblCellMar>
      </w:tblPr>
      <w:tblGrid>
        <w:gridCol w:w="1531"/>
        <w:gridCol w:w="146"/>
        <w:gridCol w:w="1051"/>
        <w:gridCol w:w="146"/>
        <w:gridCol w:w="1516"/>
        <w:gridCol w:w="146"/>
        <w:gridCol w:w="1516"/>
        <w:gridCol w:w="146"/>
        <w:gridCol w:w="370"/>
        <w:gridCol w:w="275"/>
        <w:gridCol w:w="795"/>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Declaration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3, 2018</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15, 2018</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31, 2018</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July 26, 2018</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15, 2018</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31, 2018</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0.25</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November 1, 2018</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October 31, 2018</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November 15, 2018</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22, 2019</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22, 2019</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26, 2019</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2, 2019</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7, 2019</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21, 2019</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2, 2019</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31, 2019</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July 16, 2019</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0.46</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July 30, 2019</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5, 2019</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26, 2019</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September 27, 2019</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September 30, 2019</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November 12, 2019</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0.04</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December 9, 2019</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December 10, 2019</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December 23, 2019</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0.40</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5, 2020</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6, 2020</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20, 2020</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7, 2020</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8, 2020</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21, 2020</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5, 2020</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6, 2020</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20, 2020</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0.36</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October 1, 2020</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October 1, 2020</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November 12, 2020</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0.38</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4, 2021</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5, 2021</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19, 2021</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0.37</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April 29, 2021</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April 30, 2021</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13, 2021</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0.37</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July 19, 2021</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July 20, 2021</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12, 2021</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0.34</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October 28, 2021</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November 8, 2021</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November 22, 2021</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February 24, 2022</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8, 2022</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22, 2022</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0.27</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April 28, 2022</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10, 2022</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24, 2022</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0.30</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July 28, 2022</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9, 2022</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23, 2022</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0.33</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October 27, 2022</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November 8, 2022</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November 22, 2022</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0.36</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February 23, 2023</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7, 2023</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21, 2023</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February 23, 2023</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7, 2023</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March 21, 2023</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2, 2023</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15, 2023</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31, 2023</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2, 2023</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15, 2023</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May 31, 2023</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1, 2023</w:t>
            </w:r>
          </w:p>
        </w:tc>
        <w:tc>
          <w:tcPr>
            <w:tcW w:w="1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Quarterly</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15, 2023</w:t>
            </w:r>
          </w:p>
        </w:tc>
        <w:tc>
          <w:tcPr>
            <w:tcW w:w="146" w:type="dxa"/>
            <w:tcBorders/>
            <w:shd w:fill="CFF0FC" w:val="clear"/>
            <w:vAlign w:val="center"/>
          </w:tcPr>
          <w:p>
            <w:pPr>
              <w:pStyle w:val="TableContents"/>
              <w:bidi w:val="0"/>
              <w:spacing w:before="0" w:after="283"/>
              <w:jc w:val="right"/>
              <w:rPr/>
            </w:pPr>
            <w:r>
              <w:rPr/>
              <w:t> </w:t>
            </w:r>
          </w:p>
        </w:tc>
        <w:tc>
          <w:tcPr>
            <w:tcW w:w="15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31, 2023</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0.40</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1, 2023</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Supplemental</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15, 2023</w:t>
            </w:r>
          </w:p>
        </w:tc>
        <w:tc>
          <w:tcPr>
            <w:tcW w:w="146" w:type="dxa"/>
            <w:tcBorders/>
            <w:shd w:fill="FFFFFF" w:val="clear"/>
            <w:vAlign w:val="center"/>
          </w:tcPr>
          <w:p>
            <w:pPr>
              <w:pStyle w:val="TableContents"/>
              <w:bidi w:val="0"/>
              <w:spacing w:before="0" w:after="283"/>
              <w:jc w:val="right"/>
              <w:rPr/>
            </w:pPr>
            <w:r>
              <w:rPr/>
              <w:t> </w:t>
            </w:r>
          </w:p>
        </w:tc>
        <w:tc>
          <w:tcPr>
            <w:tcW w:w="15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August 31, 2023</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7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10 – Income Taxes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United States federal income taxes in the future.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Federal income tax regulations differ from U.S. GAAP, therefore distributions in accordance with tax regulations may differ from net investment income and realized gains recognized for financial reporting purposes. Differences may be permanent or temporary in nature. Permanent differences are reclassified among capital accounts in the financial statements to reflect their appropriate tax character. Temporary differences arise when certain items of income, expense, gain or loss are recognized at some time in the future.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following table sets forth the tax cost basis and the estimated aggregate gross unrealized gain (loss) on investments for federal income tax purposes as of and for the period ended September 30, 2023 and the year ended December 31, 2022 (in thousands):</w:t>
      </w:r>
    </w:p>
    <w:tbl>
      <w:tblPr>
        <w:tblW w:w="6624" w:type="dxa"/>
        <w:jc w:val="left"/>
        <w:tblInd w:w="0" w:type="dxa"/>
        <w:tblLayout w:type="fixed"/>
        <w:tblCellMar>
          <w:top w:w="28" w:type="dxa"/>
          <w:left w:w="28" w:type="dxa"/>
          <w:bottom w:w="28" w:type="dxa"/>
          <w:right w:w="28" w:type="dxa"/>
        </w:tblCellMar>
      </w:tblPr>
      <w:tblGrid>
        <w:gridCol w:w="2911"/>
        <w:gridCol w:w="146"/>
        <w:gridCol w:w="259"/>
        <w:gridCol w:w="193"/>
        <w:gridCol w:w="1093"/>
        <w:gridCol w:w="166"/>
        <w:gridCol w:w="146"/>
        <w:gridCol w:w="251"/>
        <w:gridCol w:w="187"/>
        <w:gridCol w:w="1061"/>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99" w:type="dxa"/>
            <w:gridSpan w:val="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shd w:fill="FFFFFF" w:val="cle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Tax cost on investments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1,042,501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1,149,902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Change in unrealized gain on a tax basis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3"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7"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9,207</w:t>
            </w:r>
          </w:p>
        </w:tc>
        <w:tc>
          <w:tcPr>
            <w:tcW w:w="2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Change in unrealized loss on a tax basis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(32,800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unrealized gain (loss) on a tax basis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(31,574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(23,593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The Company accounts for income taxes in conformity with ASC Topic 740 — Income Taxes ("ASC 740"). ASC 740 provides guidelines for how uncertain tax positions should be recognized, measured, presented and disclosed in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September 30, 2023 or December 31, 2022. Although the Company files federal and state tax returns, the Company's major tax jurisdiction is federal. The previous three tax year-ends and the interim tax period since then remain subject to examination by the Internal Revenue Service.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11 – Financial Highlights</w:t>
      </w:r>
    </w:p>
    <w:p>
      <w:pPr>
        <w:pStyle w:val="TextBody"/>
        <w:bidi w:val="0"/>
        <w:spacing w:before="360" w:after="240"/>
        <w:jc w:val="left"/>
        <w:rPr>
          <w:rFonts w:ascii="Times New Roman" w:hAnsi="Times New Roman"/>
          <w:b w:val="false"/>
          <w:color w:val="000000"/>
          <w:sz w:val="20"/>
        </w:rPr>
      </w:pPr>
      <w:r>
        <w:rPr>
          <w:rFonts w:ascii="Times New Roman" w:hAnsi="Times New Roman"/>
          <w:b w:val="false"/>
          <w:color w:val="000000"/>
          <w:sz w:val="20"/>
        </w:rPr>
        <w:t>The following table sets forth the financial highlights for the nine months ended September 30, 2023 and 2022 (in thousands, except for per share data and ratios):</w:t>
      </w:r>
    </w:p>
    <w:tbl>
      <w:tblPr>
        <w:tblW w:w="10205" w:type="dxa"/>
        <w:jc w:val="left"/>
        <w:tblInd w:w="0" w:type="dxa"/>
        <w:tblLayout w:type="fixed"/>
        <w:tblCellMar>
          <w:top w:w="28" w:type="dxa"/>
          <w:left w:w="28" w:type="dxa"/>
          <w:bottom w:w="28" w:type="dxa"/>
          <w:right w:w="28" w:type="dxa"/>
        </w:tblCellMar>
      </w:tblPr>
      <w:tblGrid>
        <w:gridCol w:w="6148"/>
        <w:gridCol w:w="146"/>
        <w:gridCol w:w="211"/>
        <w:gridCol w:w="146"/>
        <w:gridCol w:w="1036"/>
        <w:gridCol w:w="166"/>
        <w:gridCol w:w="271"/>
        <w:gridCol w:w="146"/>
        <w:gridCol w:w="271"/>
        <w:gridCol w:w="146"/>
        <w:gridCol w:w="1036"/>
        <w:gridCol w:w="166"/>
        <w:gridCol w:w="316"/>
      </w:tblGrid>
      <w:tr>
        <w:trPr/>
        <w:tc>
          <w:tcPr>
            <w:tcW w:w="6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1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11" w:type="dxa"/>
            <w:gridSpan w:val="11"/>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r>
      <w:tr>
        <w:trPr/>
        <w:tc>
          <w:tcPr>
            <w:tcW w:w="61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r>
      <w:tr>
        <w:trPr/>
        <w:tc>
          <w:tcPr>
            <w:tcW w:w="614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Per Share Data</w:t>
            </w:r>
            <w:r>
              <w:rPr>
                <w:rFonts w:ascii="Times New Roman" w:hAnsi="Times New Roman"/>
                <w:b/>
                <w:color w:val="000000"/>
                <w:sz w:val="13"/>
              </w:rPr>
              <w:t>(1)</w:t>
            </w: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61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14.65</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61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investment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61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realized gain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0.02</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61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unrealized gain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6" w:type="dxa"/>
            <w:tcBorders/>
            <w:shd w:fill="CFF0FC" w:val="clear"/>
            <w:vAlign w:val="center"/>
          </w:tcPr>
          <w:p>
            <w:pPr>
              <w:pStyle w:val="TableContents"/>
              <w:bidi w:val="0"/>
              <w:spacing w:before="0" w:after="283"/>
              <w:jc w:val="left"/>
              <w:rPr/>
            </w:pPr>
            <w:r>
              <w:rPr/>
              <w:t> </w:t>
            </w:r>
          </w:p>
        </w:tc>
      </w:tr>
      <w:tr>
        <w:trPr/>
        <w:tc>
          <w:tcPr>
            <w:tcW w:w="61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from investment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0.33</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61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Distributions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6" w:type="dxa"/>
            <w:tcBorders/>
            <w:shd w:fill="CFF0FC" w:val="clear"/>
            <w:vAlign w:val="center"/>
          </w:tcPr>
          <w:p>
            <w:pPr>
              <w:pStyle w:val="TableContents"/>
              <w:bidi w:val="0"/>
              <w:spacing w:before="0" w:after="283"/>
              <w:jc w:val="left"/>
              <w:rPr/>
            </w:pPr>
            <w:r>
              <w:rPr/>
              <w:t> </w:t>
            </w:r>
          </w:p>
        </w:tc>
      </w:tr>
      <w:tr>
        <w:trPr/>
        <w:tc>
          <w:tcPr>
            <w:tcW w:w="61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Accretion (dilution)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61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61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61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Ratio/Supplemental Data: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614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Total return based on net asset value</w:t>
            </w:r>
            <w:r>
              <w:rPr>
                <w:rFonts w:ascii="Times New Roman" w:hAnsi="Times New Roman"/>
                <w:b w:val="false"/>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4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Total return based on market value</w:t>
            </w:r>
            <w:r>
              <w:rPr>
                <w:rFonts w:ascii="Times New Roman" w:hAnsi="Times New Roman"/>
                <w:b w:val="false"/>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22.26</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4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Ratio of net investment income to average net assets</w:t>
            </w:r>
            <w:r>
              <w:rPr>
                <w:rFonts w:ascii="Times New Roman" w:hAnsi="Times New Roman"/>
                <w:b w:val="false"/>
                <w:color w:val="000000"/>
                <w:sz w:val="13"/>
              </w:rPr>
              <w:t>(4)(5)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13.88</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9.32</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4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Ratio of total operating expenses to average net assets</w:t>
            </w:r>
            <w:r>
              <w:rPr>
                <w:rFonts w:ascii="Times New Roman" w:hAnsi="Times New Roman"/>
                <w:b w:val="false"/>
                <w:color w:val="000000"/>
                <w:sz w:val="13"/>
              </w:rPr>
              <w:t>(4)(5)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15.05</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4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Ratio of total operating expenses, excluding incentive fees, to average net assets</w:t>
            </w:r>
            <w:r>
              <w:rPr>
                <w:rFonts w:ascii="Times New Roman" w:hAnsi="Times New Roman"/>
                <w:b w:val="false"/>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11.58</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4.78</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4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Ratio of net increase (decrease) in net assets resulting from operations to average net assets</w:t>
            </w:r>
            <w:r>
              <w:rPr>
                <w:rFonts w:ascii="Times New Roman" w:hAnsi="Times New Roman"/>
                <w:b w:val="false"/>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11.37</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4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Portfolio turnover rate</w:t>
            </w:r>
            <w:r>
              <w:rPr>
                <w:rFonts w:ascii="Times New Roman" w:hAnsi="Times New Roman"/>
                <w:b w:val="false"/>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19.59</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4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61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assets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576,052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606,195</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61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assets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570,491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573,661</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61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net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577,673</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594,469</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61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outstanding for the period, 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40,509,269</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41,119,467</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spacing w:before="40" w:after="80"/>
        <w:jc w:val="both"/>
        <w:rPr/>
      </w:pPr>
      <w:r>
        <w:rPr/>
        <w:t>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All per share activity is calculated based on the weighted-average shares outstanding for the relevant period.</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Total return based on net asset value is calculated as the change in net asset value per share during the period, divided by the beginning net asset values per share. The total returns are not</w:t>
      </w:r>
      <w:r>
        <w:rPr>
          <w:rFonts w:ascii="Times New Roman" w:hAnsi="Times New Roman"/>
          <w:color w:val="000000"/>
          <w:sz w:val="20"/>
        </w:rPr>
        <w:t xml:space="preserve"> </w:t>
      </w:r>
      <w:r>
        <w:rPr>
          <w:rFonts w:ascii="Times New Roman" w:hAnsi="Times New Roman"/>
          <w:b w:val="false"/>
          <w:color w:val="000000"/>
          <w:sz w:val="16"/>
        </w:rPr>
        <w:t>annualized.</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(3)</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Total return based on market value is calculated as the change in market value per share during the period plus dividends, divided by beginning market value per share. The total returns are not annualized.</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(4)</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ratios are calculated based on weighted average net assets for the relevant period and are annualized.</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(5)</w:t>
      </w:r>
    </w:p>
    <w:p>
      <w:pPr>
        <w:pStyle w:val="TextBody"/>
        <w:bidi w:val="0"/>
        <w:spacing w:before="120" w:after="120"/>
        <w:jc w:val="both"/>
        <w:rPr>
          <w:rFonts w:ascii="Times New Roman" w:hAnsi="Times New Roman"/>
          <w:sz w:val="20"/>
        </w:rPr>
      </w:pPr>
      <w:r>
        <w:rPr>
          <w:rFonts w:ascii="Times New Roman" w:hAnsi="Times New Roman"/>
          <w:b w:val="false"/>
          <w:color w:val="000000"/>
          <w:sz w:val="16"/>
        </w:rPr>
        <w:t>The ratio includes annualized incentive fees and as incentive fees are performance driven, the amount expensed in future periods may vary significantly and is dependent on overall investment performance, early terminations, scheduled prepayments and other liquidity events.</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(6)</w:t>
      </w:r>
    </w:p>
    <w:p>
      <w:pPr>
        <w:pStyle w:val="TextBody"/>
        <w:bidi w:val="0"/>
        <w:spacing w:before="120" w:after="120"/>
        <w:jc w:val="both"/>
        <w:rPr>
          <w:rFonts w:ascii="Times New Roman" w:hAnsi="Times New Roman"/>
          <w:b w:val="false"/>
          <w:color w:val="000000"/>
          <w:sz w:val="16"/>
        </w:rPr>
      </w:pPr>
      <w:r>
        <w:rPr>
          <w:rFonts w:ascii="Times New Roman" w:hAnsi="Times New Roman"/>
          <w:b w:val="false"/>
          <w:color w:val="000000"/>
          <w:sz w:val="16"/>
        </w:rPr>
        <w:t>The portfolio turnover rate for the period is calculated by taking the lesser of investment portfolio purchases or sales during the period, divided by the average investment portfolio value during the period. As such, portfolio turnover rate is not annualized.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Note 12 - Subsequent Events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Company evaluated events subsequent to September 30, 2023 through November 7, 2023.</w:t>
      </w:r>
    </w:p>
    <w:p>
      <w:pPr>
        <w:pStyle w:val="TextBody"/>
        <w:bidi w:val="0"/>
        <w:jc w:val="left"/>
        <w:rPr>
          <w:rFonts w:ascii="Times New Roman" w:hAnsi="Times New Roman"/>
          <w:sz w:val="20"/>
        </w:rPr>
      </w:pPr>
      <w:r>
        <w:rPr>
          <w:rFonts w:ascii="Times New Roman" w:hAnsi="Times New Roman"/>
          <w:b w:val="false"/>
          <w:color w:val="000000"/>
          <w:sz w:val="20"/>
        </w:rPr>
        <w:t>On October 6, 2023, the Company funded an investment of $8.0</w:t>
      </w:r>
      <w:r>
        <w:rPr>
          <w:rFonts w:ascii="Times New Roman" w:hAnsi="Times New Roman"/>
          <w:color w:val="000000"/>
          <w:sz w:val="20"/>
        </w:rPr>
        <w:t xml:space="preserve"> </w:t>
      </w:r>
      <w:r>
        <w:rPr>
          <w:rFonts w:ascii="Times New Roman" w:hAnsi="Times New Roman"/>
          <w:b w:val="false"/>
          <w:color w:val="000000"/>
          <w:sz w:val="20"/>
        </w:rPr>
        <w:t>million to Betterment Holdings,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October 6, 2023, the Company received a partial prepayment of $24.5</w:t>
      </w:r>
      <w:r>
        <w:rPr>
          <w:rFonts w:ascii="Times New Roman" w:hAnsi="Times New Roman"/>
          <w:color w:val="000000"/>
          <w:sz w:val="20"/>
        </w:rPr>
        <w:t xml:space="preserve"> </w:t>
      </w:r>
      <w:r>
        <w:rPr>
          <w:rFonts w:ascii="Times New Roman" w:hAnsi="Times New Roman"/>
          <w:b w:val="false"/>
          <w:color w:val="000000"/>
          <w:sz w:val="20"/>
        </w:rPr>
        <w:t>million from Brivo, Inc. on its senior secured loan.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October 19, 2023, the Company funded an investment of $3.1</w:t>
      </w:r>
      <w:r>
        <w:rPr>
          <w:rFonts w:ascii="Times New Roman" w:hAnsi="Times New Roman"/>
          <w:color w:val="000000"/>
          <w:sz w:val="20"/>
        </w:rPr>
        <w:t xml:space="preserve"> </w:t>
      </w:r>
      <w:r>
        <w:rPr>
          <w:rFonts w:ascii="Times New Roman" w:hAnsi="Times New Roman"/>
          <w:b w:val="false"/>
          <w:color w:val="000000"/>
          <w:sz w:val="20"/>
        </w:rPr>
        <w:t>million to Gynesonics, Inc.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October 26, 2023, the Company funded an investment of $1.4</w:t>
      </w:r>
      <w:r>
        <w:rPr>
          <w:rFonts w:ascii="Times New Roman" w:hAnsi="Times New Roman"/>
          <w:color w:val="000000"/>
          <w:sz w:val="20"/>
        </w:rPr>
        <w:t xml:space="preserve"> </w:t>
      </w:r>
      <w:r>
        <w:rPr>
          <w:rFonts w:ascii="Times New Roman" w:hAnsi="Times New Roman"/>
          <w:b w:val="false"/>
          <w:color w:val="000000"/>
          <w:sz w:val="20"/>
        </w:rPr>
        <w:t>million to Snagajob.com,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November 2, 2023, the Board of Directors declared an ordinary distribution of $0.40</w:t>
      </w:r>
      <w:r>
        <w:rPr>
          <w:rFonts w:ascii="Times New Roman" w:hAnsi="Times New Roman"/>
          <w:color w:val="000000"/>
          <w:sz w:val="20"/>
        </w:rPr>
        <w:t xml:space="preserve"> </w:t>
      </w:r>
      <w:r>
        <w:rPr>
          <w:rFonts w:ascii="Times New Roman" w:hAnsi="Times New Roman"/>
          <w:b w:val="false"/>
          <w:color w:val="000000"/>
          <w:sz w:val="20"/>
        </w:rPr>
        <w:t>per share and a supplemental distribution of $0.06</w:t>
      </w:r>
      <w:r>
        <w:rPr>
          <w:rFonts w:ascii="Times New Roman" w:hAnsi="Times New Roman"/>
          <w:color w:val="000000"/>
          <w:sz w:val="20"/>
        </w:rPr>
        <w:t xml:space="preserve"> </w:t>
      </w:r>
      <w:r>
        <w:rPr>
          <w:rFonts w:ascii="Times New Roman" w:hAnsi="Times New Roman"/>
          <w:b w:val="false"/>
          <w:color w:val="000000"/>
          <w:sz w:val="20"/>
        </w:rPr>
        <w:t>per share for stockholders of record on November 13, 2023</w:t>
      </w:r>
      <w:r>
        <w:rPr>
          <w:rFonts w:ascii="Times New Roman" w:hAnsi="Times New Roman"/>
          <w:color w:val="000000"/>
          <w:sz w:val="20"/>
        </w:rPr>
        <w:t xml:space="preserve"> </w:t>
      </w:r>
      <w:r>
        <w:rPr>
          <w:rFonts w:ascii="Times New Roman" w:hAnsi="Times New Roman"/>
          <w:b w:val="false"/>
          <w:color w:val="000000"/>
          <w:sz w:val="20"/>
        </w:rPr>
        <w:t>payable on or before November 28,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November 2, 2023, the Board of Directors approved a repurchase program (the “Share Repurchase Program”) under which the Company may repurchase up</w:t>
      </w:r>
      <w:r>
        <w:rPr>
          <w:rFonts w:ascii="Times New Roman" w:hAnsi="Times New Roman"/>
          <w:color w:val="000000"/>
          <w:sz w:val="20"/>
        </w:rPr>
        <w:t xml:space="preserve"> </w:t>
      </w:r>
      <w:r>
        <w:rPr>
          <w:rFonts w:ascii="Times New Roman" w:hAnsi="Times New Roman"/>
          <w:b w:val="false"/>
          <w:color w:val="000000"/>
          <w:sz w:val="20"/>
        </w:rPr>
        <w:t>to $25.0</w:t>
      </w:r>
      <w:r>
        <w:rPr>
          <w:rFonts w:ascii="Times New Roman" w:hAnsi="Times New Roman"/>
          <w:color w:val="000000"/>
          <w:sz w:val="20"/>
        </w:rPr>
        <w:t xml:space="preserve"> </w:t>
      </w:r>
      <w:r>
        <w:rPr>
          <w:rFonts w:ascii="Times New Roman" w:hAnsi="Times New Roman"/>
          <w:b w:val="false"/>
          <w:color w:val="000000"/>
          <w:sz w:val="20"/>
        </w:rPr>
        <w:t>million of our outstanding common stock. Under the Share Repurchase Program, purchases may be made at management’s discretion from time to time in open-market transactions, in accordance with all applicable securities laws and regulations.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br/>
        <w:t>On November 3, 2023 the Company funded an investment of $30.0</w:t>
      </w:r>
      <w:r>
        <w:rPr>
          <w:rFonts w:ascii="Times New Roman" w:hAnsi="Times New Roman"/>
          <w:color w:val="000000"/>
          <w:sz w:val="20"/>
        </w:rPr>
        <w:t xml:space="preserve"> </w:t>
      </w:r>
      <w:r>
        <w:rPr>
          <w:rFonts w:ascii="Times New Roman" w:hAnsi="Times New Roman"/>
          <w:b w:val="false"/>
          <w:color w:val="000000"/>
          <w:sz w:val="20"/>
        </w:rPr>
        <w:t>million to Linxup, LLC.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br/>
        <w:t>On November 6, 2023 the Company funded an investment of $5.0</w:t>
      </w:r>
      <w:r>
        <w:rPr>
          <w:rFonts w:ascii="Times New Roman" w:hAnsi="Times New Roman"/>
          <w:color w:val="000000"/>
          <w:sz w:val="20"/>
        </w:rPr>
        <w:t xml:space="preserve"> </w:t>
      </w:r>
      <w:r>
        <w:rPr>
          <w:rFonts w:ascii="Times New Roman" w:hAnsi="Times New Roman"/>
          <w:b w:val="false"/>
          <w:color w:val="000000"/>
          <w:sz w:val="20"/>
        </w:rPr>
        <w:t>million to Route 92 Medical,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color w:val="000000"/>
          <w:sz w:val="20"/>
        </w:rPr>
      </w:pPr>
      <w:bookmarkStart w:id="12" w:name="item2managementsdiscussionandanalysisoff"/>
      <w:bookmarkEnd w:id="12"/>
      <w:r>
        <w:rPr>
          <w:rFonts w:ascii="Times New Roman" w:hAnsi="Times New Roman"/>
          <w:b/>
          <w:color w:val="000000"/>
          <w:sz w:val="20"/>
        </w:rPr>
        <w:t>Item 2. Management’s Discussion and Analysis of Financial Condition and Results of Operations.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This quarterly report on Form 10</w:t>
        <w:noBreakHyphen/>
        <w:t>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changes in political, economic or industry conditions, the interest rate environment or conditions affecting the financial and capital markets;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an economic downturn or recession, as well as the impairment or failure of financial institutions on both a global and domestic scale, could impair our portfolio companies’ ability to continue to operate, which could lead to the loss of some or all of our investments in such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such an economic downturn could disproportionately impact the companies that we intend to target for investment, potentially causing us to experience a decrease in investment opportunities and diminished demand for capital from these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a contraction of available credit and/or an inability to access the equity markets that could impair our lending and investment activities;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interest rate volatility that could adversely affect our results, particularly to the extent that we use leverage as part of our investment strategy;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impact of interest and inflation rates on 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our business prospects and the prospects of our portfolio companies, including the impact of the COVID-19 pandemic thereon;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our contractual arrangements and relationships with third parties;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ability of our portfolio companies to achieve their objectives;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competition with other entities and our affiliates for investment opportunities;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speculative and illiquid nature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use of borrowed money to finance a portion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adequacy of our financing sources and working capital;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loss of key personnel and members of our management team;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timing of cash flows, if any, from the operations of our portfolio companies and the impact of the COVID</w:t>
        <w:noBreakHyphen/>
        <w:t>19 pandemic thereon;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ability of our external investment adviser, Runway Growth Capital LLC, to locate suitable investments for us and to monitor and administer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ability of Runway Growth Capital LLC to attract and retain highly talented professionals;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our ability to qualify and maintain our qualification as a RIC under Subchapter M of the Code, and as a BDC;</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occurrence of a disaster, such as a cyber-attack against us or against a third party that has access to our data or networks, a natural catastrophe, an industrial accident, failure of our disaster-recovery systems, or consequential employee error;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the effect of legal, tax, and regulatory changes;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 xml:space="preserve">the other risks, uncertainties and other factors we identify under “Risk Factors” in Part I, Item 1A of our annual report on Form 10-K for the year ended December 31, 2022, filed with the Securities and Exchange Commission (the "SEC") on March 2, 2023 and in this quarterly report on Form 10-Q. </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Part I, Item 1A of our annual report on Form 10-K for the year ended December 31, 2022, filed with the SEC on March 2, 2023.</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We have based the forward-looking statements included in this Form 10</w:t>
        <w:noBreakHyphen/>
        <w:t>Q on information available to us on the date of this Form 10</w:t>
        <w:noBreakHyphen/>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noBreakHyphen/>
        <w:t>K, quarterly reports on Form 10</w:t>
        <w:noBreakHyphen/>
        <w:t>Q and current reports on Form 8</w:t>
        <w:noBreakHyphen/>
        <w:t>K.</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following analysis of our financial condition and results of operations should be read in conjunction with our financial statements and the related notes thereto contained elsewhere in this quarterly report on Form 10</w:t>
        <w:noBreakHyphen/>
        <w:t>Q.</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Runway Growth Finance Corp. ("we," "us," "our," or the "Company"), a Maryland corporation formed on August 31, 2015,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life sciences, healthcare information and services, business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Our offices are in Chicago, Illinois; Menlo Park, California; Dallas, Texas; and New York, New York.</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r>
        <w:rPr>
          <w:rFonts w:ascii="Times New Roman" w:hAnsi="Times New Roman"/>
          <w:color w:val="000000"/>
          <w:sz w:val="20"/>
        </w:rPr>
        <w:t xml:space="preserve"> </w:t>
      </w:r>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We are an “emerging growth company,” as defined in the Jumpstart Our Business Startups Act of 2012 (the “JOBS Act”). We will remain an emerging growth company until the last day of our fiscal year following the fifth anniversary of our IPO (December 31, 2026), or until the earliest of (i) the last day of the first fiscal year in which we have total annual gross revenue of $1.235 billion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We are externally managed by Runway Growth Capital LLC ("RGC"), an investment adviser that has registered with the SEC under the Investment Advisers Act of 1940, as amended. The Administrator, a wholly-owned subsidiary of RGC, provides all the administrative services necessary for us to operate.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On August 10, 2020, we, RGC, and certain other funds and accounts sponsored or managed by RGC and/or its affiliates were granted an order (the “Order”), amended on August 30, 2022,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and is consistent with our investment strategies and policies.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August 30, 2022, we received an amendment to our existing Order to permit us to, subject to the satisfaction of certain conditions, co-invest in our existing portfolio companies with certain affiliates that are private funds even if such other funds had not previously invested in such existing portfolio company. Without this Order, such affiliated funds that are private funds would not be able to participate in such co-investments with us unless the affiliated funds had previously acquired securities of the portfolio company in a co-investment transaction with us.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Portfolio Composition and Investment Activity</w:t>
      </w:r>
    </w:p>
    <w:p>
      <w:pPr>
        <w:pStyle w:val="TextBody"/>
        <w:bidi w:val="0"/>
        <w:spacing w:before="240" w:after="240"/>
        <w:jc w:val="left"/>
        <w:rPr>
          <w:rFonts w:ascii="Times New Roman" w:hAnsi="Times New Roman"/>
          <w:b w:val="false"/>
          <w:i/>
          <w:color w:val="000000"/>
          <w:sz w:val="20"/>
        </w:rPr>
      </w:pPr>
      <w:r>
        <w:rPr>
          <w:rFonts w:ascii="Times New Roman" w:hAnsi="Times New Roman"/>
          <w:b w:val="false"/>
          <w:i/>
          <w:color w:val="000000"/>
          <w:sz w:val="20"/>
        </w:rPr>
        <w:t>Portfolio Composition</w:t>
      </w:r>
    </w:p>
    <w:p>
      <w:pPr>
        <w:pStyle w:val="TextBody"/>
        <w:bidi w:val="0"/>
        <w:spacing w:before="0" w:after="240"/>
        <w:jc w:val="both"/>
        <w:rPr>
          <w:rFonts w:ascii="Times New Roman" w:hAnsi="Times New Roman"/>
          <w:sz w:val="20"/>
        </w:rPr>
      </w:pPr>
      <w:r>
        <w:rPr>
          <w:rFonts w:ascii="Times New Roman" w:hAnsi="Times New Roman"/>
          <w:b w:val="false"/>
          <w:color w:val="000000"/>
          <w:sz w:val="20"/>
        </w:rPr>
        <w:t>At September 30, 2023, we had investments in 50 portfolio companies, representing 20 companies in which we held loan and warrant investments, three companies in which we held loan investments and shares of common stock, preferred stock, or a combination with warrants, five companies in which we held a loan investment only, 17 companies in which we held warrant investments only, and five companies in which we held shares of common stock or preferred stock only, or a combination with warrants. At December 31, 2022, we had investments in 49 portfolio companies, representing 28 companies in which we held loan and warrant investments, one companies in which we held loan investments and shares of common, preferred stock, or a combination with warrants, six companies in which we held a loan investment only, nine companies in which we held warrant investments only, and five companies in which we held shares of common or preferred stock only, or a combination with warrants.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following table shows the fair value of our investments, by asset class, as of September 30, 2023 and December 31, 2022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204"/>
        <w:gridCol w:w="146"/>
        <w:gridCol w:w="196"/>
        <w:gridCol w:w="146"/>
        <w:gridCol w:w="826"/>
        <w:gridCol w:w="146"/>
        <w:gridCol w:w="146"/>
        <w:gridCol w:w="196"/>
        <w:gridCol w:w="146"/>
        <w:gridCol w:w="826"/>
        <w:gridCol w:w="146"/>
        <w:gridCol w:w="146"/>
        <w:gridCol w:w="146"/>
        <w:gridCol w:w="157"/>
        <w:gridCol w:w="649"/>
        <w:gridCol w:w="157"/>
        <w:gridCol w:w="260"/>
        <w:gridCol w:w="146"/>
        <w:gridCol w:w="196"/>
        <w:gridCol w:w="146"/>
        <w:gridCol w:w="826"/>
        <w:gridCol w:w="146"/>
        <w:gridCol w:w="146"/>
        <w:gridCol w:w="196"/>
        <w:gridCol w:w="146"/>
        <w:gridCol w:w="826"/>
        <w:gridCol w:w="146"/>
        <w:gridCol w:w="146"/>
        <w:gridCol w:w="146"/>
        <w:gridCol w:w="154"/>
        <w:gridCol w:w="634"/>
        <w:gridCol w:w="154"/>
        <w:gridCol w:w="412"/>
      </w:tblGrid>
      <w:tr>
        <w:trPr/>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2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89"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r>
      <w:tr>
        <w:trPr/>
        <w:tc>
          <w:tcPr>
            <w:tcW w:w="120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gridSpan w:val="2"/>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8" w:type="dxa"/>
            <w:gridSpan w:val="2"/>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ind w:left="0" w:right="0" w:firstLine="100"/>
              <w:jc w:val="left"/>
              <w:rPr/>
            </w:pPr>
            <w:r>
              <w:rPr/>
              <w:t> </w:t>
            </w:r>
          </w:p>
        </w:tc>
      </w:tr>
      <w:tr>
        <w:trPr/>
        <w:tc>
          <w:tcPr>
            <w:tcW w:w="12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Senior Secured Term Loans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964,734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947,515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93.73</w:t>
            </w:r>
          </w:p>
        </w:tc>
        <w:tc>
          <w:tcPr>
            <w:tcW w:w="157"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1,096,724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1,080,121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95.90</w:t>
            </w:r>
          </w:p>
        </w:tc>
        <w:tc>
          <w:tcPr>
            <w:tcW w:w="154"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120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Second Lien Term Loans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w:t>
            </w:r>
          </w:p>
        </w:tc>
        <w:tc>
          <w:tcPr>
            <w:tcW w:w="157"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154"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ind w:left="0" w:right="0" w:firstLine="100"/>
              <w:jc w:val="left"/>
              <w:rPr/>
            </w:pPr>
            <w:r>
              <w:rPr/>
              <w:t> </w:t>
            </w:r>
          </w:p>
        </w:tc>
      </w:tr>
      <w:tr>
        <w:trPr/>
        <w:tc>
          <w:tcPr>
            <w:tcW w:w="12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Preferred Stocks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33,258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3.29</w:t>
            </w:r>
          </w:p>
        </w:tc>
        <w:tc>
          <w:tcPr>
            <w:tcW w:w="157"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w:t>
            </w:r>
          </w:p>
        </w:tc>
        <w:tc>
          <w:tcPr>
            <w:tcW w:w="154"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firstLine="100"/>
              <w:jc w:val="left"/>
              <w:rPr/>
            </w:pPr>
            <w:r>
              <w:rPr/>
              <w:t> </w:t>
            </w:r>
          </w:p>
        </w:tc>
      </w:tr>
      <w:tr>
        <w:trPr/>
        <w:tc>
          <w:tcPr>
            <w:tcW w:w="120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Common Stocks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0.19</w:t>
            </w:r>
          </w:p>
        </w:tc>
        <w:tc>
          <w:tcPr>
            <w:tcW w:w="157"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0.27</w:t>
            </w:r>
          </w:p>
        </w:tc>
        <w:tc>
          <w:tcPr>
            <w:tcW w:w="154"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ind w:left="0" w:right="0" w:firstLine="100"/>
              <w:jc w:val="left"/>
              <w:rPr/>
            </w:pPr>
            <w:r>
              <w:rPr/>
              <w:t> </w:t>
            </w:r>
          </w:p>
        </w:tc>
      </w:tr>
      <w:tr>
        <w:trPr/>
        <w:tc>
          <w:tcPr>
            <w:tcW w:w="12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Warrants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w:t>
            </w:r>
          </w:p>
        </w:tc>
        <w:tc>
          <w:tcPr>
            <w:tcW w:w="157"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w:t>
            </w:r>
          </w:p>
        </w:tc>
        <w:tc>
          <w:tcPr>
            <w:tcW w:w="154"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r>
      <w:tr>
        <w:trPr/>
        <w:tc>
          <w:tcPr>
            <w:tcW w:w="120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1,044,874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1,010,927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w:t>
            </w:r>
          </w:p>
        </w:tc>
        <w:tc>
          <w:tcPr>
            <w:tcW w:w="157"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1,150,602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1,126,309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100.00</w:t>
            </w:r>
          </w:p>
        </w:tc>
        <w:tc>
          <w:tcPr>
            <w:tcW w:w="15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360" w:after="240"/>
        <w:jc w:val="both"/>
        <w:rPr>
          <w:rFonts w:ascii="Times New Roman" w:hAnsi="Times New Roman"/>
          <w:sz w:val="20"/>
        </w:rPr>
      </w:pPr>
      <w:r>
        <w:rPr>
          <w:rFonts w:ascii="Times New Roman" w:hAnsi="Times New Roman"/>
          <w:b w:val="false"/>
          <w:color w:val="231F20"/>
          <w:sz w:val="20"/>
        </w:rPr>
        <w:t xml:space="preserve">For the three and nine months ended September 30, 2023, our debt investment portfolio had a dollar-weighted annualized yield of 18.3% and 16.0%, respectively. For the </w:t>
      </w:r>
      <w:r>
        <w:rPr>
          <w:rFonts w:ascii="Times New Roman" w:hAnsi="Times New Roman"/>
          <w:b w:val="false"/>
          <w:color w:val="000000"/>
          <w:sz w:val="20"/>
        </w:rPr>
        <w:t>three and nine months ended September 30, 2022</w:t>
      </w:r>
      <w:r>
        <w:rPr>
          <w:rFonts w:ascii="Times New Roman" w:hAnsi="Times New Roman"/>
          <w:b w:val="false"/>
          <w:color w:val="231F20"/>
          <w:sz w:val="20"/>
        </w:rPr>
        <w:t>, our debt investment portfolio had a dollar-weighted annualized yield of 14.4% and 13.5%, respectively. We calculate the yield on dollar-weighted debt investments for any period measured as (1) total related investment income during the period divided by (2) the daily average of the fair value of debt investments outstanding during the period. As of September 30, 2023, our debt investments had a dollar-weighted average outstanding term of 57 months at origination and a dollar-weighted average remaining term of 38 months, or approximately 3.2 years. As of September 30, 2023, substantially all of our debt investments had committed principal amounts of between $6.0 million and $85.0 million, repayment terms of between 34 months and 82 months and pay cash interest at annual interest rates of between 7.1% and 15.7%.</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240"/>
        <w:jc w:val="both"/>
        <w:rPr>
          <w:rFonts w:ascii="Times New Roman" w:hAnsi="Times New Roman"/>
          <w:sz w:val="20"/>
        </w:rPr>
      </w:pPr>
      <w:r>
        <w:rPr>
          <w:rFonts w:ascii="Times New Roman" w:hAnsi="Times New Roman"/>
          <w:b w:val="false"/>
          <w:color w:val="231F20"/>
          <w:sz w:val="20"/>
        </w:rPr>
        <w:t xml:space="preserve">The following table shows our dollar-weighted annualized yield by investment type for the </w:t>
      </w:r>
      <w:r>
        <w:rPr>
          <w:rFonts w:ascii="Times New Roman" w:hAnsi="Times New Roman"/>
          <w:b w:val="false"/>
          <w:color w:val="000000"/>
          <w:sz w:val="20"/>
        </w:rPr>
        <w:t>three and nine months ended September 30, 2023 and 2022</w:t>
      </w:r>
      <w:r>
        <w:rPr>
          <w:rFonts w:ascii="Times New Roman" w:hAnsi="Times New Roman"/>
          <w:b w:val="false"/>
          <w:color w:val="231F20"/>
          <w:sz w:val="20"/>
        </w:rPr>
        <w:t>:</w:t>
      </w:r>
    </w:p>
    <w:tbl>
      <w:tblPr>
        <w:tblW w:w="10496" w:type="dxa"/>
        <w:jc w:val="left"/>
        <w:tblInd w:w="0" w:type="dxa"/>
        <w:tblLayout w:type="fixed"/>
        <w:tblCellMar>
          <w:top w:w="28" w:type="dxa"/>
          <w:left w:w="28" w:type="dxa"/>
          <w:bottom w:w="28" w:type="dxa"/>
          <w:right w:w="28" w:type="dxa"/>
        </w:tblCellMar>
      </w:tblPr>
      <w:tblGrid>
        <w:gridCol w:w="93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86"/>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614"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59"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Cost</w:t>
            </w:r>
            <w:r>
              <w:rPr>
                <w:rFonts w:ascii="Times New Roman" w:hAnsi="Times New Roman"/>
                <w:b/>
                <w:color w:val="000000"/>
                <w:sz w:val="11"/>
              </w:rPr>
              <w:t>(2)</w:t>
            </w:r>
          </w:p>
        </w:tc>
      </w:tr>
      <w:tr>
        <w:trPr/>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93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type:</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r>
      <w:tr>
        <w:trPr/>
        <w:tc>
          <w:tcPr>
            <w:tcW w:w="9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Debt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18.28</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14.43</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16.04</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13.49</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18.02</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14.10</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15.80</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13.30</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93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Equity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2.52</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3.64</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2.70</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3.36</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3.16</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2.17</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93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All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17.48</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13.95</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15.45</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12.94</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17.00</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13.55</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15.07</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12.77</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We calculate the dollar-weighted annualized yield on average investment type for any period as (a) total related investment income during the period divided by (b) 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We calculate the dollar-weighted annualized yield on average investment type for any period as (a) total related investment income during the period divided by (b) the daily average of the investment type outstanding during the period, at amortized cost. The dollar-weighted annualized yield represents the portfolio yield and will be higher than what investors will realize because it does not reflect our expenses or any sales load paid by investors.</w:t>
      </w:r>
    </w:p>
    <w:p>
      <w:pPr>
        <w:pStyle w:val="TextBody"/>
        <w:bidi w:val="0"/>
        <w:spacing w:before="240" w:after="240"/>
        <w:jc w:val="left"/>
        <w:rPr>
          <w:rFonts w:ascii="Times New Roman" w:hAnsi="Times New Roman"/>
          <w:b w:val="false"/>
          <w:i/>
          <w:color w:val="000000"/>
          <w:sz w:val="20"/>
        </w:rPr>
      </w:pPr>
      <w:r>
        <w:rPr>
          <w:rFonts w:ascii="Times New Roman" w:hAnsi="Times New Roman"/>
          <w:b w:val="false"/>
          <w:i/>
          <w:color w:val="000000"/>
          <w:sz w:val="20"/>
        </w:rPr>
        <w:t>Investment Activity</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nine months ended September 30, 2023, the Company funded 19.8 million in one new portfolio company, and $85.7 million in 11 existing portfolio companies, net of upfront loan origination fees. The Company also received $225.7 million in loan prepayments from 10 portfolio companies and $7.0 million in scheduled principal payments from two portfolio companies. There were no proceeds from the termination of warrants, sale of preferred stock, and sale of common stock. During the nine months ended September 30, 2022, the Company funded $210.4 million in eight new portfolio companies and $182.4 million in ten existing portfolio companies, net of upfront loan origination fees. The Company also received $135.9 million in loan prepayments from six portfolio companies and $7.3 million in scheduled principal payments from two portfolio companies. There were $7.2 million in proceeds from the termination of warrants, sale of preferred stock, and sale of common stock.</w:t>
      </w:r>
      <w:r>
        <w:rPr>
          <w:rFonts w:ascii="Times New Roman" w:hAnsi="Times New Roman"/>
          <w:color w:val="000000"/>
          <w:sz w:val="20"/>
        </w:rPr>
        <w:t xml:space="preserve">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Portfolio Reconciliation</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following is a reconciliation of our investment portfolio, including U.S. Treasury Bills, for the nine months ended September 30, 2023 and 2022 (in thousands):</w:t>
      </w:r>
    </w:p>
    <w:tbl>
      <w:tblPr>
        <w:tblW w:w="7826" w:type="dxa"/>
        <w:jc w:val="left"/>
        <w:tblInd w:w="0" w:type="dxa"/>
        <w:tblLayout w:type="fixed"/>
        <w:tblCellMar>
          <w:top w:w="28" w:type="dxa"/>
          <w:left w:w="28" w:type="dxa"/>
          <w:bottom w:w="28" w:type="dxa"/>
          <w:right w:w="28" w:type="dxa"/>
        </w:tblCellMar>
      </w:tblPr>
      <w:tblGrid>
        <w:gridCol w:w="1257"/>
        <w:gridCol w:w="1139"/>
        <w:gridCol w:w="1139"/>
        <w:gridCol w:w="1144"/>
        <w:gridCol w:w="146"/>
        <w:gridCol w:w="196"/>
        <w:gridCol w:w="159"/>
        <w:gridCol w:w="902"/>
        <w:gridCol w:w="181"/>
        <w:gridCol w:w="159"/>
        <w:gridCol w:w="214"/>
        <w:gridCol w:w="159"/>
        <w:gridCol w:w="820"/>
        <w:gridCol w:w="211"/>
      </w:tblGrid>
      <w:tr>
        <w:trPr/>
        <w:tc>
          <w:tcPr>
            <w:tcW w:w="12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57"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7"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11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9" w:type="dxa"/>
            <w:gridSpan w:val="4"/>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Beginning investment portfolio</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1,126,309</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729,516</w:t>
            </w:r>
          </w:p>
        </w:tc>
        <w:tc>
          <w:tcPr>
            <w:tcW w:w="211" w:type="dxa"/>
            <w:tcBorders/>
            <w:shd w:fill="CFF0FC" w:val="clear"/>
            <w:vAlign w:val="center"/>
          </w:tcPr>
          <w:p>
            <w:pPr>
              <w:pStyle w:val="TableContents"/>
              <w:bidi w:val="0"/>
              <w:spacing w:before="0" w:after="283"/>
              <w:jc w:val="left"/>
              <w:rPr/>
            </w:pPr>
            <w:r>
              <w:rPr/>
              <w:t> </w:t>
            </w:r>
          </w:p>
        </w:tc>
      </w:tr>
      <w:tr>
        <w:trPr/>
        <w:tc>
          <w:tcPr>
            <w:tcW w:w="4679" w:type="dxa"/>
            <w:gridSpan w:val="4"/>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Purchases of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105,527</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392,820</w:t>
            </w:r>
          </w:p>
        </w:tc>
        <w:tc>
          <w:tcPr>
            <w:tcW w:w="211" w:type="dxa"/>
            <w:tcBorders/>
            <w:shd w:fill="FFFFFF" w:val="clear"/>
            <w:vAlign w:val="center"/>
          </w:tcPr>
          <w:p>
            <w:pPr>
              <w:pStyle w:val="TableContents"/>
              <w:bidi w:val="0"/>
              <w:spacing w:before="0" w:after="283"/>
              <w:jc w:val="left"/>
              <w:rPr/>
            </w:pPr>
            <w:r>
              <w:rPr/>
              <w:t> </w:t>
            </w:r>
          </w:p>
        </w:tc>
      </w:tr>
      <w:tr>
        <w:trPr/>
        <w:tc>
          <w:tcPr>
            <w:tcW w:w="4679" w:type="dxa"/>
            <w:gridSpan w:val="4"/>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Purchases of U.S. Treasury Bills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34,974</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679" w:type="dxa"/>
            <w:gridSpan w:val="4"/>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PIK interest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15,334</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6,345</w:t>
            </w:r>
          </w:p>
        </w:tc>
        <w:tc>
          <w:tcPr>
            <w:tcW w:w="211" w:type="dxa"/>
            <w:tcBorders/>
            <w:shd w:fill="FFFFFF" w:val="clear"/>
            <w:vAlign w:val="center"/>
          </w:tcPr>
          <w:p>
            <w:pPr>
              <w:pStyle w:val="TableContents"/>
              <w:bidi w:val="0"/>
              <w:spacing w:before="0" w:after="283"/>
              <w:jc w:val="left"/>
              <w:rPr/>
            </w:pPr>
            <w:r>
              <w:rPr/>
              <w:t> </w:t>
            </w:r>
          </w:p>
        </w:tc>
      </w:tr>
      <w:tr>
        <w:trPr/>
        <w:tc>
          <w:tcPr>
            <w:tcW w:w="4679" w:type="dxa"/>
            <w:gridSpan w:val="4"/>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Sales and prepayments of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(225,671</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(143,144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gridSpan w:val="4"/>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Scheduled principal payments of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(7,046</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(7,266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gridSpan w:val="4"/>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Sales and maturities of U.S. Treasury Bills</w:t>
            </w:r>
            <w:r>
              <w:rPr>
                <w:rFonts w:ascii="Times New Roman" w:hAnsi="Times New Roman"/>
                <w:b w:val="false"/>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(35,000</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(45,000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gridSpan w:val="4"/>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(1,178</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w:t>
            </w:r>
          </w:p>
        </w:tc>
        <w:tc>
          <w:tcPr>
            <w:tcW w:w="211" w:type="dxa"/>
            <w:tcBorders/>
            <w:shd w:fill="FFFFFF" w:val="clear"/>
            <w:vAlign w:val="center"/>
          </w:tcPr>
          <w:p>
            <w:pPr>
              <w:pStyle w:val="TableContents"/>
              <w:bidi w:val="0"/>
              <w:spacing w:before="0" w:after="283"/>
              <w:jc w:val="left"/>
              <w:rPr/>
            </w:pPr>
            <w:r>
              <w:rPr/>
              <w:t> </w:t>
            </w:r>
          </w:p>
        </w:tc>
      </w:tr>
      <w:tr>
        <w:trPr/>
        <w:tc>
          <w:tcPr>
            <w:tcW w:w="4679" w:type="dxa"/>
            <w:gridSpan w:val="4"/>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unrealized gain (loss)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(9,654</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(28,617</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679" w:type="dxa"/>
            <w:gridSpan w:val="4"/>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Amortization of fixed income premiums or accretion of discounts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9" w:type="dxa"/>
            <w:gridSpan w:val="4"/>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Ending investment portfolio</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1,010,927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910,169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Asset Quality</w:t>
      </w:r>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tbl>
      <w:tblPr>
        <w:tblW w:w="10205" w:type="dxa"/>
        <w:jc w:val="left"/>
        <w:tblInd w:w="0" w:type="dxa"/>
        <w:tblLayout w:type="fixed"/>
        <w:tblCellMar>
          <w:top w:w="28" w:type="dxa"/>
          <w:left w:w="28" w:type="dxa"/>
          <w:bottom w:w="28" w:type="dxa"/>
          <w:right w:w="28" w:type="dxa"/>
        </w:tblCellMar>
      </w:tblPr>
      <w:tblGrid>
        <w:gridCol w:w="916"/>
        <w:gridCol w:w="109"/>
        <w:gridCol w:w="9180"/>
      </w:tblGrid>
      <w:tr>
        <w:trPr/>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9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w:t>
            </w:r>
            <w:r>
              <w:rPr>
                <w:rFonts w:ascii="Times New Roman" w:hAnsi="Times New Roman"/>
                <w:b w:val="false"/>
                <w:color w:val="000000"/>
                <w:sz w:val="16"/>
              </w:rPr>
              <w:br/>
            </w:r>
            <w:r>
              <w:rPr>
                <w:rFonts w:ascii="Times New Roman" w:hAnsi="Times New Roman"/>
                <w:b/>
                <w:color w:val="000000"/>
                <w:sz w:val="16"/>
              </w:rPr>
              <w:t>Rating</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 Definition</w:t>
            </w:r>
          </w:p>
        </w:tc>
      </w:tr>
      <w:tr>
        <w:trPr/>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9180" w:type="dxa"/>
            <w:tcBorders/>
            <w:shd w:fill="CFF0FC"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Performing above plan and/or strong enterprise profile, value, financial performance/coverage. Maintaining full covenant and payment compliance as agreed.</w:t>
            </w:r>
          </w:p>
        </w:tc>
      </w:tr>
      <w:tr>
        <w:trPr/>
        <w:tc>
          <w:tcPr>
            <w:tcW w:w="916"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Performing at or reasonably close to plan. Acceptable business prospects, enterprise value, financial coverage. Maintaining key covenant and payment compliance as agreed. All new loans are initially graded Category 2.</w:t>
            </w:r>
          </w:p>
        </w:tc>
      </w:tr>
      <w:tr>
        <w:trPr/>
        <w:tc>
          <w:tcPr>
            <w:tcW w:w="9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9180" w:type="dxa"/>
            <w:tcBorders/>
            <w:shd w:fill="CFF0FC"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Performing below plan of record. Potential elements of concern over performance, trends and business outlook. Loan-to-value remains adequate. Potential key covenant non-compliance. Full payment compliance.</w:t>
            </w:r>
          </w:p>
        </w:tc>
      </w:tr>
      <w:tr>
        <w:trPr/>
        <w:tc>
          <w:tcPr>
            <w:tcW w:w="916"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tc>
      </w:tr>
      <w:tr>
        <w:trPr/>
        <w:tc>
          <w:tcPr>
            <w:tcW w:w="916"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9180" w:type="dxa"/>
            <w:tcBorders/>
            <w:shd w:fill="CFF0FC" w:val="clear"/>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Going concern nature in question. Substantial decline in enterprise value and all coverages. Covenant and payment default imminent if not currently present. Investments are nearly always in workout. May experience partial and/or full loss.</w:t>
            </w:r>
          </w:p>
        </w:tc>
      </w:tr>
    </w:tbl>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The following table shows the investment ratings of our debt investments at fair value as of September 30, 2023 and December 31, 2022 (dollars in thousands):</w:t>
      </w:r>
    </w:p>
    <w:tbl>
      <w:tblPr>
        <w:tblW w:w="10205" w:type="dxa"/>
        <w:jc w:val="left"/>
        <w:tblInd w:w="0" w:type="dxa"/>
        <w:tblLayout w:type="fixed"/>
        <w:tblCellMar>
          <w:top w:w="28" w:type="dxa"/>
          <w:left w:w="28" w:type="dxa"/>
          <w:bottom w:w="28" w:type="dxa"/>
          <w:right w:w="28" w:type="dxa"/>
        </w:tblCellMar>
      </w:tblPr>
      <w:tblGrid>
        <w:gridCol w:w="1190"/>
        <w:gridCol w:w="146"/>
        <w:gridCol w:w="196"/>
        <w:gridCol w:w="691"/>
        <w:gridCol w:w="146"/>
        <w:gridCol w:w="146"/>
        <w:gridCol w:w="810"/>
        <w:gridCol w:w="382"/>
        <w:gridCol w:w="146"/>
        <w:gridCol w:w="1679"/>
        <w:gridCol w:w="146"/>
        <w:gridCol w:w="146"/>
        <w:gridCol w:w="196"/>
        <w:gridCol w:w="826"/>
        <w:gridCol w:w="146"/>
        <w:gridCol w:w="146"/>
        <w:gridCol w:w="810"/>
        <w:gridCol w:w="382"/>
        <w:gridCol w:w="146"/>
        <w:gridCol w:w="1729"/>
      </w:tblGrid>
      <w:tr>
        <w:trPr/>
        <w:tc>
          <w:tcPr>
            <w:tcW w:w="1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11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9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1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shd w:fill="FFFFFF" w:val="clear"/>
            <w:vAlign w:val="center"/>
          </w:tcPr>
          <w:p>
            <w:pPr>
              <w:pStyle w:val="TableContents"/>
              <w:bidi w:val="0"/>
              <w:spacing w:before="0" w:after="283"/>
              <w:jc w:val="left"/>
              <w:rPr/>
            </w:pPr>
            <w:r>
              <w:rPr/>
              <w:t> </w:t>
            </w:r>
          </w:p>
        </w:tc>
        <w:tc>
          <w:tcPr>
            <w:tcW w:w="1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shd w:fill="FFFFFF" w:val="clear"/>
            <w:vAlign w:val="center"/>
          </w:tcPr>
          <w:p>
            <w:pPr>
              <w:pStyle w:val="TableContents"/>
              <w:bidi w:val="0"/>
              <w:spacing w:before="0" w:after="283"/>
              <w:jc w:val="left"/>
              <w:rPr/>
            </w:pPr>
            <w:r>
              <w:rPr/>
              <w:t> </w:t>
            </w:r>
          </w:p>
        </w:tc>
        <w:tc>
          <w:tcPr>
            <w:tcW w:w="1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r>
      <w:tr>
        <w:trPr/>
        <w:tc>
          <w:tcPr>
            <w:tcW w:w="119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382"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6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382"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729" w:type="dxa"/>
            <w:tcBorders/>
            <w:shd w:fill="CFF0FC" w:val="clear"/>
            <w:vAlign w:val="center"/>
          </w:tcPr>
          <w:p>
            <w:pPr>
              <w:pStyle w:val="TableContents"/>
              <w:bidi w:val="0"/>
              <w:spacing w:before="0" w:after="283"/>
              <w:jc w:val="right"/>
              <w:rPr>
                <w:color w:val="000000"/>
              </w:rPr>
            </w:pPr>
            <w:r>
              <w:rPr>
                <w:color w:val="000000"/>
              </w:rPr>
              <w:t>—</w:t>
            </w:r>
          </w:p>
        </w:tc>
      </w:tr>
      <w:tr>
        <w:trPr/>
        <w:tc>
          <w:tcPr>
            <w:tcW w:w="1190"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779,670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77.13</w:t>
            </w:r>
          </w:p>
        </w:tc>
        <w:tc>
          <w:tcPr>
            <w:tcW w:w="3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1,006,247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89.34</w:t>
            </w:r>
          </w:p>
        </w:tc>
        <w:tc>
          <w:tcPr>
            <w:tcW w:w="3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w:t>
            </w:r>
          </w:p>
        </w:tc>
      </w:tr>
      <w:tr>
        <w:trPr/>
        <w:tc>
          <w:tcPr>
            <w:tcW w:w="119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166,346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16.45</w:t>
            </w:r>
          </w:p>
        </w:tc>
        <w:tc>
          <w:tcPr>
            <w:tcW w:w="38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7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6.95</w:t>
            </w:r>
          </w:p>
        </w:tc>
        <w:tc>
          <w:tcPr>
            <w:tcW w:w="38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r>
      <w:tr>
        <w:trPr/>
        <w:tc>
          <w:tcPr>
            <w:tcW w:w="1190"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0.40</w:t>
            </w:r>
          </w:p>
        </w:tc>
        <w:tc>
          <w:tcPr>
            <w:tcW w:w="3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3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9" w:type="dxa"/>
            <w:tcBorders/>
            <w:shd w:fill="FFFFFF" w:val="clear"/>
            <w:vAlign w:val="center"/>
          </w:tcPr>
          <w:p>
            <w:pPr>
              <w:pStyle w:val="TableContents"/>
              <w:bidi w:val="0"/>
              <w:spacing w:before="0" w:after="283"/>
              <w:jc w:val="right"/>
              <w:rPr>
                <w:color w:val="000000"/>
              </w:rPr>
            </w:pPr>
            <w:r>
              <w:rPr>
                <w:color w:val="000000"/>
              </w:rPr>
              <w:t>—</w:t>
            </w:r>
          </w:p>
        </w:tc>
      </w:tr>
      <w:tr>
        <w:trPr/>
        <w:tc>
          <w:tcPr>
            <w:tcW w:w="1190"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0.82</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r>
      <w:tr>
        <w:trPr/>
        <w:tc>
          <w:tcPr>
            <w:tcW w:w="11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961,693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95.13</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1,093,775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97.11</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w:t>
            </w:r>
          </w:p>
        </w:tc>
      </w:tr>
    </w:tbl>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Loans and Debt Securities on Non-Accrual Status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Generally, when interest and/or principal payments on a loan become past due, or if we otherwise do not expect the borrower to be able to service its debt and other obligations, we will place the loan on non-accrual status and will cease recognizing interest income on that loan for financial reporting purposes until all principal and interest have been brought current through payment or due to a restructuring such that the interest income is deemed to be collectible. As of September 30, 2023 and December 31, 2022, we have not written off any accrued and uncollected PIK interest. As of September 30, 2023, we had one loan to Pivot3, Inc. on non-accrual status. The loan, with a cost basis of $18.0 million and a fair value of $11.6 million, represents 1.1% of the total investment portfolio. From being placed on non-accrual status through September 30, 2023, cumulative interest of $6.0 million would be receivable and $0.3 million OID would be accreted into the cost basis, for a total of $6.3 million not recorded in Interest income from control investments on the Statements of Operations. As of December 31, 2022, we had one loan to Pivot3, Inc. on non-accrual status. The loan, with a cost basis of $19.2 million and a fair market value of $9.3 million represents 0.8% of the total investment portfolio. From being placed on non-accrual status through December 31, 2022, cumulative interest of $3.6 million would be payable and $0.3 million OID would be accreted into the cost basis, for a total of $3.9 million not recorded in Interest income from control investments on the Statements of Operations.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An important measure of our financial performance is net increase/(decrease) in net assets resulting from operations, which includes net investment income/(loss), net realized gain/(loss) and net unrealized gain/(loss).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gain/(loss) on investments is the net change in the fair value of our investment portfolio.</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Comparison of the Three and Nine Months Ended September 30, 2023 and 2022</w:t>
      </w:r>
    </w:p>
    <w:p>
      <w:pPr>
        <w:pStyle w:val="TextBody"/>
        <w:bidi w:val="0"/>
        <w:spacing w:before="0" w:after="240"/>
        <w:jc w:val="left"/>
        <w:rPr>
          <w:rFonts w:ascii="Times New Roman" w:hAnsi="Times New Roman"/>
          <w:b w:val="false"/>
          <w:color w:val="000000"/>
          <w:sz w:val="20"/>
        </w:rPr>
      </w:pPr>
      <w:r>
        <w:rPr>
          <w:rFonts w:ascii="Times New Roman" w:hAnsi="Times New Roman"/>
          <w:b w:val="false"/>
          <w:color w:val="000000"/>
          <w:sz w:val="20"/>
        </w:rPr>
        <w:t>The following table is a comparison of the results of our operations for the three and nine months ended September 30, 2023 and 2022 (dollars in thousands):</w:t>
      </w:r>
    </w:p>
    <w:tbl>
      <w:tblPr>
        <w:tblW w:w="11537" w:type="dxa"/>
        <w:jc w:val="left"/>
        <w:tblInd w:w="0" w:type="dxa"/>
        <w:tblLayout w:type="fixed"/>
        <w:tblCellMar>
          <w:top w:w="28" w:type="dxa"/>
          <w:left w:w="28" w:type="dxa"/>
          <w:bottom w:w="28" w:type="dxa"/>
          <w:right w:w="28" w:type="dxa"/>
        </w:tblCellMar>
      </w:tblPr>
      <w:tblGrid>
        <w:gridCol w:w="1256"/>
        <w:gridCol w:w="246"/>
        <w:gridCol w:w="246"/>
        <w:gridCol w:w="146"/>
        <w:gridCol w:w="601"/>
        <w:gridCol w:w="166"/>
        <w:gridCol w:w="146"/>
        <w:gridCol w:w="196"/>
        <w:gridCol w:w="146"/>
        <w:gridCol w:w="481"/>
        <w:gridCol w:w="166"/>
        <w:gridCol w:w="146"/>
        <w:gridCol w:w="196"/>
        <w:gridCol w:w="146"/>
        <w:gridCol w:w="601"/>
        <w:gridCol w:w="166"/>
        <w:gridCol w:w="146"/>
        <w:gridCol w:w="196"/>
        <w:gridCol w:w="146"/>
        <w:gridCol w:w="481"/>
        <w:gridCol w:w="166"/>
        <w:gridCol w:w="146"/>
        <w:gridCol w:w="246"/>
        <w:gridCol w:w="246"/>
        <w:gridCol w:w="146"/>
        <w:gridCol w:w="691"/>
        <w:gridCol w:w="166"/>
        <w:gridCol w:w="146"/>
        <w:gridCol w:w="196"/>
        <w:gridCol w:w="146"/>
        <w:gridCol w:w="481"/>
        <w:gridCol w:w="166"/>
        <w:gridCol w:w="146"/>
        <w:gridCol w:w="196"/>
        <w:gridCol w:w="146"/>
        <w:gridCol w:w="661"/>
        <w:gridCol w:w="166"/>
        <w:gridCol w:w="146"/>
        <w:gridCol w:w="196"/>
        <w:gridCol w:w="146"/>
        <w:gridCol w:w="481"/>
        <w:gridCol w:w="291"/>
      </w:tblGrid>
      <w:tr>
        <w:trPr/>
        <w:tc>
          <w:tcPr>
            <w:tcW w:w="1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c>
          <w:tcPr>
            <w:tcW w:w="4518"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4668"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shd w:fill="FFFFFF" w:val="clear"/>
            <w:vAlign w:val="center"/>
          </w:tcPr>
          <w:p>
            <w:pPr>
              <w:pStyle w:val="TableContents"/>
              <w:bidi w:val="0"/>
              <w:spacing w:before="0" w:after="283"/>
              <w:jc w:val="center"/>
              <w:rPr/>
            </w:pPr>
            <w:r>
              <w:rPr/>
              <w:t> </w:t>
            </w:r>
          </w:p>
        </w:tc>
      </w:tr>
      <w:tr>
        <w:trPr/>
        <w:tc>
          <w:tcPr>
            <w:tcW w:w="125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1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2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9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5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Interest, fee and dividend income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43,552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71,293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5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Other income</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 income</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center"/>
              <w:rPr/>
            </w:pPr>
            <w:r>
              <w:rPr/>
              <w:t> </w:t>
            </w:r>
          </w:p>
        </w:tc>
        <w:tc>
          <w:tcPr>
            <w:tcW w:w="7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center"/>
              <w:rPr/>
            </w:pPr>
            <w:r>
              <w:rPr/>
              <w:t> </w:t>
            </w:r>
          </w:p>
        </w:tc>
        <w:tc>
          <w:tcPr>
            <w:tcW w:w="8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Management fees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Incentive fees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Interest and other debt financing expenses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32,772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Professional fees</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Administration agreement expenses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Insurance expense</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Tax expense</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2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Other expenses</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operating expenses</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gain (loss) on investments</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0.02</w:t>
            </w:r>
          </w:p>
        </w:tc>
        <w:tc>
          <w:tcPr>
            <w:tcW w:w="291" w:type="dxa"/>
            <w:tcBorders/>
            <w:shd w:fill="FFFFFF" w:val="clear"/>
            <w:vAlign w:val="center"/>
          </w:tcPr>
          <w:p>
            <w:pPr>
              <w:pStyle w:val="TableContents"/>
              <w:bidi w:val="0"/>
              <w:spacing w:before="0" w:after="283"/>
              <w:jc w:val="left"/>
              <w:rPr/>
            </w:pPr>
            <w:r>
              <w:rPr/>
              <w:t> </w:t>
            </w:r>
          </w:p>
        </w:tc>
      </w:tr>
      <w:tr>
        <w:trPr/>
        <w:tc>
          <w:tcPr>
            <w:tcW w:w="125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change in unrealized gain (loss) on investments</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(0.70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25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4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40" w:after="240"/>
        <w:jc w:val="both"/>
        <w:rPr>
          <w:rFonts w:ascii="Times New Roman" w:hAnsi="Times New Roman"/>
          <w:b w:val="false"/>
          <w:color w:val="000000"/>
          <w:sz w:val="16"/>
        </w:rPr>
      </w:pPr>
      <w:r>
        <w:rPr>
          <w:rFonts w:ascii="Times New Roman" w:hAnsi="Times New Roman"/>
          <w:b w:val="false"/>
          <w:color w:val="000000"/>
          <w:sz w:val="16"/>
        </w:rPr>
        <w:t>The basic per share figures noted above are based on weighted averages of 40,509,269 and 40,774,154 shares outstanding for the three months ended September 30, 2023 and 2022, respectively, and 40,509,269 and 41,119,467 shares outstanding for the nine months ended September 30, 2023 and 2022, respectively.</w:t>
      </w:r>
    </w:p>
    <w:p>
      <w:pPr>
        <w:pStyle w:val="TextBody"/>
        <w:bidi w:val="0"/>
        <w:spacing w:before="240" w:after="240"/>
        <w:jc w:val="left"/>
        <w:rPr>
          <w:rFonts w:ascii="Times New Roman" w:hAnsi="Times New Roman"/>
          <w:b w:val="false"/>
          <w:i/>
          <w:color w:val="000000"/>
          <w:sz w:val="20"/>
        </w:rPr>
      </w:pPr>
      <w:r>
        <w:rPr>
          <w:rFonts w:ascii="Times New Roman" w:hAnsi="Times New Roman"/>
          <w:b w:val="false"/>
          <w:i/>
          <w:color w:val="000000"/>
          <w:sz w:val="20"/>
        </w:rPr>
        <w:t>Investment Income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Our investment objective is to maximize total return to our stockholders primarily through current income on our loan portfolio, and secondarily through capital gain on our warrants and other equity positions. We intend to achieve our investment objective by investing in high growth-potential, private companies. We typically invest in senior secured loans that generally fall into two strategies: Sponsored Growth Lending and Non-Sponsored Growth Lending. We generally receive warrants and/or other equity from our investments. We expect our investments in loans will generally range from between $10.0 million to $100.0 million, and the upper end of this range may increase as we raise additional capital.</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 interest income. We record prepayment fees on debt investments as fee income. Dividend income, if any, will be recognized on an accrual basis to the extent that we expect to collect such amounts.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240"/>
        <w:jc w:val="both"/>
        <w:rPr>
          <w:rFonts w:ascii="Times New Roman" w:hAnsi="Times New Roman"/>
          <w:sz w:val="20"/>
        </w:rPr>
      </w:pPr>
      <w:r>
        <w:rPr>
          <w:rFonts w:ascii="Times New Roman" w:hAnsi="Times New Roman"/>
          <w:b w:val="false"/>
          <w:color w:val="000000"/>
          <w:sz w:val="20"/>
        </w:rPr>
        <w:t>Investment income for the three months ended September 30, 2023 and 2022 was $43.8 million and $27.0 million, respectively, and includes non-recurring income of $5.6 million and $0.4 million, respectively. Non-recurring income includes, but is not limited to, acceleration of unaccreted OID, prepayment fees and amendment fees. The increase in investment income for the three months ended September 30, 2023 compared to the three months ended September 30, 2022 was primarily due to increased interest income driven by our deployment of capital and increased market interest rates.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Investment income for the nine months ended September 30, 2023 and 2022 was $125.0 million and $71.3 million, respectively, and includes non-recurring income of $9.0 million and $2.9 million, respectively. Non-recurring income includes, but is not limited to, acceleration of unaccreted OID, prepayment fees and amendment fees. The increase in investment income for the nine months ended September 30, 2023 compared to the nine months ended September 30, 2022 was primarily due to increased interest income driven by our deployment of capital and increased market interest rates.</w:t>
      </w:r>
      <w:r>
        <w:rPr>
          <w:rFonts w:ascii="Times New Roman" w:hAnsi="Times New Roman"/>
          <w:color w:val="000000"/>
          <w:sz w:val="20"/>
        </w:rPr>
        <w:t xml:space="preserve"> </w:t>
      </w:r>
    </w:p>
    <w:p>
      <w:pPr>
        <w:pStyle w:val="TextBody"/>
        <w:bidi w:val="0"/>
        <w:spacing w:before="240" w:after="240"/>
        <w:jc w:val="left"/>
        <w:rPr>
          <w:rFonts w:ascii="Times New Roman" w:hAnsi="Times New Roman"/>
          <w:b w:val="false"/>
          <w:i/>
          <w:color w:val="000000"/>
          <w:sz w:val="20"/>
        </w:rPr>
      </w:pPr>
      <w:r>
        <w:rPr>
          <w:rFonts w:ascii="Times New Roman" w:hAnsi="Times New Roman"/>
          <w:b w:val="false"/>
          <w:i/>
          <w:color w:val="000000"/>
          <w:sz w:val="20"/>
        </w:rPr>
        <w:t>Operating Expenses</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our pro-rata portion of fees and expenses related an initial public offering in connection with a Spin-Off transaction (as defined in "Note 9 – Net Assets" to our financial statements in Part I, Item 1 of this Form 10-Q);</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fees and expenses related to public and private offerings, sales and repurchases of our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calculating our net asset value (including the cost and expenses of any independent valuation firm);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interest payable on debt incurred to finance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sales and purchases of our common stock and other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investment advisory and management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administration fees payable under the Administration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transfer agent and custodial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federal and state registration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all costs of registration and listing our securities on any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U.S. federal, state and local taxes;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independent directors’ fees and expenses;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costs of preparing and filing reports or other documents required by the SEC, the Financial Industry Regulatory Authority or other regulators;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costs of any reports, proxy statements or other notices to stockholders, including printing costs;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our allocable portion of any fidelity bond, directors’ and officers’ errors and omissions liability insurance, and any other insurance premiums;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direct costs and expenses of administration, including printing, mailing, long distance telephone, copying, secretarial and other staff, independent auditors and outside legal costs;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Operating expenses for the three months ended September 30, 2023 and 2022 were $21.7 million and $12.5 million, respectively. Operating expenses increased for the three months ended September 30, 2023 from the three months ended September 30, 2022 primarily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due to an increase in interest expense as a result of increased leverage, performance-based incentive fees, and management fees. Operating expenses for the three months ended September 30, 2023 and 2022 were $0.54 and $0.30 per share, respectively.</w:t>
      </w:r>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Operating expenses for the nine months ended September 30, 2023 and 2022 were $65.0 million and $29.9 million, respectively. Operating expenses increased for the nine months ended September 30, 2023 from the nine months ended September 30, 2022 primarily due to an increase in interest expense as a result of increased leverage, performance-based incentive fees, and management fees. Operating expenses for the nine months ended September 30, 2023 and 2022 were $1.61 and $0.72 per share, respectively.</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Management fees for the three months ended September 30, 2023 and 2022 were $4.3 million and $3.1 million, respectively. Management fees increased for the three months ended September 30, 2023 from the three months ended September 30, 2022 primarily due to an increase in gross assets, offset by a decrease in the base management rate from 1.6% to 1.5% per annum.</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Management fees for the nine months ended September 30, 2023 and 2022 were $12.6 million and $8.5 million, respectively. Management fees increased for the nine months ended September 30, 2023 from the nine months ended September 30, 2022 primarily due to an increase in gross assets, offset by a decrease in the base management rate from 1.6% to 1.5% per annum.</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Incentive fees for the three months ended September 30, 2023 and 2022 were $5.5 million and $3.6 million, respectively. Incentive fees increased for the three months ended September 30, 2023 from the three months ended September 30, 2022 primarily due to an increase in net investment income. For the three months ended September 30, 2023, $4.0 million of the incentive fees were payable in cash, and $1.5 million were deferred and accrued. For the three months ended September 30, 2022, $3.2 million of the incentive fees were payable in cash, and $0.4 million were deferred and accrued. Incentive fees related to PIK or deferred interest are accrued and payment is deferred until such interest is collected in cash. Incentive fees for the three months ended September 30, 2023 and 2022 were $0.13 and $0.09 per share, respectively.</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Incentive fees for the nine months ended September 30, 2023 and 2022 were $15.0 million and $8.6 million, respectively. Incentive fees increased for the nine months ended September 30, 2023 from the nine months ended September 30, 2022 primarily due to an increase in net investment income. For the nine months ended September 30, 2023, $10.9 million of the incentive fees were payable in cash, and $4.1 million were deferred and accrued. For the nine months ended September 30, 2022, $7.3 million of the incentive fees were payable in cash, and $1.3 million were deferred and accrued. Incentive fees related to PIK or deferred interest are accrued and payment is deferred until such interest is collected in cash. Incentive fees for the nine months ended September 30, 2023 and 2022 were $0.37 and $0.21 per share, respectively.</w:t>
      </w:r>
    </w:p>
    <w:p>
      <w:pPr>
        <w:pStyle w:val="TextBody"/>
        <w:bidi w:val="0"/>
        <w:spacing w:before="240" w:after="240"/>
        <w:jc w:val="left"/>
        <w:rPr>
          <w:rFonts w:ascii="Times New Roman" w:hAnsi="Times New Roman"/>
          <w:b w:val="false"/>
          <w:i/>
          <w:color w:val="000000"/>
          <w:sz w:val="20"/>
        </w:rPr>
      </w:pPr>
      <w:r>
        <w:rPr>
          <w:rFonts w:ascii="Times New Roman" w:hAnsi="Times New Roman"/>
          <w:b w:val="false"/>
          <w:i/>
          <w:color w:val="000000"/>
          <w:sz w:val="20"/>
        </w:rPr>
        <w:t>Net Investment Income</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Net investment income for the three months ended September 30, 2023 and 2022 was $22.0 million and $14.5 million, respectively. Net investment income increased for the three months ended September 30, 2023 from the three months ended September 30, 2022 was primarily due to rising interest rates on our investments, partially offset by an increase in interest expense, performance-based incentive fees, and management fees. Net investment income for the three months ended September 30, 2023 and 2022 was $0.54 and $0.36 per share, respectively.</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Net investment income for the nine months ended September 30, 2023 and 2022 was $60.0 million and $41.4 million, respectively. Net investment income increased for the nine months ended September 30, 2023 from the nine months ended September 30, 2022 primarily due to rising interest rates partially offset by an increase in performance-based incentive fees, management fees, debt financing fees, and interest expense. Net investment income for the nine months ended September 30, 2023 and 2022 was $1.48 and $1.01 per share, respectively.</w:t>
      </w:r>
    </w:p>
    <w:p>
      <w:pPr>
        <w:pStyle w:val="TextBody"/>
        <w:bidi w:val="0"/>
        <w:spacing w:before="240" w:after="240"/>
        <w:jc w:val="left"/>
        <w:rPr>
          <w:rFonts w:ascii="Times New Roman" w:hAnsi="Times New Roman"/>
          <w:b w:val="false"/>
          <w:i/>
          <w:color w:val="000000"/>
          <w:sz w:val="20"/>
        </w:rPr>
      </w:pPr>
      <w:r>
        <w:rPr>
          <w:rFonts w:ascii="Times New Roman" w:hAnsi="Times New Roman"/>
          <w:b w:val="false"/>
          <w:i/>
          <w:color w:val="000000"/>
          <w:sz w:val="20"/>
        </w:rPr>
        <w:t>Net Realized Gain (Loss) on Investments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There were no net realized gains (losses) on investments for the three months ended September 30, 2023. The net realized gain on investments of $0.4 million for the three months ended September 30, 2022 was primarily due to the gain on a portion of our investment in the common stock of Brilliant Earth Group, Inc and partially offset by a loss on our investment in the warrants in Aspen Group Inc.</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Net realized losses on investments of $1.2 million for the nine months ended September 30, 2023 was attributable to our investments in CareCloud, Inc. and Gynesonics, Inc warrants. The net realized gain on investments of $0.9 million for the nine months ended September 30, 2022 was primarily due to the gain on a portion of our investment in the common stock of Brilliant Earth Group, Inc. partially offset by the loss on our investments in the preferred stock and warrants in CareCloud, Inc. and Aspen Group Inc.</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240" w:after="240"/>
        <w:jc w:val="left"/>
        <w:rPr>
          <w:rFonts w:ascii="Times New Roman" w:hAnsi="Times New Roman"/>
          <w:b w:val="false"/>
          <w:i/>
          <w:color w:val="000000"/>
          <w:sz w:val="20"/>
        </w:rPr>
      </w:pPr>
      <w:r>
        <w:rPr>
          <w:rFonts w:ascii="Times New Roman" w:hAnsi="Times New Roman"/>
          <w:b w:val="false"/>
          <w:i/>
          <w:color w:val="000000"/>
          <w:sz w:val="20"/>
        </w:rPr>
        <w:t>Net Change in Unrealized Gain (Loss) on Investments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Net change in unrealized loss on investments of $7.2 million for the three months ended September 30, 2023 was primarily due to a decrease in the fair value of our preferred stock investment in CareCloud, Inc. and our senior secured loans to Snagajob.com, Inc. and Fiscal Note, Inc., as well as a release of unrealized gain on the senior secured loans to Allurion Technologies, Inc. The net change in unrealized loss on investments of $3.2 million for the three months ended September 30, 2022 was primarily due to a release in the unrealized gain on Fiscal Note warrants and decreases in the fair value of our investment in the senior secured loan to Pivot3, Inc.</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Net change in unrealized loss on investments of $9.7 million for the nine months ended September 30, 2023 was primarily due to decreases in the fair value of our preferred stock investment in Gynesonics, Inc. and senior secured loans to Gynesonics, Inc. and Snagajob.com, Inc. The net change in unrealized loss on investments of $28.6 million for the nine months ended September 30, 2022 was primarily due to decreases in the fair value of our investments in the senior secured loan to Pivot3, Inc., common stock of Brilliant Earth Group, Inc., and common stock of Coginiti Corp.</w:t>
      </w:r>
    </w:p>
    <w:p>
      <w:pPr>
        <w:pStyle w:val="TextBody"/>
        <w:bidi w:val="0"/>
        <w:spacing w:before="240" w:after="240"/>
        <w:jc w:val="left"/>
        <w:rPr>
          <w:rFonts w:ascii="Times New Roman" w:hAnsi="Times New Roman"/>
          <w:b w:val="false"/>
          <w:i/>
          <w:color w:val="000000"/>
          <w:sz w:val="20"/>
        </w:rPr>
      </w:pPr>
      <w:r>
        <w:rPr>
          <w:rFonts w:ascii="Times New Roman" w:hAnsi="Times New Roman"/>
          <w:b w:val="false"/>
          <w:i/>
          <w:color w:val="000000"/>
          <w:sz w:val="20"/>
        </w:rPr>
        <w:t>Net Increase (Decrease) in Net Assets Resulting from Operations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We had a net increase in net assets resulting from operations of $14.8 million for the three months ended September 30, 2023, as compared to a net decrease in net assets resulting from operations of $11.7 million for the three months ended September 30, 2022. The net increase in net assets resulting from operations for the three months ended September 30, 2023 from the three months ended September 30, 2022 was primarily due to the comparative net change in unrealized gain (loss), as well as an increase in net investment income for the three months ended September 30, 2023.</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We had a net increase in net assets resulting from operations of $49.1 million and $13.8 million for the nine months ended September 30, 2023 and 2022, respectively. The net increase in net assets resulting from operations for the nine months ended September 30, 2023 from the nine months ended September 30, 2022 was primarily due to the comparative net change in unrealized gain (loss), as well as an increase in net investment income for the nine months ended September 30, 2023.</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Financial Condition, Liquidity, Capital Resources and Obligations</w:t>
      </w:r>
    </w:p>
    <w:p>
      <w:pPr>
        <w:pStyle w:val="TextBody"/>
        <w:bidi w:val="0"/>
        <w:spacing w:before="0" w:after="240"/>
        <w:jc w:val="both"/>
        <w:rPr>
          <w:rFonts w:ascii="Times New Roman" w:hAnsi="Times New Roman"/>
          <w:sz w:val="20"/>
        </w:rPr>
      </w:pPr>
      <w:r>
        <w:rPr>
          <w:rFonts w:ascii="Times New Roman" w:hAnsi="Times New Roman"/>
          <w:b w:val="false"/>
          <w:color w:val="000000"/>
          <w:sz w:val="20"/>
        </w:rPr>
        <w:t>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During the nine months ended September 30, 2023, we principally funded our operations from (i) cash receipts from interest, dividend, and fee income from our investment portfolio and (ii) cash proceeds from the realization of portfolio investments through the repayments of debt investments and the sale of debt and equity investments.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During the nine months ended September 30, 2023, our operating activities provided $174.1 million of cash and cash equivalents, compared to $164.1 million used during the nine months ended September 30, 2022, respectively. The $338.2 million increase in cash provided by operating activities was primarily due to a $252.3 million decrease in purchases of investments and U.S. Treasury Bills and a $72.3 million increase in sales and repayments of investments and U.S. Treasury Bills.</w:t>
      </w:r>
    </w:p>
    <w:p>
      <w:pPr>
        <w:pStyle w:val="TextBody"/>
        <w:bidi w:val="0"/>
        <w:spacing w:before="0" w:after="240"/>
        <w:jc w:val="both"/>
        <w:rPr>
          <w:rFonts w:ascii="Times New Roman" w:hAnsi="Times New Roman"/>
          <w:sz w:val="20"/>
        </w:rPr>
      </w:pPr>
      <w:r>
        <w:rPr>
          <w:rFonts w:ascii="Times New Roman" w:hAnsi="Times New Roman"/>
          <w:b w:val="false"/>
          <w:color w:val="000000"/>
          <w:sz w:val="20"/>
        </w:rPr>
        <w:t>During the nine months ended September 30, 2023, our financing activities used $164.9 million of cash, compared to $165.2 million provided by financing activities during the nine months ended September 30, 2022 . The $330.1 million increase in cash flows used in financing activities was primarily due to decreased net borrowing activity of $373.5 million and increased dividend distributions of $17.7 million, offset by decreased cash used in reverse repurchase agreements of $44.8 million.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As of September 30, 2023, our net assets totaled $570.5 million, with a net asset value per share of $14.08. We intend to continue to operate in order to generate cash flows from operations, including income earned from investments in our portfolio companies. Our primary use of funds will be investments in portfolio companies and cash distributions to holders of our common stock.</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240" w:after="240"/>
        <w:jc w:val="both"/>
        <w:rPr>
          <w:rFonts w:ascii="Times New Roman" w:hAnsi="Times New Roman"/>
          <w:b w:val="false"/>
          <w:i/>
          <w:color w:val="000000"/>
          <w:sz w:val="20"/>
        </w:rPr>
      </w:pPr>
      <w:r>
        <w:rPr>
          <w:rFonts w:ascii="Times New Roman" w:hAnsi="Times New Roman"/>
          <w:b w:val="false"/>
          <w:i/>
          <w:color w:val="000000"/>
          <w:sz w:val="20"/>
        </w:rPr>
        <w:t>Available Liquidity and Capital Resources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of September 30, 2023, we had $311.9 million in available liquidity, including $14.9 million in cash and cash equivalents, and approximately $297.0 million available under our Credit Facility, subject to borrowing base capacity. As of September 30, 2023, we had $203.0 million of secured debt outstanding under our Credit Facility, which are floating interest rate obligations and $247.3 million of unsecured debt outstanding under 2026 and 2027 Notes, which are all fixed interest rate debt obligations. Refer to "Note 7 – Borrowings" to our financial statements in Part I, Item 1 of this Form 10-Q for additional discussion of our debt obligations.</w:t>
      </w:r>
    </w:p>
    <w:p>
      <w:pPr>
        <w:pStyle w:val="TextBody"/>
        <w:bidi w:val="0"/>
        <w:jc w:val="both"/>
        <w:rPr/>
      </w:pPr>
      <w:r>
        <w:rPr/>
        <w:t> </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Pursuant to the 1940 Act, we are permitted to incur borrowings, issue debt securities, or issue preferred stock unless, immediately after the borrowings or issuance, the ratio of total assets (less total liabilities other than indebtedness) to total indebtedness plus preferred stock is at least 150% (at least 200% prior to June 17, 2022). As of September 30, 2023 and December 31, 2022, our asset coverage ratio was 227% and 203%, respectively.</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detailed above, our diverse and well-structured balance sheet is designed to provide a long-term focused and sustainable investment platform. Currently, we believe we have sufficient liquidity to support our near-term capital requirements.</w:t>
      </w:r>
    </w:p>
    <w:p>
      <w:pPr>
        <w:pStyle w:val="TextBody"/>
        <w:bidi w:val="0"/>
        <w:spacing w:before="240" w:after="240"/>
        <w:jc w:val="both"/>
        <w:rPr>
          <w:rFonts w:ascii="Times New Roman" w:hAnsi="Times New Roman"/>
          <w:b w:val="false"/>
          <w:i/>
          <w:color w:val="000000"/>
          <w:sz w:val="20"/>
        </w:rPr>
      </w:pPr>
      <w:r>
        <w:rPr>
          <w:rFonts w:ascii="Times New Roman" w:hAnsi="Times New Roman"/>
          <w:b w:val="false"/>
          <w:i/>
          <w:color w:val="000000"/>
          <w:sz w:val="20"/>
        </w:rPr>
        <w:t>Commitments and Obligations</w:t>
      </w:r>
    </w:p>
    <w:p>
      <w:pPr>
        <w:pStyle w:val="TextBody"/>
        <w:bidi w:val="0"/>
        <w:spacing w:before="0" w:after="240"/>
        <w:jc w:val="both"/>
        <w:rPr>
          <w:rFonts w:ascii="Times New Roman" w:hAnsi="Times New Roman"/>
          <w:sz w:val="20"/>
        </w:rPr>
      </w:pPr>
      <w:r>
        <w:rPr>
          <w:rFonts w:ascii="Times New Roman" w:hAnsi="Times New Roman"/>
          <w:b w:val="false"/>
          <w:color w:val="000000"/>
          <w:sz w:val="20"/>
        </w:rPr>
        <w:t>Our significant contractual payment obligations relate to our borrowings and deferred incentive fees. As of September 30, 2023, we had $450.3 million of debt outstanding, none of which was due within the next year, $228.0 million within 1 to 3 years, and $222.3 million beyond 3 years. As of September 30, 2023, we had $8.4 million of deferred incentive fees, $2.6 million of which was due within the next year, $3.1 million within 1 to 3 years, and $2.7 million beyond 3 years.</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In addition to our on-balance sheet contractual obligations, in the normal course of business, we have future cash requirements related to our financial instruments with off-balance sheet risk. These consist of unfunded loan commitments to extend credit, in the form of loans, to our portfolio companies. Unfunded loan commitments to provide funds to portfolio companies are not reflected on our balance sheet.</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Our unfunded loan commitments may be significant from time to time. As of September 30, 2023, we had $203.5 million in unfunded loan commitments to provide debt financing to its portfolio companies. The availability of unfunded loan commitments are dependent upon the portfolio company reaching certain performance milestones and time-based cancellation provisions before the loan commitment becomes available. Furthermore, our credit agreements generally contain customary lending provisions which allow us relief from funding obligations for previously made unfunded commitments in instances where the underlying company experiences materially adverse events that affect the financial condition or business outlook for the company. These commitments will be subject to the same underwriting and ongoing portfolio maintenance as are the on-balance sheet financial instruments that we hold. Since these commitments may expire without being drawn upon, the total commitment amount does not necessarily represent future cash requirements. We maintain sufficient liquidity (through cash on hand and available borrowings under the Credit Facility) to fund such unfunded loan commitments should the need arise. As of September 30, 2023, we had approximately $75.1 million of available unfunded commitments eligible to be drawn based on achieved milestones. Refer to “Note 8 – Commitments and Contingencies” of our financial statements in Part I, Item 1 of this Form 10-Q for a summary of unfunded loan commitments by portfolio company as of September 30, 2023.</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Times New Roman" w:hAnsi="Times New Roman"/>
          <w:b w:val="false"/>
          <w:i/>
          <w:color w:val="000000"/>
          <w:sz w:val="20"/>
        </w:rPr>
        <w:t>.</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240" w:after="240"/>
        <w:jc w:val="left"/>
        <w:rPr>
          <w:rFonts w:ascii="Times New Roman" w:hAnsi="Times New Roman"/>
          <w:b w:val="false"/>
          <w:i/>
          <w:color w:val="000000"/>
          <w:sz w:val="20"/>
        </w:rPr>
      </w:pPr>
      <w:r>
        <w:rPr>
          <w:rFonts w:ascii="Times New Roman" w:hAnsi="Times New Roman"/>
          <w:b w:val="false"/>
          <w:i/>
          <w:color w:val="000000"/>
          <w:sz w:val="20"/>
        </w:rPr>
        <w:t>Distributions</w:t>
      </w:r>
    </w:p>
    <w:p>
      <w:pPr>
        <w:pStyle w:val="TextBody"/>
        <w:bidi w:val="0"/>
        <w:spacing w:before="0" w:after="240"/>
        <w:jc w:val="both"/>
        <w:rPr>
          <w:rFonts w:ascii="Times New Roman" w:hAnsi="Times New Roman"/>
          <w:sz w:val="20"/>
        </w:rPr>
      </w:pPr>
      <w:r>
        <w:rPr>
          <w:rFonts w:ascii="Times New Roman" w:hAnsi="Times New Roman"/>
          <w:b w:val="false"/>
          <w:color w:val="000000"/>
          <w:sz w:val="20"/>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During the three and nine months ended September 30, 2023, we declared and paid dividends in the amount of $18.2 million and $54.7 million, respectively, of which $17.5 million and $52.4 million, respectively, were distributed in cash and the remainder distributed in shares to stockholders pursuant to our Dividend Reinvestment Plan. For the three and nine months ended September 30, 2022, we declared dividends in the amount of $13.5 million, and $37.0 million of which $12.8 million and $26.7 million, respectively, were distributed in cash and the remainder distributed in shares to stockholders pursuant to our Dividend Reinvestment Plan.</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timing and amount of our distributions, if any, will be determined by our Board of Directors and will be declared out of assets legally available for distribution. Refer to "Note 9 – Net Assets" of our financial statements in Part I, Item 1 of this Form 10-Q for a summary of the distributions declared and paid since inception.</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240" w:after="240"/>
        <w:jc w:val="left"/>
        <w:rPr>
          <w:rFonts w:ascii="Times New Roman" w:hAnsi="Times New Roman"/>
          <w:sz w:val="20"/>
        </w:rPr>
      </w:pPr>
      <w:r>
        <w:rPr>
          <w:rFonts w:ascii="Times New Roman" w:hAnsi="Times New Roman"/>
          <w:b w:val="false"/>
          <w:color w:val="000000"/>
          <w:sz w:val="20"/>
        </w:rPr>
        <w:t xml:space="preserve">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For a description of our critical accounting policies, including those related to the valuation of investments and our election to be treated, and intent to qualify annually, as a RIC refer to “Note 2 </w:t>
      </w:r>
      <w:r>
        <w:rPr>
          <w:rFonts w:ascii="Times New Roman" w:hAnsi="Times New Roman"/>
          <w:color w:val="000000"/>
          <w:sz w:val="20"/>
        </w:rPr>
        <w:t xml:space="preserve">– </w:t>
      </w:r>
      <w:r>
        <w:rPr>
          <w:rFonts w:ascii="Times New Roman" w:hAnsi="Times New Roman"/>
          <w:b w:val="false"/>
          <w:color w:val="000000"/>
          <w:sz w:val="20"/>
        </w:rPr>
        <w:t>Summary of Significant Accounting Policies” to our financial statements in Part I, Item 1 of this Form 10-Q. We consider the most significant accounting policies to be those related to our Fair Value Measurements and Income Taxes.</w:t>
      </w:r>
    </w:p>
    <w:p>
      <w:pPr>
        <w:pStyle w:val="TextBody"/>
        <w:bidi w:val="0"/>
        <w:spacing w:before="360" w:after="240"/>
        <w:jc w:val="left"/>
        <w:rPr>
          <w:rFonts w:ascii="Times New Roman" w:hAnsi="Times New Roman"/>
          <w:b/>
          <w:color w:val="000000"/>
          <w:sz w:val="20"/>
        </w:rPr>
      </w:pPr>
      <w:bookmarkStart w:id="13" w:name="item3quantitativeandqualitativedisclosur"/>
      <w:bookmarkEnd w:id="13"/>
      <w:r>
        <w:rPr>
          <w:rFonts w:ascii="Times New Roman" w:hAnsi="Times New Roman"/>
          <w:b/>
          <w:color w:val="000000"/>
          <w:sz w:val="20"/>
        </w:rPr>
        <w:t>Item 3. Quantitative and Qualitative Disclosures about Market Risk</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We commenced investment activities in portfolio securities during the quarter ended June 30, 2017 and commenced investment activities in U.S. Treasury Bills during the quarter ended December 31, 2016.</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ongoing economic effects of the COVID</w:t>
        <w:noBreakHyphen/>
        <w:t>19 pandemic has introduced significant volatility in the financial markets, and the effects of this volatility could materially impact our market risks.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Valuation Risk</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0" w:after="240"/>
        <w:jc w:val="both"/>
        <w:rPr>
          <w:rFonts w:ascii="Times New Roman" w:hAnsi="Times New Roman"/>
          <w:sz w:val="20"/>
        </w:rPr>
      </w:pPr>
      <w:r>
        <w:rPr>
          <w:rFonts w:ascii="Times New Roman" w:hAnsi="Times New Roman"/>
          <w:b w:val="false"/>
          <w:color w:val="000000"/>
          <w:sz w:val="20"/>
        </w:rPr>
        <w:t>We are subject to financial market risks, including changes in interest rates. 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interest rates may affect both our cost of funding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240"/>
        <w:jc w:val="both"/>
        <w:rPr>
          <w:rFonts w:ascii="Times New Roman" w:hAnsi="Times New Roman"/>
          <w:sz w:val="20"/>
        </w:rPr>
      </w:pPr>
      <w:r>
        <w:rPr>
          <w:rFonts w:ascii="Times New Roman" w:hAnsi="Times New Roman"/>
          <w:b w:val="false"/>
          <w:color w:val="000000"/>
          <w:sz w:val="20"/>
        </w:rPr>
        <w:t>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Increasing interest rates could have the effect of increasing our total investment income once interest rates increase above contractual interest rates floors to which our portfolio companies are subject. Conversely, we would expect the cost of our floating rate Credit Facility and unsecured notes to increase as well, offsetting the positive effect on our net interest income.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As of September 30, 2023, 100.0% of our performing debt portfolio investments bore interest at variable rates, consisting of approximately 65.0% based on SOFR and 35.0% based on Prime. As a policy, any interest above the cash cap, if applicable, as determined on an individual loan basis will accrue to principal and be treated as PIK interest. A hypothetical 200 basis point increase (decrease) in the interest rates on our variable-rate debt investments could increase our investment income by a maximum of $18.7 million and decrease our investment income by a maximum of $17.8 million, due to certain floors, on an annual basis.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the Company's leverage ratio and number of eligible loans in the collateral pool. For additional information regarding the interest rate associated with each of our debt borrowings, refer to "Note 7 – Borrowings" to our financial statements in Part I, Item 1 of this Form 10-Q.</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the COVID-19 pandemic on foreign financial markets.</w:t>
      </w:r>
    </w:p>
    <w:p>
      <w:pPr>
        <w:pStyle w:val="TextBody"/>
        <w:bidi w:val="0"/>
        <w:spacing w:before="360" w:after="240"/>
        <w:jc w:val="left"/>
        <w:rPr>
          <w:rFonts w:ascii="Times New Roman" w:hAnsi="Times New Roman"/>
          <w:b/>
          <w:color w:val="000000"/>
          <w:sz w:val="20"/>
        </w:rPr>
      </w:pPr>
      <w:bookmarkStart w:id="14" w:name="item4controlsandprocedures_691536"/>
      <w:bookmarkEnd w:id="14"/>
      <w:r>
        <w:rPr>
          <w:rFonts w:ascii="Times New Roman" w:hAnsi="Times New Roman"/>
          <w:b/>
          <w:color w:val="000000"/>
          <w:sz w:val="20"/>
        </w:rPr>
        <w:t>Item 4. Controls and Procedures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noBreakHyphen/>
        <w:t>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240"/>
        <w:jc w:val="center"/>
        <w:rPr>
          <w:rFonts w:ascii="Times New Roman" w:hAnsi="Times New Roman"/>
          <w:b/>
          <w:color w:val="000000"/>
          <w:sz w:val="20"/>
        </w:rPr>
      </w:pPr>
      <w:bookmarkStart w:id="15" w:name="partiiotherinformation_686450"/>
      <w:bookmarkEnd w:id="15"/>
      <w:r>
        <w:rPr>
          <w:rFonts w:ascii="Times New Roman" w:hAnsi="Times New Roman"/>
          <w:b/>
          <w:color w:val="000000"/>
          <w:sz w:val="20"/>
        </w:rPr>
        <w:t>PART II. OTHER INFORMATION</w:t>
      </w:r>
    </w:p>
    <w:p>
      <w:pPr>
        <w:pStyle w:val="TextBody"/>
        <w:bidi w:val="0"/>
        <w:spacing w:before="360" w:after="240"/>
        <w:jc w:val="left"/>
        <w:rPr>
          <w:rFonts w:ascii="Times New Roman" w:hAnsi="Times New Roman"/>
          <w:b/>
          <w:color w:val="000000"/>
          <w:sz w:val="20"/>
        </w:rPr>
      </w:pPr>
      <w:bookmarkStart w:id="16" w:name="item1legalproceedings_844818"/>
      <w:bookmarkEnd w:id="16"/>
      <w:r>
        <w:rPr>
          <w:rFonts w:ascii="Times New Roman" w:hAnsi="Times New Roman"/>
          <w:b/>
          <w:color w:val="000000"/>
          <w:sz w:val="20"/>
        </w:rPr>
        <w:t>Item 1. Legal Proceedings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will have a material effect upon our financial condition or results of operations.</w:t>
      </w:r>
    </w:p>
    <w:p>
      <w:pPr>
        <w:pStyle w:val="TextBody"/>
        <w:bidi w:val="0"/>
        <w:spacing w:before="360" w:after="240"/>
        <w:jc w:val="left"/>
        <w:rPr>
          <w:rFonts w:ascii="Times New Roman" w:hAnsi="Times New Roman"/>
          <w:b/>
          <w:color w:val="000000"/>
          <w:sz w:val="20"/>
        </w:rPr>
      </w:pPr>
      <w:bookmarkStart w:id="17" w:name="item1ariskfactors_996118"/>
      <w:bookmarkEnd w:id="17"/>
      <w:r>
        <w:rPr>
          <w:rFonts w:ascii="Times New Roman" w:hAnsi="Times New Roman"/>
          <w:b/>
          <w:color w:val="000000"/>
          <w:sz w:val="20"/>
        </w:rPr>
        <w:t>Item 1A. Risk Factors.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You should carefully consider the risks described below and all other information contained in this quarterly report on Form 10-Q, including our interim financial statements and the related notes thereto, before making a decision to purchase our securities. The risks and uncertainties described below are not the only ones we may face. Additional risks and uncertainties not currently known to us or that we currently deem to be immaterial also may materially adversely affect our business, financial condition and/or operating results.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If any of the following risks actually occur, our business, financial condition or results of operations could be materially adversely affected. If that happens, you may lose all or part of your investment. Other than as set forth below, there have been no material changes known to us during the period ended September 30, 2023 to the risk factors discussed in “Risk Factors” in Part I, Item 1A of our annual report on Form 10-K for the year ended December 31, 2022, filed with the SEC on March 2, 2023.</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business and our portfolio companies may be susceptible to economic slowdowns or recessions and to risks related to bank impairments or failures</w:t>
      </w:r>
    </w:p>
    <w:p>
      <w:pPr>
        <w:pStyle w:val="TextBody"/>
        <w:bidi w:val="0"/>
        <w:spacing w:before="0" w:after="240"/>
        <w:jc w:val="both"/>
        <w:rPr>
          <w:rFonts w:ascii="Times New Roman" w:hAnsi="Times New Roman"/>
          <w:sz w:val="20"/>
        </w:rPr>
      </w:pPr>
      <w:r>
        <w:rPr>
          <w:rFonts w:ascii="Times New Roman" w:hAnsi="Times New Roman"/>
          <w:b w:val="false"/>
          <w:color w:val="000000"/>
          <w:sz w:val="20"/>
        </w:rPr>
        <w:t>Many of the portfolio companies in which we have invested or expect to make investments are likely to be susceptible to economic slowdowns or recessions and may be unable to repay our loans during such periods. Unfavorable economic conditions also could increase our funding costs, limit our access to the capital markets or result in a decision by lenders not to extend credit to us. These events could prevent us from increasing our investments and harm business, financial condition, operating results and prospects. In March 2023, the Federal Deposit Insurance Corporation (“FDIC”) took control of Silicon Valley Bank and Signature Bank and subsequently in May 2023 of First Republic Bank due to liquidity concerns and concerns that have arisen regarding the stability of other banks and financial institutions. Also, the impairment or failure of one or more banks with whom the Company, its portfolio companies, and/or the Adviser transact may inhibit the ability of the Company or its portfolio companies to access depository accounts. In such cases, we may be forced to delay or forgo investments, resulting in lower performance. In the event of such a failure of a banking institution where we or one or more of our portfolio companies holds depository accounts, access to such accounts could be restricted and FDIC protection may not be available for balances in excess of amounts insured by the FDIC. In such instances, we and our affected portfolio companies would not recover such excess, uninsured amounts. To the extent that we or the portfolio companies are impacted, the ability to access existing cash, cash equivalents and investments, or to access existing or enter into new banking arrangements or facilities to service our portfolio companies, may be threatened. We had no depository relationships with Silicon Valley Bank, Signature Bank, or First Republic Bank, nor did we participate in any credit facilities that were agented by or included these banks as lenders. A number of our portfolio companies had operating relationships with these banks and may have experienced operational disruptions, all of which have since been resolved.</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may borrow money, which would magnify the potential for gain or loss on amounts invested and may increase the risk for investing in us.</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use of leverage magnifies the potential for gain or loss on amounts invested and, therefore, increases the risks associated with investing in our securities.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investment income to increase more than it would without the leverage, while any decrease in our income would cause net income to decline more sharply than it would have had we not borrowed. Such a decline could also negatively affect our ability to make dividend payments on our common stock, scheduled debt payments or other payments related to our securities.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240"/>
        <w:jc w:val="both"/>
        <w:rPr>
          <w:rFonts w:ascii="Times New Roman" w:hAnsi="Times New Roman"/>
          <w:sz w:val="20"/>
        </w:rPr>
      </w:pPr>
      <w:r>
        <w:rPr>
          <w:rFonts w:ascii="Times New Roman" w:hAnsi="Times New Roman"/>
          <w:b w:val="false"/>
          <w:color w:val="000000"/>
          <w:sz w:val="20"/>
        </w:rPr>
        <w:t>Leverage is generally considered a speculative investment technique. Our ability to service any debt that we incur will depend largely on our financial performance and will be subject to prevailing economic conditions and competitive pressures. In addition, our common stockholders will bear the burden of any increase in our expenses, including our interest expense, as a result of leverage.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As a BDC, we are generally required to meet an asset coverage ratio, defined under the 1940 Act as the ratio of our gross assets (less all liabilities and indebtedness not represented by senior securities) to our outstanding senior securities, of at least 150% after each issuance of senior securities. If this ratio declines below 150%, we may not be able to incur additional debt and could be required by law to sell a portion of our investments to repay some debt when it is disadvantageous to do so, which could have a material adverse effect on our operations, and we may not be able to make distributions. The amount of leverage that we employ will depend on RGC’s and our Board of Director's assessment of market and other factors at the time of any proposed borrowing. We cannot assure you that we will be able to obtain credit at all or on terms acceptable to us. 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qualify as a RIC.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The following table illustrates the effect of leverage on returns from an investment in our common stock assuming various annual returns on our portfolio as of December 31, 2022, net of expenses. Leverage generally magnifies the return of stockholders when the portfolio return is positive and magnifies their losses when the portfolio return is negative. The calculations in the table below are hypothetical, and actual returns may be higher or lower than those appearing in the table below.</w:t>
      </w:r>
      <w:r>
        <w:rPr>
          <w:rFonts w:ascii="Times New Roman" w:hAnsi="Times New Roman"/>
          <w:color w:val="000000"/>
          <w:sz w:val="20"/>
        </w:rPr>
        <w:t xml:space="preserve"> </w:t>
      </w:r>
    </w:p>
    <w:p>
      <w:pPr>
        <w:pStyle w:val="TextBody"/>
        <w:bidi w:val="0"/>
        <w:jc w:val="both"/>
        <w:rPr/>
      </w:pPr>
      <w:r>
        <w:rPr/>
        <w:t> </w:t>
      </w:r>
    </w:p>
    <w:tbl>
      <w:tblPr>
        <w:tblW w:w="6991" w:type="dxa"/>
        <w:jc w:val="left"/>
        <w:tblInd w:w="0" w:type="dxa"/>
        <w:tblLayout w:type="fixed"/>
        <w:tblCellMar>
          <w:top w:w="28" w:type="dxa"/>
          <w:left w:w="28" w:type="dxa"/>
          <w:bottom w:w="28" w:type="dxa"/>
          <w:right w:w="28" w:type="dxa"/>
        </w:tblCellMar>
      </w:tblPr>
      <w:tblGrid>
        <w:gridCol w:w="3436"/>
        <w:gridCol w:w="146"/>
        <w:gridCol w:w="616"/>
        <w:gridCol w:w="146"/>
        <w:gridCol w:w="616"/>
        <w:gridCol w:w="146"/>
        <w:gridCol w:w="526"/>
        <w:gridCol w:w="146"/>
        <w:gridCol w:w="466"/>
        <w:gridCol w:w="146"/>
        <w:gridCol w:w="60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9" w:type="dxa"/>
            <w:gridSpan w:val="9"/>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Assumed Return on Our Portfolio</w:t>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of Expenses)</w:t>
            </w:r>
          </w:p>
        </w:tc>
      </w:tr>
      <w:tr>
        <w:trPr/>
        <w:tc>
          <w:tcPr>
            <w:tcW w:w="34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w:t>
            </w:r>
          </w:p>
        </w:tc>
        <w:tc>
          <w:tcPr>
            <w:tcW w:w="146"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w:t>
            </w:r>
          </w:p>
        </w:tc>
      </w:tr>
      <w:tr>
        <w:trPr/>
        <w:tc>
          <w:tcPr>
            <w:tcW w:w="343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val="false"/>
                <w:color w:val="000000"/>
                <w:sz w:val="16"/>
              </w:rPr>
              <w:t>Corresponding return to common stockholder</w:t>
            </w:r>
            <w:r>
              <w:rPr>
                <w:rFonts w:ascii="Times New Roman" w:hAnsi="Times New Roman"/>
                <w:b w:val="false"/>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-24.7%</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-14.8%</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-4.9%</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5.0%</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14.9%</w:t>
            </w:r>
          </w:p>
        </w:tc>
      </w:tr>
    </w:tbl>
    <w:p>
      <w:pPr>
        <w:pStyle w:val="TextBody"/>
        <w:bidi w:val="0"/>
        <w:jc w:val="both"/>
        <w:rPr/>
      </w:pPr>
      <w:r>
        <w:rPr/>
        <w:t>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Assumes (i) $1.1 billion in total assets, (ii) $559.3 million in outstanding indebtedness, (iii) $576.1 million in net assets and (iv) weighted average interest rate, excluding fees (such as fees on undrawn amounts and amortization of financing costs) of 5.02%.</w:t>
      </w:r>
    </w:p>
    <w:p>
      <w:pPr>
        <w:pStyle w:val="TextBody"/>
        <w:bidi w:val="0"/>
        <w:jc w:val="both"/>
        <w:rPr/>
      </w:pPr>
      <w:r>
        <w:rPr/>
        <w:t> </w:t>
      </w:r>
    </w:p>
    <w:p>
      <w:pPr>
        <w:pStyle w:val="TextBody"/>
        <w:bidi w:val="0"/>
        <w:spacing w:before="360" w:after="240"/>
        <w:jc w:val="left"/>
        <w:rPr>
          <w:rFonts w:ascii="Times New Roman" w:hAnsi="Times New Roman"/>
          <w:b/>
          <w:color w:val="000000"/>
          <w:sz w:val="20"/>
        </w:rPr>
      </w:pPr>
      <w:bookmarkStart w:id="18" w:name="item2unregisteredsalesofequitysecurities"/>
      <w:bookmarkEnd w:id="18"/>
      <w:r>
        <w:rPr>
          <w:rFonts w:ascii="Times New Roman" w:hAnsi="Times New Roman"/>
          <w:b/>
          <w:color w:val="000000"/>
          <w:sz w:val="20"/>
        </w:rPr>
        <w:t>Item 2. Unregistered Sales of Equity Securities and Use of Proceeds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Other than pursuant to our Dividend Reinvestment Plan, and except as previously reported by us on our current reports on Form 8</w:t>
        <w:noBreakHyphen/>
        <w:t>K, we did not sell any securities during the period covered by this Form 10</w:t>
        <w:noBreakHyphen/>
        <w:t>Q that were not registered under the Securities Act.</w:t>
      </w:r>
    </w:p>
    <w:p>
      <w:pPr>
        <w:pStyle w:val="TextBody"/>
        <w:bidi w:val="0"/>
        <w:spacing w:before="360" w:after="240"/>
        <w:jc w:val="left"/>
        <w:rPr>
          <w:rFonts w:ascii="Times New Roman" w:hAnsi="Times New Roman"/>
          <w:b/>
          <w:color w:val="000000"/>
          <w:sz w:val="20"/>
        </w:rPr>
      </w:pPr>
      <w:bookmarkStart w:id="19" w:name="item3defaultsuponseniorsecurities_59067"/>
      <w:bookmarkEnd w:id="19"/>
      <w:r>
        <w:rPr>
          <w:rFonts w:ascii="Times New Roman" w:hAnsi="Times New Roman"/>
          <w:b/>
          <w:color w:val="000000"/>
          <w:sz w:val="20"/>
        </w:rPr>
        <w:t>Item 3. Defaults Upon Senior Securities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40"/>
        <w:jc w:val="left"/>
        <w:rPr>
          <w:rFonts w:ascii="Times New Roman" w:hAnsi="Times New Roman"/>
          <w:b/>
          <w:color w:val="000000"/>
          <w:sz w:val="20"/>
        </w:rPr>
      </w:pPr>
      <w:bookmarkStart w:id="20" w:name="item4minesafetydisclosures_325402"/>
      <w:bookmarkEnd w:id="20"/>
      <w:r>
        <w:rPr>
          <w:rFonts w:ascii="Times New Roman" w:hAnsi="Times New Roman"/>
          <w:b/>
          <w:color w:val="000000"/>
          <w:sz w:val="20"/>
        </w:rPr>
        <w:t>Item 4. Mine Safety Disclosures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color w:val="000000"/>
          <w:sz w:val="20"/>
        </w:rPr>
      </w:pPr>
      <w:bookmarkStart w:id="21" w:name="item5otherinformation_981141"/>
      <w:bookmarkEnd w:id="21"/>
      <w:r>
        <w:rPr>
          <w:rFonts w:ascii="Times New Roman" w:hAnsi="Times New Roman"/>
          <w:b/>
          <w:color w:val="000000"/>
          <w:sz w:val="20"/>
        </w:rPr>
        <w:t>Item 5. Other Information</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Rule 10b5-1 Disclosure</w:t>
      </w:r>
    </w:p>
    <w:p>
      <w:pPr>
        <w:pStyle w:val="TextBody"/>
        <w:bidi w:val="0"/>
        <w:spacing w:before="0" w:after="240"/>
        <w:jc w:val="both"/>
        <w:rPr>
          <w:rFonts w:ascii="Times New Roman" w:hAnsi="Times New Roman"/>
          <w:sz w:val="20"/>
        </w:rPr>
      </w:pPr>
      <w:r>
        <w:rPr>
          <w:rFonts w:ascii="Times New Roman" w:hAnsi="Times New Roman"/>
          <w:b w:val="false"/>
          <w:color w:val="000000"/>
          <w:sz w:val="20"/>
        </w:rPr>
        <w:t>For the period covered by this Quarterly Report on Form 10-Q, no</w:t>
      </w:r>
      <w:r>
        <w:rPr>
          <w:rFonts w:ascii="Times New Roman" w:hAnsi="Times New Roman"/>
          <w:color w:val="000000"/>
          <w:sz w:val="20"/>
        </w:rPr>
        <w:t xml:space="preserve"> </w:t>
      </w:r>
      <w:r>
        <w:rPr>
          <w:rFonts w:ascii="Times New Roman" w:hAnsi="Times New Roman"/>
          <w:b w:val="false"/>
          <w:color w:val="000000"/>
          <w:sz w:val="20"/>
        </w:rPr>
        <w:t>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0"/>
        </w:rPr>
        <w:t>The Company has adopted</w:t>
      </w:r>
      <w:r>
        <w:rPr>
          <w:rFonts w:ascii="Times New Roman" w:hAnsi="Times New Roman"/>
          <w:color w:val="000000"/>
          <w:sz w:val="20"/>
        </w:rPr>
        <w:t xml:space="preserve"> </w:t>
      </w:r>
      <w:r>
        <w:rPr>
          <w:rFonts w:ascii="Times New Roman" w:hAnsi="Times New Roman"/>
          <w:b w:val="false"/>
          <w:color w:val="000000"/>
          <w:sz w:val="20"/>
        </w:rPr>
        <w:t>insider trading policies and procedures governing the purchase, sale, and disposition of the Company's securities by officers and directors of the Company that are reasonably designed to promote compliance with insider trading laws, rules and regulations.</w:t>
      </w:r>
      <w:r>
        <w:rPr>
          <w:rFonts w:ascii="Times New Roman" w:hAnsi="Times New Roman"/>
          <w:color w:val="000000"/>
          <w:sz w:val="20"/>
        </w:rPr>
        <w:t xml:space="preserve">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Fees and Expenses</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The following table is being provided to update as of September 30, 2023, certain information in our registration statement on Form N-2 (File No. 333-274351). The information is intended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Quarterly Report on Form 10-Q contains a reference to fees or expenses paid by “you,” “us,” or “the Company,” or that “we” will pay for expenses, stockholders will indirectly bear such fees or expenses as investors in us.</w:t>
      </w:r>
    </w:p>
    <w:tbl>
      <w:tblPr>
        <w:tblW w:w="8118" w:type="dxa"/>
        <w:jc w:val="left"/>
        <w:tblInd w:w="0" w:type="dxa"/>
        <w:tblLayout w:type="fixed"/>
        <w:tblCellMar>
          <w:top w:w="28" w:type="dxa"/>
          <w:left w:w="28" w:type="dxa"/>
          <w:bottom w:w="28" w:type="dxa"/>
          <w:right w:w="28" w:type="dxa"/>
        </w:tblCellMar>
      </w:tblPr>
      <w:tblGrid>
        <w:gridCol w:w="5761"/>
        <w:gridCol w:w="346"/>
        <w:gridCol w:w="346"/>
        <w:gridCol w:w="146"/>
        <w:gridCol w:w="511"/>
        <w:gridCol w:w="146"/>
        <w:gridCol w:w="241"/>
        <w:gridCol w:w="621"/>
      </w:tblGrid>
      <w:tr>
        <w:trPr/>
        <w:tc>
          <w:tcPr>
            <w:tcW w:w="57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 transaction expenses:</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57"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vAlign w:val="center"/>
          </w:tcPr>
          <w:p>
            <w:pPr>
              <w:pStyle w:val="TableContents"/>
              <w:bidi w:val="0"/>
              <w:spacing w:before="0" w:after="283"/>
              <w:jc w:val="center"/>
              <w:rPr/>
            </w:pPr>
            <w:r>
              <w:rPr/>
              <w:t> </w:t>
            </w:r>
          </w:p>
        </w:tc>
        <w:tc>
          <w:tcPr>
            <w:tcW w:w="621" w:type="dxa"/>
            <w:tcBorders/>
            <w:shd w:fill="CFF0FC" w:val="clear"/>
            <w:vAlign w:val="center"/>
          </w:tcPr>
          <w:p>
            <w:pPr>
              <w:pStyle w:val="TableContents"/>
              <w:bidi w:val="0"/>
              <w:spacing w:before="0" w:after="283"/>
              <w:ind w:left="0" w:right="0" w:firstLine="100"/>
              <w:jc w:val="center"/>
              <w:rPr/>
            </w:pPr>
            <w:r>
              <w:rPr/>
              <w:t> </w:t>
            </w:r>
          </w:p>
        </w:tc>
      </w:tr>
      <w:tr>
        <w:trPr/>
        <w:tc>
          <w:tcPr>
            <w:tcW w:w="576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Sales load (as a percentage of offering price)</w:t>
            </w:r>
          </w:p>
        </w:tc>
        <w:tc>
          <w:tcPr>
            <w:tcW w:w="346" w:type="dxa"/>
            <w:tcBorders/>
            <w:shd w:fill="FFFFFF" w:val="clear"/>
            <w:vAlign w:val="center"/>
          </w:tcPr>
          <w:p>
            <w:pPr>
              <w:pStyle w:val="TableContents"/>
              <w:bidi w:val="0"/>
              <w:spacing w:before="0" w:after="283"/>
              <w:ind w:left="0" w:right="0" w:firstLine="100"/>
              <w:jc w:val="left"/>
              <w:rPr/>
            </w:pPr>
            <w:r>
              <w:rPr/>
              <w:t> </w:t>
            </w:r>
          </w:p>
        </w:tc>
        <w:tc>
          <w:tcPr>
            <w:tcW w:w="3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2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1"/>
              </w:rPr>
            </w:pPr>
            <w:r>
              <w:rPr>
                <w:rFonts w:ascii="Times New Roman" w:hAnsi="Times New Roman"/>
                <w:b w:val="false"/>
                <w:color w:val="000000"/>
                <w:sz w:val="11"/>
              </w:rPr>
              <w:t>(1)</w:t>
            </w:r>
          </w:p>
        </w:tc>
      </w:tr>
      <w:tr>
        <w:trPr/>
        <w:tc>
          <w:tcPr>
            <w:tcW w:w="576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Offering expenses (as a percentage of offering price)</w:t>
            </w:r>
          </w:p>
        </w:tc>
        <w:tc>
          <w:tcPr>
            <w:tcW w:w="346" w:type="dxa"/>
            <w:tcBorders/>
            <w:shd w:fill="CFF0FC" w:val="clear"/>
            <w:vAlign w:val="center"/>
          </w:tcPr>
          <w:p>
            <w:pPr>
              <w:pStyle w:val="TableContents"/>
              <w:bidi w:val="0"/>
              <w:spacing w:before="0" w:after="283"/>
              <w:ind w:left="0" w:right="0" w:firstLine="100"/>
              <w:jc w:val="left"/>
              <w:rPr/>
            </w:pPr>
            <w:r>
              <w:rPr/>
              <w:t> </w:t>
            </w:r>
          </w:p>
        </w:tc>
        <w:tc>
          <w:tcPr>
            <w:tcW w:w="3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2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1"/>
              </w:rPr>
            </w:pPr>
            <w:r>
              <w:rPr>
                <w:rFonts w:ascii="Times New Roman" w:hAnsi="Times New Roman"/>
                <w:b w:val="false"/>
                <w:color w:val="000000"/>
                <w:sz w:val="11"/>
              </w:rPr>
              <w:t>(2)</w:t>
            </w:r>
          </w:p>
        </w:tc>
      </w:tr>
      <w:tr>
        <w:trPr/>
        <w:tc>
          <w:tcPr>
            <w:tcW w:w="576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Dividend reinvestment plan expenses</w:t>
            </w:r>
          </w:p>
        </w:tc>
        <w:tc>
          <w:tcPr>
            <w:tcW w:w="346" w:type="dxa"/>
            <w:tcBorders/>
            <w:shd w:fill="FFFFFF" w:val="clear"/>
            <w:vAlign w:val="center"/>
          </w:tcPr>
          <w:p>
            <w:pPr>
              <w:pStyle w:val="TableContents"/>
              <w:bidi w:val="0"/>
              <w:spacing w:before="0" w:after="283"/>
              <w:ind w:left="0" w:right="0" w:firstLine="100"/>
              <w:jc w:val="left"/>
              <w:rPr/>
            </w:pPr>
            <w:r>
              <w:rPr/>
              <w:t> </w:t>
            </w:r>
          </w:p>
        </w:tc>
        <w:tc>
          <w:tcPr>
            <w:tcW w:w="3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2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1"/>
              </w:rPr>
            </w:pPr>
            <w:r>
              <w:rPr>
                <w:rFonts w:ascii="Times New Roman" w:hAnsi="Times New Roman"/>
                <w:b w:val="false"/>
                <w:color w:val="000000"/>
                <w:sz w:val="11"/>
              </w:rPr>
              <w:t>(3)</w:t>
            </w:r>
          </w:p>
        </w:tc>
      </w:tr>
      <w:tr>
        <w:trPr/>
        <w:tc>
          <w:tcPr>
            <w:tcW w:w="5761"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stockholder transaction expenses (as a percentage of offering price)</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21" w:type="dxa"/>
            <w:tcBorders/>
            <w:shd w:fill="CFF0FC" w:val="clear"/>
            <w:vAlign w:val="center"/>
          </w:tcPr>
          <w:p>
            <w:pPr>
              <w:pStyle w:val="TableContents"/>
              <w:bidi w:val="0"/>
              <w:spacing w:before="0" w:after="283"/>
              <w:jc w:val="left"/>
              <w:rPr/>
            </w:pPr>
            <w:r>
              <w:rPr/>
              <w:t> </w:t>
            </w:r>
          </w:p>
        </w:tc>
      </w:tr>
      <w:tr>
        <w:trPr/>
        <w:tc>
          <w:tcPr>
            <w:tcW w:w="57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Annual expenses (as a percentage of net assets attributable to common stock):</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center"/>
              <w:rPr/>
            </w:pPr>
            <w:r>
              <w:rPr/>
              <w:t> </w:t>
            </w:r>
          </w:p>
        </w:tc>
        <w:tc>
          <w:tcPr>
            <w:tcW w:w="621" w:type="dxa"/>
            <w:tcBorders/>
            <w:shd w:fill="FFFFFF" w:val="clear"/>
            <w:vAlign w:val="center"/>
          </w:tcPr>
          <w:p>
            <w:pPr>
              <w:pStyle w:val="TableContents"/>
              <w:bidi w:val="0"/>
              <w:spacing w:before="0" w:after="283"/>
              <w:ind w:left="0" w:right="0" w:firstLine="100"/>
              <w:jc w:val="left"/>
              <w:rPr/>
            </w:pPr>
            <w:r>
              <w:rPr/>
              <w:t> </w:t>
            </w:r>
          </w:p>
        </w:tc>
      </w:tr>
      <w:tr>
        <w:trPr/>
        <w:tc>
          <w:tcPr>
            <w:tcW w:w="576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Management Fee payable under the Advisory Agreement</w:t>
            </w:r>
          </w:p>
        </w:tc>
        <w:tc>
          <w:tcPr>
            <w:tcW w:w="346" w:type="dxa"/>
            <w:tcBorders/>
            <w:shd w:fill="CFF0FC" w:val="clear"/>
            <w:vAlign w:val="center"/>
          </w:tcPr>
          <w:p>
            <w:pPr>
              <w:pStyle w:val="TableContents"/>
              <w:bidi w:val="0"/>
              <w:spacing w:before="0" w:after="283"/>
              <w:ind w:left="0" w:right="0" w:firstLine="100"/>
              <w:jc w:val="left"/>
              <w:rPr/>
            </w:pPr>
            <w:r>
              <w:rPr/>
              <w:t> </w:t>
            </w:r>
          </w:p>
        </w:tc>
        <w:tc>
          <w:tcPr>
            <w:tcW w:w="3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2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1"/>
              </w:rPr>
            </w:pPr>
            <w:r>
              <w:rPr>
                <w:rFonts w:ascii="Times New Roman" w:hAnsi="Times New Roman"/>
                <w:b w:val="false"/>
                <w:color w:val="000000"/>
                <w:sz w:val="11"/>
              </w:rPr>
              <w:t>(4)</w:t>
            </w:r>
          </w:p>
        </w:tc>
      </w:tr>
      <w:tr>
        <w:trPr/>
        <w:tc>
          <w:tcPr>
            <w:tcW w:w="576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Incentive Fee payable under the Advisory Agreement</w:t>
            </w:r>
          </w:p>
        </w:tc>
        <w:tc>
          <w:tcPr>
            <w:tcW w:w="346" w:type="dxa"/>
            <w:tcBorders/>
            <w:shd w:fill="FFFFFF" w:val="clear"/>
            <w:vAlign w:val="center"/>
          </w:tcPr>
          <w:p>
            <w:pPr>
              <w:pStyle w:val="TableContents"/>
              <w:bidi w:val="0"/>
              <w:spacing w:before="0" w:after="283"/>
              <w:ind w:left="0" w:right="0" w:firstLine="100"/>
              <w:jc w:val="left"/>
              <w:rPr/>
            </w:pPr>
            <w:r>
              <w:rPr/>
              <w:t> </w:t>
            </w:r>
          </w:p>
        </w:tc>
        <w:tc>
          <w:tcPr>
            <w:tcW w:w="3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3.33</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2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1"/>
              </w:rPr>
            </w:pPr>
            <w:r>
              <w:rPr>
                <w:rFonts w:ascii="Times New Roman" w:hAnsi="Times New Roman"/>
                <w:b w:val="false"/>
                <w:color w:val="000000"/>
                <w:sz w:val="11"/>
              </w:rPr>
              <w:t>(5) (8)</w:t>
            </w:r>
          </w:p>
        </w:tc>
      </w:tr>
      <w:tr>
        <w:trPr/>
        <w:tc>
          <w:tcPr>
            <w:tcW w:w="576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Interest payments on borrowed funds</w:t>
            </w:r>
          </w:p>
        </w:tc>
        <w:tc>
          <w:tcPr>
            <w:tcW w:w="346" w:type="dxa"/>
            <w:tcBorders/>
            <w:shd w:fill="CFF0FC" w:val="clear"/>
            <w:vAlign w:val="center"/>
          </w:tcPr>
          <w:p>
            <w:pPr>
              <w:pStyle w:val="TableContents"/>
              <w:bidi w:val="0"/>
              <w:spacing w:before="0" w:after="283"/>
              <w:ind w:left="0" w:right="0" w:firstLine="100"/>
              <w:jc w:val="left"/>
              <w:rPr/>
            </w:pPr>
            <w:r>
              <w:rPr/>
              <w:t> </w:t>
            </w:r>
          </w:p>
        </w:tc>
        <w:tc>
          <w:tcPr>
            <w:tcW w:w="3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7.45</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2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1"/>
              </w:rPr>
            </w:pPr>
            <w:r>
              <w:rPr>
                <w:rFonts w:ascii="Times New Roman" w:hAnsi="Times New Roman"/>
                <w:b w:val="false"/>
                <w:color w:val="000000"/>
                <w:sz w:val="11"/>
              </w:rPr>
              <w:t>(6) (8)</w:t>
            </w:r>
          </w:p>
        </w:tc>
      </w:tr>
      <w:tr>
        <w:trPr/>
        <w:tc>
          <w:tcPr>
            <w:tcW w:w="576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Other expenses</w:t>
            </w:r>
          </w:p>
        </w:tc>
        <w:tc>
          <w:tcPr>
            <w:tcW w:w="346" w:type="dxa"/>
            <w:tcBorders/>
            <w:shd w:fill="FFFFFF" w:val="clear"/>
            <w:vAlign w:val="center"/>
          </w:tcPr>
          <w:p>
            <w:pPr>
              <w:pStyle w:val="TableContents"/>
              <w:bidi w:val="0"/>
              <w:spacing w:before="0" w:after="283"/>
              <w:ind w:left="0" w:right="0" w:firstLine="100"/>
              <w:jc w:val="left"/>
              <w:rPr/>
            </w:pPr>
            <w:r>
              <w:rPr/>
              <w:t> </w:t>
            </w:r>
          </w:p>
        </w:tc>
        <w:tc>
          <w:tcPr>
            <w:tcW w:w="3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2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1"/>
              </w:rPr>
            </w:pPr>
            <w:r>
              <w:rPr>
                <w:rFonts w:ascii="Times New Roman" w:hAnsi="Times New Roman"/>
                <w:b w:val="false"/>
                <w:color w:val="000000"/>
                <w:sz w:val="11"/>
              </w:rPr>
              <w:t>(7) (8)</w:t>
            </w:r>
          </w:p>
        </w:tc>
      </w:tr>
      <w:tr>
        <w:trPr/>
        <w:tc>
          <w:tcPr>
            <w:tcW w:w="5761"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annual expenses</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14.85</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w:t>
            </w:r>
          </w:p>
        </w:tc>
        <w:tc>
          <w:tcPr>
            <w:tcW w:w="621" w:type="dxa"/>
            <w:tcBorders/>
            <w:shd w:fill="CFF0FC" w:val="clear"/>
            <w:vAlign w:val="center"/>
          </w:tcPr>
          <w:p>
            <w:pPr>
              <w:pStyle w:val="TableContents"/>
              <w:bidi w:val="0"/>
              <w:spacing w:before="0" w:after="283"/>
              <w:jc w:val="left"/>
              <w:rPr>
                <w:rFonts w:ascii="Times New Roman" w:hAnsi="Times New Roman"/>
                <w:b w:val="false"/>
                <w:color w:val="000000"/>
                <w:sz w:val="11"/>
              </w:rPr>
            </w:pPr>
            <w:r>
              <w:rPr>
                <w:rFonts w:ascii="Times New Roman" w:hAnsi="Times New Roman"/>
                <w:b w:val="false"/>
                <w:color w:val="000000"/>
                <w:sz w:val="11"/>
              </w:rPr>
              <w:t>(8)</w:t>
            </w:r>
          </w:p>
        </w:tc>
      </w:tr>
    </w:tbl>
    <w:p>
      <w:pPr>
        <w:pStyle w:val="TextBody"/>
        <w:bidi w:val="0"/>
        <w:jc w:val="left"/>
        <w:rPr/>
      </w:pPr>
      <w:r>
        <w:rPr/>
        <w:t>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sales load (underwriting discount and commission) with respect to the shares of our common stock sold by the selling stockholders, which is a fee paid to the underwriters by the selling stockholders, shall be disclosed in a related prospectus supplement.</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A related prospectus supplement will disclose the estimated amount of offering expenses, the offering price and the estimated amount of offering expenses borne by the selling stockholders as a percentage of the offering price.</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(3)</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expenses of the dividend reinvestment plan are included in “Other expenses” in the table above. For more information, refer to "Note 9 – Net Assets" to our financial statements in Part I, Item 1 of this Form 10-Q.</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(4)</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Assumes the base management fee will be an amount equal to 0.375% (1.50% annualized) of our average daily Gross Assets during the most recently completed calendar quarter. For more information, refer to "Note 3 – Related Party Agreements and Transactions" to our financial statements in Part I, Item 1 of this Form 10-Q.</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(5)</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The incentive fee, which provides RGC with a share of the income that RGC generates for us, consists of an Investment Income Fee and a Capital Gains Fee. For more information, refer to "Note 3 – Related Party Agreements and Transactions" to our financial statements in Part I, Item 1 of this Form 10-Q.</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(6)</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Interest payments and fees paid on borrowed funds represents an estimate of our annualized interest expense and fees based on borrowings under the Credit Facility, the 2027 Notes and the 2026 Notes. We may borrow additional funds from time to time to make investments to the extent we determine that the economic situation is conducive to doing so. We may also issue additional debt securities or preferred stock, subject to our compliance with applicable requirements under the 1940 Act. For more information, refer to "Note 7 – Borrowings" to our financial statements in Part I, Item 1 of this Form 10-Q.</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(7)</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Includes our overhead and other expenses, such as payments under the Advisory Agreement for certain expenses incurred by the Administration Agreement for certain expenses incurred by the Administrator. For more information, refer to "Note 3 – Related Party Agreements and Transactions" to our financial statements in Part I, Item 1 of this Form 10-Q. We based these expenses on estimated amounts for the current fiscal year.</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(8)</w:t>
      </w:r>
    </w:p>
    <w:p>
      <w:pPr>
        <w:pStyle w:val="TextBody"/>
        <w:bidi w:val="0"/>
        <w:spacing w:before="120" w:after="283"/>
        <w:jc w:val="both"/>
        <w:rPr/>
      </w:pPr>
      <w:r>
        <w:rPr>
          <w:rFonts w:ascii="Times New Roman" w:hAnsi="Times New Roman"/>
          <w:b w:val="false"/>
          <w:color w:val="000000"/>
          <w:sz w:val="16"/>
        </w:rPr>
        <w:t>Estimated.</w:t>
      </w:r>
      <w:r>
        <w:rPr>
          <w:color w:val="000000"/>
        </w:rPr>
        <w:t xml:space="preserve">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Example</w:t>
      </w:r>
    </w:p>
    <w:p>
      <w:pPr>
        <w:pStyle w:val="TextBody"/>
        <w:bidi w:val="0"/>
        <w:jc w:val="both"/>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Transaction expenses are included in the following example.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62"/>
        <w:gridCol w:w="246"/>
        <w:gridCol w:w="256"/>
        <w:gridCol w:w="153"/>
        <w:gridCol w:w="397"/>
        <w:gridCol w:w="146"/>
        <w:gridCol w:w="146"/>
        <w:gridCol w:w="256"/>
        <w:gridCol w:w="164"/>
        <w:gridCol w:w="422"/>
        <w:gridCol w:w="146"/>
        <w:gridCol w:w="146"/>
        <w:gridCol w:w="256"/>
        <w:gridCol w:w="164"/>
        <w:gridCol w:w="422"/>
        <w:gridCol w:w="146"/>
        <w:gridCol w:w="146"/>
        <w:gridCol w:w="256"/>
        <w:gridCol w:w="179"/>
        <w:gridCol w:w="461"/>
        <w:gridCol w:w="235"/>
      </w:tblGrid>
      <w:tr>
        <w:trPr/>
        <w:tc>
          <w:tcPr>
            <w:tcW w:w="54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462"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256" w:type="dxa"/>
            <w:tcBorders/>
            <w:shd w:fill="FFFFFF" w:val="clear"/>
            <w:vAlign w:val="center"/>
          </w:tcPr>
          <w:p>
            <w:pPr>
              <w:pStyle w:val="TableContents"/>
              <w:bidi w:val="0"/>
              <w:spacing w:before="0" w:after="283"/>
              <w:ind w:left="100" w:right="0" w:firstLine="100"/>
              <w:jc w:val="left"/>
              <w:rPr/>
            </w:pPr>
            <w:r>
              <w:rPr/>
              <w:t> </w:t>
            </w:r>
          </w:p>
        </w:tc>
        <w:tc>
          <w:tcPr>
            <w:tcW w:w="550" w:type="dxa"/>
            <w:gridSpan w:val="2"/>
            <w:tcBorders/>
            <w:shd w:fill="FFFFFF" w:val="cle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1 year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586" w:type="dxa"/>
            <w:gridSpan w:val="2"/>
            <w:tcBorders/>
            <w:shd w:fill="FFFFFF" w:val="cle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3 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586" w:type="dxa"/>
            <w:gridSpan w:val="2"/>
            <w:tcBorders/>
            <w:shd w:fill="FFFFFF" w:val="cle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5 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640" w:type="dxa"/>
            <w:gridSpan w:val="2"/>
            <w:tcBorders/>
            <w:shd w:fill="FFFFFF" w:val="cle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10 years</w:t>
            </w:r>
          </w:p>
        </w:tc>
        <w:tc>
          <w:tcPr>
            <w:tcW w:w="235" w:type="dxa"/>
            <w:tcBorders/>
            <w:shd w:fill="FFFFFF" w:val="clear"/>
            <w:vAlign w:val="center"/>
          </w:tcPr>
          <w:p>
            <w:pPr>
              <w:pStyle w:val="TableContents"/>
              <w:bidi w:val="0"/>
              <w:spacing w:before="0" w:after="283"/>
              <w:jc w:val="center"/>
              <w:rPr/>
            </w:pPr>
            <w:r>
              <w:rPr/>
              <w:t> </w:t>
            </w:r>
          </w:p>
        </w:tc>
      </w:tr>
      <w:tr>
        <w:trPr/>
        <w:tc>
          <w:tcPr>
            <w:tcW w:w="5462"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55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5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5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40" w:type="dxa"/>
            <w:gridSpan w:val="2"/>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r>
      <w:tr>
        <w:trPr/>
        <w:tc>
          <w:tcPr>
            <w:tcW w:w="54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You would pay the following expenses on a $1,000 investment, assuming a 5% annual return from realized capital gains</w:t>
            </w:r>
          </w:p>
        </w:tc>
        <w:tc>
          <w:tcPr>
            <w:tcW w:w="2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53"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64"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64"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w:t>
            </w:r>
          </w:p>
        </w:tc>
        <w:tc>
          <w:tcPr>
            <w:tcW w:w="179"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973</w:t>
            </w:r>
          </w:p>
        </w:tc>
        <w:tc>
          <w:tcPr>
            <w:tcW w:w="23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b w:val="false"/>
          <w:color w:val="000000"/>
          <w:sz w:val="20"/>
        </w:rPr>
      </w:pPr>
      <w:r>
        <w:rPr>
          <w:rFonts w:ascii="Times New Roman" w:hAnsi="Times New Roman"/>
          <w:b w:val="false"/>
          <w:color w:val="000000"/>
          <w:sz w:val="20"/>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Incentive Fee under the Advisory Agreement is unlikely to be significant assuming a 5% annual return, the example assumes that the 5% annual return will be generated entirely through the realization of capital gains on our assets and, as a result, will trigger the payment of the Capital Gains Fee under the Advisory Agreement. The Income Incentive Fee under the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Income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For more information regarding our dividend reinvestment plan, refer to "Note 9 – Net Assets" to our financial statements in Part I, Item 1 of this Form 10-Q.</w:t>
      </w:r>
    </w:p>
    <w:p>
      <w:pPr>
        <w:pStyle w:val="TextBody"/>
        <w:bidi w:val="0"/>
        <w:spacing w:before="0" w:after="240"/>
        <w:jc w:val="both"/>
        <w:rPr>
          <w:rFonts w:ascii="Times New Roman" w:hAnsi="Times New Roman"/>
          <w:b w:val="false"/>
          <w:color w:val="000000"/>
          <w:sz w:val="20"/>
        </w:rPr>
      </w:pPr>
      <w:r>
        <w:rPr>
          <w:rFonts w:ascii="Times New Roman" w:hAnsi="Times New Roman"/>
          <w:b w:val="false"/>
          <w:color w:val="000000"/>
          <w:sz w:val="20"/>
        </w:rPr>
        <w:t>This example and the expenses in the table above should not be considered a representation of our future expenses, and actual expenses (including the cost of debt, if any, and other expenses) may be greater or less than those shown.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360" w:after="240"/>
        <w:jc w:val="left"/>
        <w:rPr>
          <w:rFonts w:ascii="Times New Roman" w:hAnsi="Times New Roman"/>
          <w:b/>
          <w:color w:val="000000"/>
          <w:sz w:val="19"/>
        </w:rPr>
      </w:pPr>
      <w:bookmarkStart w:id="22" w:name="item6exhibits_524452"/>
      <w:bookmarkEnd w:id="22"/>
      <w:r>
        <w:rPr>
          <w:rFonts w:ascii="Times New Roman" w:hAnsi="Times New Roman"/>
          <w:b/>
          <w:color w:val="000000"/>
          <w:sz w:val="19"/>
        </w:rPr>
        <w:t>Item 6. Exhibits</w:t>
      </w:r>
    </w:p>
    <w:p>
      <w:pPr>
        <w:pStyle w:val="TextBody"/>
        <w:bidi w:val="0"/>
        <w:spacing w:before="0" w:after="240"/>
        <w:jc w:val="both"/>
        <w:rPr>
          <w:rFonts w:ascii="Times New Roman" w:hAnsi="Times New Roman"/>
          <w:b w:val="false"/>
          <w:color w:val="000000"/>
          <w:sz w:val="19"/>
        </w:rPr>
      </w:pPr>
      <w:r>
        <w:rPr>
          <w:rFonts w:ascii="Times New Roman" w:hAnsi="Times New Roman"/>
          <w:b w:val="false"/>
          <w:color w:val="000000"/>
          <w:sz w:val="19"/>
        </w:rPr>
        <w:t>The following exhibits are filed as part of this report or hereby incorporated by reference to exhibits previously filed with the SEC:</w:t>
      </w:r>
    </w:p>
    <w:tbl>
      <w:tblPr>
        <w:tblW w:w="10205" w:type="dxa"/>
        <w:jc w:val="left"/>
        <w:tblInd w:w="0" w:type="dxa"/>
        <w:tblLayout w:type="fixed"/>
        <w:tblCellMar>
          <w:top w:w="28" w:type="dxa"/>
          <w:left w:w="28" w:type="dxa"/>
          <w:bottom w:w="28" w:type="dxa"/>
          <w:right w:w="28" w:type="dxa"/>
        </w:tblCellMar>
      </w:tblPr>
      <w:tblGrid>
        <w:gridCol w:w="693"/>
        <w:gridCol w:w="9512"/>
      </w:tblGrid>
      <w:tr>
        <w:trPr/>
        <w:tc>
          <w:tcPr>
            <w:tcW w:w="693" w:type="dxa"/>
            <w:tcBorders/>
            <w:vAlign w:val="center"/>
          </w:tcPr>
          <w:p>
            <w:pPr>
              <w:pStyle w:val="TableContents"/>
              <w:bidi w:val="0"/>
              <w:spacing w:before="0" w:after="283"/>
              <w:jc w:val="left"/>
              <w:rPr>
                <w:sz w:val="4"/>
                <w:szCs w:val="4"/>
              </w:rPr>
            </w:pPr>
            <w:r>
              <w:rPr>
                <w:sz w:val="4"/>
                <w:szCs w:val="4"/>
              </w:rPr>
            </w:r>
          </w:p>
        </w:tc>
        <w:tc>
          <w:tcPr>
            <w:tcW w:w="9512" w:type="dxa"/>
            <w:tcBorders/>
            <w:vAlign w:val="center"/>
          </w:tcPr>
          <w:p>
            <w:pPr>
              <w:pStyle w:val="TableContents"/>
              <w:bidi w:val="0"/>
              <w:spacing w:before="0" w:after="283"/>
              <w:jc w:val="left"/>
              <w:rPr>
                <w:sz w:val="4"/>
                <w:szCs w:val="4"/>
              </w:rPr>
            </w:pPr>
            <w:r>
              <w:rPr>
                <w:sz w:val="4"/>
                <w:szCs w:val="4"/>
              </w:rPr>
            </w:r>
          </w:p>
        </w:tc>
      </w:tr>
      <w:tr>
        <w:trPr/>
        <w:tc>
          <w:tcPr>
            <w:tcW w:w="693"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3.1</w:t>
            </w:r>
          </w:p>
        </w:tc>
        <w:tc>
          <w:tcPr>
            <w:tcW w:w="9512" w:type="dxa"/>
            <w:tcBorders/>
            <w:vAlign w:val="center"/>
          </w:tcPr>
          <w:p>
            <w:pPr>
              <w:pStyle w:val="TableContents"/>
              <w:bidi w:val="0"/>
              <w:spacing w:before="0" w:after="283"/>
              <w:jc w:val="both"/>
              <w:rPr/>
            </w:pPr>
            <w:hyperlink r:id="rId2">
              <w:r>
                <w:rPr>
                  <w:rStyle w:val="InternetLink"/>
                  <w:rFonts w:ascii="Times New Roman" w:hAnsi="Times New Roman"/>
                  <w:b w:val="false"/>
                  <w:color w:val="0000FF"/>
                  <w:sz w:val="16"/>
                  <w:u w:val="single"/>
                </w:rPr>
                <w:t xml:space="preserve">Articles of Amendment and Restatement </w:t>
              </w:r>
            </w:hyperlink>
            <w:hyperlink r:id="rId3">
              <w:r>
                <w:rPr>
                  <w:rStyle w:val="InternetLink"/>
                  <w:rFonts w:ascii="Times New Roman" w:hAnsi="Times New Roman"/>
                  <w:b w:val="false"/>
                  <w:color w:val="0000FF"/>
                  <w:sz w:val="11"/>
                  <w:u w:val="single"/>
                </w:rPr>
                <w:t>(1)</w:t>
              </w:r>
            </w:hyperlink>
          </w:p>
        </w:tc>
      </w:tr>
      <w:tr>
        <w:trPr/>
        <w:tc>
          <w:tcPr>
            <w:tcW w:w="693" w:type="dxa"/>
            <w:tcBorders/>
            <w:vAlign w:val="center"/>
          </w:tcPr>
          <w:p>
            <w:pPr>
              <w:pStyle w:val="TableContents"/>
              <w:bidi w:val="0"/>
              <w:spacing w:before="0" w:after="283"/>
              <w:jc w:val="left"/>
              <w:rPr>
                <w:sz w:val="4"/>
                <w:szCs w:val="4"/>
              </w:rPr>
            </w:pPr>
            <w:r>
              <w:rPr>
                <w:sz w:val="4"/>
                <w:szCs w:val="4"/>
              </w:rPr>
            </w:r>
          </w:p>
        </w:tc>
        <w:tc>
          <w:tcPr>
            <w:tcW w:w="9512" w:type="dxa"/>
            <w:tcBorders/>
            <w:vAlign w:val="center"/>
          </w:tcPr>
          <w:p>
            <w:pPr>
              <w:pStyle w:val="TableContents"/>
              <w:bidi w:val="0"/>
              <w:spacing w:before="0" w:after="283"/>
              <w:jc w:val="left"/>
              <w:rPr>
                <w:sz w:val="4"/>
                <w:szCs w:val="4"/>
              </w:rPr>
            </w:pPr>
            <w:r>
              <w:rPr>
                <w:sz w:val="4"/>
                <w:szCs w:val="4"/>
              </w:rPr>
            </w:r>
          </w:p>
        </w:tc>
      </w:tr>
      <w:tr>
        <w:trPr/>
        <w:tc>
          <w:tcPr>
            <w:tcW w:w="693"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3.2</w:t>
            </w:r>
          </w:p>
        </w:tc>
        <w:tc>
          <w:tcPr>
            <w:tcW w:w="9512" w:type="dxa"/>
            <w:tcBorders/>
            <w:vAlign w:val="center"/>
          </w:tcPr>
          <w:p>
            <w:pPr>
              <w:pStyle w:val="TableContents"/>
              <w:bidi w:val="0"/>
              <w:spacing w:before="0" w:after="283"/>
              <w:jc w:val="both"/>
              <w:rPr/>
            </w:pPr>
            <w:hyperlink r:id="rId4">
              <w:r>
                <w:rPr>
                  <w:rStyle w:val="InternetLink"/>
                  <w:rFonts w:ascii="Times New Roman" w:hAnsi="Times New Roman"/>
                  <w:b w:val="false"/>
                  <w:color w:val="0000FF"/>
                  <w:sz w:val="16"/>
                  <w:u w:val="single"/>
                </w:rPr>
                <w:t xml:space="preserve">Articles of Amendment </w:t>
              </w:r>
            </w:hyperlink>
            <w:hyperlink r:id="rId5">
              <w:r>
                <w:rPr>
                  <w:rStyle w:val="InternetLink"/>
                  <w:rFonts w:ascii="Times New Roman" w:hAnsi="Times New Roman"/>
                  <w:b w:val="false"/>
                  <w:color w:val="0000FF"/>
                  <w:sz w:val="11"/>
                  <w:u w:val="single"/>
                </w:rPr>
                <w:t>(2)</w:t>
              </w:r>
            </w:hyperlink>
          </w:p>
        </w:tc>
      </w:tr>
      <w:tr>
        <w:trPr/>
        <w:tc>
          <w:tcPr>
            <w:tcW w:w="693" w:type="dxa"/>
            <w:tcBorders/>
            <w:vAlign w:val="center"/>
          </w:tcPr>
          <w:p>
            <w:pPr>
              <w:pStyle w:val="TableContents"/>
              <w:bidi w:val="0"/>
              <w:spacing w:before="0" w:after="283"/>
              <w:jc w:val="left"/>
              <w:rPr>
                <w:sz w:val="4"/>
                <w:szCs w:val="4"/>
              </w:rPr>
            </w:pPr>
            <w:r>
              <w:rPr>
                <w:sz w:val="4"/>
                <w:szCs w:val="4"/>
              </w:rPr>
            </w:r>
          </w:p>
        </w:tc>
        <w:tc>
          <w:tcPr>
            <w:tcW w:w="9512" w:type="dxa"/>
            <w:tcBorders/>
            <w:vAlign w:val="center"/>
          </w:tcPr>
          <w:p>
            <w:pPr>
              <w:pStyle w:val="TableContents"/>
              <w:bidi w:val="0"/>
              <w:spacing w:before="0" w:after="283"/>
              <w:jc w:val="left"/>
              <w:rPr>
                <w:sz w:val="4"/>
                <w:szCs w:val="4"/>
              </w:rPr>
            </w:pPr>
            <w:r>
              <w:rPr>
                <w:sz w:val="4"/>
                <w:szCs w:val="4"/>
              </w:rPr>
            </w:r>
          </w:p>
        </w:tc>
      </w:tr>
      <w:tr>
        <w:trPr/>
        <w:tc>
          <w:tcPr>
            <w:tcW w:w="69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3.3</w:t>
            </w:r>
          </w:p>
        </w:tc>
        <w:tc>
          <w:tcPr>
            <w:tcW w:w="9512" w:type="dxa"/>
            <w:tcBorders/>
            <w:vAlign w:val="center"/>
          </w:tcPr>
          <w:p>
            <w:pPr>
              <w:pStyle w:val="TableContents"/>
              <w:bidi w:val="0"/>
              <w:spacing w:before="0" w:after="283"/>
              <w:jc w:val="both"/>
              <w:rPr/>
            </w:pPr>
            <w:hyperlink r:id="rId6">
              <w:r>
                <w:rPr>
                  <w:rStyle w:val="InternetLink"/>
                  <w:rFonts w:ascii="Times New Roman" w:hAnsi="Times New Roman"/>
                  <w:b w:val="false"/>
                  <w:color w:val="0000FF"/>
                  <w:sz w:val="16"/>
                  <w:u w:val="single"/>
                </w:rPr>
                <w:t xml:space="preserve">Second Amended and Restated Bylaws </w:t>
              </w:r>
            </w:hyperlink>
            <w:hyperlink r:id="rId7">
              <w:r>
                <w:rPr>
                  <w:rStyle w:val="InternetLink"/>
                  <w:rFonts w:ascii="Times New Roman" w:hAnsi="Times New Roman"/>
                  <w:b w:val="false"/>
                  <w:color w:val="0000FF"/>
                  <w:sz w:val="11"/>
                  <w:u w:val="single"/>
                </w:rPr>
                <w:t>(2)</w:t>
              </w:r>
            </w:hyperlink>
          </w:p>
        </w:tc>
      </w:tr>
      <w:tr>
        <w:trPr/>
        <w:tc>
          <w:tcPr>
            <w:tcW w:w="693" w:type="dxa"/>
            <w:tcBorders/>
            <w:vAlign w:val="center"/>
          </w:tcPr>
          <w:p>
            <w:pPr>
              <w:pStyle w:val="TableContents"/>
              <w:bidi w:val="0"/>
              <w:spacing w:before="0" w:after="283"/>
              <w:jc w:val="both"/>
              <w:rPr/>
            </w:pPr>
            <w:r>
              <w:rPr/>
              <w:t> </w:t>
            </w:r>
          </w:p>
        </w:tc>
        <w:tc>
          <w:tcPr>
            <w:tcW w:w="9512" w:type="dxa"/>
            <w:tcBorders/>
            <w:vAlign w:val="center"/>
          </w:tcPr>
          <w:p>
            <w:pPr>
              <w:pStyle w:val="TableContents"/>
              <w:bidi w:val="0"/>
              <w:spacing w:before="0" w:after="283"/>
              <w:jc w:val="both"/>
              <w:rPr/>
            </w:pPr>
            <w:r>
              <w:rPr/>
              <w:t> </w:t>
            </w:r>
          </w:p>
        </w:tc>
      </w:tr>
      <w:tr>
        <w:trPr/>
        <w:tc>
          <w:tcPr>
            <w:tcW w:w="693"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31.1</w:t>
            </w:r>
          </w:p>
        </w:tc>
        <w:tc>
          <w:tcPr>
            <w:tcW w:w="9512" w:type="dxa"/>
            <w:tcBorders/>
            <w:vAlign w:val="center"/>
          </w:tcPr>
          <w:p>
            <w:pPr>
              <w:pStyle w:val="TableContents"/>
              <w:bidi w:val="0"/>
              <w:spacing w:before="0" w:after="283"/>
              <w:jc w:val="both"/>
              <w:rPr/>
            </w:pPr>
            <w:hyperlink w:anchor="rway-ex31_1.htm">
              <w:r>
                <w:rPr>
                  <w:rStyle w:val="InternetLink"/>
                  <w:rFonts w:ascii="Times New Roman" w:hAnsi="Times New Roman"/>
                  <w:b w:val="false"/>
                  <w:color w:val="0000FF"/>
                  <w:sz w:val="16"/>
                  <w:u w:val="single"/>
                </w:rPr>
                <w:t>Certification of Chief Executive Officer pursuant to Rule 13a</w:t>
                <w:noBreakHyphen/>
                <w:t>14 of the Securities Exchange Act of 1934, as amended*</w:t>
              </w:r>
            </w:hyperlink>
          </w:p>
        </w:tc>
      </w:tr>
      <w:tr>
        <w:trPr/>
        <w:tc>
          <w:tcPr>
            <w:tcW w:w="693" w:type="dxa"/>
            <w:tcBorders/>
            <w:vAlign w:val="center"/>
          </w:tcPr>
          <w:p>
            <w:pPr>
              <w:pStyle w:val="TableContents"/>
              <w:bidi w:val="0"/>
              <w:spacing w:before="0" w:after="283"/>
              <w:jc w:val="left"/>
              <w:rPr>
                <w:sz w:val="4"/>
                <w:szCs w:val="4"/>
              </w:rPr>
            </w:pPr>
            <w:r>
              <w:rPr>
                <w:sz w:val="4"/>
                <w:szCs w:val="4"/>
              </w:rPr>
            </w:r>
          </w:p>
        </w:tc>
        <w:tc>
          <w:tcPr>
            <w:tcW w:w="9512" w:type="dxa"/>
            <w:tcBorders/>
            <w:vAlign w:val="center"/>
          </w:tcPr>
          <w:p>
            <w:pPr>
              <w:pStyle w:val="TableContents"/>
              <w:bidi w:val="0"/>
              <w:spacing w:before="0" w:after="283"/>
              <w:jc w:val="left"/>
              <w:rPr>
                <w:sz w:val="4"/>
                <w:szCs w:val="4"/>
              </w:rPr>
            </w:pPr>
            <w:r>
              <w:rPr>
                <w:sz w:val="4"/>
                <w:szCs w:val="4"/>
              </w:rPr>
            </w:r>
          </w:p>
        </w:tc>
      </w:tr>
      <w:tr>
        <w:trPr/>
        <w:tc>
          <w:tcPr>
            <w:tcW w:w="69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31.2</w:t>
            </w:r>
          </w:p>
        </w:tc>
        <w:tc>
          <w:tcPr>
            <w:tcW w:w="9512" w:type="dxa"/>
            <w:tcBorders/>
            <w:vAlign w:val="center"/>
          </w:tcPr>
          <w:p>
            <w:pPr>
              <w:pStyle w:val="TableContents"/>
              <w:bidi w:val="0"/>
              <w:spacing w:before="0" w:after="283"/>
              <w:jc w:val="both"/>
              <w:rPr/>
            </w:pPr>
            <w:hyperlink w:anchor="rway-ex31_2.htm">
              <w:r>
                <w:rPr>
                  <w:rStyle w:val="InternetLink"/>
                  <w:rFonts w:ascii="Times New Roman" w:hAnsi="Times New Roman"/>
                  <w:b w:val="false"/>
                  <w:color w:val="0000FF"/>
                  <w:sz w:val="16"/>
                  <w:u w:val="single"/>
                </w:rPr>
                <w:t>Certification of Chief Financial Officer pursuant to Rule 13a</w:t>
                <w:noBreakHyphen/>
                <w:t>14 of the Securities Exchange Act of 1934, as amended*</w:t>
              </w:r>
            </w:hyperlink>
          </w:p>
        </w:tc>
      </w:tr>
      <w:tr>
        <w:trPr/>
        <w:tc>
          <w:tcPr>
            <w:tcW w:w="693" w:type="dxa"/>
            <w:tcBorders/>
            <w:vAlign w:val="center"/>
          </w:tcPr>
          <w:p>
            <w:pPr>
              <w:pStyle w:val="TableContents"/>
              <w:bidi w:val="0"/>
              <w:spacing w:before="0" w:after="283"/>
              <w:jc w:val="left"/>
              <w:rPr>
                <w:sz w:val="4"/>
                <w:szCs w:val="4"/>
              </w:rPr>
            </w:pPr>
            <w:r>
              <w:rPr>
                <w:sz w:val="4"/>
                <w:szCs w:val="4"/>
              </w:rPr>
            </w:r>
          </w:p>
        </w:tc>
        <w:tc>
          <w:tcPr>
            <w:tcW w:w="9512" w:type="dxa"/>
            <w:tcBorders/>
            <w:vAlign w:val="center"/>
          </w:tcPr>
          <w:p>
            <w:pPr>
              <w:pStyle w:val="TableContents"/>
              <w:bidi w:val="0"/>
              <w:spacing w:before="0" w:after="283"/>
              <w:jc w:val="left"/>
              <w:rPr>
                <w:sz w:val="4"/>
                <w:szCs w:val="4"/>
              </w:rPr>
            </w:pPr>
            <w:r>
              <w:rPr>
                <w:sz w:val="4"/>
                <w:szCs w:val="4"/>
              </w:rPr>
            </w:r>
          </w:p>
        </w:tc>
      </w:tr>
      <w:tr>
        <w:trPr/>
        <w:tc>
          <w:tcPr>
            <w:tcW w:w="69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32.1</w:t>
            </w:r>
          </w:p>
        </w:tc>
        <w:tc>
          <w:tcPr>
            <w:tcW w:w="9512" w:type="dxa"/>
            <w:tcBorders/>
            <w:vAlign w:val="center"/>
          </w:tcPr>
          <w:p>
            <w:pPr>
              <w:pStyle w:val="TableContents"/>
              <w:bidi w:val="0"/>
              <w:spacing w:before="0" w:after="283"/>
              <w:jc w:val="both"/>
              <w:rPr/>
            </w:pPr>
            <w:hyperlink w:anchor="rway-ex32_1.htm">
              <w:r>
                <w:rPr>
                  <w:rStyle w:val="InternetLink"/>
                  <w:rFonts w:ascii="Times New Roman" w:hAnsi="Times New Roman"/>
                  <w:b w:val="false"/>
                  <w:color w:val="0000FF"/>
                  <w:sz w:val="16"/>
                  <w:u w:val="single"/>
                </w:rPr>
                <w:t>Certification of Chief Executive Officer pursuant to Section 906 of the Sarbanes-Oxley Act of 2002*</w:t>
              </w:r>
            </w:hyperlink>
          </w:p>
        </w:tc>
      </w:tr>
      <w:tr>
        <w:trPr/>
        <w:tc>
          <w:tcPr>
            <w:tcW w:w="693" w:type="dxa"/>
            <w:tcBorders/>
            <w:vAlign w:val="center"/>
          </w:tcPr>
          <w:p>
            <w:pPr>
              <w:pStyle w:val="TableContents"/>
              <w:bidi w:val="0"/>
              <w:spacing w:before="0" w:after="283"/>
              <w:jc w:val="left"/>
              <w:rPr>
                <w:sz w:val="4"/>
                <w:szCs w:val="4"/>
              </w:rPr>
            </w:pPr>
            <w:r>
              <w:rPr>
                <w:sz w:val="4"/>
                <w:szCs w:val="4"/>
              </w:rPr>
            </w:r>
          </w:p>
        </w:tc>
        <w:tc>
          <w:tcPr>
            <w:tcW w:w="9512" w:type="dxa"/>
            <w:tcBorders/>
            <w:vAlign w:val="center"/>
          </w:tcPr>
          <w:p>
            <w:pPr>
              <w:pStyle w:val="TableContents"/>
              <w:bidi w:val="0"/>
              <w:spacing w:before="0" w:after="283"/>
              <w:jc w:val="left"/>
              <w:rPr>
                <w:sz w:val="4"/>
                <w:szCs w:val="4"/>
              </w:rPr>
            </w:pPr>
            <w:r>
              <w:rPr>
                <w:sz w:val="4"/>
                <w:szCs w:val="4"/>
              </w:rPr>
            </w:r>
          </w:p>
        </w:tc>
      </w:tr>
      <w:tr>
        <w:trPr/>
        <w:tc>
          <w:tcPr>
            <w:tcW w:w="69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32.2</w:t>
            </w:r>
          </w:p>
        </w:tc>
        <w:tc>
          <w:tcPr>
            <w:tcW w:w="9512" w:type="dxa"/>
            <w:tcBorders/>
            <w:vAlign w:val="center"/>
          </w:tcPr>
          <w:p>
            <w:pPr>
              <w:pStyle w:val="TableContents"/>
              <w:bidi w:val="0"/>
              <w:spacing w:before="0" w:after="283"/>
              <w:jc w:val="both"/>
              <w:rPr/>
            </w:pPr>
            <w:hyperlink w:anchor="rway-ex32_2.htm">
              <w:r>
                <w:rPr>
                  <w:rStyle w:val="InternetLink"/>
                  <w:rFonts w:ascii="Times New Roman" w:hAnsi="Times New Roman"/>
                  <w:b w:val="false"/>
                  <w:color w:val="0000FF"/>
                  <w:sz w:val="16"/>
                  <w:u w:val="single"/>
                </w:rPr>
                <w:t>Certification of Chief Financial Officer pursuant to Section 906 of the Sarbanes-Oxley Act of 2002*</w:t>
              </w:r>
            </w:hyperlink>
          </w:p>
        </w:tc>
      </w:tr>
      <w:tr>
        <w:trPr/>
        <w:tc>
          <w:tcPr>
            <w:tcW w:w="693" w:type="dxa"/>
            <w:tcBorders/>
            <w:vAlign w:val="center"/>
          </w:tcPr>
          <w:p>
            <w:pPr>
              <w:pStyle w:val="TableContents"/>
              <w:bidi w:val="0"/>
              <w:spacing w:before="0" w:after="283"/>
              <w:jc w:val="both"/>
              <w:rPr/>
            </w:pPr>
            <w:r>
              <w:rPr/>
              <w:t> </w:t>
            </w:r>
          </w:p>
        </w:tc>
        <w:tc>
          <w:tcPr>
            <w:tcW w:w="9512" w:type="dxa"/>
            <w:tcBorders/>
            <w:vAlign w:val="center"/>
          </w:tcPr>
          <w:p>
            <w:pPr>
              <w:pStyle w:val="TableContents"/>
              <w:bidi w:val="0"/>
              <w:spacing w:before="0" w:after="283"/>
              <w:jc w:val="both"/>
              <w:rPr/>
            </w:pPr>
            <w:r>
              <w:rPr/>
              <w:t> </w:t>
            </w:r>
          </w:p>
        </w:tc>
      </w:tr>
      <w:tr>
        <w:trPr/>
        <w:tc>
          <w:tcPr>
            <w:tcW w:w="69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101.INS</w:t>
            </w:r>
          </w:p>
        </w:tc>
        <w:tc>
          <w:tcPr>
            <w:tcW w:w="9512"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Inline XBRL Instance Document – the instance document does not appear in the Interactive Data File because XBRL tags are embedded within the Inline XBRL document.</w:t>
            </w:r>
          </w:p>
        </w:tc>
      </w:tr>
      <w:tr>
        <w:trPr/>
        <w:tc>
          <w:tcPr>
            <w:tcW w:w="693" w:type="dxa"/>
            <w:tcBorders/>
            <w:vAlign w:val="center"/>
          </w:tcPr>
          <w:p>
            <w:pPr>
              <w:pStyle w:val="TableContents"/>
              <w:bidi w:val="0"/>
              <w:spacing w:before="0" w:after="283"/>
              <w:jc w:val="both"/>
              <w:rPr/>
            </w:pPr>
            <w:r>
              <w:rPr/>
              <w:t> </w:t>
            </w:r>
          </w:p>
        </w:tc>
        <w:tc>
          <w:tcPr>
            <w:tcW w:w="9512" w:type="dxa"/>
            <w:tcBorders/>
            <w:vAlign w:val="center"/>
          </w:tcPr>
          <w:p>
            <w:pPr>
              <w:pStyle w:val="TableContents"/>
              <w:bidi w:val="0"/>
              <w:spacing w:before="0" w:after="283"/>
              <w:jc w:val="both"/>
              <w:rPr/>
            </w:pPr>
            <w:r>
              <w:rPr/>
              <w:t> </w:t>
            </w:r>
          </w:p>
        </w:tc>
      </w:tr>
      <w:tr>
        <w:trPr/>
        <w:tc>
          <w:tcPr>
            <w:tcW w:w="69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101.SCH</w:t>
            </w:r>
          </w:p>
        </w:tc>
        <w:tc>
          <w:tcPr>
            <w:tcW w:w="9512"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Inline XBRL Taxonomy Extension Schema Document</w:t>
            </w:r>
          </w:p>
        </w:tc>
      </w:tr>
      <w:tr>
        <w:trPr/>
        <w:tc>
          <w:tcPr>
            <w:tcW w:w="693" w:type="dxa"/>
            <w:tcBorders/>
            <w:vAlign w:val="center"/>
          </w:tcPr>
          <w:p>
            <w:pPr>
              <w:pStyle w:val="TableContents"/>
              <w:bidi w:val="0"/>
              <w:spacing w:before="0" w:after="283"/>
              <w:jc w:val="both"/>
              <w:rPr/>
            </w:pPr>
            <w:r>
              <w:rPr/>
              <w:t> </w:t>
            </w:r>
          </w:p>
        </w:tc>
        <w:tc>
          <w:tcPr>
            <w:tcW w:w="9512" w:type="dxa"/>
            <w:tcBorders/>
            <w:vAlign w:val="center"/>
          </w:tcPr>
          <w:p>
            <w:pPr>
              <w:pStyle w:val="TableContents"/>
              <w:bidi w:val="0"/>
              <w:spacing w:before="0" w:after="283"/>
              <w:jc w:val="both"/>
              <w:rPr/>
            </w:pPr>
            <w:r>
              <w:rPr/>
              <w:t> </w:t>
            </w:r>
          </w:p>
        </w:tc>
      </w:tr>
      <w:tr>
        <w:trPr/>
        <w:tc>
          <w:tcPr>
            <w:tcW w:w="69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101.CAL</w:t>
            </w:r>
          </w:p>
        </w:tc>
        <w:tc>
          <w:tcPr>
            <w:tcW w:w="9512"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Inline XBRL Taxonomy Extension Calculation Linkbase Document</w:t>
            </w:r>
          </w:p>
        </w:tc>
      </w:tr>
      <w:tr>
        <w:trPr/>
        <w:tc>
          <w:tcPr>
            <w:tcW w:w="693" w:type="dxa"/>
            <w:tcBorders/>
            <w:vAlign w:val="center"/>
          </w:tcPr>
          <w:p>
            <w:pPr>
              <w:pStyle w:val="TableContents"/>
              <w:bidi w:val="0"/>
              <w:spacing w:before="0" w:after="283"/>
              <w:jc w:val="both"/>
              <w:rPr/>
            </w:pPr>
            <w:r>
              <w:rPr/>
              <w:t> </w:t>
            </w:r>
          </w:p>
        </w:tc>
        <w:tc>
          <w:tcPr>
            <w:tcW w:w="9512" w:type="dxa"/>
            <w:tcBorders/>
            <w:vAlign w:val="center"/>
          </w:tcPr>
          <w:p>
            <w:pPr>
              <w:pStyle w:val="TableContents"/>
              <w:bidi w:val="0"/>
              <w:spacing w:before="0" w:after="283"/>
              <w:jc w:val="both"/>
              <w:rPr/>
            </w:pPr>
            <w:r>
              <w:rPr/>
              <w:t> </w:t>
            </w:r>
          </w:p>
        </w:tc>
      </w:tr>
      <w:tr>
        <w:trPr/>
        <w:tc>
          <w:tcPr>
            <w:tcW w:w="69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101.DEF</w:t>
            </w:r>
          </w:p>
        </w:tc>
        <w:tc>
          <w:tcPr>
            <w:tcW w:w="9512"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Inline XBRL Taxonomy Extension Definition Linkbase Document</w:t>
            </w:r>
          </w:p>
        </w:tc>
      </w:tr>
      <w:tr>
        <w:trPr/>
        <w:tc>
          <w:tcPr>
            <w:tcW w:w="693" w:type="dxa"/>
            <w:tcBorders/>
            <w:vAlign w:val="center"/>
          </w:tcPr>
          <w:p>
            <w:pPr>
              <w:pStyle w:val="TableContents"/>
              <w:bidi w:val="0"/>
              <w:spacing w:before="0" w:after="283"/>
              <w:jc w:val="both"/>
              <w:rPr/>
            </w:pPr>
            <w:r>
              <w:rPr/>
              <w:t> </w:t>
            </w:r>
          </w:p>
        </w:tc>
        <w:tc>
          <w:tcPr>
            <w:tcW w:w="9512" w:type="dxa"/>
            <w:tcBorders/>
            <w:vAlign w:val="center"/>
          </w:tcPr>
          <w:p>
            <w:pPr>
              <w:pStyle w:val="TableContents"/>
              <w:bidi w:val="0"/>
              <w:spacing w:before="0" w:after="283"/>
              <w:jc w:val="both"/>
              <w:rPr/>
            </w:pPr>
            <w:r>
              <w:rPr/>
              <w:t> </w:t>
            </w:r>
          </w:p>
        </w:tc>
      </w:tr>
      <w:tr>
        <w:trPr/>
        <w:tc>
          <w:tcPr>
            <w:tcW w:w="69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101.LAB</w:t>
            </w:r>
          </w:p>
        </w:tc>
        <w:tc>
          <w:tcPr>
            <w:tcW w:w="9512"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Inline XBRL Taxonomy Extension Label Linkbase Document</w:t>
            </w:r>
          </w:p>
        </w:tc>
      </w:tr>
      <w:tr>
        <w:trPr/>
        <w:tc>
          <w:tcPr>
            <w:tcW w:w="693" w:type="dxa"/>
            <w:tcBorders/>
            <w:vAlign w:val="center"/>
          </w:tcPr>
          <w:p>
            <w:pPr>
              <w:pStyle w:val="TableContents"/>
              <w:bidi w:val="0"/>
              <w:spacing w:before="0" w:after="283"/>
              <w:jc w:val="both"/>
              <w:rPr/>
            </w:pPr>
            <w:r>
              <w:rPr/>
              <w:t> </w:t>
            </w:r>
          </w:p>
        </w:tc>
        <w:tc>
          <w:tcPr>
            <w:tcW w:w="9512" w:type="dxa"/>
            <w:tcBorders/>
            <w:vAlign w:val="center"/>
          </w:tcPr>
          <w:p>
            <w:pPr>
              <w:pStyle w:val="TableContents"/>
              <w:bidi w:val="0"/>
              <w:spacing w:before="0" w:after="283"/>
              <w:jc w:val="both"/>
              <w:rPr/>
            </w:pPr>
            <w:r>
              <w:rPr/>
              <w:t> </w:t>
            </w:r>
          </w:p>
        </w:tc>
      </w:tr>
      <w:tr>
        <w:trPr/>
        <w:tc>
          <w:tcPr>
            <w:tcW w:w="69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101.PRE</w:t>
            </w:r>
          </w:p>
        </w:tc>
        <w:tc>
          <w:tcPr>
            <w:tcW w:w="9512"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Inline XBRL Taxonomy Extension Presentation Linkbase Document</w:t>
            </w:r>
          </w:p>
        </w:tc>
      </w:tr>
      <w:tr>
        <w:trPr/>
        <w:tc>
          <w:tcPr>
            <w:tcW w:w="693" w:type="dxa"/>
            <w:tcBorders/>
            <w:vAlign w:val="center"/>
          </w:tcPr>
          <w:p>
            <w:pPr>
              <w:pStyle w:val="TableContents"/>
              <w:bidi w:val="0"/>
              <w:spacing w:before="0" w:after="283"/>
              <w:jc w:val="both"/>
              <w:rPr/>
            </w:pPr>
            <w:r>
              <w:rPr/>
              <w:t> </w:t>
            </w:r>
          </w:p>
        </w:tc>
        <w:tc>
          <w:tcPr>
            <w:tcW w:w="9512" w:type="dxa"/>
            <w:tcBorders/>
            <w:vAlign w:val="center"/>
          </w:tcPr>
          <w:p>
            <w:pPr>
              <w:pStyle w:val="TableContents"/>
              <w:bidi w:val="0"/>
              <w:spacing w:before="0" w:after="283"/>
              <w:jc w:val="both"/>
              <w:rPr/>
            </w:pPr>
            <w:r>
              <w:rPr/>
              <w:t> </w:t>
            </w:r>
          </w:p>
        </w:tc>
      </w:tr>
      <w:tr>
        <w:trPr/>
        <w:tc>
          <w:tcPr>
            <w:tcW w:w="693"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104</w:t>
            </w:r>
          </w:p>
        </w:tc>
        <w:tc>
          <w:tcPr>
            <w:tcW w:w="9512" w:type="dxa"/>
            <w:tcBorders/>
            <w:vAlign w:val="center"/>
          </w:tcPr>
          <w:p>
            <w:pPr>
              <w:pStyle w:val="TableContents"/>
              <w:bidi w:val="0"/>
              <w:spacing w:before="0" w:after="283"/>
              <w:jc w:val="both"/>
              <w:rPr>
                <w:rFonts w:ascii="Times New Roman" w:hAnsi="Times New Roman"/>
                <w:b w:val="false"/>
                <w:color w:val="000000"/>
                <w:sz w:val="16"/>
              </w:rPr>
            </w:pPr>
            <w:r>
              <w:rPr>
                <w:rFonts w:ascii="Times New Roman" w:hAnsi="Times New Roman"/>
                <w:b w:val="false"/>
                <w:color w:val="000000"/>
                <w:sz w:val="16"/>
              </w:rPr>
              <w:t>Cover Page Interactive Data File (embedded within the Inline XBRL document)</w:t>
            </w:r>
          </w:p>
        </w:tc>
      </w:tr>
      <w:tr>
        <w:trPr/>
        <w:tc>
          <w:tcPr>
            <w:tcW w:w="693" w:type="dxa"/>
            <w:tcBorders/>
            <w:vAlign w:val="center"/>
          </w:tcPr>
          <w:p>
            <w:pPr>
              <w:pStyle w:val="TableContents"/>
              <w:bidi w:val="0"/>
              <w:spacing w:before="0" w:after="283"/>
              <w:jc w:val="both"/>
              <w:rPr/>
            </w:pPr>
            <w:r>
              <w:rPr/>
              <w:t> </w:t>
            </w:r>
          </w:p>
        </w:tc>
        <w:tc>
          <w:tcPr>
            <w:tcW w:w="9512" w:type="dxa"/>
            <w:tcBorders/>
            <w:vAlign w:val="center"/>
          </w:tcPr>
          <w:p>
            <w:pPr>
              <w:pStyle w:val="TableContents"/>
              <w:bidi w:val="0"/>
              <w:spacing w:before="0" w:after="283"/>
              <w:jc w:val="both"/>
              <w:rPr/>
            </w:pPr>
            <w:r>
              <w:rPr/>
              <w:t> </w:t>
            </w:r>
          </w:p>
        </w:tc>
      </w:tr>
    </w:tbl>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 </w:t>
      </w:r>
      <w:r>
        <w:rPr>
          <w:rFonts w:ascii="Times New Roman" w:hAnsi="Times New Roman"/>
          <w:b w:val="false"/>
          <w:color w:val="000000"/>
          <w:sz w:val="16"/>
        </w:rPr>
        <w:t>Filed herewith.</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Previously filed as an exhibit to the Registrant’s Current Report on Form 8</w:t>
        <w:noBreakHyphen/>
        <w:t>K filed with the SEC on December 19, 2016.</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Previously filed as an exhibit to the Registrant’s Current Report on Form 8</w:t>
        <w:noBreakHyphen/>
        <w:t>K filed with the SEC on August 19, 2021.</w:t>
      </w:r>
    </w:p>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120"/>
        <w:jc w:val="left"/>
        <w:rPr/>
      </w:pPr>
      <w:hyperlink w:anchor="toc">
        <w:r>
          <w:rPr>
            <w:rStyle w:val="InternetLink"/>
            <w:rFonts w:ascii="Times New Roman" w:hAnsi="Times New Roman"/>
            <w:b w:val="false"/>
            <w:color w:val="0563C1"/>
            <w:sz w:val="20"/>
          </w:rPr>
          <w:t>Table of Contents</w:t>
        </w:r>
      </w:hyperlink>
    </w:p>
    <w:p>
      <w:pPr>
        <w:pStyle w:val="TextBody"/>
        <w:bidi w:val="0"/>
        <w:spacing w:before="0" w:after="240"/>
        <w:jc w:val="center"/>
        <w:rPr>
          <w:rFonts w:ascii="Times New Roman" w:hAnsi="Times New Roman"/>
          <w:b/>
          <w:color w:val="000000"/>
          <w:sz w:val="20"/>
        </w:rPr>
      </w:pPr>
      <w:bookmarkStart w:id="23" w:name="signatures_230440"/>
      <w:bookmarkEnd w:id="23"/>
      <w:r>
        <w:rPr>
          <w:rFonts w:ascii="Times New Roman" w:hAnsi="Times New Roman"/>
          <w:b/>
          <w:color w:val="000000"/>
          <w:sz w:val="20"/>
        </w:rPr>
        <w:t>SIGNATURES</w:t>
      </w:r>
    </w:p>
    <w:p>
      <w:pPr>
        <w:pStyle w:val="TextBody"/>
        <w:bidi w:val="0"/>
        <w:spacing w:before="240" w:after="240"/>
        <w:jc w:val="both"/>
        <w:rPr>
          <w:rFonts w:ascii="Times New Roman" w:hAnsi="Times New Roman"/>
          <w:b w:val="false"/>
          <w:color w:val="000000"/>
          <w:sz w:val="20"/>
        </w:rPr>
      </w:pPr>
      <w:r>
        <w:rPr>
          <w:rFonts w:ascii="Times New Roman" w:hAnsi="Times New Roman"/>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938" w:type="dxa"/>
        <w:jc w:val="left"/>
        <w:tblInd w:w="0" w:type="dxa"/>
        <w:tblLayout w:type="fixed"/>
        <w:tblCellMar>
          <w:top w:w="28" w:type="dxa"/>
          <w:left w:w="28" w:type="dxa"/>
          <w:bottom w:w="28" w:type="dxa"/>
          <w:right w:w="28" w:type="dxa"/>
        </w:tblCellMar>
      </w:tblPr>
      <w:tblGrid>
        <w:gridCol w:w="2101"/>
        <w:gridCol w:w="406"/>
        <w:gridCol w:w="543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583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RUNWAY GROWTH FINANCE CORP.</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406"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543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Greg Greifeld</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Greg Greifeld</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Acting Chief Executive Officer</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4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543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Thomas B. Raterman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Thomas B. Raterman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Acting President, Chief Financial Officer, Treasurer and Secretary</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rway-ex31_1.htm"/>
      <w:bookmarkStart w:id="25" w:name="ksrwayex31_1"/>
      <w:bookmarkEnd w:id="24"/>
      <w:bookmarkEnd w:id="2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Greg Greifeld, as Acting Chief Executive Officer,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Runway Growth Finance Corp.;</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2101"/>
        <w:gridCol w:w="109"/>
        <w:gridCol w:w="406"/>
        <w:gridCol w:w="27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7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Greg Greifeld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Greg Greifeld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Acting Chief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rway-ex31_2.htm"/>
      <w:bookmarkStart w:id="27" w:name="ksrwayex31_2"/>
      <w:bookmarkEnd w:id="26"/>
      <w:bookmarkEnd w:id="2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Thomas B. Raterman, as Chief Financial Officer,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Runway Growth Finance Corp.;</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Thomas B. Raterman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B. Raterman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rway-ex32_1.htm"/>
      <w:bookmarkStart w:id="29" w:name="ksrwayex32_1"/>
      <w:bookmarkEnd w:id="28"/>
      <w:bookmarkEnd w:id="2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Runway Growth Finance Corp. (the “Company”) on Form 10-Q for the period ending September 30,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2101"/>
        <w:gridCol w:w="109"/>
        <w:gridCol w:w="406"/>
        <w:gridCol w:w="27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7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Greg Greifeld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Greg Greifeld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Acting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rway-ex32_2.htm"/>
      <w:bookmarkStart w:id="31" w:name="ksrwayex32_2"/>
      <w:bookmarkEnd w:id="30"/>
      <w:bookmarkEnd w:id="3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Runway Growth Finance Corp. (the “Company”) on Form 10-Q for the period ending September 30,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Thomas B. Raterman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B. Raterman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3384/000114420416140270/v454968_ex3-1.htm" TargetMode="External"/><Relationship Id="rId3" Type="http://schemas.openxmlformats.org/officeDocument/2006/relationships/hyperlink" Target="https://www.sec.gov/Archives/edgar/data/1653384/000114420416140270/v454968_ex3-1.htm" TargetMode="External"/><Relationship Id="rId4" Type="http://schemas.openxmlformats.org/officeDocument/2006/relationships/hyperlink" Target="https://www.sec.gov/Archives/edgar/data/0001653384/000165338421000016/rgc-20210819ex31cb84ffa.htm" TargetMode="External"/><Relationship Id="rId5" Type="http://schemas.openxmlformats.org/officeDocument/2006/relationships/hyperlink" Target="https://www.sec.gov/Archives/edgar/data/0001653384/000165338421000016/rgc-20210819ex31cb84ffa.htm" TargetMode="External"/><Relationship Id="rId6" Type="http://schemas.openxmlformats.org/officeDocument/2006/relationships/hyperlink" Target="https://www.sec.gov/Archives/edgar/data/0001653384/000165338421000016/rgc-20210819ex32804659c.htm" TargetMode="External"/><Relationship Id="rId7" Type="http://schemas.openxmlformats.org/officeDocument/2006/relationships/hyperlink" Target="https://www.sec.gov/Archives/edgar/data/0001653384/000165338421000016/rgc-20210819ex32804659c.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38056</Words>
  <Characters>206604</Characters>
  <CharactersWithSpaces>256647</CharactersWithSpaces>
  <Paragraphs>23512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