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hyperlink w:anchor="toc_page">
        <w:bookmarkStart w:id="0" w:name="rway-20260331.htm"/>
        <w:bookmarkStart w:id="1" w:name="ksrway20260331"/>
        <w:bookmarkEnd w:id="0"/>
        <w:bookmarkEnd w:id="1"/>
        <w:r>
          <w:rPr>
            <w:rStyle w:val="InternetLink"/>
            <w:rFonts w:ascii="Times New Roman" w:hAnsi="Times New Roman"/>
            <w:b/>
            <w:color w:val="0000FF"/>
            <w:sz w:val="20"/>
            <w:u w:val="single"/>
          </w:rPr>
          <w:t>Table of Contents</w:t>
        </w:r>
      </w:hyperlink>
    </w:p>
    <w:p>
      <w:pPr>
        <w:pStyle w:val="TextBody"/>
        <w:bidi w:val="0"/>
        <w:spacing w:before="0" w:after="120"/>
        <w:jc w:val="left"/>
        <w:rPr/>
      </w:pPr>
      <w:r>
        <w:rPr/>
        <w:t> </w:t>
      </w:r>
    </w:p>
    <w:p>
      <w:pPr>
        <w:pStyle w:val="TextBody"/>
        <w:pBdr>
          <w:top w:val="single" w:sz="24" w:space="1" w:color="000000"/>
          <w:bottom w:val="single" w:sz="8" w:space="1" w:color="000000"/>
        </w:pBdr>
        <w:bidi w:val="0"/>
        <w:jc w:val="center"/>
        <w:rPr/>
      </w:pPr>
      <w:r>
        <w:rPr/>
        <w:t> </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UNITED STATES</w:t>
      </w:r>
    </w:p>
    <w:p>
      <w:pPr>
        <w:pStyle w:val="TextBody"/>
        <w:bidi w:val="0"/>
        <w:jc w:val="center"/>
        <w:rPr>
          <w:rFonts w:ascii="Times New Roman" w:hAnsi="Times New Roman"/>
          <w:b/>
          <w:color w:val="000000"/>
          <w:sz w:val="20"/>
        </w:rPr>
      </w:pPr>
      <w:r>
        <w:rPr>
          <w:rFonts w:ascii="Times New Roman" w:hAnsi="Times New Roman"/>
          <w:b/>
          <w:color w:val="000000"/>
          <w:sz w:val="20"/>
        </w:rPr>
        <w:t>SECURITIES AND EXCHANGE COMMISSION</w:t>
      </w:r>
    </w:p>
    <w:p>
      <w:pPr>
        <w:pStyle w:val="TextBody"/>
        <w:bidi w:val="0"/>
        <w:jc w:val="center"/>
        <w:rPr>
          <w:rFonts w:ascii="Times New Roman" w:hAnsi="Times New Roman"/>
          <w:b/>
          <w:color w:val="000000"/>
          <w:sz w:val="20"/>
        </w:rPr>
      </w:pPr>
      <w:r>
        <w:rPr>
          <w:rFonts w:ascii="Times New Roman" w:hAnsi="Times New Roman"/>
          <w:b/>
          <w:color w:val="000000"/>
          <w:sz w:val="20"/>
        </w:rPr>
        <w:t>Washington, D.C. 20549</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FORM 10-Q</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063"/>
        <w:gridCol w:w="9142"/>
      </w:tblGrid>
      <w:tr>
        <w:trPr/>
        <w:tc>
          <w:tcPr>
            <w:tcW w:w="1063" w:type="dxa"/>
            <w:tcBorders/>
            <w:vAlign w:val="center"/>
          </w:tcPr>
          <w:p>
            <w:pPr>
              <w:pStyle w:val="TableContents"/>
              <w:bidi w:val="0"/>
              <w:spacing w:before="0" w:after="283"/>
              <w:jc w:val="left"/>
              <w:rPr>
                <w:sz w:val="4"/>
                <w:szCs w:val="4"/>
              </w:rPr>
            </w:pPr>
            <w:r>
              <w:rPr>
                <w:sz w:val="4"/>
                <w:szCs w:val="4"/>
              </w:rPr>
            </w:r>
          </w:p>
        </w:tc>
        <w:tc>
          <w:tcPr>
            <w:tcW w:w="9142" w:type="dxa"/>
            <w:tcBorders/>
            <w:vAlign w:val="center"/>
          </w:tcPr>
          <w:p>
            <w:pPr>
              <w:pStyle w:val="TableContents"/>
              <w:bidi w:val="0"/>
              <w:spacing w:before="0" w:after="283"/>
              <w:jc w:val="left"/>
              <w:rPr>
                <w:sz w:val="4"/>
                <w:szCs w:val="4"/>
              </w:rPr>
            </w:pPr>
            <w:r>
              <w:rPr>
                <w:sz w:val="4"/>
                <w:szCs w:val="4"/>
              </w:rPr>
            </w:r>
          </w:p>
        </w:tc>
      </w:tr>
      <w:tr>
        <w:trPr/>
        <w:tc>
          <w:tcPr>
            <w:tcW w:w="106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(Mark One)</w:t>
            </w:r>
          </w:p>
        </w:tc>
        <w:tc>
          <w:tcPr>
            <w:tcW w:w="91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3"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914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20"/>
              </w:rPr>
              <w:t>QUARTERLY REPORT PURSUANT TO SECTION 13 OR 15(d) OF THE SECURITIES EXCHANGE ACT OF 1934</w:t>
            </w:r>
            <w:r>
              <w:rPr>
                <w:rFonts w:ascii="Times New Roman" w:hAnsi="Times New Roman"/>
                <w:color w:val="000000"/>
                <w:sz w:val="20"/>
              </w:rPr>
              <w:t xml:space="preserve"> </w:t>
            </w:r>
          </w:p>
        </w:tc>
      </w:tr>
    </w:tbl>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For the quarterly period ended March 31, 2026</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TRANSITION REPORT PURSUANT TO SECTION 13 OR 15(d) OF THE SECURITIES EXCHANGE ACT OF 1934</w:t>
            </w:r>
          </w:p>
        </w:tc>
      </w:tr>
    </w:tbl>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Commission File Number: 814-01180</w:t>
      </w:r>
    </w:p>
    <w:p>
      <w:pPr>
        <w:pStyle w:val="TextBody"/>
        <w:bidi w:val="0"/>
        <w:jc w:val="center"/>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Runway Growth Finance Corp.</w:t>
      </w:r>
    </w:p>
    <w:p>
      <w:pPr>
        <w:pStyle w:val="TextBody"/>
        <w:bidi w:val="0"/>
        <w:jc w:val="center"/>
        <w:rPr>
          <w:rFonts w:ascii="Times New Roman" w:hAnsi="Times New Roman"/>
          <w:b/>
          <w:color w:val="000000"/>
          <w:sz w:val="20"/>
        </w:rPr>
      </w:pPr>
      <w:r>
        <w:rPr>
          <w:rFonts w:ascii="Times New Roman" w:hAnsi="Times New Roman"/>
          <w:b/>
          <w:color w:val="000000"/>
          <w:sz w:val="20"/>
        </w:rPr>
        <w:t>(Exact name of registrant as specified in its charter)</w:t>
      </w:r>
    </w:p>
    <w:p>
      <w:pPr>
        <w:pStyle w:val="TextBody"/>
        <w:bidi w:val="0"/>
        <w:jc w:val="left"/>
        <w:rPr/>
      </w:pPr>
      <w:r>
        <w:rPr/>
        <w:t> </w:t>
      </w:r>
    </w:p>
    <w:tbl>
      <w:tblPr>
        <w:tblW w:w="5042" w:type="dxa"/>
        <w:jc w:val="left"/>
        <w:tblInd w:w="0" w:type="dxa"/>
        <w:tblLayout w:type="fixed"/>
        <w:tblCellMar>
          <w:top w:w="28" w:type="dxa"/>
          <w:left w:w="28" w:type="dxa"/>
          <w:bottom w:w="28" w:type="dxa"/>
          <w:right w:w="28" w:type="dxa"/>
        </w:tblCellMar>
      </w:tblPr>
      <w:tblGrid>
        <w:gridCol w:w="2011"/>
        <w:gridCol w:w="3031"/>
      </w:tblGrid>
      <w:tr>
        <w:trPr/>
        <w:tc>
          <w:tcPr>
            <w:tcW w:w="2011" w:type="dxa"/>
            <w:tcBorders/>
            <w:vAlign w:val="center"/>
          </w:tcPr>
          <w:p>
            <w:pPr>
              <w:pStyle w:val="TableContents"/>
              <w:bidi w:val="0"/>
              <w:spacing w:before="0" w:after="283"/>
              <w:jc w:val="left"/>
              <w:rPr>
                <w:sz w:val="4"/>
                <w:szCs w:val="4"/>
              </w:rPr>
            </w:pPr>
            <w:r>
              <w:rPr>
                <w:sz w:val="4"/>
                <w:szCs w:val="4"/>
              </w:rPr>
            </w:r>
          </w:p>
        </w:tc>
        <w:tc>
          <w:tcPr>
            <w:tcW w:w="3031" w:type="dxa"/>
            <w:tcBorders/>
            <w:vAlign w:val="center"/>
          </w:tcPr>
          <w:p>
            <w:pPr>
              <w:pStyle w:val="TableContents"/>
              <w:bidi w:val="0"/>
              <w:spacing w:before="0" w:after="283"/>
              <w:jc w:val="left"/>
              <w:rPr>
                <w:sz w:val="4"/>
                <w:szCs w:val="4"/>
              </w:rPr>
            </w:pPr>
            <w:r>
              <w:rPr>
                <w:sz w:val="4"/>
                <w:szCs w:val="4"/>
              </w:rPr>
            </w:r>
          </w:p>
        </w:tc>
      </w:tr>
      <w:tr>
        <w:trPr/>
        <w:tc>
          <w:tcPr>
            <w:tcW w:w="20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Maryland</w:t>
            </w:r>
          </w:p>
        </w:tc>
        <w:tc>
          <w:tcPr>
            <w:tcW w:w="30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47-5049745</w:t>
            </w:r>
          </w:p>
        </w:tc>
      </w:tr>
      <w:tr>
        <w:trPr/>
        <w:tc>
          <w:tcPr>
            <w:tcW w:w="20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(State of incorporation)</w:t>
            </w:r>
          </w:p>
        </w:tc>
        <w:tc>
          <w:tcPr>
            <w:tcW w:w="30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(I.R.S. Employer Identification No.)</w:t>
            </w:r>
          </w:p>
        </w:tc>
      </w:tr>
    </w:tbl>
    <w:p>
      <w:pPr>
        <w:pStyle w:val="TextBody"/>
        <w:bidi w:val="0"/>
        <w:jc w:val="left"/>
        <w:rPr/>
      </w:pPr>
      <w:r>
        <w:rPr/>
        <w:t> </w:t>
      </w:r>
    </w:p>
    <w:tbl>
      <w:tblPr>
        <w:tblW w:w="4337" w:type="dxa"/>
        <w:jc w:val="left"/>
        <w:tblInd w:w="0" w:type="dxa"/>
        <w:tblLayout w:type="fixed"/>
        <w:tblCellMar>
          <w:top w:w="28" w:type="dxa"/>
          <w:left w:w="28" w:type="dxa"/>
          <w:bottom w:w="28" w:type="dxa"/>
          <w:right w:w="28" w:type="dxa"/>
        </w:tblCellMar>
      </w:tblPr>
      <w:tblGrid>
        <w:gridCol w:w="3301"/>
        <w:gridCol w:w="1036"/>
      </w:tblGrid>
      <w:tr>
        <w:trPr/>
        <w:tc>
          <w:tcPr>
            <w:tcW w:w="330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r>
      <w:tr>
        <w:trPr/>
        <w:tc>
          <w:tcPr>
            <w:tcW w:w="330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205 N. Michigan Ave., Suite 4200</w:t>
            </w:r>
          </w:p>
        </w:tc>
        <w:tc>
          <w:tcPr>
            <w:tcW w:w="10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Chicago, IL</w:t>
            </w:r>
          </w:p>
        </w:tc>
        <w:tc>
          <w:tcPr>
            <w:tcW w:w="10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60601</w:t>
            </w:r>
          </w:p>
        </w:tc>
      </w:tr>
      <w:tr>
        <w:trPr/>
        <w:tc>
          <w:tcPr>
            <w:tcW w:w="330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(Address of principal executive offices)</w:t>
            </w:r>
          </w:p>
        </w:tc>
        <w:tc>
          <w:tcPr>
            <w:tcW w:w="10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(Zip Code)</w:t>
            </w:r>
          </w:p>
        </w:tc>
      </w:tr>
    </w:tbl>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(312) 698-6902</w:t>
      </w:r>
    </w:p>
    <w:p>
      <w:pPr>
        <w:pStyle w:val="TextBody"/>
        <w:bidi w:val="0"/>
        <w:jc w:val="center"/>
        <w:rPr>
          <w:rFonts w:ascii="Times New Roman" w:hAnsi="Times New Roman"/>
          <w:color w:val="000000"/>
          <w:sz w:val="20"/>
        </w:rPr>
      </w:pPr>
      <w:r>
        <w:rPr>
          <w:rFonts w:ascii="Times New Roman" w:hAnsi="Times New Roman"/>
          <w:color w:val="000000"/>
          <w:sz w:val="20"/>
        </w:rPr>
        <w:t>(Registrant’s telephone number, including area code)</w:t>
      </w:r>
    </w:p>
    <w:p>
      <w:pPr>
        <w:pStyle w:val="TextBody"/>
        <w:bidi w:val="0"/>
        <w:jc w:val="center"/>
        <w:rPr/>
      </w:pPr>
      <w:r>
        <w:rPr/>
        <w:t> </w:t>
      </w:r>
    </w:p>
    <w:p>
      <w:pPr>
        <w:pStyle w:val="TextBody"/>
        <w:bidi w:val="0"/>
        <w:jc w:val="left"/>
        <w:rPr>
          <w:rFonts w:ascii="Times New Roman" w:hAnsi="Times New Roman"/>
          <w:color w:val="000000"/>
          <w:sz w:val="20"/>
        </w:rPr>
      </w:pPr>
      <w:r>
        <w:rPr>
          <w:rFonts w:ascii="Times New Roman" w:hAnsi="Times New Roman"/>
          <w:color w:val="000000"/>
          <w:sz w:val="20"/>
        </w:rPr>
        <w:t>Securities Registered Pursuant to Section 12(b) of the Act:</w:t>
      </w:r>
    </w:p>
    <w:p>
      <w:pPr>
        <w:pStyle w:val="TextBody"/>
        <w:bidi w:val="0"/>
        <w:jc w:val="left"/>
        <w:rPr/>
      </w:pPr>
      <w:r>
        <w:rPr/>
        <w:t> </w:t>
      </w:r>
    </w:p>
    <w:tbl>
      <w:tblPr>
        <w:tblW w:w="9018" w:type="dxa"/>
        <w:jc w:val="left"/>
        <w:tblInd w:w="0" w:type="dxa"/>
        <w:tblLayout w:type="fixed"/>
        <w:tblCellMar>
          <w:top w:w="28" w:type="dxa"/>
          <w:left w:w="28" w:type="dxa"/>
          <w:bottom w:w="28" w:type="dxa"/>
          <w:right w:w="28" w:type="dxa"/>
        </w:tblCellMar>
      </w:tblPr>
      <w:tblGrid>
        <w:gridCol w:w="3496"/>
        <w:gridCol w:w="1696"/>
        <w:gridCol w:w="3826"/>
      </w:tblGrid>
      <w:tr>
        <w:trPr/>
        <w:tc>
          <w:tcPr>
            <w:tcW w:w="3496" w:type="dxa"/>
            <w:tcBorders/>
            <w:vAlign w:val="center"/>
          </w:tcPr>
          <w:p>
            <w:pPr>
              <w:pStyle w:val="TableContents"/>
              <w:bidi w:val="0"/>
              <w:spacing w:before="0" w:after="283"/>
              <w:jc w:val="left"/>
              <w:rPr>
                <w:sz w:val="4"/>
                <w:szCs w:val="4"/>
              </w:rPr>
            </w:pPr>
            <w:r>
              <w:rPr>
                <w:sz w:val="4"/>
                <w:szCs w:val="4"/>
              </w:rPr>
            </w:r>
          </w:p>
        </w:tc>
        <w:tc>
          <w:tcPr>
            <w:tcW w:w="169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34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Title of each class</w:t>
            </w:r>
          </w:p>
        </w:tc>
        <w:tc>
          <w:tcPr>
            <w:tcW w:w="16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 Symbol(s)</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Name of each exchange on which registered</w:t>
            </w:r>
          </w:p>
        </w:tc>
      </w:tr>
      <w:tr>
        <w:trPr/>
        <w:tc>
          <w:tcPr>
            <w:tcW w:w="3496"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Common Stock, par value $0.01 per share</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7.50% Notes due 2027</w:t>
            </w:r>
          </w:p>
        </w:tc>
        <w:tc>
          <w:tcPr>
            <w:tcW w:w="1696"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RWAY</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RWAYL</w:t>
            </w:r>
          </w:p>
        </w:tc>
        <w:tc>
          <w:tcPr>
            <w:tcW w:w="3826"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Nasdaq Global Select Market LLC</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Nasdaq Global Select Market LLC</w:t>
            </w:r>
          </w:p>
        </w:tc>
      </w:tr>
      <w:tr>
        <w:trPr/>
        <w:tc>
          <w:tcPr>
            <w:tcW w:w="34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7.25% Notes due 2031</w:t>
            </w:r>
          </w:p>
        </w:tc>
        <w:tc>
          <w:tcPr>
            <w:tcW w:w="16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RWAYI</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Nasdaq Global Select Market LLC</w:t>
            </w:r>
          </w:p>
        </w:tc>
      </w:tr>
      <w:tr>
        <w:trPr/>
        <w:tc>
          <w:tcPr>
            <w:tcW w:w="34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9.00% Notes due 2027</w:t>
            </w:r>
          </w:p>
        </w:tc>
        <w:tc>
          <w:tcPr>
            <w:tcW w:w="16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SWKHL</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Nasdaq Global Select Market LLC</w:t>
            </w:r>
          </w:p>
        </w:tc>
      </w:tr>
    </w:tbl>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 No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Indicate by check mark whether the registrant is a large accelerated filer, an accelerated filer, a non-accelerated filer, smaller reporting company, or an emerging growth company. Refer to the definitions of "large accelerated filer," "accelerated filer," "smaller reporting company," and "emerging growth company" in Rule 12b</w:t>
        <w:noBreakHyphen/>
        <w:t>2 of the Exchange Act.</w:t>
      </w:r>
    </w:p>
    <w:p>
      <w:pPr>
        <w:pStyle w:val="TextBody"/>
        <w:bidi w:val="0"/>
        <w:jc w:val="left"/>
        <w:rPr/>
      </w:pPr>
      <w:r>
        <w:rPr/>
        <w:t> </w:t>
      </w:r>
    </w:p>
    <w:tbl>
      <w:tblPr>
        <w:tblW w:w="5132" w:type="dxa"/>
        <w:jc w:val="left"/>
        <w:tblInd w:w="0" w:type="dxa"/>
        <w:tblLayout w:type="fixed"/>
        <w:tblCellMar>
          <w:top w:w="28" w:type="dxa"/>
          <w:left w:w="28" w:type="dxa"/>
          <w:bottom w:w="28" w:type="dxa"/>
          <w:right w:w="28" w:type="dxa"/>
        </w:tblCellMar>
      </w:tblPr>
      <w:tblGrid>
        <w:gridCol w:w="2551"/>
        <w:gridCol w:w="2581"/>
      </w:tblGrid>
      <w:tr>
        <w:trPr/>
        <w:tc>
          <w:tcPr>
            <w:tcW w:w="2551" w:type="dxa"/>
            <w:tcBorders/>
            <w:vAlign w:val="center"/>
          </w:tcPr>
          <w:p>
            <w:pPr>
              <w:pStyle w:val="TableContents"/>
              <w:bidi w:val="0"/>
              <w:spacing w:before="0" w:after="283"/>
              <w:jc w:val="left"/>
              <w:rPr>
                <w:sz w:val="4"/>
                <w:szCs w:val="4"/>
              </w:rPr>
            </w:pPr>
            <w:r>
              <w:rPr>
                <w:sz w:val="4"/>
                <w:szCs w:val="4"/>
              </w:rPr>
            </w:r>
          </w:p>
        </w:tc>
        <w:tc>
          <w:tcPr>
            <w:tcW w:w="2581" w:type="dxa"/>
            <w:tcBorders/>
            <w:vAlign w:val="center"/>
          </w:tcPr>
          <w:p>
            <w:pPr>
              <w:pStyle w:val="TableContents"/>
              <w:bidi w:val="0"/>
              <w:spacing w:before="0" w:after="283"/>
              <w:jc w:val="left"/>
              <w:rPr>
                <w:sz w:val="4"/>
                <w:szCs w:val="4"/>
              </w:rPr>
            </w:pPr>
            <w:r>
              <w:rPr>
                <w:sz w:val="4"/>
                <w:szCs w:val="4"/>
              </w:rPr>
            </w:r>
          </w:p>
        </w:tc>
      </w:tr>
      <w:tr>
        <w:trPr/>
        <w:tc>
          <w:tcPr>
            <w:tcW w:w="255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Large accelerated filer ☐</w:t>
            </w:r>
          </w:p>
        </w:tc>
        <w:tc>
          <w:tcPr>
            <w:tcW w:w="258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Accelerated filer ☒</w:t>
            </w:r>
          </w:p>
        </w:tc>
      </w:tr>
      <w:tr>
        <w:trPr/>
        <w:tc>
          <w:tcPr>
            <w:tcW w:w="255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Non-accelerated filer ☐</w:t>
            </w:r>
          </w:p>
        </w:tc>
        <w:tc>
          <w:tcPr>
            <w:tcW w:w="25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Smaller reporting company ☐</w:t>
            </w:r>
          </w:p>
        </w:tc>
      </w:tr>
      <w:tr>
        <w:trPr/>
        <w:tc>
          <w:tcPr>
            <w:tcW w:w="255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Emerging growth company ☒</w:t>
            </w:r>
          </w:p>
        </w:tc>
        <w:tc>
          <w:tcPr>
            <w:tcW w:w="25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t> </w:t>
      </w:r>
    </w:p>
    <w:p>
      <w:pPr>
        <w:pStyle w:val="TextBody"/>
        <w:bidi w:val="0"/>
        <w:spacing w:before="0" w:after="100"/>
        <w:jc w:val="left"/>
        <w:rPr>
          <w:rFonts w:ascii="Times New Roman" w:hAnsi="Times New Roman"/>
          <w:color w:val="000000"/>
          <w:sz w:val="20"/>
        </w:rPr>
      </w:pPr>
      <w:r>
        <w:rPr>
          <w:rFonts w:ascii="Times New Roman" w:hAnsi="Times New Roman"/>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Indicate by check mark whether the registrant is a shell company (as defined in Rule 12b</w:t>
        <w:noBreakHyphen/>
        <w:t>2 of the Exchange Act). Yes ☐ No ☒</w:t>
      </w:r>
    </w:p>
    <w:p>
      <w:pPr>
        <w:pStyle w:val="TextBody"/>
        <w:bidi w:val="0"/>
        <w:jc w:val="left"/>
        <w:rPr>
          <w:rFonts w:ascii="Times New Roman" w:hAnsi="Times New Roman"/>
          <w:color w:val="000000"/>
          <w:sz w:val="20"/>
        </w:rPr>
      </w:pPr>
      <w:r>
        <w:rPr>
          <w:rFonts w:ascii="Times New Roman" w:hAnsi="Times New Roman"/>
          <w:color w:val="000000"/>
          <w:sz w:val="20"/>
        </w:rPr>
        <w:t>The issuer had 42,464,546 shares of common stock, $0.01 par value per share, outstanding as of May 5, 2026.</w:t>
      </w:r>
    </w:p>
    <w:p>
      <w:pPr>
        <w:pStyle w:val="TextBody"/>
        <w:bidi w:val="0"/>
        <w:jc w:val="left"/>
        <w:rPr/>
      </w:pPr>
      <w:r>
        <w:rPr/>
        <w:t> </w:t>
      </w:r>
    </w:p>
    <w:p>
      <w:pPr>
        <w:pStyle w:val="TextBody"/>
        <w:pBdr>
          <w:top w:val="single" w:sz="8" w:space="1" w:color="000000"/>
          <w:bottom w:val="single" w:sz="24" w:space="1" w:color="000000"/>
        </w:pBdr>
        <w:bidi w:val="0"/>
        <w:jc w:val="left"/>
        <w:rPr/>
      </w:pPr>
      <w:r>
        <w:rPr/>
        <w:t> </w:t>
      </w:r>
    </w:p>
    <w:p>
      <w:pPr>
        <w:pStyle w:val="TextBody"/>
        <w:bidi w:val="0"/>
        <w:spacing w:before="24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120"/>
        <w:jc w:val="left"/>
        <w:rPr/>
      </w:pPr>
      <w:r>
        <w:rPr/>
        <w:t> </w:t>
      </w:r>
    </w:p>
    <w:p>
      <w:pPr>
        <w:pStyle w:val="TextBody"/>
        <w:bidi w:val="0"/>
        <w:jc w:val="center"/>
        <w:rPr>
          <w:rFonts w:ascii="Times New Roman" w:hAnsi="Times New Roman"/>
          <w:sz w:val="20"/>
        </w:rPr>
      </w:pPr>
      <w:r>
        <w:rPr>
          <w:rFonts w:ascii="Times New Roman" w:hAnsi="Times New Roman"/>
          <w:b/>
          <w:color w:val="000000"/>
          <w:sz w:val="20"/>
        </w:rPr>
        <w:t>RUNWAY GROWTH FINANCE CORP.</w:t>
      </w:r>
      <w:r>
        <w:rPr>
          <w:rFonts w:ascii="Times New Roman" w:hAnsi="Times New Roman"/>
          <w:color w:val="000000"/>
          <w:sz w:val="20"/>
        </w:rPr>
        <w:t xml:space="preserve"> </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FORM 10</w:t>
        <w:noBreakHyphen/>
        <w:t>Q FOR THE QUARTER ENDED March 31, 2026</w:t>
      </w:r>
    </w:p>
    <w:p>
      <w:pPr>
        <w:pStyle w:val="TextBody"/>
        <w:bidi w:val="0"/>
        <w:spacing w:before="0" w:after="240"/>
        <w:jc w:val="center"/>
        <w:rPr>
          <w:rFonts w:ascii="Times New Roman" w:hAnsi="Times New Roman"/>
          <w:b/>
          <w:color w:val="000000"/>
          <w:sz w:val="20"/>
        </w:rPr>
      </w:pPr>
      <w:bookmarkStart w:id="2" w:name="toc_page"/>
      <w:bookmarkEnd w:id="2"/>
      <w:r>
        <w:rPr>
          <w:rFonts w:ascii="Times New Roman" w:hAnsi="Times New Roman"/>
          <w:b/>
          <w:color w:val="000000"/>
          <w:sz w:val="20"/>
        </w:rPr>
        <w:t>Table of Contents</w:t>
      </w:r>
    </w:p>
    <w:tbl>
      <w:tblPr>
        <w:tblW w:w="10205" w:type="dxa"/>
        <w:jc w:val="left"/>
        <w:tblInd w:w="0" w:type="dxa"/>
        <w:tblLayout w:type="fixed"/>
        <w:tblCellMar>
          <w:top w:w="28" w:type="dxa"/>
          <w:left w:w="28" w:type="dxa"/>
          <w:bottom w:w="28" w:type="dxa"/>
          <w:right w:w="28" w:type="dxa"/>
        </w:tblCellMar>
      </w:tblPr>
      <w:tblGrid>
        <w:gridCol w:w="853"/>
        <w:gridCol w:w="146"/>
        <w:gridCol w:w="8443"/>
        <w:gridCol w:w="146"/>
        <w:gridCol w:w="617"/>
      </w:tblGrid>
      <w:tr>
        <w:trPr/>
        <w:tc>
          <w:tcPr>
            <w:tcW w:w="85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4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r>
      <w:tr>
        <w:trPr/>
        <w:tc>
          <w:tcPr>
            <w:tcW w:w="853"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3"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INDEX</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17"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PAGE</w:t>
            </w:r>
            <w:r>
              <w:rPr>
                <w:rFonts w:ascii="Times New Roman" w:hAnsi="Times New Roman"/>
                <w:color w:val="000000"/>
                <w:sz w:val="16"/>
              </w:rPr>
              <w:br/>
            </w:r>
            <w:r>
              <w:rPr>
                <w:rFonts w:ascii="Times New Roman" w:hAnsi="Times New Roman"/>
                <w:b/>
                <w:color w:val="000000"/>
                <w:sz w:val="16"/>
              </w:rPr>
              <w:t>NO.</w:t>
            </w:r>
          </w:p>
        </w:tc>
      </w:tr>
      <w:tr>
        <w:trPr/>
        <w:tc>
          <w:tcPr>
            <w:tcW w:w="8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617"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53" w:type="dxa"/>
            <w:tcBorders/>
            <w:shd w:fill="CCEEFF" w:val="clear"/>
            <w:tcMar>
              <w:top w:w="0" w:type="dxa"/>
              <w:left w:w="0" w:type="dxa"/>
              <w:bottom w:w="0" w:type="dxa"/>
              <w:right w:w="0" w:type="dxa"/>
            </w:tcMar>
            <w:vAlign w:val="center"/>
          </w:tcPr>
          <w:p>
            <w:pPr>
              <w:pStyle w:val="TableContents"/>
              <w:bidi w:val="0"/>
              <w:spacing w:before="0" w:after="283"/>
              <w:jc w:val="left"/>
              <w:rPr/>
            </w:pPr>
            <w:hyperlink w:anchor="partifinancialinformation_110173">
              <w:r>
                <w:rPr>
                  <w:rStyle w:val="InternetLink"/>
                  <w:rFonts w:ascii="Times New Roman" w:hAnsi="Times New Roman"/>
                  <w:b/>
                  <w:color w:val="000000"/>
                  <w:sz w:val="20"/>
                </w:rPr>
                <w:t>PART I.</w:t>
              </w:r>
            </w:hyperlink>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443" w:type="dxa"/>
            <w:tcBorders/>
            <w:shd w:fill="CCEEFF" w:val="clear"/>
            <w:tcMar>
              <w:top w:w="0" w:type="dxa"/>
              <w:left w:w="0" w:type="dxa"/>
              <w:bottom w:w="0" w:type="dxa"/>
              <w:right w:w="0" w:type="dxa"/>
            </w:tcMar>
            <w:vAlign w:val="center"/>
          </w:tcPr>
          <w:p>
            <w:pPr>
              <w:pStyle w:val="TableContents"/>
              <w:bidi w:val="0"/>
              <w:spacing w:before="0" w:after="283"/>
              <w:jc w:val="left"/>
              <w:rPr/>
            </w:pPr>
            <w:hyperlink w:anchor="partifinancialinformation_110173">
              <w:r>
                <w:rPr>
                  <w:rStyle w:val="InternetLink"/>
                  <w:rFonts w:ascii="Times New Roman" w:hAnsi="Times New Roman"/>
                  <w:b/>
                  <w:color w:val="000000"/>
                  <w:sz w:val="20"/>
                </w:rPr>
                <w:t>FINANCIAL INFORMATION</w:t>
              </w:r>
            </w:hyperlink>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617"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5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4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617"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53" w:type="dxa"/>
            <w:tcBorders/>
            <w:shd w:fill="CCEEFF" w:val="clear"/>
            <w:tcMar>
              <w:top w:w="0" w:type="dxa"/>
              <w:left w:w="0" w:type="dxa"/>
              <w:bottom w:w="0" w:type="dxa"/>
              <w:right w:w="0" w:type="dxa"/>
            </w:tcMar>
            <w:vAlign w:val="center"/>
          </w:tcPr>
          <w:p>
            <w:pPr>
              <w:pStyle w:val="TableContents"/>
              <w:bidi w:val="0"/>
              <w:spacing w:before="0" w:after="283"/>
              <w:jc w:val="right"/>
              <w:rPr/>
            </w:pPr>
            <w:hyperlink w:anchor="item1financialstatements_531063">
              <w:r>
                <w:rPr>
                  <w:rStyle w:val="InternetLink"/>
                  <w:rFonts w:ascii="Times New Roman" w:hAnsi="Times New Roman"/>
                  <w:color w:val="000000"/>
                  <w:sz w:val="20"/>
                </w:rPr>
                <w:t>Item 1.</w:t>
              </w:r>
            </w:hyperlink>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443" w:type="dxa"/>
            <w:tcBorders/>
            <w:shd w:fill="CCEEFF" w:val="clear"/>
            <w:tcMar>
              <w:top w:w="0" w:type="dxa"/>
              <w:left w:w="0" w:type="dxa"/>
              <w:bottom w:w="0" w:type="dxa"/>
              <w:right w:w="0" w:type="dxa"/>
            </w:tcMar>
            <w:vAlign w:val="center"/>
          </w:tcPr>
          <w:p>
            <w:pPr>
              <w:pStyle w:val="TableContents"/>
              <w:bidi w:val="0"/>
              <w:spacing w:before="0" w:after="283"/>
              <w:jc w:val="left"/>
              <w:rPr/>
            </w:pPr>
            <w:hyperlink w:anchor="item1financialstatements_531063">
              <w:r>
                <w:rPr>
                  <w:rStyle w:val="InternetLink"/>
                  <w:rFonts w:ascii="Times New Roman" w:hAnsi="Times New Roman"/>
                  <w:color w:val="0000FF"/>
                  <w:sz w:val="20"/>
                  <w:u w:val="single"/>
                </w:rPr>
                <w:t>Consolidated Financial Statements</w:t>
              </w:r>
            </w:hyperlink>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617"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r>
      <w:tr>
        <w:trPr/>
        <w:tc>
          <w:tcPr>
            <w:tcW w:w="853"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4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617"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53"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443" w:type="dxa"/>
            <w:tcBorders/>
            <w:shd w:fill="CCEEFF" w:val="clear"/>
            <w:tcMar>
              <w:top w:w="0" w:type="dxa"/>
              <w:left w:w="0" w:type="dxa"/>
              <w:bottom w:w="0" w:type="dxa"/>
              <w:right w:w="0" w:type="dxa"/>
            </w:tcMar>
            <w:vAlign w:val="center"/>
          </w:tcPr>
          <w:p>
            <w:pPr>
              <w:pStyle w:val="TableContents"/>
              <w:bidi w:val="0"/>
              <w:spacing w:before="0" w:after="283"/>
              <w:jc w:val="left"/>
              <w:rPr/>
            </w:pPr>
            <w:hyperlink w:anchor="statementsofassetsandliabilities_107261">
              <w:r>
                <w:rPr>
                  <w:rStyle w:val="InternetLink"/>
                  <w:rFonts w:ascii="Times New Roman" w:hAnsi="Times New Roman"/>
                  <w:color w:val="0000FF"/>
                  <w:sz w:val="20"/>
                  <w:u w:val="single"/>
                </w:rPr>
                <w:t>Consolidated Statements of Assets and Liabilities as of March 31, 2026 (unaudited) and December 31, 2025</w:t>
              </w:r>
            </w:hyperlink>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617"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r>
      <w:tr>
        <w:trPr/>
        <w:tc>
          <w:tcPr>
            <w:tcW w:w="853"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4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617"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53"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443" w:type="dxa"/>
            <w:tcBorders/>
            <w:shd w:fill="CCEEFF" w:val="clear"/>
            <w:tcMar>
              <w:top w:w="0" w:type="dxa"/>
              <w:left w:w="0" w:type="dxa"/>
              <w:bottom w:w="0" w:type="dxa"/>
              <w:right w:w="0" w:type="dxa"/>
            </w:tcMar>
            <w:vAlign w:val="center"/>
          </w:tcPr>
          <w:p>
            <w:pPr>
              <w:pStyle w:val="TableContents"/>
              <w:bidi w:val="0"/>
              <w:spacing w:before="0" w:after="283"/>
              <w:jc w:val="left"/>
              <w:rPr/>
            </w:pPr>
            <w:hyperlink w:anchor="statementsofassetsandliabilities_107261">
              <w:r>
                <w:rPr>
                  <w:rStyle w:val="InternetLink"/>
                  <w:rFonts w:ascii="Times New Roman" w:hAnsi="Times New Roman"/>
                  <w:color w:val="0000FF"/>
                  <w:sz w:val="20"/>
                  <w:u w:val="single"/>
                </w:rPr>
                <w:t>Consolidated</w:t>
              </w:r>
            </w:hyperlink>
            <w:hyperlink w:anchor="statementsofassetsandliabilities_107261">
              <w:r>
                <w:rPr>
                  <w:rStyle w:val="InternetLink"/>
                  <w:rFonts w:ascii="Times New Roman" w:hAnsi="Times New Roman"/>
                  <w:color w:val="0000FF"/>
                  <w:sz w:val="20"/>
                </w:rPr>
                <w:t xml:space="preserve"> </w:t>
              </w:r>
            </w:hyperlink>
            <w:hyperlink w:anchor="statementsofoperations">
              <w:r>
                <w:rPr>
                  <w:rStyle w:val="InternetLink"/>
                  <w:rFonts w:ascii="Times New Roman" w:hAnsi="Times New Roman"/>
                  <w:color w:val="0000FF"/>
                  <w:sz w:val="20"/>
                  <w:u w:val="single"/>
                </w:rPr>
                <w:t>Statements of Operations for the three months ended March 31, 2026 and 2025 (unaudited)</w:t>
              </w:r>
            </w:hyperlink>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617"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r>
      <w:tr>
        <w:trPr/>
        <w:tc>
          <w:tcPr>
            <w:tcW w:w="853"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4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617"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53"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443" w:type="dxa"/>
            <w:tcBorders/>
            <w:shd w:fill="CCEEFF" w:val="clear"/>
            <w:tcMar>
              <w:top w:w="0" w:type="dxa"/>
              <w:left w:w="0" w:type="dxa"/>
              <w:bottom w:w="0" w:type="dxa"/>
              <w:right w:w="0" w:type="dxa"/>
            </w:tcMar>
            <w:vAlign w:val="center"/>
          </w:tcPr>
          <w:p>
            <w:pPr>
              <w:pStyle w:val="TableContents"/>
              <w:bidi w:val="0"/>
              <w:spacing w:before="0" w:after="283"/>
              <w:jc w:val="left"/>
              <w:rPr/>
            </w:pPr>
            <w:hyperlink w:anchor="statementsofassetsandliabilities_107261">
              <w:r>
                <w:rPr>
                  <w:rStyle w:val="InternetLink"/>
                  <w:rFonts w:ascii="Times New Roman" w:hAnsi="Times New Roman"/>
                  <w:color w:val="0000FF"/>
                  <w:sz w:val="20"/>
                  <w:u w:val="single"/>
                </w:rPr>
                <w:t>Consolidated</w:t>
              </w:r>
            </w:hyperlink>
            <w:hyperlink w:anchor="statementsofassetsandliabilities_107261">
              <w:r>
                <w:rPr>
                  <w:rStyle w:val="InternetLink"/>
                  <w:rFonts w:ascii="Times New Roman" w:hAnsi="Times New Roman"/>
                  <w:color w:val="0000FF"/>
                  <w:sz w:val="20"/>
                </w:rPr>
                <w:t xml:space="preserve"> </w:t>
              </w:r>
            </w:hyperlink>
            <w:hyperlink w:anchor="statementsofchangesinnetassets_914180">
              <w:r>
                <w:rPr>
                  <w:rStyle w:val="InternetLink"/>
                  <w:rFonts w:ascii="Times New Roman" w:hAnsi="Times New Roman"/>
                  <w:color w:val="0000FF"/>
                  <w:sz w:val="20"/>
                  <w:u w:val="single"/>
                </w:rPr>
                <w:t>Statements of Changes in Net Assets for the three months ended March 31, 2026 and 2025 (unaudited)</w:t>
              </w:r>
            </w:hyperlink>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617"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r>
      <w:tr>
        <w:trPr/>
        <w:tc>
          <w:tcPr>
            <w:tcW w:w="853"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4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617"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53"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443" w:type="dxa"/>
            <w:tcBorders/>
            <w:shd w:fill="CCEEFF" w:val="clear"/>
            <w:tcMar>
              <w:top w:w="0" w:type="dxa"/>
              <w:left w:w="0" w:type="dxa"/>
              <w:bottom w:w="0" w:type="dxa"/>
              <w:right w:w="0" w:type="dxa"/>
            </w:tcMar>
            <w:vAlign w:val="center"/>
          </w:tcPr>
          <w:p>
            <w:pPr>
              <w:pStyle w:val="TableContents"/>
              <w:bidi w:val="0"/>
              <w:spacing w:before="0" w:after="283"/>
              <w:jc w:val="left"/>
              <w:rPr/>
            </w:pPr>
            <w:hyperlink w:anchor="statementsofassetsandliabilities_107261">
              <w:r>
                <w:rPr>
                  <w:rStyle w:val="InternetLink"/>
                  <w:rFonts w:ascii="Times New Roman" w:hAnsi="Times New Roman"/>
                  <w:color w:val="0000FF"/>
                  <w:sz w:val="20"/>
                  <w:u w:val="single"/>
                </w:rPr>
                <w:t>Consolidated</w:t>
              </w:r>
            </w:hyperlink>
            <w:hyperlink w:anchor="statementsofassetsandliabilities_107261">
              <w:r>
                <w:rPr>
                  <w:rStyle w:val="InternetLink"/>
                  <w:rFonts w:ascii="Times New Roman" w:hAnsi="Times New Roman"/>
                  <w:color w:val="0000FF"/>
                  <w:sz w:val="20"/>
                </w:rPr>
                <w:t xml:space="preserve"> </w:t>
              </w:r>
            </w:hyperlink>
            <w:hyperlink w:anchor="statementsofcashflows">
              <w:r>
                <w:rPr>
                  <w:rStyle w:val="InternetLink"/>
                  <w:rFonts w:ascii="Times New Roman" w:hAnsi="Times New Roman"/>
                  <w:color w:val="0000FF"/>
                  <w:sz w:val="20"/>
                  <w:u w:val="single"/>
                </w:rPr>
                <w:t>Statements of Cash Flows for the three months ended March 31, 2026 and 2025 (unaudited)</w:t>
              </w:r>
            </w:hyperlink>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617"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r>
      <w:tr>
        <w:trPr/>
        <w:tc>
          <w:tcPr>
            <w:tcW w:w="853"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4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617"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53"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443" w:type="dxa"/>
            <w:tcBorders/>
            <w:shd w:fill="CCEEFF" w:val="clear"/>
            <w:tcMar>
              <w:top w:w="0" w:type="dxa"/>
              <w:left w:w="0" w:type="dxa"/>
              <w:bottom w:w="0" w:type="dxa"/>
              <w:right w:w="0" w:type="dxa"/>
            </w:tcMar>
            <w:vAlign w:val="center"/>
          </w:tcPr>
          <w:p>
            <w:pPr>
              <w:pStyle w:val="TableContents"/>
              <w:bidi w:val="0"/>
              <w:spacing w:before="0" w:after="283"/>
              <w:jc w:val="left"/>
              <w:rPr/>
            </w:pPr>
            <w:hyperlink w:anchor="statementsofassetsandliabilities_107261">
              <w:r>
                <w:rPr>
                  <w:rStyle w:val="InternetLink"/>
                  <w:rFonts w:ascii="Times New Roman" w:hAnsi="Times New Roman"/>
                  <w:color w:val="0000FF"/>
                  <w:sz w:val="20"/>
                  <w:u w:val="single"/>
                </w:rPr>
                <w:t>Consolidated</w:t>
              </w:r>
            </w:hyperlink>
            <w:hyperlink w:anchor="statementsofassetsandliabilities_107261">
              <w:r>
                <w:rPr>
                  <w:rStyle w:val="InternetLink"/>
                  <w:rFonts w:ascii="Times New Roman" w:hAnsi="Times New Roman"/>
                  <w:color w:val="0000FF"/>
                  <w:sz w:val="20"/>
                </w:rPr>
                <w:t xml:space="preserve"> </w:t>
              </w:r>
            </w:hyperlink>
            <w:hyperlink w:anchor="scheduleofinvestments_460338">
              <w:r>
                <w:rPr>
                  <w:rStyle w:val="InternetLink"/>
                  <w:rFonts w:ascii="Times New Roman" w:hAnsi="Times New Roman"/>
                  <w:color w:val="0000FF"/>
                  <w:sz w:val="20"/>
                  <w:u w:val="single"/>
                </w:rPr>
                <w:t>Schedule of Investments as of March 31, 2026 (unaudited)</w:t>
              </w:r>
            </w:hyperlink>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617"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r>
      <w:tr>
        <w:trPr/>
        <w:tc>
          <w:tcPr>
            <w:tcW w:w="853"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4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617"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53"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443" w:type="dxa"/>
            <w:tcBorders/>
            <w:shd w:fill="CCEEFF" w:val="clear"/>
            <w:tcMar>
              <w:top w:w="0" w:type="dxa"/>
              <w:left w:w="0" w:type="dxa"/>
              <w:bottom w:w="0" w:type="dxa"/>
              <w:right w:w="0" w:type="dxa"/>
            </w:tcMar>
            <w:vAlign w:val="center"/>
          </w:tcPr>
          <w:p>
            <w:pPr>
              <w:pStyle w:val="TableContents"/>
              <w:bidi w:val="0"/>
              <w:spacing w:before="0" w:after="283"/>
              <w:jc w:val="left"/>
              <w:rPr/>
            </w:pPr>
            <w:hyperlink w:anchor="statementsofassetsandliabilities_107261">
              <w:r>
                <w:rPr>
                  <w:rStyle w:val="InternetLink"/>
                  <w:rFonts w:ascii="Times New Roman" w:hAnsi="Times New Roman"/>
                  <w:color w:val="0000FF"/>
                  <w:sz w:val="20"/>
                  <w:u w:val="single"/>
                </w:rPr>
                <w:t>Consolidated</w:t>
              </w:r>
            </w:hyperlink>
            <w:hyperlink w:anchor="statementsofassetsandliabilities_107261">
              <w:r>
                <w:rPr>
                  <w:rStyle w:val="InternetLink"/>
                  <w:rFonts w:ascii="Times New Roman" w:hAnsi="Times New Roman"/>
                  <w:color w:val="0000FF"/>
                  <w:sz w:val="20"/>
                </w:rPr>
                <w:t xml:space="preserve"> </w:t>
              </w:r>
            </w:hyperlink>
            <w:hyperlink w:anchor="scheduleofinvestments_pp">
              <w:r>
                <w:rPr>
                  <w:rStyle w:val="InternetLink"/>
                  <w:rFonts w:ascii="Times New Roman" w:hAnsi="Times New Roman"/>
                  <w:color w:val="0000FF"/>
                  <w:sz w:val="20"/>
                  <w:u w:val="single"/>
                </w:rPr>
                <w:t>Schedule of Investments as of December 31, 2025</w:t>
              </w:r>
            </w:hyperlink>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617"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r>
      <w:tr>
        <w:trPr/>
        <w:tc>
          <w:tcPr>
            <w:tcW w:w="853"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4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617"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53"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443" w:type="dxa"/>
            <w:tcBorders/>
            <w:shd w:fill="CCEEFF" w:val="clear"/>
            <w:tcMar>
              <w:top w:w="0" w:type="dxa"/>
              <w:left w:w="0" w:type="dxa"/>
              <w:bottom w:w="0" w:type="dxa"/>
              <w:right w:w="0" w:type="dxa"/>
            </w:tcMar>
            <w:vAlign w:val="center"/>
          </w:tcPr>
          <w:p>
            <w:pPr>
              <w:pStyle w:val="TableContents"/>
              <w:bidi w:val="0"/>
              <w:spacing w:before="0" w:after="283"/>
              <w:jc w:val="left"/>
              <w:rPr/>
            </w:pPr>
            <w:hyperlink w:anchor="notestofinancialstatements_777521">
              <w:r>
                <w:rPr>
                  <w:rStyle w:val="InternetLink"/>
                  <w:rFonts w:ascii="Times New Roman" w:hAnsi="Times New Roman"/>
                  <w:color w:val="0000FF"/>
                  <w:sz w:val="20"/>
                  <w:u w:val="single"/>
                </w:rPr>
                <w:t>Notes to Consolidated Financial Statements (unaudited)</w:t>
              </w:r>
            </w:hyperlink>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617"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r>
      <w:tr>
        <w:trPr/>
        <w:tc>
          <w:tcPr>
            <w:tcW w:w="853"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4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617"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53" w:type="dxa"/>
            <w:tcBorders/>
            <w:shd w:fill="CCEEFF" w:val="clear"/>
            <w:tcMar>
              <w:top w:w="0" w:type="dxa"/>
              <w:left w:w="0" w:type="dxa"/>
              <w:bottom w:w="0" w:type="dxa"/>
              <w:right w:w="0" w:type="dxa"/>
            </w:tcMar>
            <w:vAlign w:val="center"/>
          </w:tcPr>
          <w:p>
            <w:pPr>
              <w:pStyle w:val="TableContents"/>
              <w:bidi w:val="0"/>
              <w:spacing w:before="0" w:after="283"/>
              <w:jc w:val="right"/>
              <w:rPr/>
            </w:pPr>
            <w:hyperlink w:anchor="item2managementsdiscussionandanalysisoff">
              <w:r>
                <w:rPr>
                  <w:rStyle w:val="InternetLink"/>
                  <w:rFonts w:ascii="Times New Roman" w:hAnsi="Times New Roman"/>
                  <w:color w:val="000000"/>
                  <w:sz w:val="20"/>
                </w:rPr>
                <w:t>Item 2.</w:t>
              </w:r>
            </w:hyperlink>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443" w:type="dxa"/>
            <w:tcBorders/>
            <w:shd w:fill="CCEEFF" w:val="clear"/>
            <w:tcMar>
              <w:top w:w="0" w:type="dxa"/>
              <w:left w:w="0" w:type="dxa"/>
              <w:bottom w:w="0" w:type="dxa"/>
              <w:right w:w="0" w:type="dxa"/>
            </w:tcMar>
            <w:vAlign w:val="center"/>
          </w:tcPr>
          <w:p>
            <w:pPr>
              <w:pStyle w:val="TableContents"/>
              <w:bidi w:val="0"/>
              <w:spacing w:before="0" w:after="283"/>
              <w:jc w:val="left"/>
              <w:rPr/>
            </w:pPr>
            <w:hyperlink w:anchor="item2managementsdiscussionandanalysisoff">
              <w:r>
                <w:rPr>
                  <w:rStyle w:val="InternetLink"/>
                  <w:rFonts w:ascii="Times New Roman" w:hAnsi="Times New Roman"/>
                  <w:color w:val="0000FF"/>
                  <w:sz w:val="20"/>
                  <w:u w:val="single"/>
                </w:rPr>
                <w:t>Management’s Discussion and Analysis of Financial Condition and Results of Operations</w:t>
              </w:r>
            </w:hyperlink>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617"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w:t>
            </w:r>
          </w:p>
        </w:tc>
      </w:tr>
      <w:tr>
        <w:trPr/>
        <w:tc>
          <w:tcPr>
            <w:tcW w:w="853"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4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617"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53" w:type="dxa"/>
            <w:tcBorders/>
            <w:shd w:fill="CCEEFF" w:val="clear"/>
            <w:tcMar>
              <w:top w:w="0" w:type="dxa"/>
              <w:left w:w="0" w:type="dxa"/>
              <w:bottom w:w="0" w:type="dxa"/>
              <w:right w:w="0" w:type="dxa"/>
            </w:tcMar>
            <w:vAlign w:val="center"/>
          </w:tcPr>
          <w:p>
            <w:pPr>
              <w:pStyle w:val="TableContents"/>
              <w:bidi w:val="0"/>
              <w:spacing w:before="0" w:after="283"/>
              <w:jc w:val="right"/>
              <w:rPr/>
            </w:pPr>
            <w:hyperlink w:anchor="item3quantitativeandqualitativedisclosur">
              <w:r>
                <w:rPr>
                  <w:rStyle w:val="InternetLink"/>
                  <w:rFonts w:ascii="Times New Roman" w:hAnsi="Times New Roman"/>
                  <w:color w:val="000000"/>
                  <w:sz w:val="20"/>
                </w:rPr>
                <w:t>Item 3.</w:t>
              </w:r>
            </w:hyperlink>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443" w:type="dxa"/>
            <w:tcBorders/>
            <w:shd w:fill="CCEEFF" w:val="clear"/>
            <w:tcMar>
              <w:top w:w="0" w:type="dxa"/>
              <w:left w:w="0" w:type="dxa"/>
              <w:bottom w:w="0" w:type="dxa"/>
              <w:right w:w="0" w:type="dxa"/>
            </w:tcMar>
            <w:vAlign w:val="center"/>
          </w:tcPr>
          <w:p>
            <w:pPr>
              <w:pStyle w:val="TableContents"/>
              <w:bidi w:val="0"/>
              <w:spacing w:before="0" w:after="283"/>
              <w:jc w:val="left"/>
              <w:rPr/>
            </w:pPr>
            <w:hyperlink w:anchor="item3quantitativeandqualitativedisclosur">
              <w:r>
                <w:rPr>
                  <w:rStyle w:val="InternetLink"/>
                  <w:rFonts w:ascii="Times New Roman" w:hAnsi="Times New Roman"/>
                  <w:color w:val="0000FF"/>
                  <w:sz w:val="20"/>
                  <w:u w:val="single"/>
                </w:rPr>
                <w:t>Quantitative and Qualitative Disclosures About Market Risk</w:t>
              </w:r>
            </w:hyperlink>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617"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w:t>
            </w:r>
          </w:p>
        </w:tc>
      </w:tr>
      <w:tr>
        <w:trPr/>
        <w:tc>
          <w:tcPr>
            <w:tcW w:w="853"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4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617"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53" w:type="dxa"/>
            <w:tcBorders/>
            <w:shd w:fill="CCEEFF" w:val="clear"/>
            <w:tcMar>
              <w:top w:w="0" w:type="dxa"/>
              <w:left w:w="0" w:type="dxa"/>
              <w:bottom w:w="0" w:type="dxa"/>
              <w:right w:w="0" w:type="dxa"/>
            </w:tcMar>
            <w:vAlign w:val="center"/>
          </w:tcPr>
          <w:p>
            <w:pPr>
              <w:pStyle w:val="TableContents"/>
              <w:bidi w:val="0"/>
              <w:spacing w:before="0" w:after="283"/>
              <w:jc w:val="right"/>
              <w:rPr/>
            </w:pPr>
            <w:hyperlink w:anchor="item4controlsandprocedures_691536">
              <w:r>
                <w:rPr>
                  <w:rStyle w:val="InternetLink"/>
                  <w:rFonts w:ascii="Times New Roman" w:hAnsi="Times New Roman"/>
                  <w:color w:val="000000"/>
                  <w:sz w:val="20"/>
                </w:rPr>
                <w:t>Item 4.</w:t>
              </w:r>
            </w:hyperlink>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443" w:type="dxa"/>
            <w:tcBorders/>
            <w:shd w:fill="CCEEFF" w:val="clear"/>
            <w:tcMar>
              <w:top w:w="0" w:type="dxa"/>
              <w:left w:w="0" w:type="dxa"/>
              <w:bottom w:w="0" w:type="dxa"/>
              <w:right w:w="0" w:type="dxa"/>
            </w:tcMar>
            <w:vAlign w:val="center"/>
          </w:tcPr>
          <w:p>
            <w:pPr>
              <w:pStyle w:val="TableContents"/>
              <w:bidi w:val="0"/>
              <w:spacing w:before="0" w:after="283"/>
              <w:jc w:val="left"/>
              <w:rPr/>
            </w:pPr>
            <w:hyperlink w:anchor="item4controlsandprocedures_691536">
              <w:r>
                <w:rPr>
                  <w:rStyle w:val="InternetLink"/>
                  <w:rFonts w:ascii="Times New Roman" w:hAnsi="Times New Roman"/>
                  <w:color w:val="0000FF"/>
                  <w:sz w:val="20"/>
                  <w:u w:val="single"/>
                </w:rPr>
                <w:t>Controls and Procedures</w:t>
              </w:r>
            </w:hyperlink>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617"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w:t>
            </w:r>
          </w:p>
        </w:tc>
      </w:tr>
      <w:tr>
        <w:trPr/>
        <w:tc>
          <w:tcPr>
            <w:tcW w:w="85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4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617"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53" w:type="dxa"/>
            <w:tcBorders/>
            <w:shd w:fill="CCEEFF" w:val="clear"/>
            <w:tcMar>
              <w:top w:w="0" w:type="dxa"/>
              <w:left w:w="0" w:type="dxa"/>
              <w:bottom w:w="0" w:type="dxa"/>
              <w:right w:w="0" w:type="dxa"/>
            </w:tcMar>
            <w:vAlign w:val="center"/>
          </w:tcPr>
          <w:p>
            <w:pPr>
              <w:pStyle w:val="TableContents"/>
              <w:bidi w:val="0"/>
              <w:spacing w:before="0" w:after="283"/>
              <w:jc w:val="left"/>
              <w:rPr/>
            </w:pPr>
            <w:hyperlink w:anchor="partiiotherinformation_686450">
              <w:r>
                <w:rPr>
                  <w:rStyle w:val="InternetLink"/>
                  <w:rFonts w:ascii="Times New Roman" w:hAnsi="Times New Roman"/>
                  <w:b/>
                  <w:color w:val="000000"/>
                  <w:sz w:val="20"/>
                </w:rPr>
                <w:t>PART II.</w:t>
              </w:r>
            </w:hyperlink>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443" w:type="dxa"/>
            <w:tcBorders/>
            <w:shd w:fill="CCEEFF" w:val="clear"/>
            <w:tcMar>
              <w:top w:w="0" w:type="dxa"/>
              <w:left w:w="0" w:type="dxa"/>
              <w:bottom w:w="0" w:type="dxa"/>
              <w:right w:w="0" w:type="dxa"/>
            </w:tcMar>
            <w:vAlign w:val="center"/>
          </w:tcPr>
          <w:p>
            <w:pPr>
              <w:pStyle w:val="TableContents"/>
              <w:bidi w:val="0"/>
              <w:spacing w:before="0" w:after="283"/>
              <w:jc w:val="left"/>
              <w:rPr/>
            </w:pPr>
            <w:hyperlink w:anchor="partiiotherinformation_686450">
              <w:r>
                <w:rPr>
                  <w:rStyle w:val="InternetLink"/>
                  <w:rFonts w:ascii="Times New Roman" w:hAnsi="Times New Roman"/>
                  <w:b/>
                  <w:color w:val="000000"/>
                  <w:sz w:val="20"/>
                </w:rPr>
                <w:t>OTHER INFORMATION</w:t>
              </w:r>
            </w:hyperlink>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617"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w:t>
            </w:r>
          </w:p>
        </w:tc>
      </w:tr>
      <w:tr>
        <w:trPr/>
        <w:tc>
          <w:tcPr>
            <w:tcW w:w="85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4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617"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53" w:type="dxa"/>
            <w:tcBorders/>
            <w:shd w:fill="CCEEFF" w:val="clear"/>
            <w:tcMar>
              <w:top w:w="0" w:type="dxa"/>
              <w:left w:w="0" w:type="dxa"/>
              <w:bottom w:w="0" w:type="dxa"/>
              <w:right w:w="0" w:type="dxa"/>
            </w:tcMar>
            <w:vAlign w:val="center"/>
          </w:tcPr>
          <w:p>
            <w:pPr>
              <w:pStyle w:val="TableContents"/>
              <w:bidi w:val="0"/>
              <w:spacing w:before="0" w:after="283"/>
              <w:jc w:val="right"/>
              <w:rPr/>
            </w:pPr>
            <w:hyperlink w:anchor="item1legalproceedings_844818">
              <w:r>
                <w:rPr>
                  <w:rStyle w:val="InternetLink"/>
                  <w:rFonts w:ascii="Times New Roman" w:hAnsi="Times New Roman"/>
                  <w:color w:val="000000"/>
                  <w:sz w:val="20"/>
                </w:rPr>
                <w:t>Item 1.</w:t>
              </w:r>
            </w:hyperlink>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443" w:type="dxa"/>
            <w:tcBorders/>
            <w:shd w:fill="CCEEFF" w:val="clear"/>
            <w:tcMar>
              <w:top w:w="0" w:type="dxa"/>
              <w:left w:w="0" w:type="dxa"/>
              <w:bottom w:w="0" w:type="dxa"/>
              <w:right w:w="0" w:type="dxa"/>
            </w:tcMar>
            <w:vAlign w:val="center"/>
          </w:tcPr>
          <w:p>
            <w:pPr>
              <w:pStyle w:val="TableContents"/>
              <w:bidi w:val="0"/>
              <w:spacing w:before="0" w:after="283"/>
              <w:jc w:val="left"/>
              <w:rPr/>
            </w:pPr>
            <w:hyperlink w:anchor="item1legalproceedings_844818">
              <w:r>
                <w:rPr>
                  <w:rStyle w:val="InternetLink"/>
                  <w:rFonts w:ascii="Times New Roman" w:hAnsi="Times New Roman"/>
                  <w:color w:val="0000FF"/>
                  <w:sz w:val="20"/>
                  <w:u w:val="single"/>
                </w:rPr>
                <w:t>Legal Proceedings</w:t>
              </w:r>
            </w:hyperlink>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617"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w:t>
            </w:r>
          </w:p>
        </w:tc>
      </w:tr>
      <w:tr>
        <w:trPr/>
        <w:tc>
          <w:tcPr>
            <w:tcW w:w="853"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4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617"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53" w:type="dxa"/>
            <w:tcBorders/>
            <w:shd w:fill="CCEEFF" w:val="clear"/>
            <w:tcMar>
              <w:top w:w="0" w:type="dxa"/>
              <w:left w:w="0" w:type="dxa"/>
              <w:bottom w:w="0" w:type="dxa"/>
              <w:right w:w="0" w:type="dxa"/>
            </w:tcMar>
            <w:vAlign w:val="center"/>
          </w:tcPr>
          <w:p>
            <w:pPr>
              <w:pStyle w:val="TableContents"/>
              <w:bidi w:val="0"/>
              <w:spacing w:before="0" w:after="283"/>
              <w:jc w:val="right"/>
              <w:rPr/>
            </w:pPr>
            <w:hyperlink w:anchor="item1ariskfactors_996118">
              <w:r>
                <w:rPr>
                  <w:rStyle w:val="InternetLink"/>
                  <w:rFonts w:ascii="Times New Roman" w:hAnsi="Times New Roman"/>
                  <w:color w:val="000000"/>
                  <w:sz w:val="20"/>
                </w:rPr>
                <w:t>Item 1A.</w:t>
              </w:r>
            </w:hyperlink>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443" w:type="dxa"/>
            <w:tcBorders/>
            <w:shd w:fill="CCEEFF" w:val="clear"/>
            <w:tcMar>
              <w:top w:w="0" w:type="dxa"/>
              <w:left w:w="0" w:type="dxa"/>
              <w:bottom w:w="0" w:type="dxa"/>
              <w:right w:w="0" w:type="dxa"/>
            </w:tcMar>
            <w:vAlign w:val="center"/>
          </w:tcPr>
          <w:p>
            <w:pPr>
              <w:pStyle w:val="TableContents"/>
              <w:bidi w:val="0"/>
              <w:spacing w:before="0" w:after="283"/>
              <w:jc w:val="left"/>
              <w:rPr/>
            </w:pPr>
            <w:hyperlink w:anchor="item1ariskfactors_996118">
              <w:r>
                <w:rPr>
                  <w:rStyle w:val="InternetLink"/>
                  <w:rFonts w:ascii="Times New Roman" w:hAnsi="Times New Roman"/>
                  <w:color w:val="0000FF"/>
                  <w:sz w:val="20"/>
                  <w:u w:val="single"/>
                </w:rPr>
                <w:t>Risk Factors</w:t>
              </w:r>
            </w:hyperlink>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617"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w:t>
            </w:r>
          </w:p>
        </w:tc>
      </w:tr>
      <w:tr>
        <w:trPr/>
        <w:tc>
          <w:tcPr>
            <w:tcW w:w="853"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4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617"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53" w:type="dxa"/>
            <w:tcBorders/>
            <w:shd w:fill="CCEEFF" w:val="clear"/>
            <w:tcMar>
              <w:top w:w="0" w:type="dxa"/>
              <w:left w:w="0" w:type="dxa"/>
              <w:bottom w:w="0" w:type="dxa"/>
              <w:right w:w="0" w:type="dxa"/>
            </w:tcMar>
            <w:vAlign w:val="center"/>
          </w:tcPr>
          <w:p>
            <w:pPr>
              <w:pStyle w:val="TableContents"/>
              <w:bidi w:val="0"/>
              <w:spacing w:before="0" w:after="283"/>
              <w:jc w:val="right"/>
              <w:rPr/>
            </w:pPr>
            <w:hyperlink w:anchor="item2unregisteredsalesofequitysecurities">
              <w:r>
                <w:rPr>
                  <w:rStyle w:val="InternetLink"/>
                  <w:rFonts w:ascii="Times New Roman" w:hAnsi="Times New Roman"/>
                  <w:color w:val="000000"/>
                  <w:sz w:val="20"/>
                </w:rPr>
                <w:t>Item 2.</w:t>
              </w:r>
            </w:hyperlink>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443" w:type="dxa"/>
            <w:tcBorders/>
            <w:shd w:fill="CCEEFF" w:val="clear"/>
            <w:tcMar>
              <w:top w:w="0" w:type="dxa"/>
              <w:left w:w="0" w:type="dxa"/>
              <w:bottom w:w="0" w:type="dxa"/>
              <w:right w:w="0" w:type="dxa"/>
            </w:tcMar>
            <w:vAlign w:val="center"/>
          </w:tcPr>
          <w:p>
            <w:pPr>
              <w:pStyle w:val="TableContents"/>
              <w:bidi w:val="0"/>
              <w:spacing w:before="0" w:after="283"/>
              <w:jc w:val="left"/>
              <w:rPr/>
            </w:pPr>
            <w:hyperlink w:anchor="item2unregisteredsalesofequitysecurities">
              <w:r>
                <w:rPr>
                  <w:rStyle w:val="InternetLink"/>
                  <w:rFonts w:ascii="Times New Roman" w:hAnsi="Times New Roman"/>
                  <w:color w:val="0000FF"/>
                  <w:sz w:val="20"/>
                  <w:u w:val="single"/>
                </w:rPr>
                <w:t>Unregistered Sales of Equity Securities and Use of Proceeds</w:t>
              </w:r>
            </w:hyperlink>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617"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w:t>
            </w:r>
          </w:p>
        </w:tc>
      </w:tr>
      <w:tr>
        <w:trPr/>
        <w:tc>
          <w:tcPr>
            <w:tcW w:w="853"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4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617"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53" w:type="dxa"/>
            <w:tcBorders/>
            <w:shd w:fill="CCEEFF" w:val="clear"/>
            <w:tcMar>
              <w:top w:w="0" w:type="dxa"/>
              <w:left w:w="0" w:type="dxa"/>
              <w:bottom w:w="0" w:type="dxa"/>
              <w:right w:w="0" w:type="dxa"/>
            </w:tcMar>
            <w:vAlign w:val="center"/>
          </w:tcPr>
          <w:p>
            <w:pPr>
              <w:pStyle w:val="TableContents"/>
              <w:bidi w:val="0"/>
              <w:spacing w:before="0" w:after="283"/>
              <w:jc w:val="right"/>
              <w:rPr/>
            </w:pPr>
            <w:hyperlink w:anchor="item3defaultsuponseniorsecurities_59067">
              <w:r>
                <w:rPr>
                  <w:rStyle w:val="InternetLink"/>
                  <w:rFonts w:ascii="Times New Roman" w:hAnsi="Times New Roman"/>
                  <w:color w:val="000000"/>
                  <w:sz w:val="20"/>
                </w:rPr>
                <w:t>Item 3.</w:t>
              </w:r>
            </w:hyperlink>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443" w:type="dxa"/>
            <w:tcBorders/>
            <w:shd w:fill="CCEEFF" w:val="clear"/>
            <w:tcMar>
              <w:top w:w="0" w:type="dxa"/>
              <w:left w:w="0" w:type="dxa"/>
              <w:bottom w:w="0" w:type="dxa"/>
              <w:right w:w="0" w:type="dxa"/>
            </w:tcMar>
            <w:vAlign w:val="center"/>
          </w:tcPr>
          <w:p>
            <w:pPr>
              <w:pStyle w:val="TableContents"/>
              <w:bidi w:val="0"/>
              <w:spacing w:before="0" w:after="283"/>
              <w:jc w:val="left"/>
              <w:rPr/>
            </w:pPr>
            <w:hyperlink w:anchor="item3defaultsuponseniorsecurities_59067">
              <w:r>
                <w:rPr>
                  <w:rStyle w:val="InternetLink"/>
                  <w:rFonts w:ascii="Times New Roman" w:hAnsi="Times New Roman"/>
                  <w:color w:val="0000FF"/>
                  <w:sz w:val="20"/>
                  <w:u w:val="single"/>
                </w:rPr>
                <w:t>Defaults Upon Senior Securities</w:t>
              </w:r>
            </w:hyperlink>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617"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w:t>
            </w:r>
          </w:p>
        </w:tc>
      </w:tr>
      <w:tr>
        <w:trPr/>
        <w:tc>
          <w:tcPr>
            <w:tcW w:w="853"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4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617"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53" w:type="dxa"/>
            <w:tcBorders/>
            <w:shd w:fill="CCEEFF" w:val="clear"/>
            <w:tcMar>
              <w:top w:w="0" w:type="dxa"/>
              <w:left w:w="0" w:type="dxa"/>
              <w:bottom w:w="0" w:type="dxa"/>
              <w:right w:w="0" w:type="dxa"/>
            </w:tcMar>
            <w:vAlign w:val="center"/>
          </w:tcPr>
          <w:p>
            <w:pPr>
              <w:pStyle w:val="TableContents"/>
              <w:bidi w:val="0"/>
              <w:spacing w:before="0" w:after="283"/>
              <w:jc w:val="right"/>
              <w:rPr/>
            </w:pPr>
            <w:hyperlink w:anchor="item4minesafetydisclosures_325402">
              <w:r>
                <w:rPr>
                  <w:rStyle w:val="InternetLink"/>
                  <w:rFonts w:ascii="Times New Roman" w:hAnsi="Times New Roman"/>
                  <w:color w:val="000000"/>
                  <w:sz w:val="20"/>
                </w:rPr>
                <w:t>Item 4.</w:t>
              </w:r>
            </w:hyperlink>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443" w:type="dxa"/>
            <w:tcBorders/>
            <w:shd w:fill="CCEEFF" w:val="clear"/>
            <w:tcMar>
              <w:top w:w="0" w:type="dxa"/>
              <w:left w:w="0" w:type="dxa"/>
              <w:bottom w:w="0" w:type="dxa"/>
              <w:right w:w="0" w:type="dxa"/>
            </w:tcMar>
            <w:vAlign w:val="center"/>
          </w:tcPr>
          <w:p>
            <w:pPr>
              <w:pStyle w:val="TableContents"/>
              <w:bidi w:val="0"/>
              <w:spacing w:before="0" w:after="283"/>
              <w:jc w:val="left"/>
              <w:rPr/>
            </w:pPr>
            <w:hyperlink w:anchor="item4minesafetydisclosures_325402">
              <w:r>
                <w:rPr>
                  <w:rStyle w:val="InternetLink"/>
                  <w:rFonts w:ascii="Times New Roman" w:hAnsi="Times New Roman"/>
                  <w:color w:val="0000FF"/>
                  <w:sz w:val="20"/>
                  <w:u w:val="single"/>
                </w:rPr>
                <w:t>Mine Safety Disclosures</w:t>
              </w:r>
            </w:hyperlink>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617"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w:t>
            </w:r>
          </w:p>
        </w:tc>
      </w:tr>
      <w:tr>
        <w:trPr/>
        <w:tc>
          <w:tcPr>
            <w:tcW w:w="853"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4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617"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53" w:type="dxa"/>
            <w:tcBorders/>
            <w:shd w:fill="CCEEFF" w:val="clear"/>
            <w:tcMar>
              <w:top w:w="0" w:type="dxa"/>
              <w:left w:w="0" w:type="dxa"/>
              <w:bottom w:w="0" w:type="dxa"/>
              <w:right w:w="0" w:type="dxa"/>
            </w:tcMar>
            <w:vAlign w:val="center"/>
          </w:tcPr>
          <w:p>
            <w:pPr>
              <w:pStyle w:val="TableContents"/>
              <w:bidi w:val="0"/>
              <w:spacing w:before="0" w:after="283"/>
              <w:jc w:val="right"/>
              <w:rPr/>
            </w:pPr>
            <w:hyperlink w:anchor="item5otherinformation_981141">
              <w:r>
                <w:rPr>
                  <w:rStyle w:val="InternetLink"/>
                  <w:rFonts w:ascii="Times New Roman" w:hAnsi="Times New Roman"/>
                  <w:color w:val="000000"/>
                  <w:sz w:val="20"/>
                </w:rPr>
                <w:t>Item 5.</w:t>
              </w:r>
            </w:hyperlink>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443" w:type="dxa"/>
            <w:tcBorders/>
            <w:shd w:fill="CCEEFF" w:val="clear"/>
            <w:tcMar>
              <w:top w:w="0" w:type="dxa"/>
              <w:left w:w="0" w:type="dxa"/>
              <w:bottom w:w="0" w:type="dxa"/>
              <w:right w:w="0" w:type="dxa"/>
            </w:tcMar>
            <w:vAlign w:val="center"/>
          </w:tcPr>
          <w:p>
            <w:pPr>
              <w:pStyle w:val="TableContents"/>
              <w:bidi w:val="0"/>
              <w:spacing w:before="0" w:after="283"/>
              <w:jc w:val="left"/>
              <w:rPr/>
            </w:pPr>
            <w:hyperlink w:anchor="item5otherinformation_981141">
              <w:r>
                <w:rPr>
                  <w:rStyle w:val="InternetLink"/>
                  <w:rFonts w:ascii="Times New Roman" w:hAnsi="Times New Roman"/>
                  <w:color w:val="0000FF"/>
                  <w:sz w:val="20"/>
                  <w:u w:val="single"/>
                </w:rPr>
                <w:t>Other Information</w:t>
              </w:r>
            </w:hyperlink>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617"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w:t>
            </w:r>
          </w:p>
        </w:tc>
      </w:tr>
      <w:tr>
        <w:trPr/>
        <w:tc>
          <w:tcPr>
            <w:tcW w:w="853"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4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617"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53" w:type="dxa"/>
            <w:tcBorders/>
            <w:shd w:fill="CCEEFF" w:val="clear"/>
            <w:tcMar>
              <w:top w:w="0" w:type="dxa"/>
              <w:left w:w="0" w:type="dxa"/>
              <w:bottom w:w="0" w:type="dxa"/>
              <w:right w:w="0" w:type="dxa"/>
            </w:tcMar>
            <w:vAlign w:val="center"/>
          </w:tcPr>
          <w:p>
            <w:pPr>
              <w:pStyle w:val="TableContents"/>
              <w:bidi w:val="0"/>
              <w:spacing w:before="0" w:after="283"/>
              <w:jc w:val="right"/>
              <w:rPr/>
            </w:pPr>
            <w:hyperlink w:anchor="item6exhibits_524452">
              <w:r>
                <w:rPr>
                  <w:rStyle w:val="InternetLink"/>
                  <w:rFonts w:ascii="Times New Roman" w:hAnsi="Times New Roman"/>
                  <w:color w:val="000000"/>
                  <w:sz w:val="20"/>
                </w:rPr>
                <w:t>Item 6.</w:t>
              </w:r>
            </w:hyperlink>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443" w:type="dxa"/>
            <w:tcBorders/>
            <w:shd w:fill="CCEEFF" w:val="clear"/>
            <w:tcMar>
              <w:top w:w="0" w:type="dxa"/>
              <w:left w:w="0" w:type="dxa"/>
              <w:bottom w:w="0" w:type="dxa"/>
              <w:right w:w="0" w:type="dxa"/>
            </w:tcMar>
            <w:vAlign w:val="center"/>
          </w:tcPr>
          <w:p>
            <w:pPr>
              <w:pStyle w:val="TableContents"/>
              <w:bidi w:val="0"/>
              <w:spacing w:before="0" w:after="283"/>
              <w:jc w:val="left"/>
              <w:rPr/>
            </w:pPr>
            <w:hyperlink w:anchor="item6exhibits_524452">
              <w:r>
                <w:rPr>
                  <w:rStyle w:val="InternetLink"/>
                  <w:rFonts w:ascii="Times New Roman" w:hAnsi="Times New Roman"/>
                  <w:color w:val="0000FF"/>
                  <w:sz w:val="20"/>
                  <w:u w:val="single"/>
                </w:rPr>
                <w:t>Exhibits</w:t>
              </w:r>
            </w:hyperlink>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617"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w:t>
            </w:r>
          </w:p>
        </w:tc>
      </w:tr>
      <w:tr>
        <w:trPr/>
        <w:tc>
          <w:tcPr>
            <w:tcW w:w="8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4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617"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442" w:type="dxa"/>
            <w:gridSpan w:val="3"/>
            <w:tcBorders/>
            <w:shd w:fill="CCEEFF" w:val="clear"/>
            <w:tcMar>
              <w:top w:w="0" w:type="dxa"/>
              <w:left w:w="0" w:type="dxa"/>
              <w:bottom w:w="0" w:type="dxa"/>
              <w:right w:w="0" w:type="dxa"/>
            </w:tcMar>
            <w:vAlign w:val="center"/>
          </w:tcPr>
          <w:p>
            <w:pPr>
              <w:pStyle w:val="TableContents"/>
              <w:bidi w:val="0"/>
              <w:spacing w:before="0" w:after="283"/>
              <w:jc w:val="left"/>
              <w:rPr/>
            </w:pPr>
            <w:hyperlink w:anchor="signatures_230440">
              <w:r>
                <w:rPr>
                  <w:rStyle w:val="InternetLink"/>
                  <w:rFonts w:ascii="Times New Roman" w:hAnsi="Times New Roman"/>
                  <w:b/>
                  <w:color w:val="000000"/>
                  <w:sz w:val="20"/>
                </w:rPr>
                <w:t>SIGNATURES</w:t>
              </w:r>
            </w:hyperlink>
            <w:hyperlink w:anchor="signatures_230440">
              <w:r>
                <w:rPr>
                  <w:rStyle w:val="InternetLink"/>
                  <w:rFonts w:ascii="Times New Roman" w:hAnsi="Times New Roman"/>
                  <w:color w:val="000000"/>
                  <w:sz w:val="20"/>
                </w:rPr>
                <w:t xml:space="preserve"> </w:t>
              </w:r>
            </w:hyperlink>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617"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w:t>
            </w:r>
          </w:p>
        </w:tc>
      </w:tr>
    </w:tbl>
    <w:p>
      <w:pPr>
        <w:pStyle w:val="TextBody"/>
        <w:bidi w:val="0"/>
        <w:jc w:val="left"/>
        <w:rPr/>
      </w:pPr>
      <w:r>
        <w:rPr/>
        <w:t> </w:t>
      </w:r>
    </w:p>
    <w:p>
      <w:pPr>
        <w:pStyle w:val="TextBody"/>
        <w:bidi w:val="0"/>
        <w:jc w:val="left"/>
        <w:rPr/>
      </w:pPr>
      <w:r>
        <w:rPr/>
        <w:t> </w:t>
      </w:r>
    </w:p>
    <w:p>
      <w:pPr>
        <w:pStyle w:val="TextBody"/>
        <w:bidi w:val="0"/>
        <w:spacing w:before="24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120"/>
        <w:jc w:val="left"/>
        <w:rPr/>
      </w:pPr>
      <w:r>
        <w:rPr/>
        <w:t> </w:t>
      </w:r>
    </w:p>
    <w:p>
      <w:pPr>
        <w:pStyle w:val="Heading1"/>
        <w:bidi w:val="0"/>
        <w:spacing w:before="0" w:after="240"/>
        <w:jc w:val="left"/>
        <w:rPr>
          <w:rFonts w:ascii="Times New Roman" w:hAnsi="Times New Roman"/>
          <w:color w:val="000000"/>
          <w:sz w:val="20"/>
        </w:rPr>
      </w:pPr>
      <w:bookmarkStart w:id="3" w:name="partifinancialinformation_110173"/>
      <w:bookmarkEnd w:id="3"/>
      <w:r>
        <w:rPr>
          <w:rFonts w:ascii="Times New Roman" w:hAnsi="Times New Roman"/>
          <w:color w:val="000000"/>
          <w:sz w:val="20"/>
        </w:rPr>
        <w:t>PART I. FINANCIAL INFORMATION</w:t>
      </w:r>
    </w:p>
    <w:p>
      <w:pPr>
        <w:pStyle w:val="Heading1"/>
        <w:bidi w:val="0"/>
        <w:spacing w:before="0" w:after="240"/>
        <w:jc w:val="left"/>
        <w:rPr>
          <w:rFonts w:ascii="Times New Roman" w:hAnsi="Times New Roman"/>
          <w:color w:val="000000"/>
          <w:sz w:val="20"/>
        </w:rPr>
      </w:pPr>
      <w:bookmarkStart w:id="4" w:name="item1financialstatements_531063"/>
      <w:bookmarkEnd w:id="4"/>
      <w:r>
        <w:rPr>
          <w:rFonts w:ascii="Times New Roman" w:hAnsi="Times New Roman"/>
          <w:color w:val="000000"/>
          <w:sz w:val="20"/>
        </w:rPr>
        <w:t>Item 1. Consolidated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RUNWAY GROWTH FINANCE CORP.</w:t>
      </w:r>
    </w:p>
    <w:p>
      <w:pPr>
        <w:pStyle w:val="TextBody"/>
        <w:bidi w:val="0"/>
        <w:jc w:val="center"/>
        <w:rPr>
          <w:rFonts w:ascii="Times New Roman" w:hAnsi="Times New Roman"/>
          <w:b/>
          <w:color w:val="000000"/>
          <w:sz w:val="20"/>
        </w:rPr>
      </w:pPr>
      <w:r>
        <w:rPr>
          <w:rFonts w:ascii="Times New Roman" w:hAnsi="Times New Roman"/>
          <w:b/>
          <w:color w:val="000000"/>
          <w:sz w:val="20"/>
        </w:rPr>
        <w:t>Consolidated Statements of Assets and Liabilities</w:t>
      </w:r>
    </w:p>
    <w:p>
      <w:pPr>
        <w:pStyle w:val="TextBody"/>
        <w:bidi w:val="0"/>
        <w:spacing w:before="0" w:after="240"/>
        <w:jc w:val="center"/>
        <w:rPr>
          <w:rFonts w:ascii="Times New Roman" w:hAnsi="Times New Roman"/>
          <w:b/>
          <w:color w:val="000000"/>
          <w:sz w:val="20"/>
        </w:rPr>
      </w:pPr>
      <w:bookmarkStart w:id="5" w:name="statementsofassetsandliabilities_107261"/>
      <w:bookmarkEnd w:id="5"/>
      <w:r>
        <w:rPr>
          <w:rFonts w:ascii="Times New Roman" w:hAnsi="Times New Roman"/>
          <w:b/>
          <w:color w:val="000000"/>
          <w:sz w:val="20"/>
        </w:rPr>
        <w:t>(In thousands, except share and per share data)</w:t>
      </w:r>
    </w:p>
    <w:tbl>
      <w:tblPr>
        <w:tblW w:w="10205" w:type="dxa"/>
        <w:jc w:val="left"/>
        <w:tblInd w:w="0" w:type="dxa"/>
        <w:tblLayout w:type="fixed"/>
        <w:tblCellMar>
          <w:top w:w="28" w:type="dxa"/>
          <w:left w:w="28" w:type="dxa"/>
          <w:bottom w:w="28" w:type="dxa"/>
          <w:right w:w="28" w:type="dxa"/>
        </w:tblCellMar>
      </w:tblPr>
      <w:tblGrid>
        <w:gridCol w:w="6594"/>
        <w:gridCol w:w="146"/>
        <w:gridCol w:w="196"/>
        <w:gridCol w:w="146"/>
        <w:gridCol w:w="917"/>
        <w:gridCol w:w="166"/>
        <w:gridCol w:w="146"/>
        <w:gridCol w:w="230"/>
        <w:gridCol w:w="172"/>
        <w:gridCol w:w="1079"/>
        <w:gridCol w:w="413"/>
      </w:tblGrid>
      <w:tr>
        <w:trPr/>
        <w:tc>
          <w:tcPr>
            <w:tcW w:w="659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65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59"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81"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5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59"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(Unaudited)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5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3"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5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Investments at fair value: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59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16"/>
              </w:rPr>
              <w:t>Non-control/non-affiliate investments at fair value (cost of $968,725</w:t>
            </w:r>
            <w:r>
              <w:rPr>
                <w:rFonts w:ascii="Times New Roman" w:hAnsi="Times New Roman"/>
                <w:color w:val="000000"/>
                <w:sz w:val="20"/>
              </w:rPr>
              <w:t> </w:t>
            </w:r>
            <w:r>
              <w:rPr>
                <w:rFonts w:ascii="Times New Roman" w:hAnsi="Times New Roman"/>
                <w:color w:val="000000"/>
                <w:sz w:val="16"/>
              </w:rPr>
              <w:t>and $961,646,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873,311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912,656</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59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16"/>
              </w:rPr>
              <w:t>Affiliate investments at fair value (cost of $4,551</w:t>
            </w:r>
            <w:r>
              <w:rPr>
                <w:rFonts w:ascii="Times New Roman" w:hAnsi="Times New Roman"/>
                <w:color w:val="000000"/>
                <w:sz w:val="20"/>
              </w:rPr>
              <w:t> </w:t>
            </w:r>
            <w:r>
              <w:rPr>
                <w:rFonts w:ascii="Times New Roman" w:hAnsi="Times New Roman"/>
                <w:color w:val="000000"/>
                <w:sz w:val="16"/>
              </w:rPr>
              <w:t>and $4,551,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59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16"/>
              </w:rPr>
              <w:t>Control investments at fair value (cost of $12,180</w:t>
            </w:r>
            <w:r>
              <w:rPr>
                <w:rFonts w:ascii="Times New Roman" w:hAnsi="Times New Roman"/>
                <w:color w:val="000000"/>
                <w:sz w:val="20"/>
              </w:rPr>
              <w:t> </w:t>
            </w:r>
            <w:r>
              <w:rPr>
                <w:rFonts w:ascii="Times New Roman" w:hAnsi="Times New Roman"/>
                <w:color w:val="000000"/>
                <w:sz w:val="16"/>
              </w:rPr>
              <w:t>and $13,233,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13,035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14,746</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16"/>
              </w:rPr>
              <w:t>Total investments at fair value (cost of $985,456</w:t>
            </w:r>
            <w:r>
              <w:rPr>
                <w:rFonts w:ascii="Times New Roman" w:hAnsi="Times New Roman"/>
                <w:color w:val="000000"/>
                <w:sz w:val="20"/>
              </w:rPr>
              <w:t> </w:t>
            </w:r>
            <w:r>
              <w:rPr>
                <w:rFonts w:ascii="Times New Roman" w:hAnsi="Times New Roman"/>
                <w:color w:val="000000"/>
                <w:sz w:val="16"/>
              </w:rPr>
              <w:t>and $979,430,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917"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886,346</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72"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079"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927,402</w:t>
            </w:r>
          </w:p>
        </w:tc>
        <w:tc>
          <w:tcPr>
            <w:tcW w:w="413"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r>
        <w:trPr/>
        <w:tc>
          <w:tcPr>
            <w:tcW w:w="65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18,175</w:t>
            </w:r>
          </w:p>
        </w:tc>
        <w:tc>
          <w:tcPr>
            <w:tcW w:w="4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Interest and fees receivable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8,540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7,594</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Deferred financing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3,895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4,217</w:t>
            </w:r>
          </w:p>
        </w:tc>
        <w:tc>
          <w:tcPr>
            <w:tcW w:w="4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Other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3,833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2,726</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5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16"/>
              </w:rPr>
            </w:pPr>
            <w:r>
              <w:rPr>
                <w:rFonts w:ascii="Times New Roman" w:hAnsi="Times New Roman"/>
                <w:b/>
                <w:color w:val="000000"/>
                <w:sz w:val="16"/>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904,926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7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960,114</w:t>
            </w:r>
          </w:p>
        </w:tc>
        <w:tc>
          <w:tcPr>
            <w:tcW w:w="413"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5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3"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5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59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Credit facility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180,000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173,000</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59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2026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25,000</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59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2027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40,250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132,250</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59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2028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107,000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107,000</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59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2031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103,250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59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Deferred financing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(3,556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(1,913</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65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Total debt, less deferred financing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426,944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435,337</w:t>
            </w:r>
          </w:p>
        </w:tc>
        <w:tc>
          <w:tcPr>
            <w:tcW w:w="4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Incentive fees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14,851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14,444</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Interest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7,199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6,756</w:t>
            </w:r>
          </w:p>
        </w:tc>
        <w:tc>
          <w:tcPr>
            <w:tcW w:w="4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Foreign currency forward contracts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711</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Secured borrowings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14,759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14,578</w:t>
            </w:r>
          </w:p>
        </w:tc>
        <w:tc>
          <w:tcPr>
            <w:tcW w:w="4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Accrued expenses and other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2,769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3,319</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5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16"/>
              </w:rPr>
            </w:pPr>
            <w:r>
              <w:rPr>
                <w:rFonts w:ascii="Times New Roman" w:hAnsi="Times New Roman"/>
                <w:b/>
                <w:color w:val="000000"/>
                <w:sz w:val="16"/>
              </w:rPr>
              <w:t>Total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466,698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7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475,145</w:t>
            </w:r>
          </w:p>
        </w:tc>
        <w:tc>
          <w:tcPr>
            <w:tcW w:w="4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5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Commitments, Contingencies, and Off-Balance Sheet Arrangements (Note 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3"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5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Net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59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Common stock, par value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361</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59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Additional paid-in capital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534,238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534,508</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59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Accumulated undistributed (overdistributed) earnings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(96,371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(49,900</w:t>
            </w:r>
          </w:p>
        </w:tc>
        <w:tc>
          <w:tcPr>
            <w:tcW w:w="41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65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16"/>
              </w:rPr>
            </w:pPr>
            <w:r>
              <w:rPr>
                <w:rFonts w:ascii="Times New Roman" w:hAnsi="Times New Roman"/>
                <w:b/>
                <w:color w:val="000000"/>
                <w:sz w:val="16"/>
              </w:rPr>
              <w:t>Total net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438,228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484,969</w:t>
            </w:r>
          </w:p>
        </w:tc>
        <w:tc>
          <w:tcPr>
            <w:tcW w:w="4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5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3"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5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Shares of common stock outstanding ($0.01</w:t>
            </w:r>
            <w:r>
              <w:rPr>
                <w:rFonts w:ascii="Times New Roman" w:hAnsi="Times New Roman"/>
                <w:color w:val="000000"/>
                <w:sz w:val="20"/>
              </w:rPr>
              <w:t> </w:t>
            </w:r>
            <w:r>
              <w:rPr>
                <w:rFonts w:ascii="Times New Roman" w:hAnsi="Times New Roman"/>
                <w:color w:val="000000"/>
                <w:sz w:val="16"/>
              </w:rPr>
              <w:t>par value, 100,000,000</w:t>
            </w:r>
            <w:r>
              <w:rPr>
                <w:rFonts w:ascii="Times New Roman" w:hAnsi="Times New Roman"/>
                <w:color w:val="000000"/>
                <w:sz w:val="20"/>
              </w:rPr>
              <w:t> </w:t>
            </w:r>
            <w:r>
              <w:rPr>
                <w:rFonts w:ascii="Times New Roman" w:hAnsi="Times New Roman"/>
                <w:color w:val="000000"/>
                <w:sz w:val="16"/>
              </w:rPr>
              <w:t>shares authorized)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36,134,037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36,134,037</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asset value per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12.13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13.42</w:t>
            </w:r>
          </w:p>
        </w:tc>
        <w:tc>
          <w:tcPr>
            <w:tcW w:w="4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See notes to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12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RUNWAY GROWTH FINANCE CORP.</w:t>
      </w:r>
    </w:p>
    <w:p>
      <w:pPr>
        <w:pStyle w:val="TextBody"/>
        <w:bidi w:val="0"/>
        <w:jc w:val="center"/>
        <w:rPr>
          <w:rFonts w:ascii="Times New Roman" w:hAnsi="Times New Roman"/>
          <w:b/>
          <w:color w:val="000000"/>
          <w:sz w:val="20"/>
        </w:rPr>
      </w:pPr>
      <w:bookmarkStart w:id="6" w:name="statementsofoperations"/>
      <w:bookmarkEnd w:id="6"/>
      <w:r>
        <w:rPr>
          <w:rFonts w:ascii="Times New Roman" w:hAnsi="Times New Roman"/>
          <w:b/>
          <w:color w:val="000000"/>
          <w:sz w:val="20"/>
        </w:rPr>
        <w:t>Consolidated Statements of Operations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(In thousands, except share and per share data)</w:t>
      </w:r>
    </w:p>
    <w:tbl>
      <w:tblPr>
        <w:tblW w:w="10205" w:type="dxa"/>
        <w:jc w:val="left"/>
        <w:tblInd w:w="0" w:type="dxa"/>
        <w:tblLayout w:type="fixed"/>
        <w:tblCellMar>
          <w:top w:w="28" w:type="dxa"/>
          <w:left w:w="28" w:type="dxa"/>
          <w:bottom w:w="28" w:type="dxa"/>
          <w:right w:w="28" w:type="dxa"/>
        </w:tblCellMar>
      </w:tblPr>
      <w:tblGrid>
        <w:gridCol w:w="6866"/>
        <w:gridCol w:w="196"/>
        <w:gridCol w:w="146"/>
        <w:gridCol w:w="916"/>
        <w:gridCol w:w="166"/>
        <w:gridCol w:w="146"/>
        <w:gridCol w:w="196"/>
        <w:gridCol w:w="146"/>
        <w:gridCol w:w="916"/>
        <w:gridCol w:w="511"/>
      </w:tblGrid>
      <w:tr>
        <w:trPr/>
        <w:tc>
          <w:tcPr>
            <w:tcW w:w="686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r>
      <w:tr>
        <w:trPr/>
        <w:tc>
          <w:tcPr>
            <w:tcW w:w="68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8" w:type="dxa"/>
            <w:gridSpan w:val="8"/>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8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5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8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Investment income</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8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From non-control/non-affiliate investments: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Interest income</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23,591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30,109</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Payment-in-kind interest income</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3,651</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Dividend income</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318</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Fee income</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229</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8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From affiliate investments:</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Interest income</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646</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Fee income</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256</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8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From control investments: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Interest income</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8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Other income</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189</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686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6"/>
              </w:rPr>
            </w:pPr>
            <w:r>
              <w:rPr>
                <w:rFonts w:ascii="Times New Roman" w:hAnsi="Times New Roman"/>
                <w:color w:val="000000"/>
                <w:sz w:val="16"/>
              </w:rPr>
              <w:t>Total investment income</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29,450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35,398</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686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Operating expenses</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8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Management fees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4,009</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8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Incentive fees</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3,929</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8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Interest and other debt financing expenses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10,486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10,287</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8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Professional fees</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454</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8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Administration agreement expenses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625</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8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Insurance expense</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155</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8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Tax expense</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110</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8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Other expenses</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230</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686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6"/>
              </w:rPr>
            </w:pPr>
            <w:r>
              <w:rPr>
                <w:rFonts w:ascii="Times New Roman" w:hAnsi="Times New Roman"/>
                <w:color w:val="000000"/>
                <w:sz w:val="16"/>
              </w:rPr>
              <w:t>Total operating expenses</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18,826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19,799</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8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Net investment income</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10,624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15,599</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Net realized and net change in unrealized gain (loss)</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8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Net realized gain (loss):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Non-control/non-affiliate investments</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(2,886</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68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Affiliate investments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8,943</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Control investments</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1,050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686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6"/>
              </w:rPr>
            </w:pPr>
            <w:r>
              <w:rPr>
                <w:rFonts w:ascii="Times New Roman" w:hAnsi="Times New Roman"/>
                <w:color w:val="000000"/>
                <w:sz w:val="16"/>
              </w:rPr>
              <w:t>Net realized gain (loss) on investments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1,257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6,057</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Net realized gain (loss) on forward contracts and foreign currency transactions</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686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6"/>
              </w:rPr>
            </w:pPr>
            <w:r>
              <w:rPr>
                <w:rFonts w:ascii="Times New Roman" w:hAnsi="Times New Roman"/>
                <w:color w:val="000000"/>
                <w:sz w:val="16"/>
              </w:rPr>
              <w:t>Net realized gain (loss)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1,252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6,057</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686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8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Net change in unrealized gain (loss):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Non-control/non-affiliate investments</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(46,424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(9,799</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68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Affiliate investments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(9,925</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68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Control investments</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(658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(66</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300"/>
              <w:jc w:val="left"/>
              <w:rPr>
                <w:rFonts w:ascii="Times New Roman" w:hAnsi="Times New Roman"/>
                <w:color w:val="000000"/>
                <w:sz w:val="16"/>
              </w:rPr>
            </w:pPr>
            <w:r>
              <w:rPr>
                <w:rFonts w:ascii="Times New Roman" w:hAnsi="Times New Roman"/>
                <w:color w:val="000000"/>
                <w:sz w:val="16"/>
              </w:rPr>
              <w:t>)</w:t>
            </w:r>
          </w:p>
        </w:tc>
      </w:tr>
      <w:tr>
        <w:trPr/>
        <w:tc>
          <w:tcPr>
            <w:tcW w:w="686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6"/>
              </w:rPr>
            </w:pPr>
            <w:r>
              <w:rPr>
                <w:rFonts w:ascii="Times New Roman" w:hAnsi="Times New Roman"/>
                <w:color w:val="000000"/>
                <w:sz w:val="16"/>
              </w:rPr>
              <w:t>Net change in unrealized gain (loss) on investments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(47,082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(19,790</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68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Net change in unrealized gain (loss) on forward contracts and foreign currency transactions</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Net change in unrealized gain (loss) on secured borrowings</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686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6"/>
              </w:rPr>
            </w:pPr>
            <w:r>
              <w:rPr>
                <w:rFonts w:ascii="Times New Roman" w:hAnsi="Times New Roman"/>
                <w:color w:val="000000"/>
                <w:sz w:val="16"/>
              </w:rPr>
              <w:t>Net change in unrealized gain (loss)</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(46,693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(19,790</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6"/>
              </w:rPr>
            </w:pPr>
            <w:r>
              <w:rPr>
                <w:rFonts w:ascii="Times New Roman" w:hAnsi="Times New Roman"/>
                <w:color w:val="000000"/>
                <w:sz w:val="16"/>
              </w:rPr>
              <w:t>)</w:t>
            </w:r>
          </w:p>
        </w:tc>
      </w:tr>
      <w:tr>
        <w:trPr/>
        <w:tc>
          <w:tcPr>
            <w:tcW w:w="686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8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Net realized and unrealized gain (loss)</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(45,441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(13,733</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68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8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Net increase (decrease) in net assets resulting from operations</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(34,817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1,866</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8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increase (decrease) in net assets resulting from operations per common share (basic and diluted)</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(0.96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0.05</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Weighted average shares outstanding (basic and diluted)</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36,134,037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37,347,428</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See notes to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12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RUNWAY GROWTH FINANCE CORP.</w:t>
      </w:r>
    </w:p>
    <w:p>
      <w:pPr>
        <w:pStyle w:val="TextBody"/>
        <w:bidi w:val="0"/>
        <w:jc w:val="center"/>
        <w:rPr>
          <w:rFonts w:ascii="Times New Roman" w:hAnsi="Times New Roman"/>
          <w:b/>
          <w:color w:val="000000"/>
          <w:sz w:val="20"/>
        </w:rPr>
      </w:pPr>
      <w:bookmarkStart w:id="7" w:name="statementsofchangesinnetassets_914180"/>
      <w:bookmarkEnd w:id="7"/>
      <w:r>
        <w:rPr>
          <w:rFonts w:ascii="Times New Roman" w:hAnsi="Times New Roman"/>
          <w:b/>
          <w:color w:val="000000"/>
          <w:sz w:val="20"/>
        </w:rPr>
        <w:t>Consolidated Statements of Changes in Net Assets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(In thousands, except share data)</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329"/>
        <w:gridCol w:w="921"/>
        <w:gridCol w:w="346"/>
        <w:gridCol w:w="186"/>
        <w:gridCol w:w="1169"/>
        <w:gridCol w:w="146"/>
        <w:gridCol w:w="146"/>
        <w:gridCol w:w="210"/>
        <w:gridCol w:w="157"/>
        <w:gridCol w:w="405"/>
        <w:gridCol w:w="146"/>
        <w:gridCol w:w="146"/>
        <w:gridCol w:w="211"/>
        <w:gridCol w:w="157"/>
        <w:gridCol w:w="746"/>
        <w:gridCol w:w="166"/>
        <w:gridCol w:w="146"/>
        <w:gridCol w:w="407"/>
        <w:gridCol w:w="274"/>
        <w:gridCol w:w="1019"/>
        <w:gridCol w:w="166"/>
        <w:gridCol w:w="146"/>
        <w:gridCol w:w="216"/>
        <w:gridCol w:w="161"/>
        <w:gridCol w:w="764"/>
        <w:gridCol w:w="319"/>
      </w:tblGrid>
      <w:tr>
        <w:trPr/>
        <w:tc>
          <w:tcPr>
            <w:tcW w:w="1329"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16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r>
      <w:tr>
        <w:trPr/>
        <w:tc>
          <w:tcPr>
            <w:tcW w:w="13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9" w:type="dxa"/>
            <w:gridSpan w:val="7"/>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4"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0"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 Undistributed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b/>
                <w:color w:val="000000"/>
                <w:sz w:val="16"/>
              </w:rPr>
              <w:t>For the Three Months Ended March 31, 2026</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Outstanding Shares ⁽¹⁾</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2"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4"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Paid-in 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0"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(Overdistributed) earnings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 Net Assets</w:t>
            </w:r>
          </w:p>
        </w:tc>
        <w:tc>
          <w:tcPr>
            <w:tcW w:w="3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50" w:type="dxa"/>
            <w:gridSpan w:val="2"/>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b/>
                <w:color w:val="000000"/>
                <w:sz w:val="16"/>
              </w:rPr>
              <w:t>Balances at December 31, 2025</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36,134,037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534,508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(49,900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484,969</w:t>
            </w:r>
          </w:p>
        </w:tc>
        <w:tc>
          <w:tcPr>
            <w:tcW w:w="319"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250"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color w:val="000000"/>
              </w:rPr>
            </w:pPr>
            <w:r>
              <w:rPr>
                <w:color w:val="000000"/>
              </w:rPr>
              <w:t> </w:t>
            </w:r>
            <w:r>
              <w:rPr>
                <w:rFonts w:ascii="Times New Roman" w:hAnsi="Times New Roman"/>
                <w:color w:val="000000"/>
                <w:sz w:val="16"/>
              </w:rPr>
              <w:t>Net investment income</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0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10,624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10,624</w:t>
            </w:r>
          </w:p>
        </w:tc>
        <w:tc>
          <w:tcPr>
            <w:tcW w:w="319"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250"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color w:val="000000"/>
              </w:rPr>
            </w:pPr>
            <w:r>
              <w:rPr>
                <w:color w:val="000000"/>
              </w:rPr>
              <w:t> </w:t>
            </w:r>
            <w:r>
              <w:rPr>
                <w:rFonts w:ascii="Times New Roman" w:hAnsi="Times New Roman"/>
                <w:color w:val="000000"/>
                <w:sz w:val="16"/>
              </w:rPr>
              <w:t>Net realized gain (loss)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07"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1,252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1,252</w:t>
            </w:r>
          </w:p>
        </w:tc>
        <w:tc>
          <w:tcPr>
            <w:tcW w:w="319"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250"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color w:val="000000"/>
              </w:rPr>
            </w:pPr>
            <w:r>
              <w:rPr>
                <w:color w:val="000000"/>
              </w:rPr>
              <w:t> </w:t>
            </w:r>
            <w:r>
              <w:rPr>
                <w:rFonts w:ascii="Times New Roman" w:hAnsi="Times New Roman"/>
                <w:color w:val="000000"/>
                <w:sz w:val="16"/>
              </w:rPr>
              <w:t>Net change in unrealized gain (loss)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0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(46,693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(46,693</w:t>
            </w:r>
          </w:p>
        </w:tc>
        <w:tc>
          <w:tcPr>
            <w:tcW w:w="319"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w:t>
            </w:r>
          </w:p>
        </w:tc>
      </w:tr>
      <w:tr>
        <w:trPr/>
        <w:tc>
          <w:tcPr>
            <w:tcW w:w="2250"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color w:val="000000"/>
              </w:rPr>
            </w:pPr>
            <w:r>
              <w:rPr>
                <w:color w:val="000000"/>
              </w:rPr>
              <w:t> </w:t>
            </w:r>
            <w:r>
              <w:rPr>
                <w:rFonts w:ascii="Times New Roman" w:hAnsi="Times New Roman"/>
                <w:color w:val="000000"/>
                <w:sz w:val="16"/>
              </w:rPr>
              <w:t>Dividends paid to stockholders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07"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(11,924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(11,924</w:t>
            </w:r>
          </w:p>
        </w:tc>
        <w:tc>
          <w:tcPr>
            <w:tcW w:w="319"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w:t>
            </w:r>
          </w:p>
        </w:tc>
      </w:tr>
      <w:tr>
        <w:trPr/>
        <w:tc>
          <w:tcPr>
            <w:tcW w:w="2250"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color w:val="000000"/>
              </w:rPr>
            </w:pPr>
            <w:r>
              <w:rPr>
                <w:color w:val="000000"/>
              </w:rPr>
              <w:t> </w:t>
            </w:r>
            <w:r>
              <w:rPr>
                <w:rFonts w:ascii="Times New Roman" w:hAnsi="Times New Roman"/>
                <w:color w:val="000000"/>
                <w:sz w:val="16"/>
              </w:rPr>
              <w:t>Tax reclassification</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3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250"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imes New Roman" w:hAnsi="Times New Roman"/>
                <w:b/>
                <w:color w:val="000000"/>
                <w:sz w:val="16"/>
              </w:rPr>
              <w:t>Balances at March 31, 2026</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36,134,037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534,238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2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(96,371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438,228</w:t>
            </w:r>
          </w:p>
        </w:tc>
        <w:tc>
          <w:tcPr>
            <w:tcW w:w="3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0" w:after="120"/>
        <w:jc w:val="center"/>
        <w:rPr/>
      </w:pPr>
      <w:r>
        <w:rPr/>
        <w:t> </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1272"/>
        <w:gridCol w:w="953"/>
        <w:gridCol w:w="346"/>
        <w:gridCol w:w="188"/>
        <w:gridCol w:w="1183"/>
        <w:gridCol w:w="146"/>
        <w:gridCol w:w="146"/>
        <w:gridCol w:w="211"/>
        <w:gridCol w:w="157"/>
        <w:gridCol w:w="406"/>
        <w:gridCol w:w="146"/>
        <w:gridCol w:w="146"/>
        <w:gridCol w:w="212"/>
        <w:gridCol w:w="157"/>
        <w:gridCol w:w="749"/>
        <w:gridCol w:w="146"/>
        <w:gridCol w:w="146"/>
        <w:gridCol w:w="407"/>
        <w:gridCol w:w="275"/>
        <w:gridCol w:w="1035"/>
        <w:gridCol w:w="166"/>
        <w:gridCol w:w="146"/>
        <w:gridCol w:w="217"/>
        <w:gridCol w:w="162"/>
        <w:gridCol w:w="768"/>
        <w:gridCol w:w="319"/>
      </w:tblGrid>
      <w:tr>
        <w:trPr/>
        <w:tc>
          <w:tcPr>
            <w:tcW w:w="1272"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18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r>
      <w:tr>
        <w:trPr/>
        <w:tc>
          <w:tcPr>
            <w:tcW w:w="1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7" w:type="dxa"/>
            <w:gridSpan w:val="7"/>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8"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7"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 Undistributed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b/>
                <w:color w:val="000000"/>
                <w:sz w:val="16"/>
              </w:rPr>
              <w:t>For the Three Months Ended March 31, 2025</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Outstanding Shares ⁽¹⁾</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4"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Paid-in 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7"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(Overdistributed) earnings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7"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 Net Assets</w:t>
            </w:r>
          </w:p>
        </w:tc>
        <w:tc>
          <w:tcPr>
            <w:tcW w:w="3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25" w:type="dxa"/>
            <w:gridSpan w:val="2"/>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b/>
                <w:color w:val="000000"/>
                <w:sz w:val="16"/>
              </w:rPr>
              <w:t>Balances at December 31, 2024</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37,347,428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557,992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(43,496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514,869</w:t>
            </w:r>
          </w:p>
        </w:tc>
        <w:tc>
          <w:tcPr>
            <w:tcW w:w="319"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225"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color w:val="000000"/>
              </w:rPr>
            </w:pPr>
            <w:r>
              <w:rPr>
                <w:color w:val="000000"/>
              </w:rPr>
              <w:t> </w:t>
            </w:r>
            <w:r>
              <w:rPr>
                <w:rFonts w:ascii="Times New Roman" w:hAnsi="Times New Roman"/>
                <w:color w:val="000000"/>
                <w:sz w:val="16"/>
              </w:rPr>
              <w:t>Net investment income</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0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15,599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15,599</w:t>
            </w:r>
          </w:p>
        </w:tc>
        <w:tc>
          <w:tcPr>
            <w:tcW w:w="319"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225"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color w:val="000000"/>
              </w:rPr>
            </w:pPr>
            <w:r>
              <w:rPr>
                <w:color w:val="000000"/>
              </w:rPr>
              <w:t> </w:t>
            </w:r>
            <w:r>
              <w:rPr>
                <w:rFonts w:ascii="Times New Roman" w:hAnsi="Times New Roman"/>
                <w:color w:val="000000"/>
                <w:sz w:val="16"/>
              </w:rPr>
              <w:t>Net realized gain (loss)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07"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6,057</w:t>
            </w:r>
          </w:p>
        </w:tc>
        <w:tc>
          <w:tcPr>
            <w:tcW w:w="319"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225"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color w:val="000000"/>
              </w:rPr>
            </w:pPr>
            <w:r>
              <w:rPr>
                <w:color w:val="000000"/>
              </w:rPr>
              <w:t> </w:t>
            </w:r>
            <w:r>
              <w:rPr>
                <w:rFonts w:ascii="Times New Roman" w:hAnsi="Times New Roman"/>
                <w:color w:val="000000"/>
                <w:sz w:val="16"/>
              </w:rPr>
              <w:t>Net change in unrealized gain (loss)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0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(19,790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(19,790</w:t>
            </w:r>
          </w:p>
        </w:tc>
        <w:tc>
          <w:tcPr>
            <w:tcW w:w="319"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w:t>
            </w:r>
          </w:p>
        </w:tc>
      </w:tr>
      <w:tr>
        <w:trPr/>
        <w:tc>
          <w:tcPr>
            <w:tcW w:w="2225"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color w:val="000000"/>
              </w:rPr>
            </w:pPr>
            <w:r>
              <w:rPr>
                <w:color w:val="000000"/>
              </w:rPr>
              <w:t> </w:t>
            </w:r>
            <w:r>
              <w:rPr>
                <w:rFonts w:ascii="Times New Roman" w:hAnsi="Times New Roman"/>
                <w:color w:val="000000"/>
                <w:sz w:val="16"/>
              </w:rPr>
              <w:t>Dividends paid to stockholders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07"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(13,445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(13,445</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225"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imes New Roman" w:hAnsi="Times New Roman"/>
                <w:b/>
                <w:color w:val="000000"/>
                <w:sz w:val="16"/>
              </w:rPr>
              <w:t>Balances at March 31, 2025</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88"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1183"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37,347,428</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57"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40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373</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57"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749"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557,992</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7"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275"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1035"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(55,075</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2"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768"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503,290</w:t>
            </w:r>
          </w:p>
        </w:tc>
        <w:tc>
          <w:tcPr>
            <w:tcW w:w="319"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83"/>
        <w:jc w:val="both"/>
        <w:rPr>
          <w:rFonts w:ascii="Times New Roman" w:hAnsi="Times New Roman"/>
          <w:color w:val="000000"/>
          <w:sz w:val="16"/>
        </w:rPr>
      </w:pPr>
      <w:r>
        <w:rPr>
          <w:rFonts w:ascii="Times New Roman" w:hAnsi="Times New Roman"/>
          <w:color w:val="000000"/>
          <w:sz w:val="16"/>
        </w:rPr>
        <w:t>(1)</w:t>
      </w:r>
    </w:p>
    <w:p>
      <w:pPr>
        <w:pStyle w:val="TextBody"/>
        <w:bidi w:val="0"/>
        <w:spacing w:before="120" w:after="283"/>
        <w:jc w:val="both"/>
        <w:rPr/>
      </w:pPr>
      <w:r>
        <w:rPr>
          <w:rFonts w:ascii="Times New Roman" w:hAnsi="Times New Roman"/>
          <w:color w:val="000000"/>
          <w:sz w:val="16"/>
        </w:rPr>
        <w:t>Number of shares is shown net of cumulative share repurchases of 5,246,541</w:t>
      </w:r>
      <w:r>
        <w:rPr>
          <w:color w:val="000000"/>
        </w:rPr>
        <w:t xml:space="preserve"> </w:t>
      </w:r>
      <w:r>
        <w:rPr>
          <w:rFonts w:ascii="Times New Roman" w:hAnsi="Times New Roman"/>
          <w:color w:val="000000"/>
          <w:sz w:val="16"/>
        </w:rPr>
        <w:t>and 4,033,150</w:t>
      </w:r>
      <w:r>
        <w:rPr>
          <w:color w:val="000000"/>
        </w:rPr>
        <w:t xml:space="preserve"> </w:t>
      </w:r>
      <w:r>
        <w:rPr>
          <w:rFonts w:ascii="Times New Roman" w:hAnsi="Times New Roman"/>
          <w:color w:val="000000"/>
          <w:sz w:val="16"/>
        </w:rPr>
        <w:t>shares as of March 31, 2026 and March 31, 2025, respectively.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See notes to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12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RUNWAY GROWTH FINANCE CORP.</w:t>
      </w:r>
    </w:p>
    <w:p>
      <w:pPr>
        <w:pStyle w:val="TextBody"/>
        <w:bidi w:val="0"/>
        <w:jc w:val="center"/>
        <w:rPr>
          <w:rFonts w:ascii="Times New Roman" w:hAnsi="Times New Roman"/>
          <w:b/>
          <w:color w:val="000000"/>
          <w:sz w:val="20"/>
        </w:rPr>
      </w:pPr>
      <w:bookmarkStart w:id="8" w:name="statementsofcashflows"/>
      <w:bookmarkEnd w:id="8"/>
      <w:r>
        <w:rPr>
          <w:rFonts w:ascii="Times New Roman" w:hAnsi="Times New Roman"/>
          <w:b/>
          <w:color w:val="000000"/>
          <w:sz w:val="20"/>
        </w:rPr>
        <w:t>Consolidated Statements of Cash Flows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(In thousands)</w:t>
      </w:r>
    </w:p>
    <w:tbl>
      <w:tblPr>
        <w:tblW w:w="10205" w:type="dxa"/>
        <w:jc w:val="left"/>
        <w:tblInd w:w="0" w:type="dxa"/>
        <w:tblLayout w:type="fixed"/>
        <w:tblCellMar>
          <w:top w:w="28" w:type="dxa"/>
          <w:left w:w="28" w:type="dxa"/>
          <w:bottom w:w="28" w:type="dxa"/>
          <w:right w:w="28" w:type="dxa"/>
        </w:tblCellMar>
      </w:tblPr>
      <w:tblGrid>
        <w:gridCol w:w="6746"/>
        <w:gridCol w:w="146"/>
        <w:gridCol w:w="228"/>
        <w:gridCol w:w="169"/>
        <w:gridCol w:w="874"/>
        <w:gridCol w:w="192"/>
        <w:gridCol w:w="169"/>
        <w:gridCol w:w="228"/>
        <w:gridCol w:w="169"/>
        <w:gridCol w:w="769"/>
        <w:gridCol w:w="515"/>
      </w:tblGrid>
      <w:tr>
        <w:trPr/>
        <w:tc>
          <w:tcPr>
            <w:tcW w:w="67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r>
      <w:tr>
        <w:trPr/>
        <w:tc>
          <w:tcPr>
            <w:tcW w:w="67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98" w:type="dxa"/>
            <w:gridSpan w:val="8"/>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 Ended March 31,</w:t>
            </w:r>
          </w:p>
        </w:tc>
        <w:tc>
          <w:tcPr>
            <w:tcW w:w="51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7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71"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66"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5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7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Cash flows from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43"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38"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7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Net increase (decrease) in net assets resulting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(34,817</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1,866</w:t>
            </w:r>
          </w:p>
        </w:tc>
        <w:tc>
          <w:tcPr>
            <w:tcW w:w="51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7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Adjustments to reconcile net increase in net assets resulting from operations to net cash provided by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43"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38"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Purchases of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(17,477</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(15,320</w:t>
            </w:r>
          </w:p>
        </w:tc>
        <w:tc>
          <w:tcPr>
            <w:tcW w:w="5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67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Payment-in-kind interest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(4,797</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(3,260</w:t>
            </w:r>
          </w:p>
        </w:tc>
        <w:tc>
          <w:tcPr>
            <w:tcW w:w="5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67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Sales or repayments of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19,417</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78,643</w:t>
            </w:r>
          </w:p>
        </w:tc>
        <w:tc>
          <w:tcPr>
            <w:tcW w:w="5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Net realized (gain) loss on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(1,257</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(6,057</w:t>
            </w:r>
          </w:p>
        </w:tc>
        <w:tc>
          <w:tcPr>
            <w:tcW w:w="5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67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Net realized (gain) loss on forward contracts and foreign currency transactions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5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Net change in unrealized (gain) loss on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47,082</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19,790</w:t>
            </w:r>
          </w:p>
        </w:tc>
        <w:tc>
          <w:tcPr>
            <w:tcW w:w="5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Net change in unrealized (gain) loss on forward contracts and foreign currency transactions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(535</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5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Net change in unrealized (gain) loss on secured borrowings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146</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5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Amortization of fixed income premiums or accretion of discounts and end-of-term payments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(1,912</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(1,189</w:t>
            </w:r>
          </w:p>
        </w:tc>
        <w:tc>
          <w:tcPr>
            <w:tcW w:w="5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67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Amortization of discount on secured borrowings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5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Amortization of deferred financing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1,797</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832</w:t>
            </w:r>
          </w:p>
        </w:tc>
        <w:tc>
          <w:tcPr>
            <w:tcW w:w="51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7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Changes in operating assets and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43"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38"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(Increase) decrease in interest and fees receivable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(946</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(589</w:t>
            </w:r>
          </w:p>
        </w:tc>
        <w:tc>
          <w:tcPr>
            <w:tcW w:w="5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67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(Increase) decrease in other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(1,107</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(954</w:t>
            </w:r>
          </w:p>
        </w:tc>
        <w:tc>
          <w:tcPr>
            <w:tcW w:w="5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67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Increase (decrease) in incentive fees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407</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(61</w:t>
            </w:r>
          </w:p>
        </w:tc>
        <w:tc>
          <w:tcPr>
            <w:tcW w:w="5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67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Increase (decrease) in interest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443</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(87</w:t>
            </w:r>
          </w:p>
        </w:tc>
        <w:tc>
          <w:tcPr>
            <w:tcW w:w="5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67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Increase (decrease) in accrued expenses and other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(550</w:t>
            </w:r>
          </w:p>
        </w:tc>
        <w:tc>
          <w:tcPr>
            <w:tcW w:w="1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w:t>
            </w:r>
          </w:p>
        </w:tc>
        <w:tc>
          <w:tcPr>
            <w:tcW w:w="51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rFonts w:ascii="Times New Roman" w:hAnsi="Times New Roman"/>
                <w:color w:val="000000"/>
                <w:sz w:val="16"/>
              </w:rPr>
            </w:pPr>
            <w:r>
              <w:rPr>
                <w:rFonts w:ascii="Times New Roman" w:hAnsi="Times New Roman"/>
                <w:color w:val="000000"/>
                <w:sz w:val="16"/>
              </w:rPr>
              <w:t>)</w:t>
            </w:r>
          </w:p>
        </w:tc>
      </w:tr>
      <w:tr>
        <w:trPr/>
        <w:tc>
          <w:tcPr>
            <w:tcW w:w="674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b/>
                <w:color w:val="000000"/>
                <w:sz w:val="16"/>
              </w:rPr>
            </w:pPr>
            <w:r>
              <w:rPr>
                <w:rFonts w:ascii="Times New Roman" w:hAnsi="Times New Roman"/>
                <w:b/>
                <w:color w:val="000000"/>
                <w:sz w:val="16"/>
              </w:rPr>
              <w:t>Net cash provided by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5,934</w:t>
            </w:r>
          </w:p>
        </w:tc>
        <w:tc>
          <w:tcPr>
            <w:tcW w:w="1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73,562</w:t>
            </w:r>
          </w:p>
        </w:tc>
        <w:tc>
          <w:tcPr>
            <w:tcW w:w="5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7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Cash flows from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4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3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7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Payments of deferred financing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(3,118</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(2,957</w:t>
            </w:r>
          </w:p>
        </w:tc>
        <w:tc>
          <w:tcPr>
            <w:tcW w:w="51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w:t>
            </w:r>
          </w:p>
        </w:tc>
      </w:tr>
      <w:tr>
        <w:trPr/>
        <w:tc>
          <w:tcPr>
            <w:tcW w:w="67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Borrowings under credit facility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145,000</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17,000</w:t>
            </w:r>
          </w:p>
        </w:tc>
        <w:tc>
          <w:tcPr>
            <w:tcW w:w="51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7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Repayments under credit facility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(138,000</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(75,000</w:t>
            </w:r>
          </w:p>
        </w:tc>
        <w:tc>
          <w:tcPr>
            <w:tcW w:w="51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w:t>
            </w:r>
          </w:p>
        </w:tc>
      </w:tr>
      <w:tr>
        <w:trPr/>
        <w:tc>
          <w:tcPr>
            <w:tcW w:w="67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Proceeds from 2031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103,250</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51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7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Repayments of 2026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(25,000</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51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7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Repayments of 2027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(92,000</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51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7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Dividends paid to stockholders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(11,924</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515"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674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b/>
                <w:color w:val="000000"/>
                <w:sz w:val="16"/>
              </w:rPr>
            </w:pPr>
            <w:r>
              <w:rPr>
                <w:rFonts w:ascii="Times New Roman" w:hAnsi="Times New Roman"/>
                <w:b/>
                <w:color w:val="000000"/>
                <w:sz w:val="16"/>
              </w:rPr>
              <w:t>Net cash (used in) provided by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pPr>
            <w:r>
              <w:rPr/>
              <w:t> </w:t>
            </w:r>
          </w:p>
        </w:tc>
        <w:tc>
          <w:tcPr>
            <w:tcW w:w="169"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874"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(21,792</w:t>
            </w:r>
          </w:p>
        </w:tc>
        <w:tc>
          <w:tcPr>
            <w:tcW w:w="192"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pPr>
            <w:r>
              <w:rPr/>
              <w:t> </w:t>
            </w:r>
          </w:p>
        </w:tc>
        <w:tc>
          <w:tcPr>
            <w:tcW w:w="169"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769"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(60,957</w:t>
            </w:r>
          </w:p>
        </w:tc>
        <w:tc>
          <w:tcPr>
            <w:tcW w:w="515" w:type="dxa"/>
            <w:tcBorders>
              <w:top w:val="single" w:sz="4" w:space="0" w:color="000000"/>
            </w:tcBorders>
            <w:shd w:fill="FFFFFF" w:val="clear"/>
            <w:tcMar>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w:t>
            </w:r>
          </w:p>
        </w:tc>
      </w:tr>
      <w:tr>
        <w:trPr/>
        <w:tc>
          <w:tcPr>
            <w:tcW w:w="67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Effect of foreign currency exchange rates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5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increase (decrease) in 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(15,863</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12,605</w:t>
            </w:r>
          </w:p>
        </w:tc>
        <w:tc>
          <w:tcPr>
            <w:tcW w:w="51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7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Cash and cash equivalents at beginning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18,175</w:t>
            </w:r>
          </w:p>
        </w:tc>
        <w:tc>
          <w:tcPr>
            <w:tcW w:w="1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5,751</w:t>
            </w:r>
          </w:p>
        </w:tc>
        <w:tc>
          <w:tcPr>
            <w:tcW w:w="51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67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16"/>
              </w:rPr>
            </w:pPr>
            <w:r>
              <w:rPr>
                <w:rFonts w:ascii="Times New Roman" w:hAnsi="Times New Roman"/>
                <w:b/>
                <w:color w:val="000000"/>
                <w:sz w:val="16"/>
              </w:rPr>
              <w:t>Cash and cash equivalents at end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2,312</w:t>
            </w:r>
          </w:p>
        </w:tc>
        <w:tc>
          <w:tcPr>
            <w:tcW w:w="1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18,356</w:t>
            </w:r>
          </w:p>
        </w:tc>
        <w:tc>
          <w:tcPr>
            <w:tcW w:w="5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7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Supplemental and non-cash financing cash flow information: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43"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38"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7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Taxes paid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880</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390</w:t>
            </w:r>
          </w:p>
        </w:tc>
        <w:tc>
          <w:tcPr>
            <w:tcW w:w="51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7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Interest paid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7,358</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8,986</w:t>
            </w:r>
          </w:p>
        </w:tc>
        <w:tc>
          <w:tcPr>
            <w:tcW w:w="51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7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Dividends declared but not yet paid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13,445</w:t>
            </w:r>
          </w:p>
        </w:tc>
        <w:tc>
          <w:tcPr>
            <w:tcW w:w="5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40"/>
        <w:jc w:val="center"/>
        <w:rPr>
          <w:rFonts w:ascii="Times New Roman" w:hAnsi="Times New Roman"/>
          <w:color w:val="000000"/>
          <w:sz w:val="20"/>
        </w:rPr>
      </w:pPr>
      <w:r>
        <w:rPr>
          <w:rFonts w:ascii="Times New Roman" w:hAnsi="Times New Roman"/>
          <w:color w:val="000000"/>
          <w:sz w:val="20"/>
        </w:rPr>
        <w:t>See notes to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12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RUNWAY GROWTH FINANCE CORP.</w:t>
      </w:r>
    </w:p>
    <w:p>
      <w:pPr>
        <w:pStyle w:val="TextBody"/>
        <w:bidi w:val="0"/>
        <w:jc w:val="center"/>
        <w:rPr>
          <w:rFonts w:ascii="Times New Roman" w:hAnsi="Times New Roman"/>
          <w:b/>
          <w:color w:val="000000"/>
          <w:sz w:val="20"/>
        </w:rPr>
      </w:pPr>
      <w:bookmarkStart w:id="9" w:name="scheduleofinvestments_460338"/>
      <w:bookmarkEnd w:id="9"/>
      <w:r>
        <w:rPr>
          <w:rFonts w:ascii="Times New Roman" w:hAnsi="Times New Roman"/>
          <w:b/>
          <w:color w:val="000000"/>
          <w:sz w:val="20"/>
        </w:rPr>
        <w:t>Consolidated Schedule of Investments (Unaudited)</w:t>
      </w:r>
    </w:p>
    <w:p>
      <w:pPr>
        <w:pStyle w:val="TextBody"/>
        <w:bidi w:val="0"/>
        <w:jc w:val="center"/>
        <w:rPr>
          <w:rFonts w:ascii="Times New Roman" w:hAnsi="Times New Roman"/>
          <w:b/>
          <w:color w:val="000000"/>
          <w:sz w:val="20"/>
        </w:rPr>
      </w:pPr>
      <w:r>
        <w:rPr>
          <w:rFonts w:ascii="Times New Roman" w:hAnsi="Times New Roman"/>
          <w:b/>
          <w:color w:val="000000"/>
          <w:sz w:val="20"/>
        </w:rPr>
        <w:t>March 31, 2026</w:t>
      </w:r>
    </w:p>
    <w:p>
      <w:pPr>
        <w:pStyle w:val="TextBody"/>
        <w:bidi w:val="0"/>
        <w:spacing w:before="0" w:after="120"/>
        <w:jc w:val="center"/>
        <w:rPr>
          <w:rFonts w:ascii="Times New Roman" w:hAnsi="Times New Roman"/>
          <w:b/>
          <w:color w:val="000000"/>
          <w:sz w:val="20"/>
        </w:rPr>
      </w:pPr>
      <w:r>
        <w:rPr>
          <w:rFonts w:ascii="Times New Roman" w:hAnsi="Times New Roman"/>
          <w:b/>
          <w:color w:val="000000"/>
          <w:sz w:val="20"/>
        </w:rPr>
        <w:t>(In thousands, except share data)</w:t>
      </w:r>
    </w:p>
    <w:tbl>
      <w:tblPr>
        <w:tblW w:w="10205" w:type="dxa"/>
        <w:jc w:val="left"/>
        <w:tblInd w:w="0" w:type="dxa"/>
        <w:tblLayout w:type="fixed"/>
        <w:tblCellMar>
          <w:top w:w="28" w:type="dxa"/>
          <w:left w:w="28" w:type="dxa"/>
          <w:bottom w:w="28" w:type="dxa"/>
          <w:right w:w="28" w:type="dxa"/>
        </w:tblCellMar>
      </w:tblPr>
      <w:tblGrid>
        <w:gridCol w:w="161"/>
        <w:gridCol w:w="146"/>
        <w:gridCol w:w="1179"/>
        <w:gridCol w:w="146"/>
        <w:gridCol w:w="857"/>
        <w:gridCol w:w="146"/>
        <w:gridCol w:w="1175"/>
        <w:gridCol w:w="146"/>
        <w:gridCol w:w="952"/>
        <w:gridCol w:w="146"/>
        <w:gridCol w:w="716"/>
        <w:gridCol w:w="146"/>
        <w:gridCol w:w="161"/>
        <w:gridCol w:w="581"/>
        <w:gridCol w:w="146"/>
        <w:gridCol w:w="146"/>
        <w:gridCol w:w="146"/>
        <w:gridCol w:w="146"/>
        <w:gridCol w:w="601"/>
        <w:gridCol w:w="151"/>
        <w:gridCol w:w="146"/>
        <w:gridCol w:w="146"/>
        <w:gridCol w:w="146"/>
        <w:gridCol w:w="601"/>
        <w:gridCol w:w="146"/>
        <w:gridCol w:w="146"/>
        <w:gridCol w:w="880"/>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r>
      <w:tr>
        <w:trPr/>
        <w:tc>
          <w:tcPr>
            <w:tcW w:w="1486"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Portfolio Company**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Investment Type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5"/>
              </w:rPr>
            </w:pPr>
            <w:r>
              <w:rPr>
                <w:rFonts w:ascii="Times New Roman" w:hAnsi="Times New Roman"/>
                <w:b/>
                <w:color w:val="000000"/>
                <w:sz w:val="15"/>
              </w:rPr>
              <w:t xml:space="preserve">Investment </w:t>
              <w:br/>
              <w:t>Description</w:t>
            </w:r>
            <w:r>
              <w:rPr>
                <w:rFonts w:ascii="Times New Roman" w:hAnsi="Times New Roman"/>
                <w:b/>
                <w:color w:val="000000"/>
                <w:sz w:val="10"/>
              </w:rPr>
              <w:t>(1)(2)(4)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Initial Acquisition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Maturity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Principal ($) /</w:t>
              <w:b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9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Cost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9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5"/>
              </w:rPr>
            </w:pPr>
            <w:r>
              <w:rPr>
                <w:rFonts w:ascii="Times New Roman" w:hAnsi="Times New Roman"/>
                <w:b/>
                <w:color w:val="000000"/>
                <w:sz w:val="15"/>
              </w:rPr>
              <w:t xml:space="preserve">Fair </w:t>
              <w:br/>
              <w:t xml:space="preserve">Value ($) </w:t>
            </w:r>
            <w:r>
              <w:rPr>
                <w:rFonts w:ascii="Times New Roman" w:hAnsi="Times New Roman"/>
                <w:b/>
                <w:color w:val="000000"/>
                <w:sz w:val="10"/>
              </w:rPr>
              <w:t>(3)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Footnotes</w:t>
            </w:r>
          </w:p>
        </w:tc>
      </w:tr>
      <w:tr>
        <w:trPr/>
        <w:tc>
          <w:tcPr>
            <w:tcW w:w="3810" w:type="dxa"/>
            <w:gridSpan w:val="7"/>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u w:val="single"/>
              </w:rPr>
            </w:pPr>
            <w:r>
              <w:rPr>
                <w:rFonts w:ascii="Times New Roman" w:hAnsi="Times New Roman"/>
                <w:b/>
                <w:color w:val="000000"/>
                <w:sz w:val="15"/>
                <w:u w:val="single"/>
              </w:rPr>
              <w:t>Non-Control/Non-Affiliate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2" w:type="dxa"/>
            <w:gridSpan w:val="2"/>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47" w:type="dxa"/>
            <w:gridSpan w:val="2"/>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49" w:type="dxa"/>
            <w:gridSpan w:val="6"/>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Debt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03" w:type="dxa"/>
            <w:gridSpan w:val="5"/>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Application Software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Airship Group,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Senior Secured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SOFR+3.75%, 9.08% floor, 3.00% PIK, 3.25% ETP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6/28/2024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6/15/2028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51,025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51,103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51,814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(10) (11) (12)</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Blueshift Labs,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Senior Secured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SOFR+8.25% PIK, 13.25% floor, 1.50% ETP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2"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12/19/2023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1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12/15/2028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29,599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29,499</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13,481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(10) (11) (21)</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Blueshift Labs,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Senior Secured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SOFR+8.25% PIK, 13.25% floor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12/12/2024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12/15/2028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569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569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259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(10) (21)</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Blueshift Labs,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Senior Secured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SOFR+8.25% PIK, 13.25% floor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2"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9/25/2025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1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12/15/2028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1,579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1,579</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(10) (21)</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CarNow,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Senior Secured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SOFR+7.25%, 11.75% floor, 1.60% ETP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3/22/2024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3/22/2029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18,378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18,936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(11) (12)</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Piano Software,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Senior Secured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SOFR+7.25%, 11.25% floor, 1.50% ETP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2"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12/31/2024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1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12/31/2029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43,000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42,209</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42,788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(11) (12)</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VTX Intermediate Holdings, Inc. (dba VertexOne)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Senior Secured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SOFR+7.00%, 8.00% floor, 1.00% PIK, 3.00% ETP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12/12/2024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9/24/2029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35,449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35,388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35,041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(10) (11) (12)</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VTX Intermediate Holdings, Inc. (dba VertexOne)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Second Lien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FIXED 12.50% PIK, 31.05% ETP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2"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12/12/2024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1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9/24/2029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6,845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6,619</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6,652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(10) (11) (18)</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Zinnia Corporate Holdings, LLC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Senior Secured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SOFR+6.50%, 7.50% floor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9/23/2024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9/21/2029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39,397</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39,590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(12)</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03" w:type="dxa"/>
            <w:gridSpan w:val="5"/>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Total Application Software - 47.76%*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1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224,741</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209,280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03" w:type="dxa"/>
            <w:gridSpan w:val="5"/>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Commercial &amp; Professional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Bombora,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Senior Secured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SOFR+4.25%, 6.75% floor, 3.25% PIK, 1.00% ETP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12/26/2023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1/15/2028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31,643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31,710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31,783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(10) (11) (12)</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Elevate Services,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Senior Secured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SOFR+7.50%, 12.78% floor, 0.50% ETP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2"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7/10/2023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7/10/2027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39,000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38,351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39,195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(11) (12)</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Shepherd Intermediate, LLC (dba FHAS)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Senior Secured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SOFR+7.25%, 8.25% floor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7/10/2025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7/10/2030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6,211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6,115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6,211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(12)</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Shepherd Intermediate, LLC (dba FHAS) (Revolver)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Senior Secured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SOFR+7.25%, 8.25% floor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2"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7/10/2025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1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7/10/2030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(12)</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Swing Education,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Senior Secured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SOFR+7.00%, 10.80% floor, 3.50% ETP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6/27/2025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6/15/2029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7,936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7,724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(11) (12)</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Swing Education, Inc. (Revolver)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Senior Secured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SOFR+6.65%, 10.45% floor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2"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6/27/2025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1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6/1/2028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(149</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(12)</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03" w:type="dxa"/>
            <w:gridSpan w:val="5"/>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Total Commercial &amp; Professional Services - 19.38%*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83,958</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84,913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1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03" w:type="dxa"/>
            <w:gridSpan w:val="5"/>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Consumer Services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Finn GmbH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Senior Secured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SOFR+8.75%, 10.75% floor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2"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12/8/2025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1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6/30/2030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19,156</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19,156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(6) (9)</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03" w:type="dxa"/>
            <w:gridSpan w:val="5"/>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Total Consumer Services - 4.37%*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19,156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19,156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1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03" w:type="dxa"/>
            <w:gridSpan w:val="5"/>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Consumer Staples Distribution &amp; Retail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Marley Spoon 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Senior Secured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SOFR+ 8.75% PIK, 9.51% floor, 1.00% ETP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2"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6/30/2021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1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6/15/2027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47,748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47,983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17,142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(6) (9) (10) (11) (14) (21)</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Marley Spoon 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Senior Secured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SOFR+ 8.75% PIK, 9.51% floor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2/28/2025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6/15/2027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3,083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3,083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3,083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(6) (9) (10) (14) (21)</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Marley Spoon 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Senior Secured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SOFR+ 8.75% PIK, 9.51% floor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2"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5/20/2025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1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4/24/2026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4,911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4,911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4,911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(6) (9) (10) (14) (21)</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Marley Spoon 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Senior Secured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SOFR+ 8.75% PIK, 9.51% floor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10/28/2025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4/24/2026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11,944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11,944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12,392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(6) (9) (10) (14) (17) (21)</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Marley Spoon SE (Revolver)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Senior Secured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SOFR+ 8.75% PIK, 9.51% floor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2"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12/12/2025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1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4/24/2026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448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448</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(6) (9) (10) (14) (17) (21)</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03" w:type="dxa"/>
            <w:gridSpan w:val="5"/>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Total Consumer Staples Distribution &amp; Retail - 8.56%*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68,369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37,528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center"/>
        <w:rPr>
          <w:rFonts w:ascii="Times New Roman" w:hAnsi="Times New Roman"/>
          <w:color w:val="000000"/>
          <w:sz w:val="20"/>
        </w:rPr>
      </w:pPr>
      <w:r>
        <w:rPr>
          <w:rFonts w:ascii="Times New Roman" w:hAnsi="Times New Roman"/>
          <w:color w:val="000000"/>
          <w:sz w:val="20"/>
        </w:rPr>
        <w:t>See notes to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12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RUNWAY GROWTH FINANCE CORP.</w:t>
      </w:r>
    </w:p>
    <w:p>
      <w:pPr>
        <w:pStyle w:val="TextBody"/>
        <w:bidi w:val="0"/>
        <w:jc w:val="center"/>
        <w:rPr>
          <w:rFonts w:ascii="Times New Roman" w:hAnsi="Times New Roman"/>
          <w:b/>
          <w:color w:val="000000"/>
          <w:sz w:val="20"/>
        </w:rPr>
      </w:pPr>
      <w:r>
        <w:rPr>
          <w:rFonts w:ascii="Times New Roman" w:hAnsi="Times New Roman"/>
          <w:b/>
          <w:color w:val="000000"/>
          <w:sz w:val="20"/>
        </w:rPr>
        <w:t>Consolidated Schedule of Investments (Unaudited) – (continued)</w:t>
      </w:r>
    </w:p>
    <w:p>
      <w:pPr>
        <w:pStyle w:val="TextBody"/>
        <w:bidi w:val="0"/>
        <w:jc w:val="center"/>
        <w:rPr>
          <w:rFonts w:ascii="Times New Roman" w:hAnsi="Times New Roman"/>
          <w:b/>
          <w:color w:val="000000"/>
          <w:sz w:val="20"/>
        </w:rPr>
      </w:pPr>
      <w:r>
        <w:rPr>
          <w:rFonts w:ascii="Times New Roman" w:hAnsi="Times New Roman"/>
          <w:b/>
          <w:color w:val="000000"/>
          <w:sz w:val="20"/>
        </w:rPr>
        <w:t>March 31, 2026</w:t>
      </w:r>
    </w:p>
    <w:p>
      <w:pPr>
        <w:pStyle w:val="TextBody"/>
        <w:bidi w:val="0"/>
        <w:spacing w:before="0" w:after="120"/>
        <w:jc w:val="center"/>
        <w:rPr>
          <w:rFonts w:ascii="Times New Roman" w:hAnsi="Times New Roman"/>
          <w:b/>
          <w:color w:val="000000"/>
          <w:sz w:val="20"/>
        </w:rPr>
      </w:pPr>
      <w:r>
        <w:rPr>
          <w:rFonts w:ascii="Times New Roman" w:hAnsi="Times New Roman"/>
          <w:b/>
          <w:color w:val="000000"/>
          <w:sz w:val="20"/>
        </w:rPr>
        <w:t>(In thousands, except share data)</w:t>
      </w:r>
    </w:p>
    <w:tbl>
      <w:tblPr>
        <w:tblW w:w="10321" w:type="dxa"/>
        <w:jc w:val="left"/>
        <w:tblInd w:w="0" w:type="dxa"/>
        <w:tblLayout w:type="fixed"/>
        <w:tblCellMar>
          <w:top w:w="28" w:type="dxa"/>
          <w:left w:w="28" w:type="dxa"/>
          <w:bottom w:w="28" w:type="dxa"/>
          <w:right w:w="28" w:type="dxa"/>
        </w:tblCellMar>
      </w:tblPr>
      <w:tblGrid>
        <w:gridCol w:w="161"/>
        <w:gridCol w:w="146"/>
        <w:gridCol w:w="1261"/>
        <w:gridCol w:w="146"/>
        <w:gridCol w:w="901"/>
        <w:gridCol w:w="146"/>
        <w:gridCol w:w="961"/>
        <w:gridCol w:w="146"/>
        <w:gridCol w:w="916"/>
        <w:gridCol w:w="146"/>
        <w:gridCol w:w="766"/>
        <w:gridCol w:w="146"/>
        <w:gridCol w:w="149"/>
        <w:gridCol w:w="617"/>
        <w:gridCol w:w="146"/>
        <w:gridCol w:w="146"/>
        <w:gridCol w:w="146"/>
        <w:gridCol w:w="146"/>
        <w:gridCol w:w="691"/>
        <w:gridCol w:w="146"/>
        <w:gridCol w:w="146"/>
        <w:gridCol w:w="146"/>
        <w:gridCol w:w="146"/>
        <w:gridCol w:w="691"/>
        <w:gridCol w:w="146"/>
        <w:gridCol w:w="146"/>
        <w:gridCol w:w="871"/>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r>
      <w:tr>
        <w:trPr/>
        <w:tc>
          <w:tcPr>
            <w:tcW w:w="156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Portfolio Company**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Investment Type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 xml:space="preserve">Investment </w:t>
              <w:br/>
              <w:t>Description</w:t>
            </w:r>
            <w:r>
              <w:rPr>
                <w:rFonts w:ascii="Times New Roman" w:hAnsi="Times New Roman"/>
                <w:b/>
                <w:color w:val="000000"/>
                <w:sz w:val="11"/>
              </w:rPr>
              <w:t>(1)(2)(4)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Initial Acquisition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Maturity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Principal ($) /</w:t>
              <w:b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8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Cost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 xml:space="preserve">Fair </w:t>
              <w:br/>
              <w:t xml:space="preserve">Value ($) </w:t>
            </w:r>
            <w:r>
              <w:rPr>
                <w:rFonts w:ascii="Times New Roman" w:hAnsi="Times New Roman"/>
                <w:b/>
                <w:color w:val="000000"/>
                <w:sz w:val="11"/>
              </w:rPr>
              <w:t>(3)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Footnotes</w:t>
            </w:r>
          </w:p>
        </w:tc>
      </w:tr>
      <w:tr>
        <w:trPr/>
        <w:tc>
          <w:tcPr>
            <w:tcW w:w="3722" w:type="dxa"/>
            <w:gridSpan w:val="7"/>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Non-Control/Non-Affiliate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1" w:type="dxa"/>
            <w:gridSpan w:val="6"/>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Debt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15" w:type="dxa"/>
            <w:gridSpan w:val="5"/>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Financial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Autobooks,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Senior Secured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SOFR+7.50%, 11.77% floor, 3.75% ETP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5/5/2025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2/5/2028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34,600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34,234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34,765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(11) (12)</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Hurricane Cleanco Limited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Senior Secured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FIXED 6.25%, 6.25% PIK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12/31/2024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11/22/2029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30,455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28,999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30,704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(5) (9) (10) (17)</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Vesta Payment Solutions,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Senior Secured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SOFR+7.00%, 9.00% floor, 6.00% ETP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11/29/2022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12/16/2026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26,124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21,122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(11)</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15" w:type="dxa"/>
            <w:gridSpan w:val="5"/>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Financial Services - 19.76%*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89,357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86,591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15" w:type="dxa"/>
            <w:gridSpan w:val="5"/>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Health Care Equipment &amp;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EBR Systems,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Senior Secured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PRIME+4.90%, 8.90% floor, 4.50% ETP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6/30/2022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6/15/2027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40,854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41,402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(11) (12) (14)</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HR Pharmaceuticals, LLC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Senior Secured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SOFR+6.00%, 8.00% floor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1/29/2026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1/29/2031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5,420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5,408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(12)</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HR Pharmaceuticals, LLC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Senior Secured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SOFR+6.00%, 8.00% floor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1/29/2026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1/29/2031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(12)</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Mingle Healthcare Solutions,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Senior Secured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SOFR+9.75%, 12.26% floor, 10.50% ETP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8/15/2018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12/15/2026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4,757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1,997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(11) (21)</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Onward Medical, N.V.</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Senior Secured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SOFR+6.50%, 10.75% floor, 2.50% ETP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6/28/2024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6/15/2028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17,088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16,941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17,136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(8) (9) (11) (12) (14)</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Route 92 Medical,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Senior Secured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SOFR+7.00%, 9.00% floor, 3.95% ETP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3/31/2025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3/31/2029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34,556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34,654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(11) (12)</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15" w:type="dxa"/>
            <w:gridSpan w:val="5"/>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Health Care Equipment &amp; Services - 22.97%*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102,583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100,664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15" w:type="dxa"/>
            <w:gridSpan w:val="5"/>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Household &amp; Personal Products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Madison Reed,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Senior Secured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PRIME+5.00%, 12.50% floor, 3.00% ETP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8/29/2025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8/29/2029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39,424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39,519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(11) (12)</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15" w:type="dxa"/>
            <w:gridSpan w:val="5"/>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Household &amp; Personal Products - 9.02%*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39,424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39,519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15" w:type="dxa"/>
            <w:gridSpan w:val="5"/>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Insurance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Kin Insurance,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Senior Secured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PRIME+5.00%, 12.00% floor, 2.00% ETP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8/13/2025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8/13/2029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29,381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29,519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(11) (12)</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Kin Insurance,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Senior Secured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PRIME+5.00%, 12.00% floor, 2.00% ETP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12/30/2025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8/13/2029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14,614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14,759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(11) (23)</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15" w:type="dxa"/>
            <w:gridSpan w:val="5"/>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Insurance - 10.10%*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43,995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44,278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15" w:type="dxa"/>
            <w:gridSpan w:val="5"/>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Media &amp; Entertainment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Skillshare,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Senior Secured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SOFR+6.75%, 10.96% floor, 2.00% ETP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8/15/2025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2/8/2029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10,900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10,809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10,480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(11) (12)</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Snap! Mobile,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Senior Secured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SOFR+7.50%, 12.10% floor, 3.83% ETP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9/30/2024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9/30/2028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17,835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17,772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(11) (12)</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15" w:type="dxa"/>
            <w:gridSpan w:val="5"/>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Media &amp; Entertainment - 6.45%*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28,644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28,252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15" w:type="dxa"/>
            <w:gridSpan w:val="5"/>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Multi-Sector Holdings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SPB C-2024, LLC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Senior Secured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FIXED 15.00% PIK, 1.57% ETP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12/16/2025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12/16/2028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10,440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10,359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10,359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(9) (10) (11)</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15" w:type="dxa"/>
            <w:gridSpan w:val="5"/>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Multi-Sector Holdings - 2.36%*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10,359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10,359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15" w:type="dxa"/>
            <w:gridSpan w:val="5"/>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Pharmaceuticals, Biotechnology &amp; Life Sciences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Shield Therapeutics PLC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Senior Secured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SOFR+8.75%, 12.25% floor, 5.00% ETP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12/2/2025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9/28/2028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1,977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1,977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(5) (9) (11) (12) (14)</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15" w:type="dxa"/>
            <w:gridSpan w:val="5"/>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Pharmaceuticals, Biotechnology &amp; Life Sciences - 0.45%*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1,977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1,977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center"/>
        <w:rPr>
          <w:rFonts w:ascii="Times New Roman" w:hAnsi="Times New Roman"/>
          <w:color w:val="000000"/>
          <w:sz w:val="20"/>
        </w:rPr>
      </w:pPr>
      <w:r>
        <w:rPr>
          <w:rFonts w:ascii="Times New Roman" w:hAnsi="Times New Roman"/>
          <w:color w:val="000000"/>
          <w:sz w:val="20"/>
        </w:rPr>
        <w:t>See notes to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12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RUNWAY GROWTH FINANCE CORP.</w:t>
      </w:r>
    </w:p>
    <w:p>
      <w:pPr>
        <w:pStyle w:val="TextBody"/>
        <w:bidi w:val="0"/>
        <w:jc w:val="center"/>
        <w:rPr>
          <w:rFonts w:ascii="Times New Roman" w:hAnsi="Times New Roman"/>
          <w:b/>
          <w:color w:val="000000"/>
          <w:sz w:val="20"/>
        </w:rPr>
      </w:pPr>
      <w:r>
        <w:rPr>
          <w:rFonts w:ascii="Times New Roman" w:hAnsi="Times New Roman"/>
          <w:b/>
          <w:color w:val="000000"/>
          <w:sz w:val="20"/>
        </w:rPr>
        <w:t>Consolidated Schedule of Investments (Unaudited) – (continued)</w:t>
      </w:r>
    </w:p>
    <w:p>
      <w:pPr>
        <w:pStyle w:val="TextBody"/>
        <w:bidi w:val="0"/>
        <w:jc w:val="center"/>
        <w:rPr>
          <w:rFonts w:ascii="Times New Roman" w:hAnsi="Times New Roman"/>
          <w:b/>
          <w:color w:val="000000"/>
          <w:sz w:val="20"/>
        </w:rPr>
      </w:pPr>
      <w:r>
        <w:rPr>
          <w:rFonts w:ascii="Times New Roman" w:hAnsi="Times New Roman"/>
          <w:b/>
          <w:color w:val="000000"/>
          <w:sz w:val="20"/>
        </w:rPr>
        <w:t>March 31, 2026</w:t>
      </w:r>
    </w:p>
    <w:p>
      <w:pPr>
        <w:pStyle w:val="TextBody"/>
        <w:bidi w:val="0"/>
        <w:spacing w:before="0" w:after="80"/>
        <w:jc w:val="center"/>
        <w:rPr>
          <w:rFonts w:ascii="Times New Roman" w:hAnsi="Times New Roman"/>
          <w:b/>
          <w:color w:val="000000"/>
          <w:sz w:val="20"/>
        </w:rPr>
      </w:pPr>
      <w:r>
        <w:rPr>
          <w:rFonts w:ascii="Times New Roman" w:hAnsi="Times New Roman"/>
          <w:b/>
          <w:color w:val="000000"/>
          <w:sz w:val="20"/>
        </w:rPr>
        <w:t>(In thousands, except share data)</w:t>
      </w:r>
    </w:p>
    <w:tbl>
      <w:tblPr>
        <w:tblW w:w="10547" w:type="dxa"/>
        <w:jc w:val="left"/>
        <w:tblInd w:w="0" w:type="dxa"/>
        <w:tblLayout w:type="fixed"/>
        <w:tblCellMar>
          <w:top w:w="28" w:type="dxa"/>
          <w:left w:w="28" w:type="dxa"/>
          <w:bottom w:w="28" w:type="dxa"/>
          <w:right w:w="28" w:type="dxa"/>
        </w:tblCellMar>
      </w:tblPr>
      <w:tblGrid>
        <w:gridCol w:w="161"/>
        <w:gridCol w:w="146"/>
        <w:gridCol w:w="1261"/>
        <w:gridCol w:w="146"/>
        <w:gridCol w:w="901"/>
        <w:gridCol w:w="146"/>
        <w:gridCol w:w="961"/>
        <w:gridCol w:w="146"/>
        <w:gridCol w:w="916"/>
        <w:gridCol w:w="146"/>
        <w:gridCol w:w="766"/>
        <w:gridCol w:w="146"/>
        <w:gridCol w:w="146"/>
        <w:gridCol w:w="826"/>
        <w:gridCol w:w="146"/>
        <w:gridCol w:w="146"/>
        <w:gridCol w:w="146"/>
        <w:gridCol w:w="146"/>
        <w:gridCol w:w="691"/>
        <w:gridCol w:w="166"/>
        <w:gridCol w:w="146"/>
        <w:gridCol w:w="146"/>
        <w:gridCol w:w="146"/>
        <w:gridCol w:w="691"/>
        <w:gridCol w:w="146"/>
        <w:gridCol w:w="146"/>
        <w:gridCol w:w="871"/>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r>
      <w:tr>
        <w:trPr/>
        <w:tc>
          <w:tcPr>
            <w:tcW w:w="156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Portfolio Company**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Investment Type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 xml:space="preserve">Investment </w:t>
              <w:br/>
              <w:t>Description</w:t>
            </w:r>
            <w:r>
              <w:rPr>
                <w:rFonts w:ascii="Times New Roman" w:hAnsi="Times New Roman"/>
                <w:b/>
                <w:color w:val="000000"/>
                <w:sz w:val="11"/>
              </w:rPr>
              <w:t>(1)(2)(4)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Initial Acquisition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Maturity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Principal ($) /</w:t>
              <w:b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8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Cost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 xml:space="preserve">Fair </w:t>
              <w:br/>
              <w:t xml:space="preserve">Value ($) </w:t>
            </w:r>
            <w:r>
              <w:rPr>
                <w:rFonts w:ascii="Times New Roman" w:hAnsi="Times New Roman"/>
                <w:b/>
                <w:color w:val="000000"/>
                <w:sz w:val="11"/>
              </w:rPr>
              <w:t>(3)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Footnotes</w:t>
            </w:r>
          </w:p>
        </w:tc>
      </w:tr>
      <w:tr>
        <w:trPr/>
        <w:tc>
          <w:tcPr>
            <w:tcW w:w="3722" w:type="dxa"/>
            <w:gridSpan w:val="7"/>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Non-Control/Non-Affiliate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1" w:type="dxa"/>
            <w:gridSpan w:val="6"/>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Debt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15" w:type="dxa"/>
            <w:gridSpan w:val="5"/>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Systems Software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3PL Central LLC (dba Extensiv)</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Senior Secured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SOFR+7.00%, 9.00% floor, 5.10% ETP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11/9/2022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6/30/2026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72,290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76,176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68,219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(11) (12)</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Digicert,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Senior Secured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SOFR+5.75%, 6.50% floor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7/30/2025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7/30/2030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9,280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9,156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8,996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(12)</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Digicert, Inc. (Revolver)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Senior Secured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SOFR+5.75%, 6.50% floor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7/30/2025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7/30/2030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(12)</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Circadence Corporation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Senior Secured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SOFR+11.00%, 14.69% floor, 8.89% ETP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12/20/2018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12/31/2026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20,002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21,378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18,236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(11)</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15" w:type="dxa"/>
            <w:gridSpan w:val="5"/>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Systems Software - 21.78%*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106,702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95,451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15" w:type="dxa"/>
            <w:gridSpan w:val="5"/>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Technology Hardware &amp;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Brivo,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Senior Secured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SOFR+7.25%, 11.29% floor, 2.53% ETP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12/27/2024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12/15/2029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39,964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41,198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(11) (12)</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Linxup, LLC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Senior Secured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PRIME+3.25%, 11.75% floor, 2.25% ETP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11/3/2023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11/15/2027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30,128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30,385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(11) (12)</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15" w:type="dxa"/>
            <w:gridSpan w:val="5"/>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Technology Hardware &amp; Equipment - 16.33%*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70,092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71,583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1" w:type="dxa"/>
            <w:gridSpan w:val="6"/>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Debt Investments - 189.29%*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889,357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829,551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1" w:type="dxa"/>
            <w:gridSpan w:val="6"/>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Equity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15" w:type="dxa"/>
            <w:gridSpan w:val="5"/>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Application Software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Aria Systems,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Series G Preferred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7/10/2018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289,419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(13)</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VTX Holdings, LLC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Series C Preferred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12/12/2024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3,015,219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(13)</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15" w:type="dxa"/>
            <w:gridSpan w:val="5"/>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Application Software - 0.07%*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15" w:type="dxa"/>
            <w:gridSpan w:val="5"/>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Commercial &amp; Professional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FiscalNote,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10/19/2020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19,240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(13) (14) (15)</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JobGet Holdings, Inc. (fka Snagajob,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Series C-1 Preferred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11/15/2024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476,564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39,275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17,182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(13) (22)</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JobGet Holdings, Inc. (fka Snagajob,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Series C-2 Preferred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11/15/2024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16,963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(13) (22)</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15" w:type="dxa"/>
            <w:gridSpan w:val="5"/>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Commercial &amp; Professional Services - 3.92%*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39,713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17,187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Consumer Staples Distribution &amp; Retail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Marley Spoon 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7/7/2023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46,004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(6) (9) (13) (14) (15) (17)</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15" w:type="dxa"/>
            <w:gridSpan w:val="5"/>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Consumer Staples Distribution &amp; Retail - 0.00%*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15" w:type="dxa"/>
            <w:gridSpan w:val="5"/>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Health Care Equipment &amp;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CareCloud,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8.75% Series A Cumulative Redeemable Perpetual Preferred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1/8/2020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462,064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12,132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9,668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(14)</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HR Pharmaceuticals, LLC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Preferred 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1/29/2026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2,000,000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2,000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(13) (26)</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15" w:type="dxa"/>
            <w:gridSpan w:val="5"/>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Health Care Equipment &amp; Services - 2.67%*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14,132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11,668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15" w:type="dxa"/>
            <w:gridSpan w:val="5"/>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Media &amp; Entertainment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Minute Media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Preferred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12/13/2023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1,039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(5) (9) (13)</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Minute Media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12/13/2023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(5) (9) (13)</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15" w:type="dxa"/>
            <w:gridSpan w:val="5"/>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Media &amp; Entertainment - 0.03%*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1" w:type="dxa"/>
            <w:gridSpan w:val="6"/>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Equity Investments - 6.69%*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54,784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29,305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center"/>
        <w:rPr>
          <w:rFonts w:ascii="Times New Roman" w:hAnsi="Times New Roman"/>
          <w:color w:val="000000"/>
          <w:sz w:val="20"/>
        </w:rPr>
      </w:pPr>
      <w:r>
        <w:rPr>
          <w:rFonts w:ascii="Times New Roman" w:hAnsi="Times New Roman"/>
          <w:color w:val="000000"/>
          <w:sz w:val="20"/>
        </w:rPr>
        <w:t>See notes to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12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RUNWAY GROWTH FINANCE CORP.</w:t>
      </w:r>
    </w:p>
    <w:p>
      <w:pPr>
        <w:pStyle w:val="TextBody"/>
        <w:bidi w:val="0"/>
        <w:jc w:val="center"/>
        <w:rPr>
          <w:rFonts w:ascii="Times New Roman" w:hAnsi="Times New Roman"/>
          <w:b/>
          <w:color w:val="000000"/>
          <w:sz w:val="20"/>
        </w:rPr>
      </w:pPr>
      <w:r>
        <w:rPr>
          <w:rFonts w:ascii="Times New Roman" w:hAnsi="Times New Roman"/>
          <w:b/>
          <w:color w:val="000000"/>
          <w:sz w:val="20"/>
        </w:rPr>
        <w:t>Consolidated Schedule of Investments (Unaudited) – (continued)</w:t>
      </w:r>
    </w:p>
    <w:p>
      <w:pPr>
        <w:pStyle w:val="TextBody"/>
        <w:bidi w:val="0"/>
        <w:jc w:val="center"/>
        <w:rPr>
          <w:rFonts w:ascii="Times New Roman" w:hAnsi="Times New Roman"/>
          <w:b/>
          <w:color w:val="000000"/>
          <w:sz w:val="20"/>
        </w:rPr>
      </w:pPr>
      <w:r>
        <w:rPr>
          <w:rFonts w:ascii="Times New Roman" w:hAnsi="Times New Roman"/>
          <w:b/>
          <w:color w:val="000000"/>
          <w:sz w:val="20"/>
        </w:rPr>
        <w:t>March 31, 2026</w:t>
      </w:r>
    </w:p>
    <w:p>
      <w:pPr>
        <w:pStyle w:val="TextBody"/>
        <w:bidi w:val="0"/>
        <w:spacing w:before="0" w:after="80"/>
        <w:jc w:val="center"/>
        <w:rPr>
          <w:rFonts w:ascii="Times New Roman" w:hAnsi="Times New Roman"/>
          <w:b/>
          <w:color w:val="000000"/>
          <w:sz w:val="20"/>
        </w:rPr>
      </w:pPr>
      <w:r>
        <w:rPr>
          <w:rFonts w:ascii="Times New Roman" w:hAnsi="Times New Roman"/>
          <w:b/>
          <w:color w:val="000000"/>
          <w:sz w:val="20"/>
        </w:rPr>
        <w:t>(In thousands, except share data)</w:t>
      </w:r>
    </w:p>
    <w:tbl>
      <w:tblPr>
        <w:tblW w:w="10205" w:type="dxa"/>
        <w:jc w:val="left"/>
        <w:tblInd w:w="0" w:type="dxa"/>
        <w:tblLayout w:type="fixed"/>
        <w:tblCellMar>
          <w:top w:w="28" w:type="dxa"/>
          <w:left w:w="28" w:type="dxa"/>
          <w:bottom w:w="28" w:type="dxa"/>
          <w:right w:w="28" w:type="dxa"/>
        </w:tblCellMar>
      </w:tblPr>
      <w:tblGrid>
        <w:gridCol w:w="161"/>
        <w:gridCol w:w="146"/>
        <w:gridCol w:w="1170"/>
        <w:gridCol w:w="146"/>
        <w:gridCol w:w="915"/>
        <w:gridCol w:w="146"/>
        <w:gridCol w:w="995"/>
        <w:gridCol w:w="146"/>
        <w:gridCol w:w="946"/>
        <w:gridCol w:w="146"/>
        <w:gridCol w:w="779"/>
        <w:gridCol w:w="146"/>
        <w:gridCol w:w="146"/>
        <w:gridCol w:w="830"/>
        <w:gridCol w:w="146"/>
        <w:gridCol w:w="146"/>
        <w:gridCol w:w="146"/>
        <w:gridCol w:w="146"/>
        <w:gridCol w:w="511"/>
        <w:gridCol w:w="146"/>
        <w:gridCol w:w="146"/>
        <w:gridCol w:w="146"/>
        <w:gridCol w:w="146"/>
        <w:gridCol w:w="514"/>
        <w:gridCol w:w="146"/>
        <w:gridCol w:w="146"/>
        <w:gridCol w:w="902"/>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7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r>
      <w:tr>
        <w:trPr/>
        <w:tc>
          <w:tcPr>
            <w:tcW w:w="1477"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Portfolio Company**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Investment Type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 xml:space="preserve">Investment </w:t>
              <w:br/>
              <w:t>Description</w:t>
            </w:r>
            <w:r>
              <w:rPr>
                <w:rFonts w:ascii="Times New Roman" w:hAnsi="Times New Roman"/>
                <w:b/>
                <w:color w:val="000000"/>
                <w:sz w:val="11"/>
              </w:rPr>
              <w:t>(1)(2)(4)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Initial Acquisition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Maturity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Principal ($) /</w:t>
              <w:b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0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Cost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 xml:space="preserve">Fair </w:t>
              <w:br/>
              <w:t xml:space="preserve">Value ($) </w:t>
            </w:r>
            <w:r>
              <w:rPr>
                <w:rFonts w:ascii="Times New Roman" w:hAnsi="Times New Roman"/>
                <w:b/>
                <w:color w:val="000000"/>
                <w:sz w:val="11"/>
              </w:rPr>
              <w:t>(3)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Footnotes</w:t>
            </w:r>
          </w:p>
        </w:tc>
      </w:tr>
      <w:tr>
        <w:trPr/>
        <w:tc>
          <w:tcPr>
            <w:tcW w:w="3679" w:type="dxa"/>
            <w:gridSpan w:val="7"/>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Non-Control/Non-Affiliate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gridSpan w:val="2"/>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6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18" w:type="dxa"/>
            <w:gridSpan w:val="6"/>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72" w:type="dxa"/>
            <w:gridSpan w:val="5"/>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Application Software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79"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6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3DNA Corp. (dba NationBuilder)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Warrant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Series C-1 Preferred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12/28/2018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7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12/28/2028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273,164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(13)</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Airship Group,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Warrant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Series F Preferred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6/28/2024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79"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6/28/2034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519,313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(13)</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Aria Systems,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Warrant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Series G Preferred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6/29/2018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7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6/29/2028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2,387,705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1,048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(13)</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Blueshift Labs,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Warrant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Success fee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12/19/2023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79"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(13) (16)</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CarNow,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Warrant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3/22/2024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7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3/22/2034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2,478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(13)</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INRIX,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Warrant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7/26/2019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79"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7/26/2029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150,804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(13)</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JWP Holdco LLC (fka Longtail Ad Solutions,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Warrant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Common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12/12/2019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7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12/12/2029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167,827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(13)</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Piano Software,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Warrant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Series D Preferred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12/31/2024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79"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12/31/2034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119,978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(13)</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Predactiv, Inc. (fka Sharethis,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Warrant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Series D-3 Preferred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12/3/2018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7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12/3/2028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647,615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2,162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(13)</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64" w:type="dxa"/>
            <w:gridSpan w:val="7"/>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Application Software - 1.06%*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79"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7,212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4,655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7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72" w:type="dxa"/>
            <w:gridSpan w:val="5"/>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Commercial &amp; Professional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79"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6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AllClear ID,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Warrant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8/31/2017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7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8/31/2027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870,514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(13)</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Bombora,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Warrant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3/31/2021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79"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3/31/2031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121,581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(13)</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Bombora,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Warrant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12/26/2023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7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12/26/2033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57,750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(13)</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CloudPay,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Warrant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Series B Preferred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6/30/2020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79"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6/30/2030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11,273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(5) (9) (13)</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CloudPay,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Warrant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Series D Preferred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8/17/2021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7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8/17/2031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(5) (9) (13)</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CloudPay,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Warrant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Series D Preferred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9/26/2022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79"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9/26/2032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5,252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(5) (9) (13)</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Elevate Services,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Warrant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Series C Preferred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7/10/2023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7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7/10/2033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248,997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(13)</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Elevate Services,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Warrant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Series C Preferred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7/17/2024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79"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7/17/2034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236,549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(13)</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FiscalNote,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Warrant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Earnout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7/29/2022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7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7/29/2027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(13) (14) (16)</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JobGet Holdings, Inc. (fka Snagajob,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Warrant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Series B-1 Preferred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9/29/2021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79"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9/29/2031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763,269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(13)</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Swing Education,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Warrant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Series C Preferred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6/27/2025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7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6/27/2035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196,160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(13)</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72" w:type="dxa"/>
            <w:gridSpan w:val="5"/>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Commercial &amp; Professional Services - 0.49%*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79"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3,734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2,138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7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72" w:type="dxa"/>
            <w:gridSpan w:val="5"/>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Consumer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79"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6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FINN GmbH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Warrant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Series C2 Preferred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12/4/2025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7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12/4/2030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691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1,689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(6) (9) (13) (17) (24)</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72" w:type="dxa"/>
            <w:gridSpan w:val="5"/>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Consumer Services - 0.39%*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79"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691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1,689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7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72" w:type="dxa"/>
            <w:gridSpan w:val="5"/>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Financial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79"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6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Autobooks,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Warrant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Success Fee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5/5/2025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7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(13) (16)</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Betterment Holdings,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Warrant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10/6/2023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79"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10/6/2033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7,680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(13)</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Betterment Holdings,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Warrant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10/6/2023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7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10/6/2033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9,818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(13)</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Credit Sesame,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Warrant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1/7/2020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79"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1/7/2030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191,601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(13)</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72" w:type="dxa"/>
            <w:gridSpan w:val="5"/>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Financial Services - 0.24%*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7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989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1,037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center"/>
        <w:rPr>
          <w:rFonts w:ascii="Times New Roman" w:hAnsi="Times New Roman"/>
          <w:color w:val="000000"/>
          <w:sz w:val="20"/>
        </w:rPr>
      </w:pPr>
      <w:r>
        <w:rPr>
          <w:rFonts w:ascii="Times New Roman" w:hAnsi="Times New Roman"/>
          <w:color w:val="000000"/>
          <w:sz w:val="20"/>
        </w:rPr>
        <w:t>See notes to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12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RUNWAY GROWTH FINANCE CORP.</w:t>
      </w:r>
    </w:p>
    <w:p>
      <w:pPr>
        <w:pStyle w:val="TextBody"/>
        <w:bidi w:val="0"/>
        <w:jc w:val="center"/>
        <w:rPr>
          <w:rFonts w:ascii="Times New Roman" w:hAnsi="Times New Roman"/>
          <w:b/>
          <w:color w:val="000000"/>
          <w:sz w:val="20"/>
        </w:rPr>
      </w:pPr>
      <w:r>
        <w:rPr>
          <w:rFonts w:ascii="Times New Roman" w:hAnsi="Times New Roman"/>
          <w:b/>
          <w:color w:val="000000"/>
          <w:sz w:val="20"/>
        </w:rPr>
        <w:t>Consolidated Schedule of Investments (Unaudited) – (continued)</w:t>
      </w:r>
    </w:p>
    <w:p>
      <w:pPr>
        <w:pStyle w:val="TextBody"/>
        <w:bidi w:val="0"/>
        <w:jc w:val="center"/>
        <w:rPr>
          <w:rFonts w:ascii="Times New Roman" w:hAnsi="Times New Roman"/>
          <w:b/>
          <w:color w:val="000000"/>
          <w:sz w:val="20"/>
        </w:rPr>
      </w:pPr>
      <w:r>
        <w:rPr>
          <w:rFonts w:ascii="Times New Roman" w:hAnsi="Times New Roman"/>
          <w:b/>
          <w:color w:val="000000"/>
          <w:sz w:val="20"/>
        </w:rPr>
        <w:t>March 31, 2026</w:t>
      </w:r>
    </w:p>
    <w:p>
      <w:pPr>
        <w:pStyle w:val="TextBody"/>
        <w:bidi w:val="0"/>
        <w:spacing w:before="0" w:after="80"/>
        <w:jc w:val="center"/>
        <w:rPr>
          <w:rFonts w:ascii="Times New Roman" w:hAnsi="Times New Roman"/>
          <w:b/>
          <w:color w:val="000000"/>
          <w:sz w:val="20"/>
        </w:rPr>
      </w:pPr>
      <w:r>
        <w:rPr>
          <w:rFonts w:ascii="Times New Roman" w:hAnsi="Times New Roman"/>
          <w:b/>
          <w:color w:val="000000"/>
          <w:sz w:val="20"/>
        </w:rPr>
        <w:t>(In thousands, except share data)</w:t>
      </w:r>
    </w:p>
    <w:tbl>
      <w:tblPr>
        <w:tblW w:w="10205" w:type="dxa"/>
        <w:jc w:val="left"/>
        <w:tblInd w:w="0" w:type="dxa"/>
        <w:tblLayout w:type="fixed"/>
        <w:tblCellMar>
          <w:top w:w="28" w:type="dxa"/>
          <w:left w:w="28" w:type="dxa"/>
          <w:bottom w:w="28" w:type="dxa"/>
          <w:right w:w="28" w:type="dxa"/>
        </w:tblCellMar>
      </w:tblPr>
      <w:tblGrid>
        <w:gridCol w:w="161"/>
        <w:gridCol w:w="146"/>
        <w:gridCol w:w="1139"/>
        <w:gridCol w:w="146"/>
        <w:gridCol w:w="918"/>
        <w:gridCol w:w="146"/>
        <w:gridCol w:w="1003"/>
        <w:gridCol w:w="146"/>
        <w:gridCol w:w="953"/>
        <w:gridCol w:w="146"/>
        <w:gridCol w:w="782"/>
        <w:gridCol w:w="146"/>
        <w:gridCol w:w="146"/>
        <w:gridCol w:w="831"/>
        <w:gridCol w:w="146"/>
        <w:gridCol w:w="146"/>
        <w:gridCol w:w="146"/>
        <w:gridCol w:w="146"/>
        <w:gridCol w:w="511"/>
        <w:gridCol w:w="146"/>
        <w:gridCol w:w="146"/>
        <w:gridCol w:w="147"/>
        <w:gridCol w:w="147"/>
        <w:gridCol w:w="514"/>
        <w:gridCol w:w="146"/>
        <w:gridCol w:w="146"/>
        <w:gridCol w:w="909"/>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3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r>
      <w:tr>
        <w:trPr/>
        <w:tc>
          <w:tcPr>
            <w:tcW w:w="1446"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Portfolio Company**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Investment Type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 xml:space="preserve">Investment </w:t>
              <w:br/>
              <w:t>Description</w:t>
            </w:r>
            <w:r>
              <w:rPr>
                <w:rFonts w:ascii="Times New Roman" w:hAnsi="Times New Roman"/>
                <w:b/>
                <w:color w:val="000000"/>
                <w:sz w:val="11"/>
              </w:rPr>
              <w:t>(1)(2)(4)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Initial Acquisition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Maturity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Principal ($) /</w:t>
              <w:b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0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Cost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 xml:space="preserve">Fair </w:t>
              <w:br/>
              <w:t xml:space="preserve">Value ($) </w:t>
            </w:r>
            <w:r>
              <w:rPr>
                <w:rFonts w:ascii="Times New Roman" w:hAnsi="Times New Roman"/>
                <w:b/>
                <w:color w:val="000000"/>
                <w:sz w:val="11"/>
              </w:rPr>
              <w:t>(3)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Footnotes</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52" w:type="dxa"/>
            <w:gridSpan w:val="5"/>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Health Care Equipment &amp;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3"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Allurion Technologies,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Warrant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3/30/2021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3/30/2031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(13) (14)</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Allurion Technologies,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Warrant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6/14/2022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3/30/2031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1,851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(13) (14)</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Allurion Technologies,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Warrant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9/15/2022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9/15/2032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(13) (14)</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Allurion Technologies,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Warrant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Earnout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8/2/2023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8/1/2028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7"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(13) (14) (16)</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EBR Systems,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Warrant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Success fee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6/30/2022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6/30/2032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(13) (14) (16)</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Mingle Healthcare Solutions,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Warrant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Series CC Preferred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8/15/2018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8/15/2028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1,770,973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(13)</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Moximed,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Warrant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Series C Preferred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6/24/2022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6/24/2032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214,285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(13)</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Onward Medical, N.V.</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Warrant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6/28/2024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9/26/2034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165,338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(8) (9) (13) (14) (17)</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Route 92 Medical,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Warrant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Success fee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3/31/2025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3/31/2035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666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(13) (16)</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SetPoint Medical Corporation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Warrant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Series B Preferred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6/29/2021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6/29/2031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(13)</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SetPoint Medical Corporation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Warrant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Series B Preferred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12/29/2022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12/29/2032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(13)</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52" w:type="dxa"/>
            <w:gridSpan w:val="5"/>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Health Care Equipment &amp; Services - 0.37%*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3"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1,641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52" w:type="dxa"/>
            <w:gridSpan w:val="5"/>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Household &amp; Personal Products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3"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Madison Reed,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Warrant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Success fee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8/29/2025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(13) (16)</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52" w:type="dxa"/>
            <w:gridSpan w:val="5"/>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Household &amp; Personal Products - 0.10%*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3"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52" w:type="dxa"/>
            <w:gridSpan w:val="5"/>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Insurance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3"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Kin Insurance,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Warrant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Series D-3 Preferred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9/26/2022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9/26/2032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62,364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(13)</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Kin Insurance,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Warrant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Series E Preferred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8/13/2025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8/13/2035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10,618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546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(13)</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52" w:type="dxa"/>
            <w:gridSpan w:val="5"/>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Insurance - 0.20%*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972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875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3"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52" w:type="dxa"/>
            <w:gridSpan w:val="5"/>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Media &amp; Entertainment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Skillshare,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Warrant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Success fee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8/15/2025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7"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(13) (16)</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Snap! Mobile,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Warrant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Series B Preferred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9/30/2024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9/30/2034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19,140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(13)</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52" w:type="dxa"/>
            <w:gridSpan w:val="5"/>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Media &amp; Entertainment - 0.09%*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3"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682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52" w:type="dxa"/>
            <w:gridSpan w:val="5"/>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Pharmaceuticals, Biotechnology &amp; Life Sciences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3"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Mustang Bio,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Warrant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3/4/2022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3/4/2032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997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(13) (14)</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Shield Therapeutics PLC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Warrant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12/2/2025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12/2/2031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906,468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(5) (9) (13) (14) (17)</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52" w:type="dxa"/>
            <w:gridSpan w:val="5"/>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Pharmaceuticals, Biotechnology &amp; Life Sciences - 0.01%*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center"/>
        <w:rPr>
          <w:rFonts w:ascii="Times New Roman" w:hAnsi="Times New Roman"/>
          <w:color w:val="000000"/>
          <w:sz w:val="20"/>
        </w:rPr>
      </w:pPr>
      <w:r>
        <w:rPr>
          <w:rFonts w:ascii="Times New Roman" w:hAnsi="Times New Roman"/>
          <w:color w:val="000000"/>
          <w:sz w:val="20"/>
        </w:rPr>
        <w:t>See notes to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12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RUNWAY GROWTH FINANCE CORP.</w:t>
      </w:r>
    </w:p>
    <w:p>
      <w:pPr>
        <w:pStyle w:val="TextBody"/>
        <w:bidi w:val="0"/>
        <w:jc w:val="center"/>
        <w:rPr>
          <w:rFonts w:ascii="Times New Roman" w:hAnsi="Times New Roman"/>
          <w:b/>
          <w:color w:val="000000"/>
          <w:sz w:val="20"/>
        </w:rPr>
      </w:pPr>
      <w:r>
        <w:rPr>
          <w:rFonts w:ascii="Times New Roman" w:hAnsi="Times New Roman"/>
          <w:b/>
          <w:color w:val="000000"/>
          <w:sz w:val="20"/>
        </w:rPr>
        <w:t>Consolidated Schedule of Investments (Unaudited) – (continued)</w:t>
      </w:r>
    </w:p>
    <w:p>
      <w:pPr>
        <w:pStyle w:val="TextBody"/>
        <w:bidi w:val="0"/>
        <w:jc w:val="center"/>
        <w:rPr>
          <w:rFonts w:ascii="Times New Roman" w:hAnsi="Times New Roman"/>
          <w:b/>
          <w:color w:val="000000"/>
          <w:sz w:val="20"/>
        </w:rPr>
      </w:pPr>
      <w:r>
        <w:rPr>
          <w:rFonts w:ascii="Times New Roman" w:hAnsi="Times New Roman"/>
          <w:b/>
          <w:color w:val="000000"/>
          <w:sz w:val="20"/>
        </w:rPr>
        <w:t>March 31, 2026</w:t>
      </w:r>
    </w:p>
    <w:p>
      <w:pPr>
        <w:pStyle w:val="TextBody"/>
        <w:bidi w:val="0"/>
        <w:spacing w:before="0" w:after="80"/>
        <w:jc w:val="center"/>
        <w:rPr>
          <w:rFonts w:ascii="Times New Roman" w:hAnsi="Times New Roman"/>
          <w:b/>
          <w:color w:val="000000"/>
          <w:sz w:val="20"/>
        </w:rPr>
      </w:pPr>
      <w:r>
        <w:rPr>
          <w:rFonts w:ascii="Times New Roman" w:hAnsi="Times New Roman"/>
          <w:b/>
          <w:color w:val="000000"/>
          <w:sz w:val="20"/>
        </w:rPr>
        <w:t>(In thousands, except share data)</w:t>
      </w:r>
    </w:p>
    <w:tbl>
      <w:tblPr>
        <w:tblW w:w="10212" w:type="dxa"/>
        <w:jc w:val="left"/>
        <w:tblInd w:w="0" w:type="dxa"/>
        <w:tblLayout w:type="fixed"/>
        <w:tblCellMar>
          <w:top w:w="28" w:type="dxa"/>
          <w:left w:w="28" w:type="dxa"/>
          <w:bottom w:w="28" w:type="dxa"/>
          <w:right w:w="28" w:type="dxa"/>
        </w:tblCellMar>
      </w:tblPr>
      <w:tblGrid>
        <w:gridCol w:w="161"/>
        <w:gridCol w:w="146"/>
        <w:gridCol w:w="946"/>
        <w:gridCol w:w="146"/>
        <w:gridCol w:w="901"/>
        <w:gridCol w:w="146"/>
        <w:gridCol w:w="961"/>
        <w:gridCol w:w="146"/>
        <w:gridCol w:w="916"/>
        <w:gridCol w:w="146"/>
        <w:gridCol w:w="766"/>
        <w:gridCol w:w="146"/>
        <w:gridCol w:w="146"/>
        <w:gridCol w:w="826"/>
        <w:gridCol w:w="146"/>
        <w:gridCol w:w="146"/>
        <w:gridCol w:w="146"/>
        <w:gridCol w:w="146"/>
        <w:gridCol w:w="691"/>
        <w:gridCol w:w="146"/>
        <w:gridCol w:w="146"/>
        <w:gridCol w:w="146"/>
        <w:gridCol w:w="146"/>
        <w:gridCol w:w="691"/>
        <w:gridCol w:w="146"/>
        <w:gridCol w:w="146"/>
        <w:gridCol w:w="871"/>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r>
      <w:tr>
        <w:trPr/>
        <w:tc>
          <w:tcPr>
            <w:tcW w:w="125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Portfolio Company**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Investment Type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 xml:space="preserve">Investment </w:t>
              <w:br/>
              <w:t>Description</w:t>
            </w:r>
            <w:r>
              <w:rPr>
                <w:rFonts w:ascii="Times New Roman" w:hAnsi="Times New Roman"/>
                <w:b/>
                <w:color w:val="000000"/>
                <w:sz w:val="11"/>
              </w:rPr>
              <w:t>(1)(2)(4)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Initial Acquisition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Maturity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Principal ($) /</w:t>
              <w:b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8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Cost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 xml:space="preserve">Fair </w:t>
              <w:br/>
              <w:t xml:space="preserve">Value ($) </w:t>
            </w:r>
            <w:r>
              <w:rPr>
                <w:rFonts w:ascii="Times New Roman" w:hAnsi="Times New Roman"/>
                <w:b/>
                <w:color w:val="000000"/>
                <w:sz w:val="11"/>
              </w:rPr>
              <w:t>(3)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Footnotes</w:t>
            </w:r>
          </w:p>
        </w:tc>
      </w:tr>
      <w:tr>
        <w:trPr/>
        <w:tc>
          <w:tcPr>
            <w:tcW w:w="3407" w:type="dxa"/>
            <w:gridSpan w:val="7"/>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Non-Control/Non-Affiliate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46" w:type="dxa"/>
            <w:gridSpan w:val="6"/>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00" w:type="dxa"/>
            <w:gridSpan w:val="5"/>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Systems Software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Circadence Corporation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Warrant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Series B Preferred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12/20/2018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12/20/2028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1,538,462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(13)</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Circadence Corporation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Warrant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Series B Preferred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10/31/2019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10/31/2029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384,615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846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(13)</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Circadence Corporation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Warrant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Success fee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12/21/2023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(13) (16)</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Scale Computing,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Warrant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3/29/2019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3/29/2029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9,665,667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(13)</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Synack,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Warrant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12/29/2023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6/30/2032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131,521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(13)</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00" w:type="dxa"/>
            <w:gridSpan w:val="5"/>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Systems Software - 0.08%*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5,294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00" w:type="dxa"/>
            <w:gridSpan w:val="5"/>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Technology Hardware &amp;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Brivo,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Warrant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Series A-2 Preferred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10/20/2022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10/20/2032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201,000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(13)</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Brivo,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Warrant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Series A-2 Preferred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12/27/2024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12/27/2034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32,109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(13)</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Dejero Labs,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Warrant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5/31/2019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5/31/2029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333,621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(7) (9) (13) (17)</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Linxup, LLC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Warrant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Success fee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11/3/2023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11/3/2033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(13) (16)</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RealWear,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Warrant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Series A-1 Preferred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10/5/2018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10/5/2028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73,746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(13)</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RealWear,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Warrant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10/5/2018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10/5/2028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38,705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(13)</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RealWear,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Warrant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Series A-1 Preferred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12/28/2018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12/28/2028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14,749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(13)</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RealWear,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Warrant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12/28/2018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12/28/2028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7,742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(13)</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RealWear,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Warrant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Series A-1 Preferred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6/27/2019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6/27/2029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81,251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(13)</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RealWear,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Warrant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6/27/2019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6/27/2029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42,643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(13)</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62" w:type="dxa"/>
            <w:gridSpan w:val="7"/>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Technology Hardware &amp; Equipment - 0.27%*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1,128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1,164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83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83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46" w:type="dxa"/>
            <w:gridSpan w:val="6"/>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Warrants - 3.30%*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24,584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14,455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83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83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07" w:type="dxa"/>
            <w:gridSpan w:val="7"/>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Total Non-Control/Non-Affiliate Investments - 199.28%*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968,725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873,311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center"/>
        <w:rPr>
          <w:rFonts w:ascii="Times New Roman" w:hAnsi="Times New Roman"/>
          <w:color w:val="000000"/>
          <w:sz w:val="20"/>
        </w:rPr>
      </w:pPr>
      <w:r>
        <w:rPr>
          <w:rFonts w:ascii="Times New Roman" w:hAnsi="Times New Roman"/>
          <w:color w:val="000000"/>
          <w:sz w:val="20"/>
        </w:rPr>
        <w:t>See notes to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12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RUNWAY GROWTH FINANCE CORP.</w:t>
      </w:r>
    </w:p>
    <w:p>
      <w:pPr>
        <w:pStyle w:val="TextBody"/>
        <w:bidi w:val="0"/>
        <w:jc w:val="center"/>
        <w:rPr>
          <w:rFonts w:ascii="Times New Roman" w:hAnsi="Times New Roman"/>
          <w:b/>
          <w:color w:val="000000"/>
          <w:sz w:val="20"/>
        </w:rPr>
      </w:pPr>
      <w:r>
        <w:rPr>
          <w:rFonts w:ascii="Times New Roman" w:hAnsi="Times New Roman"/>
          <w:b/>
          <w:color w:val="000000"/>
          <w:sz w:val="20"/>
        </w:rPr>
        <w:t>Consolidated Schedule of Investments (Unaudited) – (continued)</w:t>
      </w:r>
    </w:p>
    <w:p>
      <w:pPr>
        <w:pStyle w:val="TextBody"/>
        <w:bidi w:val="0"/>
        <w:jc w:val="center"/>
        <w:rPr>
          <w:rFonts w:ascii="Times New Roman" w:hAnsi="Times New Roman"/>
          <w:b/>
          <w:color w:val="000000"/>
          <w:sz w:val="20"/>
        </w:rPr>
      </w:pPr>
      <w:r>
        <w:rPr>
          <w:rFonts w:ascii="Times New Roman" w:hAnsi="Times New Roman"/>
          <w:b/>
          <w:color w:val="000000"/>
          <w:sz w:val="20"/>
        </w:rPr>
        <w:t>March 31, 2026</w:t>
      </w:r>
    </w:p>
    <w:p>
      <w:pPr>
        <w:pStyle w:val="TextBody"/>
        <w:bidi w:val="0"/>
        <w:spacing w:before="0" w:after="80"/>
        <w:jc w:val="center"/>
        <w:rPr>
          <w:rFonts w:ascii="Times New Roman" w:hAnsi="Times New Roman"/>
          <w:b/>
          <w:color w:val="000000"/>
          <w:sz w:val="20"/>
        </w:rPr>
      </w:pPr>
      <w:r>
        <w:rPr>
          <w:rFonts w:ascii="Times New Roman" w:hAnsi="Times New Roman"/>
          <w:b/>
          <w:color w:val="000000"/>
          <w:sz w:val="20"/>
        </w:rPr>
        <w:t>(In thousands, except share data)</w:t>
      </w:r>
    </w:p>
    <w:p>
      <w:pPr>
        <w:pStyle w:val="TextBody"/>
        <w:bidi w:val="0"/>
        <w:jc w:val="left"/>
        <w:rPr/>
      </w:pPr>
      <w:r>
        <w:rPr/>
        <w:t> </w:t>
      </w:r>
    </w:p>
    <w:tbl>
      <w:tblPr>
        <w:tblW w:w="10597" w:type="dxa"/>
        <w:jc w:val="left"/>
        <w:tblInd w:w="0" w:type="dxa"/>
        <w:tblLayout w:type="fixed"/>
        <w:tblCellMar>
          <w:top w:w="28" w:type="dxa"/>
          <w:left w:w="28" w:type="dxa"/>
          <w:bottom w:w="28" w:type="dxa"/>
          <w:right w:w="28" w:type="dxa"/>
        </w:tblCellMar>
      </w:tblPr>
      <w:tblGrid>
        <w:gridCol w:w="161"/>
        <w:gridCol w:w="146"/>
        <w:gridCol w:w="1216"/>
        <w:gridCol w:w="146"/>
        <w:gridCol w:w="901"/>
        <w:gridCol w:w="146"/>
        <w:gridCol w:w="976"/>
        <w:gridCol w:w="146"/>
        <w:gridCol w:w="916"/>
        <w:gridCol w:w="146"/>
        <w:gridCol w:w="766"/>
        <w:gridCol w:w="146"/>
        <w:gridCol w:w="146"/>
        <w:gridCol w:w="826"/>
        <w:gridCol w:w="146"/>
        <w:gridCol w:w="146"/>
        <w:gridCol w:w="196"/>
        <w:gridCol w:w="146"/>
        <w:gridCol w:w="691"/>
        <w:gridCol w:w="146"/>
        <w:gridCol w:w="146"/>
        <w:gridCol w:w="196"/>
        <w:gridCol w:w="146"/>
        <w:gridCol w:w="691"/>
        <w:gridCol w:w="146"/>
        <w:gridCol w:w="146"/>
        <w:gridCol w:w="871"/>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r>
      <w:tr>
        <w:trPr/>
        <w:tc>
          <w:tcPr>
            <w:tcW w:w="152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Portfolio Company**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Investment Type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 xml:space="preserve">Investment </w:t>
              <w:br/>
              <w:t>Description</w:t>
            </w:r>
            <w:r>
              <w:rPr>
                <w:rFonts w:ascii="Times New Roman" w:hAnsi="Times New Roman"/>
                <w:b/>
                <w:color w:val="000000"/>
                <w:sz w:val="11"/>
              </w:rPr>
              <w:t>(1)(2)(4)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Initial Acquisition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Maturity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Principal ($) /</w:t>
              <w:b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Cost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 xml:space="preserve">Fair </w:t>
              <w:br/>
              <w:t xml:space="preserve">Value ($) </w:t>
            </w:r>
            <w:r>
              <w:rPr>
                <w:rFonts w:ascii="Times New Roman" w:hAnsi="Times New Roman"/>
                <w:b/>
                <w:color w:val="000000"/>
                <w:sz w:val="11"/>
              </w:rPr>
              <w:t>(3)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Footnotes</w:t>
            </w:r>
          </w:p>
        </w:tc>
      </w:tr>
      <w:tr>
        <w:trPr/>
        <w:tc>
          <w:tcPr>
            <w:tcW w:w="3692" w:type="dxa"/>
            <w:gridSpan w:val="7"/>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Affiliate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(19)</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31" w:type="dxa"/>
            <w:gridSpan w:val="6"/>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Equity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85" w:type="dxa"/>
            <w:gridSpan w:val="5"/>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Application Software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Coginiti Corp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3/9/2020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1,040,160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4,551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(13)</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85" w:type="dxa"/>
            <w:gridSpan w:val="5"/>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Application Software - 0.00%*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4,551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31" w:type="dxa"/>
            <w:gridSpan w:val="6"/>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Equity Investments - 0.00%*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4,551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31" w:type="dxa"/>
            <w:gridSpan w:val="6"/>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85" w:type="dxa"/>
            <w:gridSpan w:val="5"/>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Application Software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Coginiti Corp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Warrant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3/9/2020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3/9/2030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811,770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(13)</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85" w:type="dxa"/>
            <w:gridSpan w:val="5"/>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Application Software - 0.00%*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31" w:type="dxa"/>
            <w:gridSpan w:val="6"/>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Warrants - 0.00%*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83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83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92" w:type="dxa"/>
            <w:gridSpan w:val="7"/>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Total Affiliate Investments - 0.00%*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4,551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92" w:type="dxa"/>
            <w:gridSpan w:val="7"/>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Control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(20)</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31" w:type="dxa"/>
            <w:gridSpan w:val="6"/>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Equity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85" w:type="dxa"/>
            <w:gridSpan w:val="5"/>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Commercial &amp; Professional Services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Pivot3,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100% Equity Interest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12/31/2023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(25)</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85" w:type="dxa"/>
            <w:gridSpan w:val="5"/>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Commercial &amp; Professional Services - 0.00%*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85" w:type="dxa"/>
            <w:gridSpan w:val="5"/>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Multi-Sector Holdings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Runway-Cadma I LLC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50% Equity Interest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3/6/2024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12,180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13,035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(9)</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85" w:type="dxa"/>
            <w:gridSpan w:val="5"/>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Multi-Sector Holdings - 2.97%*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12,180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13,035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83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83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31" w:type="dxa"/>
            <w:gridSpan w:val="6"/>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Equity Investments - 2.97%*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12,180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13,035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83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83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92" w:type="dxa"/>
            <w:gridSpan w:val="7"/>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Total Control Investments - 2.97%*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12,180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13,035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92" w:type="dxa"/>
            <w:gridSpan w:val="7"/>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Total Investments - 202.25%*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14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69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985,456</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14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69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886,346</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92" w:type="dxa"/>
            <w:gridSpan w:val="7"/>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Cash and Cash Equivalents and Short Term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Goldman Sachs Financial Square Government Fund Institutional Shares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FGTXX/38141W273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750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750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31" w:type="dxa"/>
            <w:gridSpan w:val="6"/>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Cash and Cash Equivalents and Short Term Investments - 0.53%*</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2,312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2,312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83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83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92" w:type="dxa"/>
            <w:gridSpan w:val="7"/>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Total Investments, Cash and Cash Equivalents, and Short Term Investments - 202.78%*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987,768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888,658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360" w:after="240"/>
        <w:jc w:val="left"/>
        <w:rPr>
          <w:rFonts w:ascii="Times New Roman" w:hAnsi="Times New Roman"/>
          <w:b/>
          <w:color w:val="000000"/>
          <w:sz w:val="20"/>
        </w:rPr>
      </w:pPr>
      <w:r>
        <w:rPr>
          <w:rFonts w:ascii="Times New Roman" w:hAnsi="Times New Roman"/>
          <w:b/>
          <w:color w:val="000000"/>
          <w:sz w:val="20"/>
        </w:rPr>
        <w:t>Foreign Currency Forward Contracts</w:t>
      </w:r>
    </w:p>
    <w:tbl>
      <w:tblPr>
        <w:tblW w:w="10205" w:type="dxa"/>
        <w:jc w:val="left"/>
        <w:tblInd w:w="0" w:type="dxa"/>
        <w:tblLayout w:type="fixed"/>
        <w:tblCellMar>
          <w:top w:w="28" w:type="dxa"/>
          <w:left w:w="28" w:type="dxa"/>
          <w:bottom w:w="28" w:type="dxa"/>
          <w:right w:w="28" w:type="dxa"/>
        </w:tblCellMar>
      </w:tblPr>
      <w:tblGrid>
        <w:gridCol w:w="1476"/>
        <w:gridCol w:w="146"/>
        <w:gridCol w:w="1950"/>
        <w:gridCol w:w="146"/>
        <w:gridCol w:w="962"/>
        <w:gridCol w:w="146"/>
        <w:gridCol w:w="307"/>
        <w:gridCol w:w="1265"/>
        <w:gridCol w:w="146"/>
        <w:gridCol w:w="146"/>
        <w:gridCol w:w="360"/>
        <w:gridCol w:w="1486"/>
        <w:gridCol w:w="146"/>
        <w:gridCol w:w="196"/>
        <w:gridCol w:w="278"/>
        <w:gridCol w:w="833"/>
        <w:gridCol w:w="216"/>
      </w:tblGrid>
      <w:tr>
        <w:trPr/>
        <w:tc>
          <w:tcPr>
            <w:tcW w:w="14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5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126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r>
      <w:tr>
        <w:trPr/>
        <w:tc>
          <w:tcPr>
            <w:tcW w:w="14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Foreign Currency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Counterparty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Maturity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Notional Amount to be Sold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Notional Amount to be Purchased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Unrealized Gain </w:t>
              <w:br/>
              <w:t>(Loss)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British Pound Sterling (GBP)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50"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Canadian Imperial Bank of Commerce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5/14/2026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21,964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28,873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(176</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4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2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(176</w:t>
            </w:r>
          </w:p>
        </w:tc>
        <w:tc>
          <w:tcPr>
            <w:tcW w:w="2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bl>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See notes to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12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RUNWAY GROWTH FINANCE CORP.</w:t>
      </w:r>
    </w:p>
    <w:p>
      <w:pPr>
        <w:pStyle w:val="TextBody"/>
        <w:bidi w:val="0"/>
        <w:jc w:val="center"/>
        <w:rPr>
          <w:rFonts w:ascii="Times New Roman" w:hAnsi="Times New Roman"/>
          <w:b/>
          <w:color w:val="000000"/>
          <w:sz w:val="20"/>
        </w:rPr>
      </w:pPr>
      <w:r>
        <w:rPr>
          <w:rFonts w:ascii="Times New Roman" w:hAnsi="Times New Roman"/>
          <w:b/>
          <w:color w:val="000000"/>
          <w:sz w:val="20"/>
        </w:rPr>
        <w:t>Consolidated Schedule of Investments (Unaudited) – (continued)</w:t>
      </w:r>
    </w:p>
    <w:p>
      <w:pPr>
        <w:pStyle w:val="TextBody"/>
        <w:bidi w:val="0"/>
        <w:spacing w:before="0" w:after="120"/>
        <w:jc w:val="center"/>
        <w:rPr>
          <w:rFonts w:ascii="Times New Roman" w:hAnsi="Times New Roman"/>
          <w:b/>
          <w:color w:val="000000"/>
          <w:sz w:val="20"/>
        </w:rPr>
      </w:pPr>
      <w:r>
        <w:rPr>
          <w:rFonts w:ascii="Times New Roman" w:hAnsi="Times New Roman"/>
          <w:b/>
          <w:color w:val="000000"/>
          <w:sz w:val="20"/>
        </w:rPr>
        <w:t>March 31, 2026</w:t>
      </w:r>
    </w:p>
    <w:tbl>
      <w:tblPr>
        <w:tblW w:w="10205" w:type="dxa"/>
        <w:jc w:val="left"/>
        <w:tblInd w:w="0" w:type="dxa"/>
        <w:tblLayout w:type="fixed"/>
        <w:tblCellMar>
          <w:top w:w="28" w:type="dxa"/>
          <w:left w:w="28" w:type="dxa"/>
          <w:bottom w:w="28" w:type="dxa"/>
          <w:right w:w="28" w:type="dxa"/>
        </w:tblCellMar>
      </w:tblPr>
      <w:tblGrid>
        <w:gridCol w:w="277"/>
        <w:gridCol w:w="146"/>
        <w:gridCol w:w="9782"/>
      </w:tblGrid>
      <w:tr>
        <w:trPr/>
        <w:tc>
          <w:tcPr>
            <w:tcW w:w="27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82" w:type="dxa"/>
            <w:tcBorders/>
            <w:vAlign w:val="center"/>
          </w:tcPr>
          <w:p>
            <w:pPr>
              <w:pStyle w:val="TableContents"/>
              <w:bidi w:val="0"/>
              <w:spacing w:before="0" w:after="283"/>
              <w:jc w:val="left"/>
              <w:rPr>
                <w:sz w:val="4"/>
                <w:szCs w:val="4"/>
              </w:rPr>
            </w:pPr>
            <w:r>
              <w:rPr>
                <w:sz w:val="4"/>
                <w:szCs w:val="4"/>
              </w:rPr>
            </w:r>
          </w:p>
        </w:tc>
      </w:tr>
      <w:tr>
        <w:trPr/>
        <w:tc>
          <w:tcPr>
            <w:tcW w:w="2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Disclosures of interest rates on notes include cash interest rates and payment-in-kind ("PIK") interest rates, as applicable. Unless otherwise indicated, all of the Company's variable interest debt instruments bear interest at a rate determined by reference to the U.S. Prime Rate ("PRIME") or the 1-month or 3-month Secured Overnight Financing Rate ("SOFR"). At March 31, 2026, the U.S. PRIME Rate was 6.75%, the 1-Month SOFR was 3.66%, and the 3-Month SOFR was 3.68%.</w:t>
            </w:r>
          </w:p>
        </w:tc>
      </w:tr>
      <w:tr>
        <w:trPr/>
        <w:tc>
          <w:tcPr>
            <w:tcW w:w="2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The Company’s investments are generally acquired in private transactions exempt from registration under the Securities Act of 1933, as amended (the "Securities Act"), and, therefore, except as otherwise noted, are subject to limitation on resale, may be deemed to be "restricted securities" under the Securities Act, and were valued at fair value as determined in good faith by the Board of Directors (as defined in "Note 2 – Summary of Significant Accounting Policies").</w:t>
            </w:r>
          </w:p>
        </w:tc>
      </w:tr>
      <w:tr>
        <w:trPr/>
        <w:tc>
          <w:tcPr>
            <w:tcW w:w="2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Investments are held at Fair Value net of the Fair Value of Unfunded Commitments. Refer to "Note 8 – Commitments, Contingencies, and Off-Balance Sheet Arrangements " for additional detail.</w:t>
            </w:r>
          </w:p>
        </w:tc>
      </w:tr>
      <w:tr>
        <w:trPr/>
        <w:tc>
          <w:tcPr>
            <w:tcW w:w="2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All portfolio companies are domiciled in the United States, unless otherwise noted.</w:t>
            </w:r>
          </w:p>
        </w:tc>
      </w:tr>
      <w:tr>
        <w:trPr/>
        <w:tc>
          <w:tcPr>
            <w:tcW w:w="2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Portfolio company is domiciled in the United Kingdom. Fair value of United Kingdom domiciled investments represents 7.74% of net assets.</w:t>
            </w:r>
          </w:p>
        </w:tc>
      </w:tr>
      <w:tr>
        <w:trPr/>
        <w:tc>
          <w:tcPr>
            <w:tcW w:w="2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Portfolio company is domiciled in Germany. Fair value of German domiciled investments represents 13.32% of net assets.</w:t>
            </w:r>
          </w:p>
        </w:tc>
      </w:tr>
      <w:tr>
        <w:trPr/>
        <w:tc>
          <w:tcPr>
            <w:tcW w:w="2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Portfolio company is domiciled in Canada. Fair value of Canadian domiciled investments represents 0.05% of net assets.</w:t>
            </w:r>
          </w:p>
        </w:tc>
      </w:tr>
      <w:tr>
        <w:trPr/>
        <w:tc>
          <w:tcPr>
            <w:tcW w:w="2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Portfolio company is domiciled in the Netherlands. Fair value of Dutch domiciled investments represents 3.94% of net assets.</w:t>
            </w:r>
          </w:p>
        </w:tc>
      </w:tr>
      <w:tr>
        <w:trPr/>
        <w:tc>
          <w:tcPr>
            <w:tcW w:w="2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Investment is not a qualifying investment as defined under Section 55(a) of the Investment Company Act of 1940, as amended. The fair value of non-qualifying assets represents 14.72% of total assets as of March 31, 2026. Qualifying assets must represent at least 70% of total assets at the time of acquisition of any additional non-qualifying assets. If at any time qualifying assets do not represent at least 70% of the Company's total assets, the Company will be precluded from acquiring any additional non-qualifying assets until such time as it complies with the requirements of Section 55(a).</w:t>
            </w:r>
          </w:p>
        </w:tc>
      </w:tr>
      <w:tr>
        <w:trPr/>
        <w:tc>
          <w:tcPr>
            <w:tcW w:w="2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Represents a PIK security. PIK interest will be accrued and paid at maturity.</w:t>
            </w:r>
          </w:p>
        </w:tc>
      </w:tr>
      <w:tr>
        <w:trPr/>
        <w:tc>
          <w:tcPr>
            <w:tcW w:w="2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Disclosures of end-of-term payments ("ETP") are one-time payments stated as a percentage of principal amount.</w:t>
            </w:r>
          </w:p>
        </w:tc>
      </w:tr>
      <w:tr>
        <w:trPr/>
        <w:tc>
          <w:tcPr>
            <w:tcW w:w="2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The investment is an eligible loan investment in the collateral under the Credit Facility (as defined in "Note 7 – Borrowings").</w:t>
            </w:r>
          </w:p>
        </w:tc>
      </w:tr>
      <w:tr>
        <w:trPr/>
        <w:tc>
          <w:tcPr>
            <w:tcW w:w="2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Investments are non-income producing.</w:t>
            </w:r>
          </w:p>
        </w:tc>
      </w:tr>
      <w:tr>
        <w:trPr/>
        <w:tc>
          <w:tcPr>
            <w:tcW w:w="2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Portfolio company is a publicly traded company whose securities are listed on a national securities exchange.</w:t>
            </w:r>
          </w:p>
        </w:tc>
      </w:tr>
      <w:tr>
        <w:trPr/>
        <w:tc>
          <w:tcPr>
            <w:tcW w:w="2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Investment is not a "restricted security" under the Securities Act.</w:t>
            </w:r>
          </w:p>
        </w:tc>
      </w:tr>
      <w:tr>
        <w:trPr/>
        <w:tc>
          <w:tcPr>
            <w:tcW w:w="2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Investment is either a cash success fee payable or earnout of shares based on the consummation of certain trigger events.</w:t>
            </w:r>
          </w:p>
        </w:tc>
      </w:tr>
      <w:tr>
        <w:trPr/>
        <w:tc>
          <w:tcPr>
            <w:tcW w:w="2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Investment is denominated in a foreign currency. At each balance sheet date, portfolio company investments denominated in foreign currencies are translated into U.S. dollars using the spot exchange rate on the last business day of the period. Transactions of foreign portfolio company investments, and income related from such investments, are translated into U.S. dollars using relevant rates of exchange on the respective dates of such transactions.</w:t>
            </w:r>
          </w:p>
        </w:tc>
      </w:tr>
      <w:tr>
        <w:trPr/>
        <w:tc>
          <w:tcPr>
            <w:tcW w:w="2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Investment represents a security with a tiered fee that increases over time, dependent upon the timing of repayment. Such fees are recorded in "Fee income" on the Consolidated Statements of Operations.</w:t>
            </w:r>
          </w:p>
        </w:tc>
      </w:tr>
      <w:tr>
        <w:trPr/>
        <w:tc>
          <w:tcPr>
            <w:tcW w:w="2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Affiliate portfolio company as defined under the 1940 Act in which the Company owns between 5% and 25% (inclusive) of the investment's voting securities and does not have rights to maintain greater than 50% representation on the board.</w:t>
            </w:r>
          </w:p>
        </w:tc>
      </w:tr>
      <w:tr>
        <w:trPr/>
        <w:tc>
          <w:tcPr>
            <w:tcW w:w="2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Control portfolio company, as defined under the 1940 Act, in which the Company owns more than 25% of the investment’s voting securities or has greater than 50% representation on its board.</w:t>
            </w:r>
          </w:p>
        </w:tc>
      </w:tr>
      <w:tr>
        <w:trPr/>
        <w:tc>
          <w:tcPr>
            <w:tcW w:w="2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Investment is on non-accrual status as of March 31, 2026 and is therefore considered non-income producing.</w:t>
            </w:r>
          </w:p>
        </w:tc>
      </w:tr>
      <w:tr>
        <w:trPr/>
        <w:tc>
          <w:tcPr>
            <w:tcW w:w="2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JobGet Holdings, Inc. (fka Snagajob.com, Inc.) has the right of first refusal on sale of preferred stock.</w:t>
            </w:r>
          </w:p>
        </w:tc>
      </w:tr>
      <w:tr>
        <w:trPr/>
        <w:tc>
          <w:tcPr>
            <w:tcW w:w="2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The Company sold a participating interest representing $15.0</w:t>
            </w:r>
            <w:r>
              <w:rPr>
                <w:rFonts w:ascii="Times New Roman" w:hAnsi="Times New Roman"/>
                <w:color w:val="000000"/>
                <w:sz w:val="20"/>
              </w:rPr>
              <w:t> </w:t>
            </w:r>
            <w:r>
              <w:rPr>
                <w:rFonts w:ascii="Times New Roman" w:hAnsi="Times New Roman"/>
                <w:color w:val="000000"/>
                <w:sz w:val="16"/>
              </w:rPr>
              <w:t>million of the aggregate outstanding principal balance of the portfolio company's senior secured loan. As the transaction did not qualify for sale accounting under applicable guidance, the Company recorded a corresponding secured borrowing, measured at fair value and included in "Secured borrowings" on the Company's Consolidated Statements of Assets and Liabilities. See "Note 2 – Summary of Significant Accounting Policies, Secured Borrowings" for additional detail.</w:t>
            </w:r>
          </w:p>
        </w:tc>
      </w:tr>
      <w:tr>
        <w:trPr/>
        <w:tc>
          <w:tcPr>
            <w:tcW w:w="2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The Company has confirmed the fully diluted share count as of March 31, 2026. Based on the current share count and the contractual warrant entitlement per the warrant agreement, the Company would own 509</w:t>
            </w:r>
            <w:r>
              <w:rPr>
                <w:rFonts w:ascii="Times New Roman" w:hAnsi="Times New Roman"/>
                <w:color w:val="000000"/>
                <w:sz w:val="20"/>
              </w:rPr>
              <w:t> </w:t>
            </w:r>
            <w:r>
              <w:rPr>
                <w:rFonts w:ascii="Times New Roman" w:hAnsi="Times New Roman"/>
                <w:color w:val="000000"/>
                <w:sz w:val="16"/>
              </w:rPr>
              <w:t>shares if converted as of March 31, 2026.</w:t>
            </w:r>
          </w:p>
        </w:tc>
      </w:tr>
      <w:tr>
        <w:trPr/>
        <w:tc>
          <w:tcPr>
            <w:tcW w:w="2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The assets recovered on the senior secured term loan to Pivot3, Inc. were contributed to P3 Holdco LLC by the Company, a wholly owned subsidiary of the Company. For more information, refer to "Note 2 – Summary of Significant Accounting Policies, Principles of Consolidation".</w:t>
            </w:r>
          </w:p>
        </w:tc>
      </w:tr>
      <w:tr>
        <w:trPr/>
        <w:tc>
          <w:tcPr>
            <w:tcW w:w="2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Transfers are subject to contractual restrictions contained in the issuer’s limited liability company agreement, including rights of first refusal and other transfer limitations.</w:t>
            </w:r>
          </w:p>
        </w:tc>
      </w:tr>
      <w:tr>
        <w:trPr/>
        <w:tc>
          <w:tcPr>
            <w:tcW w:w="2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Fair value as a percentage of net assets.</w:t>
            </w:r>
          </w:p>
        </w:tc>
      </w:tr>
      <w:tr>
        <w:trPr/>
        <w:tc>
          <w:tcPr>
            <w:tcW w:w="2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The Company reclassified certain industry groupings of its portfolio companies presented in the consolidated financial statements as of March 31, 2026, to align with Global Industry Classification Standards (“GICS”), where applicable.</w:t>
            </w:r>
          </w:p>
        </w:tc>
      </w:tr>
    </w:tbl>
    <w:p>
      <w:pPr>
        <w:pStyle w:val="TextBody"/>
        <w:bidi w:val="0"/>
        <w:spacing w:before="200" w:after="283"/>
        <w:jc w:val="center"/>
        <w:rPr>
          <w:rFonts w:ascii="Times New Roman" w:hAnsi="Times New Roman"/>
          <w:color w:val="000000"/>
          <w:sz w:val="20"/>
        </w:rPr>
      </w:pPr>
      <w:r>
        <w:rPr>
          <w:rFonts w:ascii="Times New Roman" w:hAnsi="Times New Roman"/>
          <w:color w:val="000000"/>
          <w:sz w:val="20"/>
        </w:rPr>
        <w:t>See notes to consolidated financial statements.</w:t>
      </w:r>
    </w:p>
    <w:p>
      <w:pPr>
        <w:pStyle w:val="TextBody"/>
        <w:bidi w:val="0"/>
        <w:jc w:val="center"/>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12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RUNWAY GROWTH FINANCE CORP.</w:t>
      </w:r>
    </w:p>
    <w:p>
      <w:pPr>
        <w:pStyle w:val="TextBody"/>
        <w:bidi w:val="0"/>
        <w:jc w:val="center"/>
        <w:rPr>
          <w:rFonts w:ascii="Times New Roman" w:hAnsi="Times New Roman"/>
          <w:b/>
          <w:color w:val="000000"/>
          <w:sz w:val="20"/>
        </w:rPr>
      </w:pPr>
      <w:bookmarkStart w:id="10" w:name="scheduleofinvestments_pp"/>
      <w:bookmarkEnd w:id="10"/>
      <w:r>
        <w:rPr>
          <w:rFonts w:ascii="Times New Roman" w:hAnsi="Times New Roman"/>
          <w:b/>
          <w:color w:val="000000"/>
          <w:sz w:val="20"/>
        </w:rPr>
        <w:t>Consolidated Schedule of Investments</w:t>
      </w:r>
    </w:p>
    <w:p>
      <w:pPr>
        <w:pStyle w:val="TextBody"/>
        <w:bidi w:val="0"/>
        <w:jc w:val="center"/>
        <w:rPr>
          <w:rFonts w:ascii="Times New Roman" w:hAnsi="Times New Roman"/>
          <w:b/>
          <w:color w:val="000000"/>
          <w:sz w:val="20"/>
        </w:rPr>
      </w:pPr>
      <w:r>
        <w:rPr>
          <w:rFonts w:ascii="Times New Roman" w:hAnsi="Times New Roman"/>
          <w:b/>
          <w:color w:val="000000"/>
          <w:sz w:val="20"/>
        </w:rPr>
        <w:t>December 31, 2025</w:t>
      </w:r>
    </w:p>
    <w:p>
      <w:pPr>
        <w:pStyle w:val="TextBody"/>
        <w:bidi w:val="0"/>
        <w:spacing w:before="0" w:after="120"/>
        <w:jc w:val="center"/>
        <w:rPr>
          <w:rFonts w:ascii="Times New Roman" w:hAnsi="Times New Roman"/>
          <w:b/>
          <w:color w:val="000000"/>
          <w:sz w:val="20"/>
        </w:rPr>
      </w:pPr>
      <w:r>
        <w:rPr>
          <w:rFonts w:ascii="Times New Roman" w:hAnsi="Times New Roman"/>
          <w:b/>
          <w:color w:val="000000"/>
          <w:sz w:val="20"/>
        </w:rPr>
        <w:t>(In thousands, except share data)</w:t>
      </w:r>
    </w:p>
    <w:tbl>
      <w:tblPr>
        <w:tblW w:w="10205" w:type="dxa"/>
        <w:jc w:val="left"/>
        <w:tblInd w:w="0" w:type="dxa"/>
        <w:tblLayout w:type="fixed"/>
        <w:tblCellMar>
          <w:top w:w="28" w:type="dxa"/>
          <w:left w:w="28" w:type="dxa"/>
          <w:bottom w:w="28" w:type="dxa"/>
          <w:right w:w="28" w:type="dxa"/>
        </w:tblCellMar>
      </w:tblPr>
      <w:tblGrid>
        <w:gridCol w:w="161"/>
        <w:gridCol w:w="146"/>
        <w:gridCol w:w="1055"/>
        <w:gridCol w:w="146"/>
        <w:gridCol w:w="906"/>
        <w:gridCol w:w="146"/>
        <w:gridCol w:w="995"/>
        <w:gridCol w:w="146"/>
        <w:gridCol w:w="926"/>
        <w:gridCol w:w="146"/>
        <w:gridCol w:w="770"/>
        <w:gridCol w:w="146"/>
        <w:gridCol w:w="149"/>
        <w:gridCol w:w="620"/>
        <w:gridCol w:w="146"/>
        <w:gridCol w:w="146"/>
        <w:gridCol w:w="146"/>
        <w:gridCol w:w="146"/>
        <w:gridCol w:w="691"/>
        <w:gridCol w:w="166"/>
        <w:gridCol w:w="146"/>
        <w:gridCol w:w="146"/>
        <w:gridCol w:w="146"/>
        <w:gridCol w:w="691"/>
        <w:gridCol w:w="146"/>
        <w:gridCol w:w="146"/>
        <w:gridCol w:w="885"/>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r>
      <w:tr>
        <w:trPr/>
        <w:tc>
          <w:tcPr>
            <w:tcW w:w="1362"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Portfolio Company**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Investment Type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 xml:space="preserve">Investment </w:t>
              <w:br/>
              <w:t>Description</w:t>
            </w:r>
            <w:r>
              <w:rPr>
                <w:rFonts w:ascii="Times New Roman" w:hAnsi="Times New Roman"/>
                <w:b/>
                <w:color w:val="000000"/>
                <w:sz w:val="11"/>
              </w:rPr>
              <w:t>(1)(2)(4)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Initial Acquisition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Maturity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6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Principal ($) /</w:t>
              <w:b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8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Cost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8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 xml:space="preserve">Fair </w:t>
              <w:br/>
              <w:t xml:space="preserve">Value ($) </w:t>
            </w:r>
            <w:r>
              <w:rPr>
                <w:rFonts w:ascii="Times New Roman" w:hAnsi="Times New Roman"/>
                <w:b/>
                <w:color w:val="000000"/>
                <w:sz w:val="11"/>
              </w:rPr>
              <w:t>(3)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Footnotes</w:t>
            </w:r>
          </w:p>
        </w:tc>
      </w:tr>
      <w:tr>
        <w:trPr/>
        <w:tc>
          <w:tcPr>
            <w:tcW w:w="3555" w:type="dxa"/>
            <w:gridSpan w:val="7"/>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Non-Control/Non-Affiliate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gridSpan w:val="2"/>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94" w:type="dxa"/>
            <w:gridSpan w:val="6"/>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Debt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48" w:type="dxa"/>
            <w:gridSpan w:val="5"/>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Application Software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Airship Group,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Senior Secured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SOFR+3.75%, 9.08% floor, 3.00% PIK, 3.25% ETP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6/28/2024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70"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6/15/2028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50,645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50,576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51,251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(10) (11) (12)</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Blueshift Labs,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Senior Secured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SOFR+8.25% PIK, 13.25% floor, 1.50% ETP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12/19/2023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70"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12/15/2028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28,640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28,503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23,430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(10) (11)</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Blueshift Labs,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Senior Secured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SOFR+8.25% PIK, 13.25% floor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12/12/2024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70"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12/15/2028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967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(10)</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Blueshift Labs,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Senior Secured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SOFR+8.25% PIK, 13.25% floor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9/25/2025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70"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12/15/2028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1,382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1,382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(10)</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CarNow,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Senior Secured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SOFR+7.25%, 11.75% floor, 1.60% ETP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3/22/2024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70"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3/22/2029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18,255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18,828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(11) (12)</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Piano Software,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Senior Secured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SOFR+7.25%, 11.25% floor, 1.50% ETP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12/31/2024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70"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12/31/2029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42,168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43,032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(11) (12)</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VTX Intermediate Holdings, Inc. (dba VertexOne)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Senior Secured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SOFR+7.00%, 8.00% floor, 1.00% PIK, 3.00% ETP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12/12/2024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70"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9/24/2029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35,359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35,240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34,963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(10) (11) (12)</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VTX Intermediate Holdings, Inc. (dba VertexOne)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Second Lien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FIXED 12.50% PIK, 31.05% ETP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12/12/2024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70"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9/24/2029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6,631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6,398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6,434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(10) (11) (18)</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Zinnia Corporate Holdings, LLC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Senior Secured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SOFR+6.00%, 7.50% floor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9/23/2024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70"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9/21/2029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39,362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40,180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(12)</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48" w:type="dxa"/>
            <w:gridSpan w:val="5"/>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Application Software - 45.55%*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70"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222,434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220,908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7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48" w:type="dxa"/>
            <w:gridSpan w:val="5"/>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Commercial &amp; Professional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Bombora,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Senior Secured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SOFR+4.75%, 6.75% floor, 3.25% PIK, 1.10% ETP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12/26/2023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70"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1/15/2028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31,387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31,425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31,580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(10) (11) (12)</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Elevate Services,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Senior Secured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SOFR+7.50%, 12.78% floor, 0.50% ETP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7/10/2023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0"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7/10/2027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38,291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39,195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(11) (12)</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Shepherd Intermediate, LLC (dba FHAS)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Senior Secured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SOFR+7.25%, 8.25% floor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7/10/2025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70"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7/10/2030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6,515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6,410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6,565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(12)</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Shepherd Intermediate, LLC (dba FHAS) (Revolver)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Senior Secured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SOFR+7.25%, 8.25% floor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7/10/2025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70"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7/10/2030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(12)</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Swing Education,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Senior Secured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SOFR+7.00%, 10.80% floor, 3.50% ETP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6/27/2025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70"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6/15/2029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7,911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7,792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(11) (12)</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Swing Education, Inc. (Revolver)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Senior Secured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SOFR+6.65%, 10.45% floor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6/27/2025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70"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6/1/2028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(12)</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48" w:type="dxa"/>
            <w:gridSpan w:val="5"/>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Commercial &amp; Professional Services - 17.55%*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7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83,865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85,132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70"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48" w:type="dxa"/>
            <w:gridSpan w:val="5"/>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Consumer Services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FINN GmbH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Senior Secured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SOFR+8.75%, 10.75% floor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12/8/2025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70"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6/30/2030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19,119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19,161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(6) (9)</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48" w:type="dxa"/>
            <w:gridSpan w:val="5"/>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Consumer Services - 3.95%*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7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19,119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19,161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70"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48" w:type="dxa"/>
            <w:gridSpan w:val="5"/>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Consumer Staples Distribution &amp; Retail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Marley Spoon 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Senior Secured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SOFR+ 8.75% PIK, 9.51% floor, 1.00% ETP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6/30/2021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70"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6/15/2027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46,265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46,457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36,105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(6) (9) (10) (11) (14)</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Marley Spoon 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Senior Secured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SOFR+ 8.75% PIK, 9.51% floor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2/28/2025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70"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6/15/2027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2,988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2,988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(6) (9) (10) (14)</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Marley Spoon 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Senior Secured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SOFR+ 8.75% PIK, 9.51% floor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5/20/2025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70"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3/31/2026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4,758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(6) (9) (10) (14)</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Marley Spoon 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Senior Secured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SOFR+ 8.75% PIK, 9.51% floor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10/28/2025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70"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3/31/2026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6,805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6,805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(6) (9) (10) (14) (17)</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Marley Spoon SE (Revolver)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Senior Secured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SOFR+ 8.75% PIK, 9.51% floor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12/12/2025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70"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3/31/2026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(6) (9) (10) (14) (17)</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48" w:type="dxa"/>
            <w:gridSpan w:val="5"/>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Consumer Staples Distribution &amp; Retail - 9.86%*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7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61,442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47,799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center"/>
        <w:rPr>
          <w:rFonts w:ascii="Times New Roman" w:hAnsi="Times New Roman"/>
          <w:color w:val="000000"/>
          <w:sz w:val="20"/>
        </w:rPr>
      </w:pPr>
      <w:r>
        <w:rPr>
          <w:rFonts w:ascii="Times New Roman" w:hAnsi="Times New Roman"/>
          <w:color w:val="000000"/>
          <w:sz w:val="20"/>
        </w:rPr>
        <w:t>See notes to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12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RUNWAY GROWTH FINANCE CORP.</w:t>
      </w:r>
    </w:p>
    <w:p>
      <w:pPr>
        <w:pStyle w:val="TextBody"/>
        <w:bidi w:val="0"/>
        <w:jc w:val="center"/>
        <w:rPr>
          <w:color w:val="000000"/>
        </w:rPr>
      </w:pPr>
      <w:r>
        <w:rPr>
          <w:color w:val="000000"/>
        </w:rPr>
        <w:t> </w:t>
      </w:r>
      <w:r>
        <w:rPr>
          <w:rFonts w:ascii="Times New Roman" w:hAnsi="Times New Roman"/>
          <w:b/>
          <w:color w:val="000000"/>
          <w:sz w:val="20"/>
        </w:rPr>
        <w:t>Consolidated Schedule of Investments – (continued)</w:t>
      </w:r>
    </w:p>
    <w:p>
      <w:pPr>
        <w:pStyle w:val="TextBody"/>
        <w:bidi w:val="0"/>
        <w:jc w:val="center"/>
        <w:rPr>
          <w:rFonts w:ascii="Times New Roman" w:hAnsi="Times New Roman"/>
          <w:b/>
          <w:color w:val="000000"/>
          <w:sz w:val="20"/>
        </w:rPr>
      </w:pPr>
      <w:r>
        <w:rPr>
          <w:rFonts w:ascii="Times New Roman" w:hAnsi="Times New Roman"/>
          <w:b/>
          <w:color w:val="000000"/>
          <w:sz w:val="20"/>
        </w:rPr>
        <w:t>December 31, 2025</w:t>
      </w:r>
    </w:p>
    <w:p>
      <w:pPr>
        <w:pStyle w:val="TextBody"/>
        <w:bidi w:val="0"/>
        <w:spacing w:before="0" w:after="120"/>
        <w:jc w:val="center"/>
        <w:rPr>
          <w:rFonts w:ascii="Times New Roman" w:hAnsi="Times New Roman"/>
          <w:b/>
          <w:color w:val="000000"/>
          <w:sz w:val="20"/>
        </w:rPr>
      </w:pPr>
      <w:r>
        <w:rPr>
          <w:rFonts w:ascii="Times New Roman" w:hAnsi="Times New Roman"/>
          <w:b/>
          <w:color w:val="000000"/>
          <w:sz w:val="20"/>
        </w:rPr>
        <w:t>(In thousands, except share data)</w:t>
      </w:r>
    </w:p>
    <w:tbl>
      <w:tblPr>
        <w:tblW w:w="10205" w:type="dxa"/>
        <w:jc w:val="left"/>
        <w:tblInd w:w="0" w:type="dxa"/>
        <w:tblLayout w:type="fixed"/>
        <w:tblCellMar>
          <w:top w:w="28" w:type="dxa"/>
          <w:left w:w="28" w:type="dxa"/>
          <w:bottom w:w="28" w:type="dxa"/>
          <w:right w:w="28" w:type="dxa"/>
        </w:tblCellMar>
      </w:tblPr>
      <w:tblGrid>
        <w:gridCol w:w="161"/>
        <w:gridCol w:w="146"/>
        <w:gridCol w:w="1026"/>
        <w:gridCol w:w="146"/>
        <w:gridCol w:w="910"/>
        <w:gridCol w:w="146"/>
        <w:gridCol w:w="1012"/>
        <w:gridCol w:w="146"/>
        <w:gridCol w:w="937"/>
        <w:gridCol w:w="146"/>
        <w:gridCol w:w="775"/>
        <w:gridCol w:w="146"/>
        <w:gridCol w:w="150"/>
        <w:gridCol w:w="623"/>
        <w:gridCol w:w="146"/>
        <w:gridCol w:w="146"/>
        <w:gridCol w:w="146"/>
        <w:gridCol w:w="146"/>
        <w:gridCol w:w="691"/>
        <w:gridCol w:w="146"/>
        <w:gridCol w:w="146"/>
        <w:gridCol w:w="146"/>
        <w:gridCol w:w="146"/>
        <w:gridCol w:w="691"/>
        <w:gridCol w:w="146"/>
        <w:gridCol w:w="146"/>
        <w:gridCol w:w="893"/>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r>
      <w:tr>
        <w:trPr/>
        <w:tc>
          <w:tcPr>
            <w:tcW w:w="133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Portfolio Company**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Investment Type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 xml:space="preserve">Investment </w:t>
              <w:br/>
              <w:t>Description</w:t>
            </w:r>
            <w:r>
              <w:rPr>
                <w:rFonts w:ascii="Times New Roman" w:hAnsi="Times New Roman"/>
                <w:b/>
                <w:color w:val="000000"/>
                <w:sz w:val="11"/>
              </w:rPr>
              <w:t>(1)(2)(4)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Initial Acquisition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Maturity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7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Principal ($) /</w:t>
              <w:b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8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Cost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 xml:space="preserve">Fair </w:t>
              <w:br/>
              <w:t xml:space="preserve">Value ($) </w:t>
            </w:r>
            <w:r>
              <w:rPr>
                <w:rFonts w:ascii="Times New Roman" w:hAnsi="Times New Roman"/>
                <w:b/>
                <w:color w:val="000000"/>
                <w:sz w:val="11"/>
              </w:rPr>
              <w:t>(3)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Footnotes</w:t>
            </w:r>
          </w:p>
        </w:tc>
      </w:tr>
      <w:tr>
        <w:trPr/>
        <w:tc>
          <w:tcPr>
            <w:tcW w:w="3547" w:type="dxa"/>
            <w:gridSpan w:val="7"/>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Non-Control/Non-Affiliate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3" w:type="dxa"/>
            <w:gridSpan w:val="2"/>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86" w:type="dxa"/>
            <w:gridSpan w:val="6"/>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Debt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40" w:type="dxa"/>
            <w:gridSpan w:val="5"/>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Financial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7"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75"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Autobooks,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Senior Secured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SOFR+7.50%, 11.77% floor, 2.75% ETP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5/5/2025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7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2/5/2028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29,600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29,123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29,707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(11) (12)</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Hurricane Cleanco Limited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Senior Secured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FIXED 6.25%, 6.25% PIK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7"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12/31/2024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5"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11/22/2029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30,550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28,522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30,891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(5) (9) (10) (17)</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Vesta Payment Solutions,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Senior Secured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SOFR+7.00%, 9.00% floor, 6.00% ETP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11/29/2022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7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12/16/2026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25,985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21,964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(11)</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40" w:type="dxa"/>
            <w:gridSpan w:val="5"/>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Financial Services - 17.03%*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7"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75"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83,630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82,562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7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40" w:type="dxa"/>
            <w:gridSpan w:val="5"/>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Health Care Equipment &amp;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7"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75"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EBR Systems,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Senior Secured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PRIME+4.90%, 8.90% floor, 4.50% ETP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6/30/2022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7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6/15/2027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40,680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41,256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(11) (12) (14)</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Mingle Healthcare Solutions,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Senior Secured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SOFR+9.75%, 12.26% floor, 10.50% ETP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7"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8/15/2018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75"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12/15/2026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4,757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2,361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(11) (22)</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Moximed,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Senior Secured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PRIME+5.25%, 8.75% floor, 3.50% ETP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6/24/2022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7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7/1/2027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15,240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15,600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(11) (12)</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Onward Medical, N.V.</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Senior Secured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SOFR+6.50%, 10.75% floor, 2.50% ETP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7"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6/28/2024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75"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6/15/2028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17,088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16,887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17,163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(8) (9) (11) (12) (14)</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Route 92 Medical,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Senior Secured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SOFR+7.00%, 9.00% floor, 3.95% ETP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3/31/2025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7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3/31/2029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34,436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34,679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(11) (12)</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40" w:type="dxa"/>
            <w:gridSpan w:val="5"/>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Health Care Equipment &amp; Services - 22.90%*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7"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75"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112,000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111,059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7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40" w:type="dxa"/>
            <w:gridSpan w:val="5"/>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Household &amp; Personal Products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7"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75"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Madison Reed,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Senior Secured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PRIME+5.00%, 12.50% floor, 3.00% ETP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8/29/2025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7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8/29/2029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39,326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39,331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(11) (12)</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40" w:type="dxa"/>
            <w:gridSpan w:val="5"/>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Household &amp; Personal Products - 8.11%*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7"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75"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39,326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39,331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7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40" w:type="dxa"/>
            <w:gridSpan w:val="5"/>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Insurance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7"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75"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Kin Insurance,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Senior Secured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PRIME+5.00%, 12.00% floor, 2.00% ETP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8/13/2025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7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8/13/2029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29,309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29,319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(11) (12)</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Kin Insurance,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Senior Secured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PRIME+5.00%, 12.00% floor, 2.00% ETP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7"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12/30/2025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75"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8/13/2029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14,578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14,578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(11) (24)</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40" w:type="dxa"/>
            <w:gridSpan w:val="5"/>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Insurance - 9.05%*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7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43,887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43,897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7"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75"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40" w:type="dxa"/>
            <w:gridSpan w:val="5"/>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Media &amp; Entertainment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7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Skillshare,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Senior Secured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SOFR+6.75%, 10.96% floor, 2.00% ETP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7"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8/15/2025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75"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2/8/2029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11,757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11,635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11,640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(11) (12)</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Snap! Mobile,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Senior Secured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SOFR+7.50%, 12.10% floor, 3.83% ETP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9/30/2024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7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9/30/2028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17,767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17,862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(11) (12)</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40" w:type="dxa"/>
            <w:gridSpan w:val="5"/>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Media &amp; Entertainment - 6.08%*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7"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75"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29,402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29,502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7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40" w:type="dxa"/>
            <w:gridSpan w:val="5"/>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Multi-Sector Holdings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7"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75"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SPB C-2024, LLC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Senior Secured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FIXED 15.00% PIK, 1.57% ETP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12/16/2025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7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12/16/2028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10,063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9,965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9,969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(9) (10) (11)</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40" w:type="dxa"/>
            <w:gridSpan w:val="5"/>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Multi-Sector Holdings - 2.06%*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7"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75"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9,965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9,969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7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40" w:type="dxa"/>
            <w:gridSpan w:val="5"/>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Pharmaceuticals, Biotechnology &amp; Life Sciences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7"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75"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Shield Therapeutics PLC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Senior Secured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SOFR+9.25%, 14.25% floor, 5.00% ETP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12/2/2025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7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9/28/2028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1,950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1,932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(5) (9) (11) (12) (14)</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40" w:type="dxa"/>
            <w:gridSpan w:val="5"/>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Pharmaceuticals, Biotechnology &amp; Life Sciences - 0.40%*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7"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75"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1,950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1,932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center"/>
        <w:rPr>
          <w:rFonts w:ascii="Times New Roman" w:hAnsi="Times New Roman"/>
          <w:color w:val="000000"/>
          <w:sz w:val="20"/>
        </w:rPr>
      </w:pPr>
      <w:r>
        <w:rPr>
          <w:rFonts w:ascii="Times New Roman" w:hAnsi="Times New Roman"/>
          <w:color w:val="000000"/>
          <w:sz w:val="20"/>
        </w:rPr>
        <w:t>See notes to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12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RUNWAY GROWTH FINANCE CORP.</w:t>
      </w:r>
    </w:p>
    <w:p>
      <w:pPr>
        <w:pStyle w:val="TextBody"/>
        <w:bidi w:val="0"/>
        <w:jc w:val="center"/>
        <w:rPr>
          <w:color w:val="000000"/>
        </w:rPr>
      </w:pPr>
      <w:r>
        <w:rPr>
          <w:color w:val="000000"/>
        </w:rPr>
        <w:t> </w:t>
      </w:r>
      <w:r>
        <w:rPr>
          <w:rFonts w:ascii="Times New Roman" w:hAnsi="Times New Roman"/>
          <w:b/>
          <w:color w:val="000000"/>
          <w:sz w:val="20"/>
        </w:rPr>
        <w:t>Consolidated Schedule of Investments – (continued)</w:t>
      </w:r>
    </w:p>
    <w:p>
      <w:pPr>
        <w:pStyle w:val="TextBody"/>
        <w:bidi w:val="0"/>
        <w:jc w:val="center"/>
        <w:rPr>
          <w:rFonts w:ascii="Times New Roman" w:hAnsi="Times New Roman"/>
          <w:b/>
          <w:color w:val="000000"/>
          <w:sz w:val="20"/>
        </w:rPr>
      </w:pPr>
      <w:r>
        <w:rPr>
          <w:rFonts w:ascii="Times New Roman" w:hAnsi="Times New Roman"/>
          <w:b/>
          <w:color w:val="000000"/>
          <w:sz w:val="20"/>
        </w:rPr>
        <w:t>December 31, 2025</w:t>
      </w:r>
    </w:p>
    <w:p>
      <w:pPr>
        <w:pStyle w:val="TextBody"/>
        <w:bidi w:val="0"/>
        <w:spacing w:before="0" w:after="120"/>
        <w:jc w:val="center"/>
        <w:rPr>
          <w:rFonts w:ascii="Times New Roman" w:hAnsi="Times New Roman"/>
          <w:b/>
          <w:color w:val="000000"/>
          <w:sz w:val="20"/>
        </w:rPr>
      </w:pPr>
      <w:r>
        <w:rPr>
          <w:rFonts w:ascii="Times New Roman" w:hAnsi="Times New Roman"/>
          <w:b/>
          <w:color w:val="000000"/>
          <w:sz w:val="20"/>
        </w:rPr>
        <w:t>(In thousands, except share data)</w:t>
      </w:r>
    </w:p>
    <w:tbl>
      <w:tblPr>
        <w:tblW w:w="10427" w:type="dxa"/>
        <w:jc w:val="left"/>
        <w:tblInd w:w="0" w:type="dxa"/>
        <w:tblLayout w:type="fixed"/>
        <w:tblCellMar>
          <w:top w:w="28" w:type="dxa"/>
          <w:left w:w="28" w:type="dxa"/>
          <w:bottom w:w="28" w:type="dxa"/>
          <w:right w:w="28" w:type="dxa"/>
        </w:tblCellMar>
      </w:tblPr>
      <w:tblGrid>
        <w:gridCol w:w="161"/>
        <w:gridCol w:w="146"/>
        <w:gridCol w:w="1141"/>
        <w:gridCol w:w="146"/>
        <w:gridCol w:w="901"/>
        <w:gridCol w:w="146"/>
        <w:gridCol w:w="961"/>
        <w:gridCol w:w="146"/>
        <w:gridCol w:w="916"/>
        <w:gridCol w:w="146"/>
        <w:gridCol w:w="766"/>
        <w:gridCol w:w="146"/>
        <w:gridCol w:w="146"/>
        <w:gridCol w:w="826"/>
        <w:gridCol w:w="146"/>
        <w:gridCol w:w="146"/>
        <w:gridCol w:w="146"/>
        <w:gridCol w:w="146"/>
        <w:gridCol w:w="691"/>
        <w:gridCol w:w="166"/>
        <w:gridCol w:w="146"/>
        <w:gridCol w:w="146"/>
        <w:gridCol w:w="146"/>
        <w:gridCol w:w="691"/>
        <w:gridCol w:w="146"/>
        <w:gridCol w:w="146"/>
        <w:gridCol w:w="871"/>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r>
      <w:tr>
        <w:trPr/>
        <w:tc>
          <w:tcPr>
            <w:tcW w:w="144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Portfolio Company**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Investment Type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 xml:space="preserve">Investment </w:t>
              <w:br/>
              <w:t>Description</w:t>
            </w:r>
            <w:r>
              <w:rPr>
                <w:rFonts w:ascii="Times New Roman" w:hAnsi="Times New Roman"/>
                <w:b/>
                <w:color w:val="000000"/>
                <w:sz w:val="11"/>
              </w:rPr>
              <w:t>(1)(2)(4)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Initial Acquisition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Maturity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Principal ($) /</w:t>
              <w:b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8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Cost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 xml:space="preserve">Fair </w:t>
              <w:br/>
              <w:t xml:space="preserve">Value ($) </w:t>
            </w:r>
            <w:r>
              <w:rPr>
                <w:rFonts w:ascii="Times New Roman" w:hAnsi="Times New Roman"/>
                <w:b/>
                <w:color w:val="000000"/>
                <w:sz w:val="11"/>
              </w:rPr>
              <w:t>(3)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Footnotes</w:t>
            </w:r>
          </w:p>
        </w:tc>
      </w:tr>
      <w:tr>
        <w:trPr/>
        <w:tc>
          <w:tcPr>
            <w:tcW w:w="3602" w:type="dxa"/>
            <w:gridSpan w:val="7"/>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Non-Control/Non-Affiliate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41" w:type="dxa"/>
            <w:gridSpan w:val="6"/>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Debt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95" w:type="dxa"/>
            <w:gridSpan w:val="5"/>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Systems Software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3PL Central LLC (dba Extensiv)</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Senior Secured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SOFR+7.00%, 9.00% floor, 5.10% ETP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11/9/2022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6/30/2026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72,290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75,853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69,478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(11) (12)</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Digicert,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Senior Secured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SOFR+5.75%, 6.50% floor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7/30/2025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7/30/2030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9,304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9,174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9,340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(12)</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Digicert, Inc. (Revolver)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Senior Secured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SOFR+5.75%, 6.50% floor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7/30/2025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7/30/2030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(12)</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Circadence Corporation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Senior Secured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SOFR+9.50%, 12.26% floor, 7.50% ETP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12/20/2018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3/31/2026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20,752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22,102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18,370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(11)</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95" w:type="dxa"/>
            <w:gridSpan w:val="5"/>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Systems Software - 20.04%*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107,120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97,188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95" w:type="dxa"/>
            <w:gridSpan w:val="5"/>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Technology Hardware &amp;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Brivo,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Senior Secured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SOFR+7.25%, 11.29% floor, 2.53% ETP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12/27/2024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12/15/2029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39,910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41,117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(11) (12)</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Linxup, LLC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Senior Secured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PRIME+3.25%, 11.75% floor, 2.25% ETP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11/3/2023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11/15/2027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30,055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30,770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(11) (12)</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95" w:type="dxa"/>
            <w:gridSpan w:val="5"/>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Technology Hardware &amp; Equipment - 14.82%*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69,965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71,887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41" w:type="dxa"/>
            <w:gridSpan w:val="6"/>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Debt Investments - 177.40%*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884,105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860,327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41" w:type="dxa"/>
            <w:gridSpan w:val="6"/>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Equity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95" w:type="dxa"/>
            <w:gridSpan w:val="5"/>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Application Software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Aria Systems,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Series G Preferred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7/10/2018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289,419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(13)</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VTX Holdings, LLC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Series C Preferred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12/12/2024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3,015,219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(13)</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95" w:type="dxa"/>
            <w:gridSpan w:val="5"/>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Application Software - 0.07%*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95" w:type="dxa"/>
            <w:gridSpan w:val="5"/>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Commercial &amp; Professional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FiscalNote,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10/19/2020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19,240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(13) (14) (15)</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JobGet Holdings, Inc. (fka Snagajob.com,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Series C-1 Preferred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11/15/2024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476,564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39,275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26,112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(13) (23)</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JobGet Holdings, Inc. (fka Snagajob.com,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Series C-2 Preferred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11/15/2024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16,963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(13) (23)</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95" w:type="dxa"/>
            <w:gridSpan w:val="5"/>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Commercial &amp; Professional Services - 5.39%*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39,713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26,140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Consumer Staples Distribution &amp; Retail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Marley Spoon 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7/7/2023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46,004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(6) (9) (13) (14) (15) (17)</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95" w:type="dxa"/>
            <w:gridSpan w:val="5"/>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Consumer Staples Distribution &amp; Retail - 0.00%*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95" w:type="dxa"/>
            <w:gridSpan w:val="5"/>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Health Care Equipment &amp;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CareCloud,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8.75% Series A Cumulative Redeemable Perpetual Preferred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1/8/2020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462,064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12,132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9,669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(14)</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95" w:type="dxa"/>
            <w:gridSpan w:val="5"/>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Health Care Equipment &amp; Services - 1.99%*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12,132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9,669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95" w:type="dxa"/>
            <w:gridSpan w:val="5"/>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Media &amp; Entertainment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Minute Media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Preferred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12/13/2023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1,039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(5) (9) (13)</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Minute Media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12/13/2023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(5) (9) (13)</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95" w:type="dxa"/>
            <w:gridSpan w:val="5"/>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Media &amp; Entertainment - 0.04%*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83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83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41" w:type="dxa"/>
            <w:gridSpan w:val="6"/>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Equity Investments - 7.49%*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52,784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36,324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center"/>
        <w:rPr>
          <w:rFonts w:ascii="Times New Roman" w:hAnsi="Times New Roman"/>
          <w:color w:val="000000"/>
          <w:sz w:val="20"/>
        </w:rPr>
      </w:pPr>
      <w:r>
        <w:rPr>
          <w:rFonts w:ascii="Times New Roman" w:hAnsi="Times New Roman"/>
          <w:color w:val="000000"/>
          <w:sz w:val="20"/>
        </w:rPr>
        <w:t>See notes to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12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RUNWAY GROWTH FINANCE CORP.</w:t>
      </w:r>
    </w:p>
    <w:p>
      <w:pPr>
        <w:pStyle w:val="TextBody"/>
        <w:bidi w:val="0"/>
        <w:jc w:val="center"/>
        <w:rPr>
          <w:color w:val="000000"/>
        </w:rPr>
      </w:pPr>
      <w:r>
        <w:rPr>
          <w:color w:val="000000"/>
        </w:rPr>
        <w:t> </w:t>
      </w:r>
      <w:r>
        <w:rPr>
          <w:rFonts w:ascii="Times New Roman" w:hAnsi="Times New Roman"/>
          <w:b/>
          <w:color w:val="000000"/>
          <w:sz w:val="20"/>
        </w:rPr>
        <w:t>Consolidated Schedule of Investments – (continued)</w:t>
      </w:r>
    </w:p>
    <w:p>
      <w:pPr>
        <w:pStyle w:val="TextBody"/>
        <w:bidi w:val="0"/>
        <w:jc w:val="center"/>
        <w:rPr>
          <w:rFonts w:ascii="Times New Roman" w:hAnsi="Times New Roman"/>
          <w:b/>
          <w:color w:val="000000"/>
          <w:sz w:val="20"/>
        </w:rPr>
      </w:pPr>
      <w:r>
        <w:rPr>
          <w:rFonts w:ascii="Times New Roman" w:hAnsi="Times New Roman"/>
          <w:b/>
          <w:color w:val="000000"/>
          <w:sz w:val="20"/>
        </w:rPr>
        <w:t>December 31, 2025</w:t>
      </w:r>
    </w:p>
    <w:p>
      <w:pPr>
        <w:pStyle w:val="TextBody"/>
        <w:bidi w:val="0"/>
        <w:spacing w:before="0" w:after="120"/>
        <w:jc w:val="center"/>
        <w:rPr>
          <w:rFonts w:ascii="Times New Roman" w:hAnsi="Times New Roman"/>
          <w:b/>
          <w:color w:val="000000"/>
          <w:sz w:val="20"/>
        </w:rPr>
      </w:pPr>
      <w:r>
        <w:rPr>
          <w:rFonts w:ascii="Times New Roman" w:hAnsi="Times New Roman"/>
          <w:b/>
          <w:color w:val="000000"/>
          <w:sz w:val="20"/>
        </w:rPr>
        <w:t>(In thousands, except share data)</w:t>
      </w:r>
    </w:p>
    <w:tbl>
      <w:tblPr>
        <w:tblW w:w="10205" w:type="dxa"/>
        <w:jc w:val="left"/>
        <w:tblInd w:w="0" w:type="dxa"/>
        <w:tblLayout w:type="fixed"/>
        <w:tblCellMar>
          <w:top w:w="28" w:type="dxa"/>
          <w:left w:w="28" w:type="dxa"/>
          <w:bottom w:w="28" w:type="dxa"/>
          <w:right w:w="28" w:type="dxa"/>
        </w:tblCellMar>
      </w:tblPr>
      <w:tblGrid>
        <w:gridCol w:w="161"/>
        <w:gridCol w:w="146"/>
        <w:gridCol w:w="1204"/>
        <w:gridCol w:w="146"/>
        <w:gridCol w:w="911"/>
        <w:gridCol w:w="146"/>
        <w:gridCol w:w="986"/>
        <w:gridCol w:w="146"/>
        <w:gridCol w:w="938"/>
        <w:gridCol w:w="146"/>
        <w:gridCol w:w="775"/>
        <w:gridCol w:w="146"/>
        <w:gridCol w:w="146"/>
        <w:gridCol w:w="828"/>
        <w:gridCol w:w="146"/>
        <w:gridCol w:w="146"/>
        <w:gridCol w:w="146"/>
        <w:gridCol w:w="146"/>
        <w:gridCol w:w="511"/>
        <w:gridCol w:w="146"/>
        <w:gridCol w:w="146"/>
        <w:gridCol w:w="146"/>
        <w:gridCol w:w="146"/>
        <w:gridCol w:w="513"/>
        <w:gridCol w:w="146"/>
        <w:gridCol w:w="146"/>
        <w:gridCol w:w="896"/>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0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r>
      <w:tr>
        <w:trPr/>
        <w:tc>
          <w:tcPr>
            <w:tcW w:w="1511"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Portfolio Company**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Investment Type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 xml:space="preserve">Investment </w:t>
              <w:br/>
              <w:t>Description</w:t>
            </w:r>
            <w:r>
              <w:rPr>
                <w:rFonts w:ascii="Times New Roman" w:hAnsi="Times New Roman"/>
                <w:b/>
                <w:color w:val="000000"/>
                <w:sz w:val="11"/>
              </w:rPr>
              <w:t>(1)(2)(4)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Initial Acquisition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Maturity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7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Principal ($) /</w:t>
              <w:b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0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Cost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 xml:space="preserve">Fair </w:t>
              <w:br/>
              <w:t xml:space="preserve">Value ($) </w:t>
            </w:r>
            <w:r>
              <w:rPr>
                <w:rFonts w:ascii="Times New Roman" w:hAnsi="Times New Roman"/>
                <w:b/>
                <w:color w:val="000000"/>
                <w:sz w:val="11"/>
              </w:rPr>
              <w:t>(3)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Footnotes</w:t>
            </w:r>
          </w:p>
        </w:tc>
      </w:tr>
      <w:tr>
        <w:trPr/>
        <w:tc>
          <w:tcPr>
            <w:tcW w:w="3700" w:type="dxa"/>
            <w:gridSpan w:val="7"/>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Non-Control/Non-Affiliate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4" w:type="dxa"/>
            <w:gridSpan w:val="2"/>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5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39" w:type="dxa"/>
            <w:gridSpan w:val="6"/>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5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93" w:type="dxa"/>
            <w:gridSpan w:val="5"/>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Application Software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8"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75"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5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3DNA Corp. (dba NationBuilder)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Warrant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Series C-1 Preferred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12/28/2018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7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12/28/2028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273,164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(13)</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Airship Group,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Warrant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Series F Preferred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8"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6/28/2024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75"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6/28/2034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519,313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(13)</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Aria Systems,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Warrant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Series G Preferred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6/29/2018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7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6/29/2028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2,387,705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1,048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(13)</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Blueshift Labs,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Warrant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Success fee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8"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12/19/2023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75"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4"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(13) (16)</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CarNow,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Warrant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3/22/2024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7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3/22/2034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(13)</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INRIX,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Warrant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8"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7/26/2019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75"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7/26/2029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150,804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(13)</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JWP Holdco LLC (fka Longtail Ad Solutions,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Warrant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Common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12/12/2019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7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12/12/2029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167,827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(13)</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Piano Software,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Warrant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Series D Preferred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8"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12/31/2024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75"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12/31/2034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119,978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(13)</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Predactiv, Inc. (fka Sharethis,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Warrant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Series D-3 Preferred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12/3/2018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7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12/3/2028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647,615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2,162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(13)</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77" w:type="dxa"/>
            <w:gridSpan w:val="7"/>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Application Software - 1.12%*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75"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7,212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5,453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7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5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93" w:type="dxa"/>
            <w:gridSpan w:val="5"/>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Commercial &amp; Professional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8"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75"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5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AllClear ID,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Warrant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8/31/2017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7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8/31/2027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870,514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(13)</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Bombora,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Warrant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8"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3/31/2021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75"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3/31/2031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121,581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(13)</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Bombora,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Warrant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12/26/2023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7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12/26/2033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57,750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(13)</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CloudPay,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Warrant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Series B Preferred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8"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6/30/2020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75"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6/30/2030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11,273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1,196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(5) (9) (13)</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CloudPay,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Warrant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Series D Preferred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8/17/2021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7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8/17/2031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(5) (9) (13)</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CloudPay,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Warrant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Series D Preferred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8"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9/26/2022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75"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9/26/2032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5,252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(5) (9) (13)</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Elevate Services,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Warrant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Series C Preferred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7/10/2023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7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7/10/2033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248,997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(13)</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Elevate Services,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Warrant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Series C Preferred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8"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7/17/2024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75"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7/17/2034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236,549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(13)</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FiscalNote,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Warrant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Earnout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7/29/2022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7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7/29/2027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4"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(13) (14) (16)</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JobGet Holdings, Inc. (fka Snagajob.com,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Warrant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Series B-1 Preferred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8"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9/29/2021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75"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9/29/2031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763,269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(13)</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Swing Education,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Warrant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Series C Preferred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6/27/2025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7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6/27/2035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196,160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(13)</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93" w:type="dxa"/>
            <w:gridSpan w:val="5"/>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Commercial &amp; Professional Services - 0.52%*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8"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75"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3,734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2,503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7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5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93" w:type="dxa"/>
            <w:gridSpan w:val="5"/>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Consumer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8"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75"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5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FINN GmbH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Warrant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Series C2 Preferred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12/4/2025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7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12/4/2030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691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690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(6) (9) (13) (17) (25)</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93" w:type="dxa"/>
            <w:gridSpan w:val="5"/>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Consumer Services - 0.14%*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8"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75"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691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690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7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5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93" w:type="dxa"/>
            <w:gridSpan w:val="5"/>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Financial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8"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75"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5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Autobooks,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Warrant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Success Fee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5/5/2025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7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4"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698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(13) (16)</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Betterment Holdings,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Warrant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8"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10/6/2023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75"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10/6/2033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7,680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(13)</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Betterment Holdings,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Warrant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10/6/2023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7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10/6/2033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9,818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(13)</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Credit Sesame,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Warrant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8"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1/7/2020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75"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1/7/2030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191,601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(13)</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93" w:type="dxa"/>
            <w:gridSpan w:val="5"/>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Financial Services - 0.28%*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7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989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1,353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center"/>
        <w:rPr>
          <w:rFonts w:ascii="Times New Roman" w:hAnsi="Times New Roman"/>
          <w:color w:val="000000"/>
          <w:sz w:val="20"/>
        </w:rPr>
      </w:pPr>
      <w:r>
        <w:rPr>
          <w:rFonts w:ascii="Times New Roman" w:hAnsi="Times New Roman"/>
          <w:color w:val="000000"/>
          <w:sz w:val="20"/>
        </w:rPr>
        <w:t>See notes to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12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RUNWAY GROWTH FINANCE CORP.</w:t>
      </w:r>
    </w:p>
    <w:p>
      <w:pPr>
        <w:pStyle w:val="TextBody"/>
        <w:bidi w:val="0"/>
        <w:jc w:val="center"/>
        <w:rPr>
          <w:color w:val="000000"/>
        </w:rPr>
      </w:pPr>
      <w:r>
        <w:rPr>
          <w:color w:val="000000"/>
        </w:rPr>
        <w:t> </w:t>
      </w:r>
      <w:r>
        <w:rPr>
          <w:rFonts w:ascii="Times New Roman" w:hAnsi="Times New Roman"/>
          <w:b/>
          <w:color w:val="000000"/>
          <w:sz w:val="20"/>
        </w:rPr>
        <w:t>Consolidated Schedule of Investments – (continued)</w:t>
      </w:r>
    </w:p>
    <w:p>
      <w:pPr>
        <w:pStyle w:val="TextBody"/>
        <w:bidi w:val="0"/>
        <w:jc w:val="center"/>
        <w:rPr>
          <w:rFonts w:ascii="Times New Roman" w:hAnsi="Times New Roman"/>
          <w:b/>
          <w:color w:val="000000"/>
          <w:sz w:val="20"/>
        </w:rPr>
      </w:pPr>
      <w:r>
        <w:rPr>
          <w:rFonts w:ascii="Times New Roman" w:hAnsi="Times New Roman"/>
          <w:b/>
          <w:color w:val="000000"/>
          <w:sz w:val="20"/>
        </w:rPr>
        <w:t>December 31, 2025</w:t>
      </w:r>
    </w:p>
    <w:p>
      <w:pPr>
        <w:pStyle w:val="TextBody"/>
        <w:bidi w:val="0"/>
        <w:spacing w:before="0" w:after="120"/>
        <w:jc w:val="center"/>
        <w:rPr>
          <w:rFonts w:ascii="Times New Roman" w:hAnsi="Times New Roman"/>
          <w:b/>
          <w:color w:val="000000"/>
          <w:sz w:val="20"/>
        </w:rPr>
      </w:pPr>
      <w:r>
        <w:rPr>
          <w:rFonts w:ascii="Times New Roman" w:hAnsi="Times New Roman"/>
          <w:b/>
          <w:color w:val="000000"/>
          <w:sz w:val="20"/>
        </w:rPr>
        <w:t>(In thousands, except share data)</w:t>
      </w:r>
    </w:p>
    <w:tbl>
      <w:tblPr>
        <w:tblW w:w="10205" w:type="dxa"/>
        <w:jc w:val="left"/>
        <w:tblInd w:w="0" w:type="dxa"/>
        <w:tblLayout w:type="fixed"/>
        <w:tblCellMar>
          <w:top w:w="28" w:type="dxa"/>
          <w:left w:w="28" w:type="dxa"/>
          <w:bottom w:w="28" w:type="dxa"/>
          <w:right w:w="28" w:type="dxa"/>
        </w:tblCellMar>
      </w:tblPr>
      <w:tblGrid>
        <w:gridCol w:w="161"/>
        <w:gridCol w:w="146"/>
        <w:gridCol w:w="1139"/>
        <w:gridCol w:w="146"/>
        <w:gridCol w:w="918"/>
        <w:gridCol w:w="146"/>
        <w:gridCol w:w="1003"/>
        <w:gridCol w:w="146"/>
        <w:gridCol w:w="953"/>
        <w:gridCol w:w="146"/>
        <w:gridCol w:w="782"/>
        <w:gridCol w:w="146"/>
        <w:gridCol w:w="146"/>
        <w:gridCol w:w="831"/>
        <w:gridCol w:w="146"/>
        <w:gridCol w:w="146"/>
        <w:gridCol w:w="146"/>
        <w:gridCol w:w="146"/>
        <w:gridCol w:w="511"/>
        <w:gridCol w:w="146"/>
        <w:gridCol w:w="146"/>
        <w:gridCol w:w="147"/>
        <w:gridCol w:w="147"/>
        <w:gridCol w:w="514"/>
        <w:gridCol w:w="146"/>
        <w:gridCol w:w="146"/>
        <w:gridCol w:w="909"/>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3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r>
      <w:tr>
        <w:trPr/>
        <w:tc>
          <w:tcPr>
            <w:tcW w:w="1446"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Portfolio Company**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Investment Type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 xml:space="preserve">Investment </w:t>
              <w:br/>
              <w:t>Description</w:t>
            </w:r>
            <w:r>
              <w:rPr>
                <w:rFonts w:ascii="Times New Roman" w:hAnsi="Times New Roman"/>
                <w:b/>
                <w:color w:val="000000"/>
                <w:sz w:val="11"/>
              </w:rPr>
              <w:t>(1)(2)(4)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Initial Acquisition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Maturity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Principal ($) /</w:t>
              <w:b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0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Cost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 xml:space="preserve">Fair </w:t>
              <w:br/>
              <w:t xml:space="preserve">Value ($) </w:t>
            </w:r>
            <w:r>
              <w:rPr>
                <w:rFonts w:ascii="Times New Roman" w:hAnsi="Times New Roman"/>
                <w:b/>
                <w:color w:val="000000"/>
                <w:sz w:val="11"/>
              </w:rPr>
              <w:t>(3)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Footnotes</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52" w:type="dxa"/>
            <w:gridSpan w:val="5"/>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Health Care Equipment &amp;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3"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Allurion Technologies,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Warrant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3/30/2021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3/30/2031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(13) (14)</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Allurion Technologies,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Warrant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6/14/2022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3/30/2031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1,851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(13) (14)</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Allurion Technologies,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Warrant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9/15/2022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9/15/2032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(13) (14)</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Allurion Technologies,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Warrant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Earnout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8/2/2023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8/1/2028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7"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(13) (14) (16)</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EBR Systems,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Warrant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Success fee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6/30/2022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6/30/2032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(13) (14) (16)</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Mingle Healthcare Solutions,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Warrant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Series CC Preferred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8/15/2018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8/15/2028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1,770,973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(13)</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Moximed,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Warrant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Series C Preferred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6/24/2022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6/24/2032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214,285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(13)</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Nalu Medical,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Warrant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Series D-2 Preferred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10/12/2022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10/12/2032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91,717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(13)</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Onward Medical, N.V.</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Warrant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6/28/2024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9/26/2034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165,338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(8) (9) (13) (14) (17)</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Route 92 Medical,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Warrant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Success fee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3/31/2025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3/31/2035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7"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666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(13) (16)</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SetPoint Medical Corporation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Warrant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Series B Preferred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6/29/2021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6/29/2031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(13)</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SetPoint Medical Corporation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Warrant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Series B Preferred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12/29/2022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12/29/2032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(13)</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52" w:type="dxa"/>
            <w:gridSpan w:val="5"/>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Health Care Equipment &amp; Services - 0.47%*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3,273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2,269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3"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52" w:type="dxa"/>
            <w:gridSpan w:val="5"/>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Household &amp; Personal Products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Madison Reed,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Warrant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Success fee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8/29/2025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7"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(13) (16)</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52" w:type="dxa"/>
            <w:gridSpan w:val="5"/>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Household &amp; Personal Products - 0.09%*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3"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52" w:type="dxa"/>
            <w:gridSpan w:val="5"/>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Insurance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Kin Insurance,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Warrant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Series D-3 Preferred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9/26/2022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9/26/2032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62,364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759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(13)</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Kin Insurance,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Warrant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Series E Preferred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8/13/2025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8/13/2035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10,618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546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(13)</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52" w:type="dxa"/>
            <w:gridSpan w:val="5"/>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Insurance - 0.20%*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3"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972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934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52" w:type="dxa"/>
            <w:gridSpan w:val="5"/>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Media &amp; Entertainment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3"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Skillshare,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Warrant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Success fee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8/15/2025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(13) (16)</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Snap! Mobile,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Warrant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Series B Preferred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9/30/2024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9/30/2034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19,140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(13)</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52" w:type="dxa"/>
            <w:gridSpan w:val="5"/>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Media &amp; Entertainment - 0.13%*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682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3"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52" w:type="dxa"/>
            <w:gridSpan w:val="5"/>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Pharmaceuticals, Biotechnology &amp; Life Sciences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Mustang Bio,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Warrant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3/4/2022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3/4/2032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997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(13) (14)</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Shield Therapeutics PLC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Warrant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12/2/2025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12/2/2031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906,468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(5) (9) (13) (14) (17)</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52" w:type="dxa"/>
            <w:gridSpan w:val="5"/>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Pharmaceuticals, Biotechnology &amp; Life Sciences - 0.01%*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3"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center"/>
        <w:rPr>
          <w:rFonts w:ascii="Times New Roman" w:hAnsi="Times New Roman"/>
          <w:color w:val="000000"/>
          <w:sz w:val="20"/>
        </w:rPr>
      </w:pPr>
      <w:r>
        <w:rPr>
          <w:rFonts w:ascii="Times New Roman" w:hAnsi="Times New Roman"/>
          <w:color w:val="000000"/>
          <w:sz w:val="20"/>
        </w:rPr>
        <w:t>See notes to consolidated financial statements.</w:t>
      </w:r>
    </w:p>
    <w:p>
      <w:pPr>
        <w:pStyle w:val="TextBody"/>
        <w:bidi w:val="0"/>
        <w:jc w:val="center"/>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12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RUNWAY GROWTH FINANCE CORP.</w:t>
      </w:r>
    </w:p>
    <w:p>
      <w:pPr>
        <w:pStyle w:val="TextBody"/>
        <w:bidi w:val="0"/>
        <w:jc w:val="center"/>
        <w:rPr>
          <w:color w:val="000000"/>
        </w:rPr>
      </w:pPr>
      <w:r>
        <w:rPr>
          <w:color w:val="000000"/>
        </w:rPr>
        <w:t> </w:t>
      </w:r>
      <w:r>
        <w:rPr>
          <w:rFonts w:ascii="Times New Roman" w:hAnsi="Times New Roman"/>
          <w:b/>
          <w:color w:val="000000"/>
          <w:sz w:val="20"/>
        </w:rPr>
        <w:t>Consolidated Schedule of Investments – (continued)</w:t>
      </w:r>
    </w:p>
    <w:p>
      <w:pPr>
        <w:pStyle w:val="TextBody"/>
        <w:bidi w:val="0"/>
        <w:jc w:val="center"/>
        <w:rPr>
          <w:rFonts w:ascii="Times New Roman" w:hAnsi="Times New Roman"/>
          <w:b/>
          <w:color w:val="000000"/>
          <w:sz w:val="20"/>
        </w:rPr>
      </w:pPr>
      <w:r>
        <w:rPr>
          <w:rFonts w:ascii="Times New Roman" w:hAnsi="Times New Roman"/>
          <w:b/>
          <w:color w:val="000000"/>
          <w:sz w:val="20"/>
        </w:rPr>
        <w:t>December 31, 2025</w:t>
      </w:r>
    </w:p>
    <w:p>
      <w:pPr>
        <w:pStyle w:val="TextBody"/>
        <w:bidi w:val="0"/>
        <w:spacing w:before="0" w:after="120"/>
        <w:jc w:val="center"/>
        <w:rPr>
          <w:rFonts w:ascii="Times New Roman" w:hAnsi="Times New Roman"/>
          <w:b/>
          <w:color w:val="000000"/>
          <w:sz w:val="20"/>
        </w:rPr>
      </w:pPr>
      <w:r>
        <w:rPr>
          <w:rFonts w:ascii="Times New Roman" w:hAnsi="Times New Roman"/>
          <w:b/>
          <w:color w:val="000000"/>
          <w:sz w:val="20"/>
        </w:rPr>
        <w:t>(In thousands, except share data)</w:t>
      </w:r>
    </w:p>
    <w:tbl>
      <w:tblPr>
        <w:tblW w:w="10212" w:type="dxa"/>
        <w:jc w:val="left"/>
        <w:tblInd w:w="0" w:type="dxa"/>
        <w:tblLayout w:type="fixed"/>
        <w:tblCellMar>
          <w:top w:w="28" w:type="dxa"/>
          <w:left w:w="28" w:type="dxa"/>
          <w:bottom w:w="28" w:type="dxa"/>
          <w:right w:w="28" w:type="dxa"/>
        </w:tblCellMar>
      </w:tblPr>
      <w:tblGrid>
        <w:gridCol w:w="161"/>
        <w:gridCol w:w="146"/>
        <w:gridCol w:w="946"/>
        <w:gridCol w:w="146"/>
        <w:gridCol w:w="901"/>
        <w:gridCol w:w="146"/>
        <w:gridCol w:w="961"/>
        <w:gridCol w:w="146"/>
        <w:gridCol w:w="916"/>
        <w:gridCol w:w="146"/>
        <w:gridCol w:w="766"/>
        <w:gridCol w:w="146"/>
        <w:gridCol w:w="146"/>
        <w:gridCol w:w="826"/>
        <w:gridCol w:w="146"/>
        <w:gridCol w:w="146"/>
        <w:gridCol w:w="146"/>
        <w:gridCol w:w="146"/>
        <w:gridCol w:w="691"/>
        <w:gridCol w:w="146"/>
        <w:gridCol w:w="146"/>
        <w:gridCol w:w="146"/>
        <w:gridCol w:w="146"/>
        <w:gridCol w:w="691"/>
        <w:gridCol w:w="146"/>
        <w:gridCol w:w="146"/>
        <w:gridCol w:w="871"/>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r>
      <w:tr>
        <w:trPr/>
        <w:tc>
          <w:tcPr>
            <w:tcW w:w="125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Portfolio Company**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Investment Type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 xml:space="preserve">Investment </w:t>
              <w:br/>
              <w:t>Description</w:t>
            </w:r>
            <w:r>
              <w:rPr>
                <w:rFonts w:ascii="Times New Roman" w:hAnsi="Times New Roman"/>
                <w:b/>
                <w:color w:val="000000"/>
                <w:sz w:val="11"/>
              </w:rPr>
              <w:t>(1)(2)(4)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Initial Acquisition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Maturity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Principal ($) /</w:t>
              <w:b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8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Cost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 xml:space="preserve">Fair </w:t>
              <w:br/>
              <w:t xml:space="preserve">Value ($) </w:t>
            </w:r>
            <w:r>
              <w:rPr>
                <w:rFonts w:ascii="Times New Roman" w:hAnsi="Times New Roman"/>
                <w:b/>
                <w:color w:val="000000"/>
                <w:sz w:val="11"/>
              </w:rPr>
              <w:t>(3)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Footnotes</w:t>
            </w:r>
          </w:p>
        </w:tc>
      </w:tr>
      <w:tr>
        <w:trPr/>
        <w:tc>
          <w:tcPr>
            <w:tcW w:w="3407" w:type="dxa"/>
            <w:gridSpan w:val="7"/>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Non-Control/Non-Affiliate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46" w:type="dxa"/>
            <w:gridSpan w:val="6"/>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00" w:type="dxa"/>
            <w:gridSpan w:val="5"/>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Systems Software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Circadence Corporation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Warrant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Series A-6 Preferred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12/20/2018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12/20/2028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1,538,462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(13)</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Circadence Corporation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Warrant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Series A-6 Preferred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10/31/2019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10/31/2029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384,615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846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(13)</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Circadence Corporation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Warrant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Success fee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12/21/2023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(13) (16)</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Scale Computing,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Warrant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3/29/2019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3/29/2029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9,665,667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(13)</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Synack,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Warrant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12/29/2023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6/30/2032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131,521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(13)</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00" w:type="dxa"/>
            <w:gridSpan w:val="5"/>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Systems Software - 0.13%*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5,294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635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00" w:type="dxa"/>
            <w:gridSpan w:val="5"/>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Technology Hardware &amp;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Brivo,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Warrant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Series A-2 Preferred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10/20/2022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10/20/2032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201,000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(13)</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Brivo,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Warrant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Series A-2 Preferred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12/27/2024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12/27/2034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32,109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(13)</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Dejero Labs,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Warrant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5/31/2019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5/31/2029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333,621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(7) (9) (13) (17)</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Linxup, LLC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Warrant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Success fee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11/3/2023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11/3/2033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(13) (16)</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RealWear,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Warrant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Series A-1 Preferred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10/5/2018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10/5/2028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73,746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(13)</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RealWear,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Warrant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10/5/2018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10/5/2028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38,705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(13)</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RealWear,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Warrant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Series A-1 Preferred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12/28/2018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12/28/2028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14,749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(13)</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RealWear,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Warrant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12/28/2018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12/28/2028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7,742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(13)</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RealWear,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Warrant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Series A-1 Preferred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6/27/2019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6/27/2029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81,251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(13)</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RealWear,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Warrant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6/27/2019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6/27/2029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42,643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(13)</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62" w:type="dxa"/>
            <w:gridSpan w:val="7"/>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Technology Hardware &amp; Equipment - 0.21%*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1,128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1,035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83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83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46" w:type="dxa"/>
            <w:gridSpan w:val="6"/>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Warrants - 3.30%*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24,757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16,005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83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83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07" w:type="dxa"/>
            <w:gridSpan w:val="7"/>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Total Non-Control/Non-Affiliate Investments - 188.19%*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961,646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912,656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center"/>
        <w:rPr>
          <w:rFonts w:ascii="Times New Roman" w:hAnsi="Times New Roman"/>
          <w:color w:val="000000"/>
          <w:sz w:val="20"/>
        </w:rPr>
      </w:pPr>
      <w:r>
        <w:rPr>
          <w:rFonts w:ascii="Times New Roman" w:hAnsi="Times New Roman"/>
          <w:color w:val="000000"/>
          <w:sz w:val="20"/>
        </w:rPr>
        <w:t>See notes to consolidated financial statements.</w:t>
      </w:r>
    </w:p>
    <w:p>
      <w:pPr>
        <w:pStyle w:val="TextBody"/>
        <w:bidi w:val="0"/>
        <w:jc w:val="center"/>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12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RUNWAY GROWTH FINANCE CORP.</w:t>
      </w:r>
    </w:p>
    <w:p>
      <w:pPr>
        <w:pStyle w:val="TextBody"/>
        <w:bidi w:val="0"/>
        <w:jc w:val="center"/>
        <w:rPr>
          <w:color w:val="000000"/>
        </w:rPr>
      </w:pPr>
      <w:r>
        <w:rPr>
          <w:color w:val="000000"/>
        </w:rPr>
        <w:t> </w:t>
      </w:r>
      <w:r>
        <w:rPr>
          <w:rFonts w:ascii="Times New Roman" w:hAnsi="Times New Roman"/>
          <w:b/>
          <w:color w:val="000000"/>
          <w:sz w:val="20"/>
        </w:rPr>
        <w:t>Consolidated Schedule of Investments – (continued)</w:t>
      </w:r>
    </w:p>
    <w:p>
      <w:pPr>
        <w:pStyle w:val="TextBody"/>
        <w:bidi w:val="0"/>
        <w:jc w:val="center"/>
        <w:rPr>
          <w:rFonts w:ascii="Times New Roman" w:hAnsi="Times New Roman"/>
          <w:b/>
          <w:color w:val="000000"/>
          <w:sz w:val="20"/>
        </w:rPr>
      </w:pPr>
      <w:r>
        <w:rPr>
          <w:rFonts w:ascii="Times New Roman" w:hAnsi="Times New Roman"/>
          <w:b/>
          <w:color w:val="000000"/>
          <w:sz w:val="20"/>
        </w:rPr>
        <w:t>December 31, 2025</w:t>
      </w:r>
    </w:p>
    <w:p>
      <w:pPr>
        <w:pStyle w:val="TextBody"/>
        <w:bidi w:val="0"/>
        <w:spacing w:before="0" w:after="120"/>
        <w:jc w:val="center"/>
        <w:rPr>
          <w:rFonts w:ascii="Times New Roman" w:hAnsi="Times New Roman"/>
          <w:b/>
          <w:color w:val="000000"/>
          <w:sz w:val="20"/>
        </w:rPr>
      </w:pPr>
      <w:r>
        <w:rPr>
          <w:rFonts w:ascii="Times New Roman" w:hAnsi="Times New Roman"/>
          <w:b/>
          <w:color w:val="000000"/>
          <w:sz w:val="20"/>
        </w:rPr>
        <w:t>(In thousands, except share data)</w:t>
      </w:r>
    </w:p>
    <w:p>
      <w:pPr>
        <w:pStyle w:val="TextBody"/>
        <w:bidi w:val="0"/>
        <w:jc w:val="center"/>
        <w:rPr/>
      </w:pPr>
      <w:r>
        <w:rPr/>
        <w:t> </w:t>
      </w:r>
    </w:p>
    <w:tbl>
      <w:tblPr>
        <w:tblW w:w="10597" w:type="dxa"/>
        <w:jc w:val="left"/>
        <w:tblInd w:w="0" w:type="dxa"/>
        <w:tblLayout w:type="fixed"/>
        <w:tblCellMar>
          <w:top w:w="28" w:type="dxa"/>
          <w:left w:w="28" w:type="dxa"/>
          <w:bottom w:w="28" w:type="dxa"/>
          <w:right w:w="28" w:type="dxa"/>
        </w:tblCellMar>
      </w:tblPr>
      <w:tblGrid>
        <w:gridCol w:w="161"/>
        <w:gridCol w:w="146"/>
        <w:gridCol w:w="1216"/>
        <w:gridCol w:w="146"/>
        <w:gridCol w:w="901"/>
        <w:gridCol w:w="146"/>
        <w:gridCol w:w="976"/>
        <w:gridCol w:w="146"/>
        <w:gridCol w:w="916"/>
        <w:gridCol w:w="146"/>
        <w:gridCol w:w="766"/>
        <w:gridCol w:w="146"/>
        <w:gridCol w:w="146"/>
        <w:gridCol w:w="826"/>
        <w:gridCol w:w="146"/>
        <w:gridCol w:w="146"/>
        <w:gridCol w:w="196"/>
        <w:gridCol w:w="146"/>
        <w:gridCol w:w="691"/>
        <w:gridCol w:w="146"/>
        <w:gridCol w:w="146"/>
        <w:gridCol w:w="196"/>
        <w:gridCol w:w="146"/>
        <w:gridCol w:w="691"/>
        <w:gridCol w:w="146"/>
        <w:gridCol w:w="146"/>
        <w:gridCol w:w="871"/>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r>
      <w:tr>
        <w:trPr/>
        <w:tc>
          <w:tcPr>
            <w:tcW w:w="152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Portfolio Company**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Investment Type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 xml:space="preserve">Investment </w:t>
              <w:br/>
              <w:t>Description</w:t>
            </w:r>
            <w:r>
              <w:rPr>
                <w:rFonts w:ascii="Times New Roman" w:hAnsi="Times New Roman"/>
                <w:b/>
                <w:color w:val="000000"/>
                <w:sz w:val="11"/>
              </w:rPr>
              <w:t>(1)(2)(4)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Initial Acquisition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Maturity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Principal ($) /</w:t>
              <w:b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Cost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 xml:space="preserve">Fair </w:t>
              <w:br/>
              <w:t xml:space="preserve">Value ($) </w:t>
            </w:r>
            <w:r>
              <w:rPr>
                <w:rFonts w:ascii="Times New Roman" w:hAnsi="Times New Roman"/>
                <w:b/>
                <w:color w:val="000000"/>
                <w:sz w:val="11"/>
              </w:rPr>
              <w:t>(3)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Footnotes</w:t>
            </w:r>
          </w:p>
        </w:tc>
      </w:tr>
      <w:tr>
        <w:trPr/>
        <w:tc>
          <w:tcPr>
            <w:tcW w:w="3692" w:type="dxa"/>
            <w:gridSpan w:val="7"/>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Affiliate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(20)</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31" w:type="dxa"/>
            <w:gridSpan w:val="6"/>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Equity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85" w:type="dxa"/>
            <w:gridSpan w:val="5"/>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Application Software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Coginiti Corp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3/9/2020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1,040,160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4,551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(13)</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85" w:type="dxa"/>
            <w:gridSpan w:val="5"/>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Application Software - 0.00%*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4,551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31" w:type="dxa"/>
            <w:gridSpan w:val="6"/>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Equity Investments - 0.00%*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4,551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31" w:type="dxa"/>
            <w:gridSpan w:val="6"/>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85" w:type="dxa"/>
            <w:gridSpan w:val="5"/>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Application Software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Coginiti Corp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Warrant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3/9/2020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3/9/2030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811,770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(13)</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85" w:type="dxa"/>
            <w:gridSpan w:val="5"/>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Application Software - 0.00%*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31" w:type="dxa"/>
            <w:gridSpan w:val="6"/>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Warrants - 0.00%*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83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83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92" w:type="dxa"/>
            <w:gridSpan w:val="7"/>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Total Affiliate Investments - 0.00%*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4,551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92" w:type="dxa"/>
            <w:gridSpan w:val="7"/>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Control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(21)</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31" w:type="dxa"/>
            <w:gridSpan w:val="6"/>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Equity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85" w:type="dxa"/>
            <w:gridSpan w:val="5"/>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Commercial &amp; Professional Services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Pivot3,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100% Equity Interest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12/31/2023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950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1,493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(19)</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85" w:type="dxa"/>
            <w:gridSpan w:val="5"/>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Commercial &amp; Professional Services - 0.31%*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950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1,493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85" w:type="dxa"/>
            <w:gridSpan w:val="5"/>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Multi-Sector Holdings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Runway-Cadma I LLC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50% Equity Interest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3/6/2024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12,283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13,253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(9)</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85" w:type="dxa"/>
            <w:gridSpan w:val="5"/>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Multi-Sector Holdings - 2.73%*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12,283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13,253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83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83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31" w:type="dxa"/>
            <w:gridSpan w:val="6"/>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Equity Investments - 3.04%*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13,233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14,746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83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83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92" w:type="dxa"/>
            <w:gridSpan w:val="7"/>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Total Control Investments - 3.04%*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13,233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14,746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92" w:type="dxa"/>
            <w:gridSpan w:val="7"/>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Total Investments - 191.23%*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14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69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979,430</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14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69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927,402</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92" w:type="dxa"/>
            <w:gridSpan w:val="7"/>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Cash and Cash Equivalents and Short Term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Goldman Sachs Financial Square Government Fund Institutional Shares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FGTXX/38141W273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2,849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2,849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15,326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15,326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31" w:type="dxa"/>
            <w:gridSpan w:val="6"/>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Cash and Cash Equivalents and Short Term Investments - 3.75%*</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18,175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18,175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83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83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92" w:type="dxa"/>
            <w:gridSpan w:val="7"/>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Total Investments, Cash and Cash Equivalents, and Short Term Investments - 194.98%*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997,605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945,577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spacing w:before="360" w:after="240"/>
        <w:jc w:val="left"/>
        <w:rPr>
          <w:rFonts w:ascii="Times New Roman" w:hAnsi="Times New Roman"/>
          <w:b/>
          <w:color w:val="000000"/>
          <w:sz w:val="20"/>
        </w:rPr>
      </w:pPr>
      <w:r>
        <w:rPr>
          <w:rFonts w:ascii="Times New Roman" w:hAnsi="Times New Roman"/>
          <w:b/>
          <w:color w:val="000000"/>
          <w:sz w:val="20"/>
        </w:rPr>
        <w:t>Foreign Currency Forward Contracts</w:t>
      </w:r>
    </w:p>
    <w:tbl>
      <w:tblPr>
        <w:tblW w:w="10205" w:type="dxa"/>
        <w:jc w:val="left"/>
        <w:tblInd w:w="0" w:type="dxa"/>
        <w:tblLayout w:type="fixed"/>
        <w:tblCellMar>
          <w:top w:w="28" w:type="dxa"/>
          <w:left w:w="28" w:type="dxa"/>
          <w:bottom w:w="28" w:type="dxa"/>
          <w:right w:w="28" w:type="dxa"/>
        </w:tblCellMar>
      </w:tblPr>
      <w:tblGrid>
        <w:gridCol w:w="1476"/>
        <w:gridCol w:w="146"/>
        <w:gridCol w:w="1950"/>
        <w:gridCol w:w="146"/>
        <w:gridCol w:w="962"/>
        <w:gridCol w:w="146"/>
        <w:gridCol w:w="307"/>
        <w:gridCol w:w="1265"/>
        <w:gridCol w:w="146"/>
        <w:gridCol w:w="146"/>
        <w:gridCol w:w="360"/>
        <w:gridCol w:w="1486"/>
        <w:gridCol w:w="146"/>
        <w:gridCol w:w="196"/>
        <w:gridCol w:w="278"/>
        <w:gridCol w:w="833"/>
        <w:gridCol w:w="216"/>
      </w:tblGrid>
      <w:tr>
        <w:trPr/>
        <w:tc>
          <w:tcPr>
            <w:tcW w:w="14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5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126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r>
      <w:tr>
        <w:trPr/>
        <w:tc>
          <w:tcPr>
            <w:tcW w:w="14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Foreign Currency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Counterparty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Maturity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Notional Amount to be Sold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Notional Amount to be Purchased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Unrealized Gain </w:t>
              <w:br/>
              <w:t>(Loss)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British Pound Sterling (GBP)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50"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Canadian Imperial Bank of Commerce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5/14/2026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21,964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28,873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(711</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4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2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(711</w:t>
            </w:r>
          </w:p>
        </w:tc>
        <w:tc>
          <w:tcPr>
            <w:tcW w:w="2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bl>
    <w:p>
      <w:pPr>
        <w:pStyle w:val="TextBody"/>
        <w:bidi w:val="0"/>
        <w:spacing w:before="0" w:after="24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See notes to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12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RUNWAY GROWTH FINANCE CORP.</w:t>
      </w:r>
    </w:p>
    <w:p>
      <w:pPr>
        <w:pStyle w:val="TextBody"/>
        <w:bidi w:val="0"/>
        <w:jc w:val="center"/>
        <w:rPr>
          <w:rFonts w:ascii="Times New Roman" w:hAnsi="Times New Roman"/>
          <w:b/>
          <w:color w:val="000000"/>
          <w:sz w:val="20"/>
        </w:rPr>
      </w:pPr>
      <w:r>
        <w:rPr>
          <w:rFonts w:ascii="Times New Roman" w:hAnsi="Times New Roman"/>
          <w:b/>
          <w:color w:val="000000"/>
          <w:sz w:val="20"/>
        </w:rPr>
        <w:t>Consolidated Schedule of Investments – (continued)</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December 31, 2025</w:t>
      </w:r>
    </w:p>
    <w:tbl>
      <w:tblPr>
        <w:tblW w:w="10205" w:type="dxa"/>
        <w:jc w:val="left"/>
        <w:tblInd w:w="0" w:type="dxa"/>
        <w:tblLayout w:type="fixed"/>
        <w:tblCellMar>
          <w:top w:w="28" w:type="dxa"/>
          <w:left w:w="28" w:type="dxa"/>
          <w:bottom w:w="28" w:type="dxa"/>
          <w:right w:w="28" w:type="dxa"/>
        </w:tblCellMar>
      </w:tblPr>
      <w:tblGrid>
        <w:gridCol w:w="277"/>
        <w:gridCol w:w="146"/>
        <w:gridCol w:w="9782"/>
      </w:tblGrid>
      <w:tr>
        <w:trPr/>
        <w:tc>
          <w:tcPr>
            <w:tcW w:w="27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82" w:type="dxa"/>
            <w:tcBorders/>
            <w:vAlign w:val="center"/>
          </w:tcPr>
          <w:p>
            <w:pPr>
              <w:pStyle w:val="TableContents"/>
              <w:bidi w:val="0"/>
              <w:spacing w:before="0" w:after="283"/>
              <w:jc w:val="left"/>
              <w:rPr>
                <w:sz w:val="4"/>
                <w:szCs w:val="4"/>
              </w:rPr>
            </w:pPr>
            <w:r>
              <w:rPr>
                <w:sz w:val="4"/>
                <w:szCs w:val="4"/>
              </w:rPr>
            </w:r>
          </w:p>
        </w:tc>
      </w:tr>
      <w:tr>
        <w:trPr/>
        <w:tc>
          <w:tcPr>
            <w:tcW w:w="2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Disclosures of interest rates on notes include cash interest rates and payment-in-kind ("PIK") interest rates, as applicable. Unless otherwise indicated, all of the Company's variable interest debt instruments bear interest at a rate determined by reference to the U.S. Prime Rate ("PRIME") or the 1-month or 3-month Secured Overnight Financing Rate ("SOFR"). At December 31, 2025, the U.S. PRIME Rate was 6.75%, the 1-Month SOFR was 3.69%, and the 3-Month SOFR was 3.65%.</w:t>
            </w:r>
          </w:p>
        </w:tc>
      </w:tr>
      <w:tr>
        <w:trPr/>
        <w:tc>
          <w:tcPr>
            <w:tcW w:w="2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The Company’s investments are generally acquired in private transactions exempt from registration under the Securities Act of 1933, as amended (the "Securities Act"), and, therefore, except as otherwise noted, are subject to limitation on resale, may be deemed to be "restricted securities" under the Securities Act, and were valued at fair value as determined in good faith by the Board of Directors (as defined in "Note 2 – Summary of Significant Accounting Policies").</w:t>
            </w:r>
          </w:p>
        </w:tc>
      </w:tr>
      <w:tr>
        <w:trPr/>
        <w:tc>
          <w:tcPr>
            <w:tcW w:w="2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Investments are held at Fair Value net of the Fair Value of Unfunded Commitments. Refer to "Note 8 – Commitments, Contingencies, and Off-Balance Sheet Arrangements " for additional detail.</w:t>
            </w:r>
          </w:p>
        </w:tc>
      </w:tr>
      <w:tr>
        <w:trPr/>
        <w:tc>
          <w:tcPr>
            <w:tcW w:w="2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All portfolio companies are domiciled in the United States, unless otherwise noted.</w:t>
            </w:r>
          </w:p>
        </w:tc>
      </w:tr>
      <w:tr>
        <w:trPr/>
        <w:tc>
          <w:tcPr>
            <w:tcW w:w="2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Portfolio company is domiciled in the United Kingdom. Fair value of United Kingdom domiciled investments represents 7.10% of net assets.</w:t>
            </w:r>
          </w:p>
        </w:tc>
      </w:tr>
      <w:tr>
        <w:trPr/>
        <w:tc>
          <w:tcPr>
            <w:tcW w:w="2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Portfolio company is domiciled in Germany. Fair value of German domiciled investments represents 13.95% of net assets.</w:t>
            </w:r>
          </w:p>
        </w:tc>
      </w:tr>
      <w:tr>
        <w:trPr/>
        <w:tc>
          <w:tcPr>
            <w:tcW w:w="2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Portfolio company is domiciled in Canada. Fair value of Canadian domiciled investments represents 0.03% of net assets.</w:t>
            </w:r>
          </w:p>
        </w:tc>
      </w:tr>
      <w:tr>
        <w:trPr/>
        <w:tc>
          <w:tcPr>
            <w:tcW w:w="2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Portfolio company is domiciled in the Netherlands. Fair value of Dutch domiciled investments represents 3.61% of net assets.</w:t>
            </w:r>
          </w:p>
        </w:tc>
      </w:tr>
      <w:tr>
        <w:trPr/>
        <w:tc>
          <w:tcPr>
            <w:tcW w:w="2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Investment is not a qualifying investment as defined under Section 55(a) of the Investment Company Act of 1940, as amended. The fair value of non-qualifying assets represents 14.89% of total assets as of December 31, 2025. Qualifying assets must represent at least 70% of total assets at the time of acquisition of any additional non-qualifying assets. If at any time qualifying assets do not represent at least 70% of the Company's total assets, the Company will be precluded from acquiring any additional non-qualifying assets until such time as it complies with the requirements of Section 55(a).</w:t>
            </w:r>
          </w:p>
        </w:tc>
      </w:tr>
      <w:tr>
        <w:trPr/>
        <w:tc>
          <w:tcPr>
            <w:tcW w:w="2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Represents a PIK security. PIK interest will be accrued and paid at maturity.</w:t>
            </w:r>
          </w:p>
        </w:tc>
      </w:tr>
      <w:tr>
        <w:trPr/>
        <w:tc>
          <w:tcPr>
            <w:tcW w:w="2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Disclosures of end-of-term payments ("ETP") are one-time payments stated as a percentage of principal amount.</w:t>
            </w:r>
          </w:p>
        </w:tc>
      </w:tr>
      <w:tr>
        <w:trPr/>
        <w:tc>
          <w:tcPr>
            <w:tcW w:w="2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The investment is an eligible loan investment in the collateral under the Credit Facility (as defined in "Note 7 – Borrowings").</w:t>
            </w:r>
          </w:p>
        </w:tc>
      </w:tr>
      <w:tr>
        <w:trPr/>
        <w:tc>
          <w:tcPr>
            <w:tcW w:w="2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Investments are non-income producing.</w:t>
            </w:r>
          </w:p>
        </w:tc>
      </w:tr>
      <w:tr>
        <w:trPr/>
        <w:tc>
          <w:tcPr>
            <w:tcW w:w="2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Portfolio company is a publicly traded company whose securities are listed on a national securities exchange.</w:t>
            </w:r>
          </w:p>
        </w:tc>
      </w:tr>
      <w:tr>
        <w:trPr/>
        <w:tc>
          <w:tcPr>
            <w:tcW w:w="2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Investment is not a "restricted security" under the Securities Act.</w:t>
            </w:r>
          </w:p>
        </w:tc>
      </w:tr>
      <w:tr>
        <w:trPr/>
        <w:tc>
          <w:tcPr>
            <w:tcW w:w="2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Investment is either a cash success fee payable or earnout of shares based on the consummation of certain trigger events.</w:t>
            </w:r>
          </w:p>
        </w:tc>
      </w:tr>
      <w:tr>
        <w:trPr/>
        <w:tc>
          <w:tcPr>
            <w:tcW w:w="2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Investment is denominated in a foreign currency. At each balance sheet date, portfolio company investments denominated in foreign currencies are translated into U.S. dollars using the spot exchange rate on the last business day of the period. Transactions of foreign portfolio company investments, and income related from such investments, are translated into U.S. dollars using relevant rates of exchange on the respective dates of such transactions.</w:t>
            </w:r>
          </w:p>
        </w:tc>
      </w:tr>
      <w:tr>
        <w:trPr/>
        <w:tc>
          <w:tcPr>
            <w:tcW w:w="2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Investment represents a security with a tiered fee that increases over time, dependent upon the timing of repayment. Such fees are recorded in "Fee income" on the Consolidated Statements of Operations.</w:t>
            </w:r>
          </w:p>
        </w:tc>
      </w:tr>
      <w:tr>
        <w:trPr/>
        <w:tc>
          <w:tcPr>
            <w:tcW w:w="2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The assets recovered on the senior secured term loan to Pivot3, Inc. were contributed to P3 Holdco LLC by the Company, a wholly owned subsidiary of the Company. For more information, refer to "Note 2 – Summary of Significant Accounting Policies, Principles of Consolidation".</w:t>
            </w:r>
          </w:p>
        </w:tc>
      </w:tr>
      <w:tr>
        <w:trPr/>
        <w:tc>
          <w:tcPr>
            <w:tcW w:w="2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Affiliate portfolio company as defined under the 1940 Act in which the Company owns between 5% and 25% (inclusive) of the investment's voting securities and does not have rights to maintain greater than 50% representation on the board.</w:t>
            </w:r>
          </w:p>
        </w:tc>
      </w:tr>
      <w:tr>
        <w:trPr/>
        <w:tc>
          <w:tcPr>
            <w:tcW w:w="2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Control portfolio company, as defined under the 1940 Act, in which the Company owns more than 25% of the investment’s voting securities or has greater than 50% representation on its board.</w:t>
            </w:r>
          </w:p>
        </w:tc>
      </w:tr>
      <w:tr>
        <w:trPr/>
        <w:tc>
          <w:tcPr>
            <w:tcW w:w="2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Investment is on non-accrual status as of December 31, 2025 and is therefore considered non-income producing.</w:t>
            </w:r>
          </w:p>
        </w:tc>
      </w:tr>
      <w:tr>
        <w:trPr/>
        <w:tc>
          <w:tcPr>
            <w:tcW w:w="2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JobGet Holdings, Inc. (fka Snagajob.com, Inc.) has the right of first refusal on sale of preferred stock.</w:t>
            </w:r>
          </w:p>
        </w:tc>
      </w:tr>
      <w:tr>
        <w:trPr/>
        <w:tc>
          <w:tcPr>
            <w:tcW w:w="2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The Company sold a participating interest representing $15.0</w:t>
            </w:r>
            <w:r>
              <w:rPr>
                <w:rFonts w:ascii="Times New Roman" w:hAnsi="Times New Roman"/>
                <w:color w:val="000000"/>
                <w:sz w:val="20"/>
              </w:rPr>
              <w:t> </w:t>
            </w:r>
            <w:r>
              <w:rPr>
                <w:rFonts w:ascii="Times New Roman" w:hAnsi="Times New Roman"/>
                <w:color w:val="000000"/>
                <w:sz w:val="16"/>
              </w:rPr>
              <w:t>million of the aggregate outstanding principal balance of the portfolio company's senior secured loan. As the transaction did not qualify for sale accounting under applicable guidance, the Company recorded a corresponding secured borrowing, measured at fair value and included in "Secured borrowings" on the Company's Consolidated Statements of Assets and Liabilities. See "Note 2 – Summary of Significant Accounting Policies, Secured Borrowings" for additional detail.</w:t>
            </w:r>
          </w:p>
        </w:tc>
      </w:tr>
      <w:tr>
        <w:trPr/>
        <w:tc>
          <w:tcPr>
            <w:tcW w:w="2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The Company has confirmed the fully diluted share count as of December 31, 2025. Based on the current share count and the contractual warrant entitlement per the warrant agreement, the Company would own 333</w:t>
            </w:r>
            <w:r>
              <w:rPr>
                <w:rFonts w:ascii="Times New Roman" w:hAnsi="Times New Roman"/>
                <w:color w:val="000000"/>
                <w:sz w:val="20"/>
              </w:rPr>
              <w:t> </w:t>
            </w:r>
            <w:r>
              <w:rPr>
                <w:rFonts w:ascii="Times New Roman" w:hAnsi="Times New Roman"/>
                <w:color w:val="000000"/>
                <w:sz w:val="16"/>
              </w:rPr>
              <w:t>shares if converted as of December 31, 2025.</w:t>
            </w:r>
          </w:p>
        </w:tc>
      </w:tr>
      <w:tr>
        <w:trPr/>
        <w:tc>
          <w:tcPr>
            <w:tcW w:w="2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Fair value as a percentage of net assets.</w:t>
            </w:r>
          </w:p>
        </w:tc>
      </w:tr>
      <w:tr>
        <w:trPr/>
        <w:tc>
          <w:tcPr>
            <w:tcW w:w="2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The Company reclassified certain industry groupings of its portfolio companies presented in the consolidated financial statements as of December 31, 2025, to align with Global Industry Classification Standards (“GICS”), where applicable.</w:t>
            </w:r>
          </w:p>
        </w:tc>
      </w:tr>
    </w:tbl>
    <w:p>
      <w:pPr>
        <w:pStyle w:val="TextBody"/>
        <w:bidi w:val="0"/>
        <w:jc w:val="left"/>
        <w:rPr/>
      </w:pPr>
      <w:r>
        <w:rPr/>
        <w:t>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See notes to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12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RUNWAY GROWTH FINANCE CORP.</w:t>
      </w:r>
    </w:p>
    <w:p>
      <w:pPr>
        <w:pStyle w:val="TextBody"/>
        <w:bidi w:val="0"/>
        <w:jc w:val="center"/>
        <w:rPr>
          <w:rFonts w:ascii="Times New Roman" w:hAnsi="Times New Roman"/>
          <w:b/>
          <w:color w:val="000000"/>
          <w:sz w:val="20"/>
        </w:rPr>
      </w:pPr>
      <w:bookmarkStart w:id="11" w:name="notestofinancialstatements_777521"/>
      <w:bookmarkEnd w:id="11"/>
      <w:r>
        <w:rPr>
          <w:rFonts w:ascii="Times New Roman" w:hAnsi="Times New Roman"/>
          <w:b/>
          <w:color w:val="000000"/>
          <w:sz w:val="20"/>
        </w:rPr>
        <w:t>Notes to Consolidated Financial Statements</w:t>
      </w:r>
    </w:p>
    <w:p>
      <w:pPr>
        <w:pStyle w:val="TextBody"/>
        <w:bidi w:val="0"/>
        <w:spacing w:before="0" w:after="120"/>
        <w:jc w:val="center"/>
        <w:rPr>
          <w:rFonts w:ascii="Times New Roman" w:hAnsi="Times New Roman"/>
          <w:b/>
          <w:color w:val="000000"/>
          <w:sz w:val="20"/>
        </w:rPr>
      </w:pPr>
      <w:r>
        <w:rPr>
          <w:rFonts w:ascii="Times New Roman" w:hAnsi="Times New Roman"/>
          <w:b/>
          <w:color w:val="000000"/>
          <w:sz w:val="20"/>
        </w:rPr>
        <w:t>(Unaudited)</w:t>
      </w:r>
    </w:p>
    <w:p>
      <w:pPr>
        <w:pStyle w:val="Heading1"/>
        <w:bidi w:val="0"/>
        <w:spacing w:before="240" w:after="240"/>
        <w:jc w:val="both"/>
        <w:rPr>
          <w:rFonts w:ascii="Times New Roman" w:hAnsi="Times New Roman"/>
          <w:color w:val="000000"/>
          <w:sz w:val="20"/>
        </w:rPr>
      </w:pPr>
      <w:r>
        <w:rPr>
          <w:rFonts w:ascii="Times New Roman" w:hAnsi="Times New Roman"/>
          <w:color w:val="000000"/>
          <w:sz w:val="20"/>
        </w:rPr>
        <w:t>Note 1 – Organization</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Runway Growth Finance Corp. (the "Company"), is a Maryland corporation that was formed on August 31, 2015. On August 18, 2021, the Company changed its name to “Runway Growth Finance Corp." from "Runway Growth Credit Fund Inc." The Company is an externally managed, non-diversified, closed-end investment company that has elected to be regulated as a business development company ("BDC") under the Investment Company Act of 1940, as amended (the "1940 Act"). In addition, the Company has elected to be treated, currently qualifies, and intends to continue to qualify annually as a regulated investment company ("RIC") under subchapter M of the Internal Revenue Code of 1986, as amended (the "Code").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Company was formed primarily to lend to, and selectively invest in, high growth-potential companies in technology, healthcare, business services, financial services, and select consumer services and products in other high-growth industries. The Company’s investment objective is to maximize its total return to its stockholders primarily through current income on its loan portfolio, and secondarily through capital gain on its warrants and other equity positions. The Company’s investment activities are managed by its external investment adviser, Runway Growth Capital LLC ("RGC"). The Company’s administrator, Runway Administrator Services LLC (the "Administrator"), is a wholly owned subsidiary of RGC and provides administrative services necessary for the Company to operate. On January 30, 2025, a private investment fund advised by BC Partners Advisors L.P. ("BC Partners") acquired the majority equity interest of RGC, and Mount Logan Capital Inc., an affiliate of BC Partners, acquired the remaining minority equity interest, together acquiring the entirety of the outstanding equity interest of RGC (the "BCP Transaction").</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On October 25, 2021, the Company closed its initial public offering ("IPO"), issuing 6,850,000 shares of its common stock at a public offering price of $14.60 per share. Net of underwriting fees and offering costs, the Company received net proceeds of $93.0 million. The Company's common stock began trading on the Nasdaq Global Select Market LLC ("NASDAQ") on October 21, 2021, under the symbol "RWAY."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120"/>
        <w:jc w:val="left"/>
        <w:rPr/>
      </w:pPr>
      <w:r>
        <w:rPr/>
        <w:t> </w:t>
      </w:r>
    </w:p>
    <w:p>
      <w:pPr>
        <w:pStyle w:val="Heading1"/>
        <w:bidi w:val="0"/>
        <w:spacing w:before="360" w:after="240"/>
        <w:jc w:val="left"/>
        <w:rPr>
          <w:rFonts w:ascii="Times New Roman" w:hAnsi="Times New Roman"/>
          <w:color w:val="000000"/>
          <w:sz w:val="20"/>
        </w:rPr>
      </w:pPr>
      <w:r>
        <w:rPr>
          <w:rFonts w:ascii="Times New Roman" w:hAnsi="Times New Roman"/>
          <w:color w:val="000000"/>
          <w:sz w:val="20"/>
        </w:rPr>
        <w:t>Note 2 – Summary of Significant Accounting Policies</w:t>
      </w:r>
    </w:p>
    <w:p>
      <w:pPr>
        <w:pStyle w:val="Heading2"/>
        <w:bidi w:val="0"/>
        <w:spacing w:before="120" w:after="240"/>
        <w:jc w:val="left"/>
        <w:rPr>
          <w:rFonts w:ascii="Times New Roman" w:hAnsi="Times New Roman"/>
          <w:sz w:val="20"/>
        </w:rPr>
      </w:pPr>
      <w:r>
        <w:rPr>
          <w:rFonts w:ascii="Times New Roman" w:hAnsi="Times New Roman"/>
          <w:i/>
          <w:color w:val="000000"/>
          <w:sz w:val="20"/>
        </w:rPr>
        <w:t>Basis of</w:t>
      </w:r>
      <w:r>
        <w:rPr>
          <w:rFonts w:ascii="Times New Roman" w:hAnsi="Times New Roman"/>
          <w:color w:val="000000"/>
          <w:sz w:val="20"/>
        </w:rPr>
        <w:t xml:space="preserve"> </w:t>
      </w:r>
      <w:r>
        <w:rPr>
          <w:rFonts w:ascii="Times New Roman" w:hAnsi="Times New Roman"/>
          <w:i/>
          <w:color w:val="000000"/>
          <w:sz w:val="20"/>
        </w:rPr>
        <w:t>Presentation</w:t>
      </w:r>
    </w:p>
    <w:p>
      <w:pPr>
        <w:pStyle w:val="TextBody"/>
        <w:bidi w:val="0"/>
        <w:spacing w:before="0" w:after="200"/>
        <w:jc w:val="both"/>
        <w:rPr>
          <w:rFonts w:ascii="Times New Roman" w:hAnsi="Times New Roman"/>
          <w:sz w:val="20"/>
        </w:rPr>
      </w:pPr>
      <w:r>
        <w:rPr>
          <w:rFonts w:ascii="Times New Roman" w:hAnsi="Times New Roman"/>
          <w:color w:val="000000"/>
          <w:sz w:val="20"/>
        </w:rPr>
        <w:t>The accompanying interim unaudited consolidated financial statements of the Company are prepared on the accrual basis of accounting in conformity with U.S. Generally Accepted Accounting Principles ("U.S. GAAP") and pursuant to the requirements for reporting on Form 10</w:t>
        <w:noBreakHyphen/>
        <w:t xml:space="preserve">Q and in compliance with Regulation S-X under the Securities Exchange Act of 1934, as amended. The Company is an investment company following the specialized accounting and reporting guidance specified in the Financial Accounting Standards Board’s ("FASB") Accounting Standards Codification ("ASC") Topic 946, </w:t>
      </w:r>
      <w:r>
        <w:rPr>
          <w:rFonts w:ascii="Times New Roman" w:hAnsi="Times New Roman"/>
          <w:i/>
          <w:color w:val="000000"/>
          <w:sz w:val="20"/>
        </w:rPr>
        <w:t xml:space="preserve">Financial Services </w:t>
      </w:r>
      <w:r>
        <w:rPr>
          <w:rFonts w:ascii="Times New Roman" w:hAnsi="Times New Roman"/>
          <w:color w:val="000000"/>
          <w:sz w:val="20"/>
        </w:rPr>
        <w:t xml:space="preserve">– </w:t>
      </w:r>
      <w:r>
        <w:rPr>
          <w:rFonts w:ascii="Times New Roman" w:hAnsi="Times New Roman"/>
          <w:i/>
          <w:color w:val="000000"/>
          <w:sz w:val="20"/>
        </w:rPr>
        <w:t>Investment Companies</w:t>
      </w:r>
      <w:r>
        <w:rPr>
          <w:rFonts w:ascii="Times New Roman" w:hAnsi="Times New Roman"/>
          <w:color w:val="000000"/>
          <w:sz w:val="20"/>
        </w:rPr>
        <w:t xml:space="preserve"> ("ASC 946").</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In management’s opinion, all adjustments necessary for the fair presentation of the interim financial statements have been included. These adjustments are of a normal recurring nature. The results of operations for the current interim period are not necessarily indicative of results that ultimately may be achieved for any other interim period or for the year ending December 31, 2026. The interim unaudited consolidated financial statements and notes hereto should be read in conjunction with the audited consolidated financial statements and notes thereto contained in the Company’s annual report on Form 10-K for the year ended December 31, 2025, filed with the Securities and Exchange Commission (the "SEC") on March 12, 2026.</w:t>
      </w:r>
    </w:p>
    <w:p>
      <w:pPr>
        <w:pStyle w:val="TextBody"/>
        <w:bidi w:val="0"/>
        <w:spacing w:before="120" w:after="240"/>
        <w:jc w:val="left"/>
        <w:rPr>
          <w:rFonts w:ascii="Times New Roman" w:hAnsi="Times New Roman"/>
          <w:b/>
          <w:i/>
          <w:color w:val="000000"/>
          <w:sz w:val="20"/>
        </w:rPr>
      </w:pPr>
      <w:r>
        <w:rPr>
          <w:rFonts w:ascii="Times New Roman" w:hAnsi="Times New Roman"/>
          <w:b/>
          <w:i/>
          <w:color w:val="000000"/>
          <w:sz w:val="20"/>
        </w:rPr>
        <w:t>Principles of Consolidation</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Under ASC 946, the Company is precluded from consolidating portfolio company investments, including those in which it has a controlling interest, unless the portfolio company is another investment company that is substantially wholly owned by it. An exception to this general principle occurs if the Company holds a controlling interest in an operating company that provides all or substantially all of its services directly to the Company or to its portfolio companies. None of the portfolio investments made by the Company qualify for this exception. Therefore, the Company’s investment portfolio is carried on the Consolidated Statements of Assets and Liabilities at fair value, as discussed further in "Note 4 – Investments," with any adjustments to fair value recognized as "Net change in unrealized gain (loss) on investments" on the Consolidated Statements of Operations.</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The Company’s consolidated operations include the activities of its wholly owned subsidiary, P3 Holdco LLC ("P3 Holdco"). P3 Holdco serves to facilitate the Company’s investment in Pivot3, Inc. ("Pivot3"). As a result, the Company consolidates the financial results of P3 Holdco in its consolidated financial statements in accordance with ASC 946 and treats its indirect investment in Pivot3 as a portfolio investment held at fair value. As of March 31, 2026, the assets of Pivot3 were sold for an upfront consideration and a contingent deferred payment. The Company assigned no value to the deferred payment as of March 31, 2026.</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The Company has determined that the JV is an investment company under ASC Topic 946. However, in accordance with such guidance, the Company will generally not consolidate its investment in a company other than a substantially wholly owned investment company subsidiary, which is an extension of the operations of the Company, or a controlled operating company whose business consists of providing services to the Company. The Company does not consolidate its interest in the JV as it is not a substantially wholly owned investment company subsidiary of the Company. In addition, the JV is not an operating company and the Company does not control the JV, as voting rights are allocated equally among the two JV members. As a result, the JV is accounted for as a portfolio investment of the Company held at fair value and not included as a consolidated subsidiary in the Company's consolidated financial statements. Refer to the Consolidated Schedule of Investments for the Company’s equity interest in Pivot3 and the JV as of March 31, 2026 and December 31, 2025.</w:t>
      </w:r>
    </w:p>
    <w:p>
      <w:pPr>
        <w:pStyle w:val="TextBody"/>
        <w:bidi w:val="0"/>
        <w:jc w:val="both"/>
        <w:rPr>
          <w:rFonts w:ascii="Times New Roman" w:hAnsi="Times New Roman"/>
          <w:color w:val="000000"/>
          <w:sz w:val="20"/>
        </w:rPr>
      </w:pPr>
      <w:r>
        <w:rPr>
          <w:rFonts w:ascii="Times New Roman" w:hAnsi="Times New Roman"/>
          <w:color w:val="000000"/>
          <w:sz w:val="20"/>
        </w:rPr>
        <w:t>In accordance with Rule 3-09 of Regulation S-X, as amended, the Company must determine which of its unconsolidated controlled subsidiaries, if any, are considered "significant subsidiaries." In evaluating these unconsolidated controlled subsidiaries, there are two significance tests utilized per Rule 1-02(w) of Regulation S-X to determine if any of the Company’s investments or unconsolidated controlled subsidiaries are considered significant: the investment test and the income test. As of March 31, 2026, and December 31, 2025, none of the Company’s investments or unconsolidated controlled subsidiaries met either of these two significance tests.</w:t>
      </w:r>
    </w:p>
    <w:p>
      <w:pPr>
        <w:pStyle w:val="TextBody"/>
        <w:bidi w:val="0"/>
        <w:spacing w:before="360" w:after="240"/>
        <w:jc w:val="left"/>
        <w:rPr>
          <w:rFonts w:ascii="Times New Roman" w:hAnsi="Times New Roman"/>
          <w:b/>
          <w:i/>
          <w:color w:val="000000"/>
          <w:sz w:val="20"/>
        </w:rPr>
      </w:pPr>
      <w:r>
        <w:rPr>
          <w:rFonts w:ascii="Times New Roman" w:hAnsi="Times New Roman"/>
          <w:b/>
          <w:i/>
          <w:color w:val="000000"/>
          <w:sz w:val="20"/>
        </w:rPr>
        <w:t>Secured Borrowings</w:t>
      </w:r>
    </w:p>
    <w:p>
      <w:pPr>
        <w:pStyle w:val="TextBody"/>
        <w:bidi w:val="0"/>
        <w:spacing w:before="120" w:after="200"/>
        <w:jc w:val="both"/>
        <w:rPr>
          <w:rFonts w:ascii="Times New Roman" w:hAnsi="Times New Roman"/>
          <w:sz w:val="20"/>
        </w:rPr>
      </w:pPr>
      <w:r>
        <w:rPr>
          <w:rFonts w:ascii="Times New Roman" w:hAnsi="Times New Roman"/>
          <w:color w:val="000000"/>
          <w:sz w:val="20"/>
        </w:rPr>
        <w:t xml:space="preserve">The Company follows the guidance in ASC Topic 860, </w:t>
      </w:r>
      <w:r>
        <w:rPr>
          <w:rFonts w:ascii="Times New Roman" w:hAnsi="Times New Roman"/>
          <w:i/>
          <w:color w:val="000000"/>
          <w:sz w:val="20"/>
        </w:rPr>
        <w:t>Transfers and Servicing</w:t>
      </w:r>
      <w:r>
        <w:rPr>
          <w:rFonts w:ascii="Times New Roman" w:hAnsi="Times New Roman"/>
          <w:color w:val="000000"/>
          <w:sz w:val="20"/>
        </w:rPr>
        <w:t xml:space="preserve"> ("ASC 860"), when accounting for participations or other partial loan sales. Under ASC 860, a transfer of a financial asset may be accounted for as a sale only if the transferred interest meets the definition of a "participating interest," as defined in the guidance, and all of the following conditions are met: (1) the assets have been isolated from the Company – put presumptively beyond the reach of the transferor and its creditors, even in bankruptcy or other receivership, (2) the transferee obtains the right (free of conditions that constrain it from taking advantage of that right) to pledge or exchange the transferred assets and (3) the transferor does </w:t>
      </w:r>
      <w:r>
        <w:rPr>
          <w:rFonts w:ascii="Times New Roman" w:hAnsi="Times New Roman"/>
          <w:i/>
          <w:color w:val="000000"/>
          <w:sz w:val="20"/>
        </w:rPr>
        <w:t>not</w:t>
      </w:r>
      <w:r>
        <w:rPr>
          <w:rFonts w:ascii="Times New Roman" w:hAnsi="Times New Roman"/>
          <w:color w:val="000000"/>
          <w:sz w:val="20"/>
        </w:rPr>
        <w:t xml:space="preserve"> maintain effective control over the transferred assets through either (a)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120"/>
        <w:jc w:val="left"/>
        <w:rPr/>
      </w:pPr>
      <w:r>
        <w:rPr/>
        <w:t> </w:t>
      </w:r>
    </w:p>
    <w:p>
      <w:pPr>
        <w:pStyle w:val="TextBody"/>
        <w:bidi w:val="0"/>
        <w:spacing w:before="360" w:after="200"/>
        <w:jc w:val="both"/>
        <w:rPr>
          <w:rFonts w:ascii="Times New Roman" w:hAnsi="Times New Roman"/>
          <w:color w:val="000000"/>
          <w:sz w:val="20"/>
        </w:rPr>
      </w:pPr>
      <w:r>
        <w:rPr>
          <w:rFonts w:ascii="Times New Roman" w:hAnsi="Times New Roman"/>
          <w:color w:val="000000"/>
          <w:sz w:val="20"/>
        </w:rPr>
        <w:t>an agreement that both entitles and obligates the transferor to repurchase or redeem the assets before maturity or (b) the ability to unilaterally cause the holder to return specific assets, other than through a cleanup call.</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Participations or other partial loan sales that do not meet the definition of a participating interest or the above conditions, should remain on the Company's Consolidated Statements of Assets and Liabilities and the proceeds are recorded as a secured borrowing until the definition is met. Secured borrowings are carried at fair value.</w:t>
      </w:r>
    </w:p>
    <w:p>
      <w:pPr>
        <w:pStyle w:val="TextBody"/>
        <w:bidi w:val="0"/>
        <w:spacing w:before="160" w:after="240"/>
        <w:jc w:val="left"/>
        <w:rPr>
          <w:rFonts w:ascii="Times New Roman" w:hAnsi="Times New Roman"/>
          <w:b/>
          <w:i/>
          <w:color w:val="000000"/>
          <w:sz w:val="20"/>
        </w:rPr>
      </w:pPr>
      <w:r>
        <w:rPr>
          <w:rFonts w:ascii="Times New Roman" w:hAnsi="Times New Roman"/>
          <w:b/>
          <w:i/>
          <w:color w:val="000000"/>
          <w:sz w:val="20"/>
        </w:rPr>
        <w:t>Runway-Cadma I LLC</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Company entered into a joint venture agreement, effective as of March 6, 2024, with Cadma Capital Partners LLC ("Cadma") to create and co-manage Runway-Cadma I LLC (the "JV"). The JV may invest in secured loans to growth-stage companies that have been originated by the Company. The Company and Cadma have equal ownership of the JV and each committed to provide $35.0 million of the total $70.0 million in equity capital. All portfolio decisions and generally all other actions with respect to the JV must be approved by the board of managers of the JV, consisting of an equal number of representatives of the Company and Cadma. Capital contributions are called from the Company and Cadma on a pro-rata basis based on their total capital commitments. For more information, refer to "Note 3 – Related Party Agreements and Transactions."</w:t>
      </w:r>
    </w:p>
    <w:p>
      <w:pPr>
        <w:pStyle w:val="Heading2"/>
        <w:bidi w:val="0"/>
        <w:spacing w:before="120" w:after="240"/>
        <w:jc w:val="left"/>
        <w:rPr>
          <w:rFonts w:ascii="Times New Roman" w:hAnsi="Times New Roman"/>
          <w:i/>
          <w:color w:val="000000"/>
          <w:sz w:val="20"/>
        </w:rPr>
      </w:pPr>
      <w:r>
        <w:rPr>
          <w:rFonts w:ascii="Times New Roman" w:hAnsi="Times New Roman"/>
          <w:i/>
          <w:color w:val="000000"/>
          <w:sz w:val="20"/>
        </w:rPr>
        <w:t>Use of Estimates</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The preparation of consolidated financial statements in conformity with U.S. GAAP requires management to make estimates and assumptions that affect the reported amounts of assets and liabilities and disclosure of contingent assets and liabilities as of the date of the consolidated financial statements and the reported amounts of income and expense during the reporting period. Changes in the economic and regulatory environment, financial markets, the credit worthiness of the Company's portfolio companies, and any other parameters used in determining these estimates and assumptions could cause actual results to differ from these estimates and assumptions.</w:t>
      </w:r>
    </w:p>
    <w:p>
      <w:pPr>
        <w:pStyle w:val="Heading2"/>
        <w:bidi w:val="0"/>
        <w:spacing w:before="160" w:after="240"/>
        <w:jc w:val="left"/>
        <w:rPr>
          <w:rFonts w:ascii="Times New Roman" w:hAnsi="Times New Roman"/>
          <w:i/>
          <w:color w:val="000000"/>
          <w:sz w:val="20"/>
        </w:rPr>
      </w:pPr>
      <w:r>
        <w:rPr>
          <w:rFonts w:ascii="Times New Roman" w:hAnsi="Times New Roman"/>
          <w:i/>
          <w:color w:val="000000"/>
          <w:sz w:val="20"/>
        </w:rPr>
        <w:t>Cash and Cash Equivalents</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Cash consists solely of funds deposited with financial institutions, while cash equivalents consist of short-term liquid investments in money market funds. Cash and cash equivalents are carried at cost, which approximates fair value. As of March 31, 2026 and December 31, 2025, the Company had $1.6 million and $2.8 million invested in money market funds, respectively. Dividends earned from money market funds are recorded in "Other income" on the Consolidated Statements of Operations. The Company may hold foreign cash from time to time as a result of transactions related to investments denominated in foreign currencies. Foreign cash includes the value of foreign currencies held and translated to U.S. dollars using the prevailing foreign exchange rates as of March 31, 2026. Temporary fluctuations in any foreign currency held on the balance sheet date are recorded in "Net change in unrealized gain (loss) on forward contracts and foreign currency transactions" on the Consolidated Statements of Operations. Any realized gains or losses recognized upon foreign currency translated into local currency are recorded in "Net realized gain (loss) on forward contracts and foreign currency transactions" on the Consolidated Statements of Operations.</w:t>
      </w:r>
    </w:p>
    <w:p>
      <w:pPr>
        <w:pStyle w:val="TextBody"/>
        <w:bidi w:val="0"/>
        <w:spacing w:before="160" w:after="240"/>
        <w:jc w:val="both"/>
        <w:rPr>
          <w:rFonts w:ascii="Times New Roman" w:hAnsi="Times New Roman"/>
          <w:b/>
          <w:i/>
          <w:color w:val="000000"/>
          <w:sz w:val="20"/>
        </w:rPr>
      </w:pPr>
      <w:r>
        <w:rPr>
          <w:rFonts w:ascii="Times New Roman" w:hAnsi="Times New Roman"/>
          <w:b/>
          <w:i/>
          <w:color w:val="000000"/>
          <w:sz w:val="20"/>
        </w:rPr>
        <w:t>Investments Denominated in Foreign Currency</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At each balance sheet date, portfolio company investments denominated in foreign currencies and any related receivables are translated into U.S. dollars using the spot exchange rate on the last business day of the period. Purchases and sales of foreign portfolio company investments, and any income from such investments, are translated into U.S. dollars using the rates of exchange prevailing on the respective dates of such transactions. As of March 31, 2026 and December 31, 2025, the Company held two investments denominated in British pound sterling, one investment denominated in Canadian Dollars, and five investments denominated in Euros. Refer to the Consolidated Schedule of Investments and respective footnotes to the Consolidated Schedule of Investments for more details on the portfolio company investments held in foreign currencies as of March 31, 2026 and December 31, 2025.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Although the fair values of foreign portfolio company investments and the fluctuation in such fair values are translated into U.S. dollars using the applicable foreign exchange rates described above, the Company does not distinguish the portion of the change in fair value resulting from foreign currency exchange rate fluctuations from the change in fair value of the underlying investment. All fluctuations in fair value are included in "Net change in unrealized gain (loss) on non-control/non-affiliate investments" on the Consolidated Statements of Operations. Any realized gains or losses upon settlement of investments and related receivables denominated in foreign currency are recorded in "Net realized gain (loss) on forward contracts and foreign currency transactions" on the Consolidated Statements of Operations.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120"/>
        <w:jc w:val="left"/>
        <w:rPr/>
      </w:pPr>
      <w:r>
        <w:rPr/>
        <w:t> </w:t>
      </w:r>
    </w:p>
    <w:p>
      <w:pPr>
        <w:pStyle w:val="TextBody"/>
        <w:bidi w:val="0"/>
        <w:spacing w:before="0" w:after="200"/>
        <w:jc w:val="both"/>
        <w:rPr>
          <w:rFonts w:ascii="Times New Roman" w:hAnsi="Times New Roman"/>
          <w:sz w:val="20"/>
        </w:rPr>
      </w:pPr>
      <w:r>
        <w:rPr>
          <w:rFonts w:ascii="Times New Roman" w:hAnsi="Times New Roman"/>
          <w:color w:val="000000"/>
          <w:sz w:val="20"/>
        </w:rPr>
        <w:t xml:space="preserve">The Company may also enter into foreign currency forward contracts to mitigate its exposure to foreign currency fluctuations associated with certain investments denominated in foreign currencies. These contracts are recognized as derivative instruments and measured at fair value in accordance with ASC Topic 815, </w:t>
      </w:r>
      <w:r>
        <w:rPr>
          <w:rFonts w:ascii="Times New Roman" w:hAnsi="Times New Roman"/>
          <w:i/>
          <w:color w:val="000000"/>
          <w:sz w:val="20"/>
        </w:rPr>
        <w:t xml:space="preserve">Derivatives and Hedging </w:t>
      </w:r>
      <w:r>
        <w:rPr>
          <w:rFonts w:ascii="Times New Roman" w:hAnsi="Times New Roman"/>
          <w:color w:val="000000"/>
          <w:sz w:val="20"/>
        </w:rPr>
        <w:t>("ASC 815"), and are recorded as "Foreign currency forward contracts" on the Consolidated Statements of Assets and Liabilities. Changes in fair value are recorded in "Net change in unrealized gain (loss) on forward contracts and foreign currency transactions" on the Consolidated Statements of Operations. The payments and proceeds from derivative contracts are included in "Payments for derivative contracts" and "Proceeds from derivative contracts", respectively, on the Consolidated Statements of Cash Flows. The net cash flows realized on settlement of derivatives are included in "Net realized (gain) loss on forward contracts and foreign currency transactions" on the Consolidated Statements of Operations and Consolidated Statements of Cash Flows. Refer to "Note 4 – Investments" for more information regarding the foreign currency forward contracts.</w:t>
      </w:r>
    </w:p>
    <w:p>
      <w:pPr>
        <w:pStyle w:val="Heading2"/>
        <w:bidi w:val="0"/>
        <w:spacing w:before="160" w:after="240"/>
        <w:jc w:val="left"/>
        <w:rPr>
          <w:rFonts w:ascii="Times New Roman" w:hAnsi="Times New Roman"/>
          <w:i/>
          <w:color w:val="000000"/>
          <w:sz w:val="20"/>
        </w:rPr>
      </w:pPr>
      <w:r>
        <w:rPr>
          <w:rFonts w:ascii="Times New Roman" w:hAnsi="Times New Roman"/>
          <w:i/>
          <w:color w:val="000000"/>
          <w:sz w:val="20"/>
        </w:rPr>
        <w:t>Investment Transactions and Related Investment Income</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 xml:space="preserve">The Company’s investment portfolio generates interest, fee, and dividend income. The Company records interest income on an accrual basis, recognizing income as earned in accordance with the contractual terms of the loan agreement, to the extent that such amounts are expected to be collected. The cost of each debt investment is adjusted for any discounts, premiums, upfront fees, and carve-outs representing the value of detachable equity, warrants, or another asset obtained in conjunction with the acquisition of debt investments (collectively "OID"), as well as any contractual end-of-term payments ("ETP"). The OID and ETP are capitalized into the adjusted cost basis and recorded as interest income over the term of the loan as a yield enhancement following the effective interest method. Upon prepayment of a debt investment, any unamortized OID and ETP is recorded as interest income and any prepayment penalties are recorded as fee income. Upon amending terms of an existing investment, any amendment fees charged are recorded as fee income. Fee income may also include income from bridge loans. </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The Company currently holds, and expects to hold in the future, some investments in its portfolio with payment-in-kind ("PIK") interest provisions. PIK interest is computed at the contractual rate specified in each loan agreement and is added to the principal balance of the loan, rather than being paid to the Company in cash, and is recorded as interest income. Thus, the actual collection of PIK interest may be deferred until the time of debt principal repayment. PIK interest, which is a non-cash source of income, is included in the Company’s taxable income and therefore affects the amount of income the Company is required to distribute to stockholders to maintain its qualification as a RIC for U.S. federal income tax purposes. For the three months ended March 31, 2026, 15.7% of the Company’s total investment income was attributable to non-cash PIK interest. For the three months ended March 31, 2025, 10.3% of the Company’s total investment income was attributable to non-cash PIK interest.</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 xml:space="preserve">Dividend income is recorded on an accrual basis to the extent that such amounts are payable and expected to be collected. Dividend income is recorded on the record date for private portfolio companies and on the ex-dividend date for publicly traded portfolio companies. Interest income, if any, adjusted for amortization of market premium and accretion of OID and ETP, is recorded on an accrual basis to the extent that the Company expects to collect such amounts. </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Security transactions, if any, are recorded on a trade-date basis. Realized gains or losses from the repayment or sale of investments are measured using the specific identification method. The Company reports changes in fair value of investments from the prior period as a component of "Net change in unrealized gain (loss) on investments" on the Consolidated Statements of Operations.</w:t>
      </w:r>
    </w:p>
    <w:p>
      <w:pPr>
        <w:pStyle w:val="Heading2"/>
        <w:bidi w:val="0"/>
        <w:spacing w:before="200" w:after="240"/>
        <w:jc w:val="left"/>
        <w:rPr>
          <w:rFonts w:ascii="Times New Roman" w:hAnsi="Times New Roman"/>
          <w:i/>
          <w:color w:val="000000"/>
          <w:sz w:val="20"/>
        </w:rPr>
      </w:pPr>
      <w:r>
        <w:rPr>
          <w:rFonts w:ascii="Times New Roman" w:hAnsi="Times New Roman"/>
          <w:i/>
          <w:color w:val="000000"/>
          <w:sz w:val="20"/>
        </w:rPr>
        <w:t>Debt and Deferred Financing Costs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debt of the Company is carried at amortized cost on the Consolidated Statements of Assets and Liabilities, which is comprised of the principal amount borrowed, net of deferred financing costs. Deferred financing costs ("DFC") are fees and other direct incremental costs incurred by the Company in relation to debt financing and are amortized over the life of the related debt instrument or the life of such cost's respective service, if shorter, using the straight-line method, which closely approximates the effective yield method. Amortization of such debt financing costs and interest expense on the outstanding principal balance are recorded in "Interest and other debt financing expenses" on the Consolidated Statements of Operations. Debt financing costs that have not yet been amortized are recorded as "Deferred financing costs" on the Consolidated Statements of Assets and Liabilities. To the extent there are no outstanding borrowings, the deferred financing costs are presented as an asset on the Consolidated Statements of Assets and Liabilities. Accrued but unpaid interest is included within "Interest payable" on the Consolidated Statements of Assets and Liabilities. For more information, refer to "Note 7 – Borrowings."</w:t>
      </w:r>
    </w:p>
    <w:p>
      <w:pPr>
        <w:pStyle w:val="Heading2"/>
        <w:bidi w:val="0"/>
        <w:spacing w:before="120" w:after="240"/>
        <w:jc w:val="left"/>
        <w:rPr>
          <w:rFonts w:ascii="Times New Roman" w:hAnsi="Times New Roman"/>
          <w:i/>
          <w:color w:val="000000"/>
          <w:sz w:val="20"/>
        </w:rPr>
      </w:pPr>
      <w:r>
        <w:rPr>
          <w:rFonts w:ascii="Times New Roman" w:hAnsi="Times New Roman"/>
          <w:i/>
          <w:color w:val="000000"/>
          <w:sz w:val="20"/>
        </w:rPr>
        <w:t>Non-Accrual Investments</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 xml:space="preserve">Debt investments are placed on non-accrual status when principal, interest, and other obligations become materially past due or when it is probable that principal, interest, or other obligations will not be collected in full. At the point of non-accrual, the Company will cease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120"/>
        <w:jc w:val="left"/>
        <w:rPr/>
      </w:pPr>
      <w:r>
        <w:rPr/>
        <w:t> </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recognizing interest income on the debt investment until all principal and interest due have been paid or the Company believes the borrower has demonstrated the ability to repay its current and future contractual obligations. Additionally, any OID and ETP associated with the debt investment is no longer accreted to interest income as of the date the loan is placed on non-accrual status. Any payments received on non-accrual loans are first applied to principal prior to recovery of any foregone interest or ETP. Non-accrual loans are restored to accrual status when past due principal or interest are paid, and, in management’s judgment are likely to remain current. The Company may make exceptions to this policy if the investment has sufficient collateral value and is in the process of collection such that the Company will be made whole on the investment, inclusive of interest and ETP.</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following table summarizes the cost, fair value, and types of income not recorded in "Interest income" on the Consolidated Statements of Operations related to senior secured term loans on non-accrual status as of March 31, 2026 and December 31, 2025 (in thousands):</w:t>
      </w:r>
    </w:p>
    <w:tbl>
      <w:tblPr>
        <w:tblW w:w="10205" w:type="dxa"/>
        <w:jc w:val="left"/>
        <w:tblInd w:w="0" w:type="dxa"/>
        <w:tblLayout w:type="fixed"/>
        <w:tblCellMar>
          <w:top w:w="28" w:type="dxa"/>
          <w:left w:w="28" w:type="dxa"/>
          <w:bottom w:w="28" w:type="dxa"/>
          <w:right w:w="28" w:type="dxa"/>
        </w:tblCellMar>
      </w:tblPr>
      <w:tblGrid>
        <w:gridCol w:w="1125"/>
        <w:gridCol w:w="246"/>
        <w:gridCol w:w="1061"/>
        <w:gridCol w:w="146"/>
        <w:gridCol w:w="267"/>
        <w:gridCol w:w="152"/>
        <w:gridCol w:w="534"/>
        <w:gridCol w:w="146"/>
        <w:gridCol w:w="146"/>
        <w:gridCol w:w="401"/>
        <w:gridCol w:w="229"/>
        <w:gridCol w:w="262"/>
        <w:gridCol w:w="146"/>
        <w:gridCol w:w="146"/>
        <w:gridCol w:w="265"/>
        <w:gridCol w:w="151"/>
        <w:gridCol w:w="530"/>
        <w:gridCol w:w="146"/>
        <w:gridCol w:w="146"/>
        <w:gridCol w:w="256"/>
        <w:gridCol w:w="146"/>
        <w:gridCol w:w="691"/>
        <w:gridCol w:w="146"/>
        <w:gridCol w:w="146"/>
        <w:gridCol w:w="256"/>
        <w:gridCol w:w="146"/>
        <w:gridCol w:w="601"/>
        <w:gridCol w:w="146"/>
        <w:gridCol w:w="146"/>
        <w:gridCol w:w="154"/>
        <w:gridCol w:w="445"/>
        <w:gridCol w:w="154"/>
        <w:gridCol w:w="527"/>
      </w:tblGrid>
      <w:tr>
        <w:trPr/>
        <w:tc>
          <w:tcPr>
            <w:tcW w:w="1125"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r>
      <w:tr>
        <w:trPr/>
        <w:tc>
          <w:tcPr>
            <w:tcW w:w="11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Date of Non-Accrual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Forgone Interest Income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92"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Forgone Accretion of OID and ETP</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6"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 Forgone Income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9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Cost Basis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80"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 as a % of Total Portfolio</w:t>
            </w:r>
          </w:p>
        </w:tc>
      </w:tr>
      <w:tr>
        <w:trPr/>
        <w:tc>
          <w:tcPr>
            <w:tcW w:w="11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As of March 31, 2026</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9"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7"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center"/>
              <w:rPr/>
            </w:pPr>
            <w:r>
              <w:rPr/>
              <w:t> </w:t>
            </w:r>
          </w:p>
        </w:tc>
      </w:tr>
      <w:tr>
        <w:trPr/>
        <w:tc>
          <w:tcPr>
            <w:tcW w:w="112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Investment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06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center"/>
              <w:rPr/>
            </w:pPr>
            <w:r>
              <w:rPr/>
              <w:t> </w:t>
            </w:r>
          </w:p>
        </w:tc>
      </w:tr>
      <w:tr>
        <w:trPr/>
        <w:tc>
          <w:tcPr>
            <w:tcW w:w="112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Blueshift Labs, Inc.</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3/15/2026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31,647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14,459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1.63</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center"/>
              <w:rPr>
                <w:rFonts w:ascii="Times New Roman" w:hAnsi="Times New Roman"/>
                <w:color w:val="000000"/>
                <w:sz w:val="16"/>
              </w:rPr>
            </w:pPr>
            <w:r>
              <w:rPr>
                <w:rFonts w:ascii="Times New Roman" w:hAnsi="Times New Roman"/>
                <w:color w:val="000000"/>
                <w:sz w:val="16"/>
              </w:rPr>
              <w:t>%</w:t>
            </w:r>
          </w:p>
        </w:tc>
      </w:tr>
      <w:tr>
        <w:trPr/>
        <w:tc>
          <w:tcPr>
            <w:tcW w:w="112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Marley Spoon SE</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3/31/2026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68,369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37,528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center"/>
              <w:rPr/>
            </w:pPr>
            <w:r>
              <w:rPr/>
              <w:t> </w:t>
            </w:r>
          </w:p>
        </w:tc>
      </w:tr>
      <w:tr>
        <w:trPr/>
        <w:tc>
          <w:tcPr>
            <w:tcW w:w="112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Mingle Healthcare Solutions, Inc.</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1/1/2024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1,454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1,454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4,757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1,997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0.23</w:t>
            </w:r>
          </w:p>
        </w:tc>
        <w:tc>
          <w:tcPr>
            <w:tcW w:w="1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7"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300"/>
              <w:jc w:val="center"/>
              <w:rPr/>
            </w:pPr>
            <w:r>
              <w:rPr/>
              <w:t> </w:t>
            </w:r>
          </w:p>
        </w:tc>
      </w:tr>
      <w:tr>
        <w:trPr/>
        <w:tc>
          <w:tcPr>
            <w:tcW w:w="1125"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b/>
                <w:color w:val="000000"/>
                <w:sz w:val="16"/>
              </w:rPr>
            </w:pPr>
            <w:r>
              <w:rPr>
                <w:rFonts w:ascii="Times New Roman" w:hAnsi="Times New Roman"/>
                <w:b/>
                <w:color w:val="000000"/>
                <w:sz w:val="16"/>
              </w:rPr>
              <w:t>Total</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06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1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1,653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2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1,653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104,773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53,984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6.09</w:t>
            </w:r>
          </w:p>
        </w:tc>
        <w:tc>
          <w:tcPr>
            <w:tcW w:w="1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r>
      <w:tr>
        <w:trPr/>
        <w:tc>
          <w:tcPr>
            <w:tcW w:w="11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9"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7"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1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As of December 31, 2025</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center"/>
              <w:rPr/>
            </w:pPr>
            <w:r>
              <w:rPr/>
              <w:t> </w:t>
            </w:r>
          </w:p>
        </w:tc>
      </w:tr>
      <w:tr>
        <w:trPr/>
        <w:tc>
          <w:tcPr>
            <w:tcW w:w="112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Investment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06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9"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center"/>
              <w:rPr/>
            </w:pPr>
            <w:r>
              <w:rPr/>
              <w:t> </w:t>
            </w:r>
          </w:p>
        </w:tc>
      </w:tr>
      <w:tr>
        <w:trPr/>
        <w:tc>
          <w:tcPr>
            <w:tcW w:w="112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Mingle Healthcare Solutions, Inc.</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1/1/2024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1,306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1,306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4,757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2,361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0.25</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7"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center"/>
              <w:rPr/>
            </w:pPr>
            <w:r>
              <w:rPr/>
              <w:t> </w:t>
            </w:r>
          </w:p>
        </w:tc>
      </w:tr>
      <w:tr>
        <w:trPr/>
        <w:tc>
          <w:tcPr>
            <w:tcW w:w="1125"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b/>
                <w:color w:val="000000"/>
                <w:sz w:val="16"/>
              </w:rPr>
            </w:pPr>
            <w:r>
              <w:rPr>
                <w:rFonts w:ascii="Times New Roman" w:hAnsi="Times New Roman"/>
                <w:b/>
                <w:color w:val="000000"/>
                <w:sz w:val="16"/>
              </w:rPr>
              <w:t>Total</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06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1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1,306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2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1,306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4,757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2,361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0.25</w:t>
            </w:r>
          </w:p>
        </w:tc>
        <w:tc>
          <w:tcPr>
            <w:tcW w:w="1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r>
    </w:tbl>
    <w:p>
      <w:pPr>
        <w:pStyle w:val="Heading2"/>
        <w:bidi w:val="0"/>
        <w:spacing w:before="360" w:after="240"/>
        <w:jc w:val="left"/>
        <w:rPr>
          <w:rFonts w:ascii="Times New Roman" w:hAnsi="Times New Roman"/>
          <w:i/>
          <w:color w:val="000000"/>
          <w:sz w:val="20"/>
        </w:rPr>
      </w:pPr>
      <w:r>
        <w:rPr>
          <w:rFonts w:ascii="Times New Roman" w:hAnsi="Times New Roman"/>
          <w:i/>
          <w:color w:val="000000"/>
          <w:sz w:val="20"/>
        </w:rPr>
        <w:t>Fair Value Measurements</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The Company measures the value of its financial instruments at fair value in accordance with ASC Topic 820, </w:t>
      </w:r>
      <w:r>
        <w:rPr>
          <w:rFonts w:ascii="Times New Roman" w:hAnsi="Times New Roman"/>
          <w:i/>
          <w:color w:val="000000"/>
          <w:sz w:val="20"/>
        </w:rPr>
        <w:t>Fair Value Measurement</w:t>
      </w:r>
      <w:r>
        <w:rPr>
          <w:rFonts w:ascii="Times New Roman" w:hAnsi="Times New Roman"/>
          <w:color w:val="000000"/>
          <w:sz w:val="20"/>
        </w:rPr>
        <w:t xml:space="preserve"> ("ASC 820"), issued by the FASB. Fair value is the price that would be received to sell an asset or paid to transfer a liability in an orderly transaction between market participants at the measurement date. The Company's investment portfolio is reported at fair value on the Consolidated Statements of Assets and Liabilities. All assets and liabilities approximate fair value on the Consolidated Statements of Assets and Liabilities, with the exception of the Company’s borrowings, which are reported at amortized cost. For more information on financial instruments reported at cost, refer to "Note 5 – Fair Value of Financial Instruments."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ASC 820 specifies a hierarchy of valuation techniques based on whether the inputs to those valuation techniques are observable or unobservable. ASC 820 also provides guidance regarding a fair value hierarchy, which prioritizes information used to measure fair value and the effect of fair value measurements on earnings and provides for enhanced disclosures determined by the level within the hierarchy of information used in the valuation. In accordance with ASC 820, these inputs are summarized in the three levels listed below:</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Level 1 - Valuations are based on quoted prices in active markets for identical assets or liabilities that are accessible at the measurement date.</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Level 2 - Valuations are based on quoted prices in markets that are not active or for which all significant inputs are observable, either directly or indirectly and model-based valuation techniques for which all significant inputs are observable.</w:t>
      </w:r>
    </w:p>
    <w:p>
      <w:pPr>
        <w:pStyle w:val="TextBody"/>
        <w:bidi w:val="0"/>
        <w:spacing w:before="120" w:after="120"/>
        <w:jc w:val="both"/>
        <w:rPr>
          <w:color w:val="000000"/>
        </w:rPr>
      </w:pPr>
      <w:r>
        <w:rPr>
          <w:color w:val="000000"/>
        </w:rPr>
        <w:t>•</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Level 3 - Valuations based on inputs that are unobservable and significant to the overall fair value measurement. Level 3 assets and liabilities include financial instruments whose value is determined using pricing models incorporating significant unobservable inputs, such as discounted cash flow models and other similar valuations techniques. The valuation of Level 3 assets and liabilities generally requires significant management judgment due to the inability to observe inputs to valuation.</w:t>
      </w:r>
    </w:p>
    <w:p>
      <w:pPr>
        <w:pStyle w:val="TextBody"/>
        <w:bidi w:val="0"/>
        <w:spacing w:before="120" w:after="200"/>
        <w:jc w:val="both"/>
        <w:rPr>
          <w:rFonts w:ascii="Times New Roman" w:hAnsi="Times New Roman"/>
          <w:color w:val="000000"/>
          <w:sz w:val="20"/>
        </w:rPr>
      </w:pPr>
      <w:r>
        <w:rPr>
          <w:rFonts w:ascii="Times New Roman" w:hAnsi="Times New Roman"/>
          <w:color w:val="000000"/>
          <w:sz w:val="20"/>
        </w:rPr>
        <w:t>In certain cases, the inputs used to measure fair value may fall into different levels of the fair value hierarchy. In such cases, a financial instrument’s level within the fair value hierarchy is based on the lowest level of observable or unobservable input that is significant to the fair value measurement. The assessment of the significance of a particular input to the fair value measurement in its entirety requires judgment and considers factors specific to the instrument.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120"/>
        <w:jc w:val="left"/>
        <w:rPr/>
      </w:pPr>
      <w:r>
        <w:rPr/>
        <w:t> </w:t>
      </w:r>
    </w:p>
    <w:p>
      <w:pPr>
        <w:pStyle w:val="TextBody"/>
        <w:bidi w:val="0"/>
        <w:spacing w:before="160" w:after="160"/>
        <w:jc w:val="both"/>
        <w:rPr>
          <w:rFonts w:ascii="Times New Roman" w:hAnsi="Times New Roman"/>
          <w:color w:val="000000"/>
          <w:sz w:val="20"/>
        </w:rPr>
      </w:pPr>
      <w:r>
        <w:rPr>
          <w:rFonts w:ascii="Times New Roman" w:hAnsi="Times New Roman"/>
          <w:color w:val="000000"/>
          <w:sz w:val="20"/>
        </w:rPr>
        <w:t>Under ASC 820, the fair value measurement also assumes that the transaction to sell an asset or liability occurs in the principal market for the asset or liability or, in the absence of a principal market, the most advantageous market for the asset, which may be a hypothetical market, and excludes transaction costs. The principal market for any asset or liability is the market with the greatest volume and level of activity for such asset or liability in which the reporting entity would or could sell or transfer the asset or liability. In determining the principal market for an asset or liability under ASC 820, it is assumed that the reporting entity has access to such market as of the measurement date. Market participants are defined as buyers and sellers in the principal or most advantageous market that are independent, knowledgeable and willing and able to transact.</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Rule 2a-5 under the 1940 Act established additional requirements for determining the fair value of a BDC's investments in good faith for purposes of the 1940 Act. Rule 2a-5 permits boards, in compliance with certain conditions, to designate certain parties to perform fair value determinations, subject to board oversight. Rule 2a-5 also defines when market quotations are "readily available" for purposes of the 1940 Act and the threshold for determining whether a fund must determine the fair value of a security. Rule 31a-4 under the 1940 Act established additional recordkeeping requirements related to fair value determinations. Although the Company adopted certain revisions to its valuation policies and procedures to comply with Rule 2a-5 and Rule 31a-4, the Company's board of directors (the "Board of Directors") has not elected to designate a valuation designee.</w:t>
      </w:r>
    </w:p>
    <w:p>
      <w:pPr>
        <w:pStyle w:val="Heading2"/>
        <w:bidi w:val="0"/>
        <w:spacing w:before="80" w:after="200"/>
        <w:jc w:val="left"/>
        <w:rPr>
          <w:rFonts w:ascii="Times New Roman" w:hAnsi="Times New Roman"/>
          <w:b w:val="false"/>
          <w:i/>
          <w:color w:val="000000"/>
          <w:sz w:val="20"/>
        </w:rPr>
      </w:pPr>
      <w:r>
        <w:rPr>
          <w:rFonts w:ascii="Times New Roman" w:hAnsi="Times New Roman"/>
          <w:b w:val="false"/>
          <w:i/>
          <w:color w:val="000000"/>
          <w:sz w:val="20"/>
        </w:rPr>
        <w:t>Investment Valuation Techniques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With respect to investments for which market quotations are not readily available, the Company undertakes a multi-step valuation process each quarter, as described below:</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quarterly valuation process begins with each portfolio company investment being initially valued by RGC’s investment professionals that are responsible for the portfolio investment;</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Preliminary valuation conclusions are then documented and discussed with RGC’s valuation committee;</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At least once annually, the valuation for each portfolio investment is reviewed by an independent valuation firm. Certain investments, however, may not be evaluated annually by an independent valuation firm if the net asset value and other aspects of such investments in the aggregate do not exceed certain thresholds;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Audit Committee of the Board of Directors (the "Audit Committee") then reviews these preliminary valuations from RGC and the independent valuation firm, if any, and makes a recommendation to the Board of Directors regarding such valuations; and</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The Board of Directors reviews the recommended preliminary valuations and determines the fair value of each investment in the Company’s portfolio, in good faith, based on the input of RGC, the independent valuation firm(s) and the Audit Committee. </w:t>
      </w:r>
    </w:p>
    <w:p>
      <w:pPr>
        <w:pStyle w:val="TextBody"/>
        <w:bidi w:val="0"/>
        <w:spacing w:before="40" w:after="160"/>
        <w:jc w:val="both"/>
        <w:rPr>
          <w:rFonts w:ascii="Times New Roman" w:hAnsi="Times New Roman"/>
          <w:color w:val="000000"/>
          <w:sz w:val="20"/>
        </w:rPr>
      </w:pPr>
      <w:r>
        <w:rPr>
          <w:rFonts w:ascii="Times New Roman" w:hAnsi="Times New Roman"/>
          <w:color w:val="000000"/>
          <w:sz w:val="20"/>
        </w:rPr>
        <w:t>The Company’s investments are primarily loans made to and equity and warrants of small companies with potential for fast growth focused in technology, healthcare, business services, and other high-growth industries. These investments are generally considered Level 3 assets under ASC 820 because there is typically no known or accessible market or market indices for these types of debt and equity instruments and, thus, the Board of Directors must determine the fair value of these investment securities based on models utilizing unobservable inputs.</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The Audit Committee assists the Board of Directors in reviewing the fair value of investments that are not publicly traded or for which current market values are not readily available. Investments for which market quotations are readily available are valued using market quotations, which are generally obtained from independent pricing services, broker-dealers or market makers. With respect to portfolio investments for which market quotations are not readily available, the Board of Directors, with the assistance of the Audit Committee, RGC and its valuation committee and independent valuation agents, is responsible for determining, in good faith, the fair value in accordance with the valuation policy approved by the Board of Directors. If more than one valuation method is used to measure fair value, the results are evaluated and weighted, as appropriate, considering the reasonableness of the range indicated by those results. The Company considers a range of fair values based upon the valuation techniques utilized and selects the value within that range that was most representative of fair value based on current market conditions as well as other factors RGC’s valuation committee considers relevant.</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The Board of Directors makes this fair value determination on a quarterly basis and any other time when a decision regarding the fair value of the portfolio investments is required. There is no single standard for determining the fair value of investments that do not have an active public market. A determination of fair value of investments, particularly those of privately held companies, involves subjective judgments and estimates and depends on the facts and circumstances. In some cases, the fair value of such investments is best expressed as a range of values derived utilizing different methodologies from which a fair value may then be determined. Due to the inherent uncertainty of determining the fair value of portfolio investments that do not have a readily available market value, the fair value of the investments may differ significantly from the values that would have been used had a readily available market value existed for such investments, and the differences could be material.</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120"/>
        <w:jc w:val="left"/>
        <w:rPr/>
      </w:pPr>
      <w:r>
        <w:rPr/>
        <w:t> </w:t>
      </w:r>
    </w:p>
    <w:p>
      <w:pPr>
        <w:pStyle w:val="TextBody"/>
        <w:bidi w:val="0"/>
        <w:spacing w:before="240" w:after="240"/>
        <w:jc w:val="both"/>
        <w:rPr>
          <w:rFonts w:ascii="Times New Roman" w:hAnsi="Times New Roman"/>
          <w:color w:val="000000"/>
          <w:sz w:val="20"/>
          <w:u w:val="single"/>
        </w:rPr>
      </w:pPr>
      <w:r>
        <w:rPr>
          <w:rFonts w:ascii="Times New Roman" w:hAnsi="Times New Roman"/>
          <w:color w:val="000000"/>
          <w:sz w:val="20"/>
          <w:u w:val="single"/>
        </w:rPr>
        <w:t>Debt Investments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To determine the fair value of the Company’s debt investments, the Company compares the cost basis of the debt investment, which includes OID and ETP, to the resulting fair value determined using a discounted cash flow model, unless another model is more appropriate based on the circumstances at the measurement date. The discounted cash flow approach entails analyzing the interest rate spreads for recently completed financing transactions that are similar in nature to the Company’s investments, in order to determine reasonable effective market interest rates for its investments. The range of interest rate spreads utilized is based on borrowers with similar credit profiles. All remaining expected cash flows of the investment are discounted using the calculated interest rate to determine a fair value for the debt investment.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This valuation process includes, among other things, evaluating the underlying investment performance, the portfolio company’s financial condition, enterprise value and existing capital structure, as well as the ability to raise additional capital, and macro-economic events that may impact valuations. These events include, but are not limited to, current market yields and interest rate spreads of similar securities as of the measurement date. Significant increases (decreases) in these unobservable inputs could result in significantly higher (lower) fair value measurements.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Under certain circumstances, the Company may use an alternative technique to value the debt investments that better reflects the fair value of the investment, such as the price paid or realized in a recently completed transaction or a binding offer received in an arms-length transaction, the use of multiple probability-weighted cash flow models when the expected future cash flows contain elements of variability, estimates of proceeds that would be received in a liquidation scenario, or active market quotes for institutionally traded debt.</w:t>
      </w:r>
    </w:p>
    <w:p>
      <w:pPr>
        <w:pStyle w:val="TextBody"/>
        <w:bidi w:val="0"/>
        <w:spacing w:before="0" w:after="240"/>
        <w:jc w:val="both"/>
        <w:rPr>
          <w:rFonts w:ascii="Times New Roman" w:hAnsi="Times New Roman"/>
          <w:color w:val="000000"/>
          <w:sz w:val="20"/>
          <w:u w:val="single"/>
        </w:rPr>
      </w:pPr>
      <w:r>
        <w:rPr>
          <w:rFonts w:ascii="Times New Roman" w:hAnsi="Times New Roman"/>
          <w:color w:val="000000"/>
          <w:sz w:val="20"/>
          <w:u w:val="single"/>
        </w:rPr>
        <w:t>Warrants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Fair value of warrants is primarily determined using a Black Scholes option-pricing model. Privately held warrants and equity-related securities are valued based on an analysis of various factors including, but not limited to, the following:</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Underlying enterprise value of the issuer is estimated based on information available, including any information regarding the most recent rounds of issuer funding. Valuation techniques to determine enterprise value include market multiple approaches, income approaches or approaches that utilize recent rounds of financing and the portfolio company’s capital structure to determine enterprise value. Valuation techniques are also utilized to allocate the enterprise fair value of a portfolio company to the specific class of common or preferred stock/units exercisable in the warrant. Such techniques take into account the rights and preferences of the portfolio company’s securities, expected exit scenarios, and volatility associated with such outcomes to allocate the fair value to the specific class of stock held in the portfolio. Such techniques include Option Pricing Models ("OPM"), including back-solve techniques, Probability Weighted Expected Return Models ("PWERM"), and other techniques as determined to be appropriate.</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Volatility, or the amount of uncertainty or risk about the size of the changes in the warrant price, is based on comparable publicly traded companies within indices similar in nature to the underlying company issuing the warrant. Significant increases or decreases in this unobservable input could result in a significantly higher or lower fair value, but a significantly higher or lower fair value measurement of any of the Company’s portfolio investments may occur regardless of whether there is a significant increase or decrease in this unobservable input.</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risk-free interest rates are derived from the U.S. Treasury yield curve. The risk-free interest rates are calculated based on a weighted average of the risk-free interest rates that correspond closest to the expected remaining life of the warrant. Significant increases (decreases) in this unobservable input could result in a significantly higher (lower) fair value, but a significantly higher or lower fair value measurement of any of the Company’s portfolio investments may occur regardless of whether there is a significant increase (decrease) in this unobservable input.</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Other adjustments, including a marketability discount on private company warrants, are estimated based on judgment about the general industry environment. Significant increases (decreases) in this unobservable input could result in a significantly lower (higher) fair value, but a significantly higher or lower fair value measurement of any of the Company’s portfolio investments may occur regardless of whether there is a significant increase (decrease) in this unobservable input.</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Historical portfolio experience on cancellations and exercises of warrants are utilized as the basis for determining the estimated life of the warrants in each financial reporting period. Warrants may be exercised in the event of acquisitions, mergers or initial public offerings, and cancelled due to events such as bankruptcies, restructuring activities or additional financings. These events cause the expected remaining life assumption to be shorter than the contractual term of the warrants. Significant increases or decreases in this unobservable input could result in a significantly higher or lower fair value, but a significantly higher or lower fair value measurement of any of the Company’s portfolio investments may occur regardless of whether there is a significant increase or decrease in this unobservable input.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120"/>
        <w:jc w:val="left"/>
        <w:rPr/>
      </w:pPr>
      <w:r>
        <w:rPr/>
        <w:t> </w:t>
      </w:r>
    </w:p>
    <w:p>
      <w:pPr>
        <w:pStyle w:val="TextBody"/>
        <w:bidi w:val="0"/>
        <w:spacing w:before="240" w:after="240"/>
        <w:jc w:val="both"/>
        <w:rPr>
          <w:rFonts w:ascii="Times New Roman" w:hAnsi="Times New Roman"/>
          <w:color w:val="000000"/>
          <w:sz w:val="20"/>
        </w:rPr>
      </w:pPr>
      <w:r>
        <w:rPr>
          <w:rFonts w:ascii="Times New Roman" w:hAnsi="Times New Roman"/>
          <w:color w:val="000000"/>
          <w:sz w:val="20"/>
        </w:rPr>
        <w:t>Success fees are valued utilizing a scenario analysis. Fair value is determined based on the potential success fee proceeds under varied timing of liquidity events during the life of the success fee agreement. At each potential exit scenario, a probability is ascribed based on the current expectations of an exit event for the portfolio company. The probability weighted value at each respective exit date is discounted to a present value and summed together to arrive at the fair value.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Earnouts are considered contingent considerations. If a contingent consideration will result in cash proceeds, a scenario-based method is utilized. The value of the contingent consideration is determined based on the probability weighted value of the contingent consideration being achieved. If the contingent consideration is shares in a public company and based on the public stock price, the contingent consideration is valued using the barrier option pricing methodology, which utilizes the public company stock price and applicable discounts being considered in the valuation.</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In certain cases, the Company may apply alternative valuation methods to more accurately estimate the fair value of warrants. These may include the Current Value Method or other approaches deemed appropriate under the circumstances. Such methods may be used when a warrant is expected to settle in the near term, includes a put feature, or when there is a recent arm’s-length transaction or binding offer that provides relevant pricing information. Other approaches, such as a waterfall analysis or a model based on a warrant’s redemption value, may also be considered. The Current Value Method determines the warrant’s value based on its current redemption or liquidation value, considering the enterprise value and the rights and preferences of all debt and equity securities in the company’s capital structure.</w:t>
      </w:r>
    </w:p>
    <w:p>
      <w:pPr>
        <w:pStyle w:val="TextBody"/>
        <w:bidi w:val="0"/>
        <w:spacing w:before="80" w:after="240"/>
        <w:jc w:val="both"/>
        <w:rPr>
          <w:rFonts w:ascii="Times New Roman" w:hAnsi="Times New Roman"/>
          <w:color w:val="000000"/>
          <w:sz w:val="20"/>
          <w:u w:val="single"/>
        </w:rPr>
      </w:pPr>
      <w:r>
        <w:rPr>
          <w:rFonts w:ascii="Times New Roman" w:hAnsi="Times New Roman"/>
          <w:color w:val="000000"/>
          <w:sz w:val="20"/>
          <w:u w:val="single"/>
        </w:rPr>
        <w:t>Foreign Currency Forward Contracts</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In accordance with ASC 820, the Company measures these derivatives at fair value on a recurring basis using a market approach. The valuation technique relies on observable market inputs, including spot and forward exchange rates. The fair values are obtained through model-based pricing using inputs that are corroborated by market data and are classified as Level 2 within the fair value hierarchy.</w:t>
      </w:r>
    </w:p>
    <w:p>
      <w:pPr>
        <w:pStyle w:val="TextBody"/>
        <w:bidi w:val="0"/>
        <w:spacing w:before="80" w:after="240"/>
        <w:jc w:val="both"/>
        <w:rPr>
          <w:rFonts w:ascii="Times New Roman" w:hAnsi="Times New Roman"/>
          <w:color w:val="000000"/>
          <w:sz w:val="20"/>
          <w:u w:val="single"/>
        </w:rPr>
      </w:pPr>
      <w:r>
        <w:rPr>
          <w:rFonts w:ascii="Times New Roman" w:hAnsi="Times New Roman"/>
          <w:color w:val="000000"/>
          <w:sz w:val="20"/>
          <w:u w:val="single"/>
        </w:rPr>
        <w:t>Equity Investments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fair value of an equity investment in a privately held company is initially equal to the amount invested. The Company adjusts the fair value of equity investments in private companies upon the completion of a new third-party round of equity financing subsequent to the Company’s investment. The Company may make adjustments to fair value, absent a new equity financing event, based upon positive or negative changes in a portfolio company’s financial or operational performance. The Company may also reference comparable transactions and/or secondary market transactions in connection with its determination of fair value. The fair value of an equity investment in a publicly traded company is based upon the closing public share price on the date of measurement. These assets are recorded at fair value on a recurring basis. Money market funds are valued based on the published net asset value per share on the day of valuation and are included in "Cash and cash equivalents" on the Consolidated Statements of Assets and Liabilities.</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Under certain circumstances, the Company may use an alternative technique to value equity investments that better reflect the security’s fair value, such as the Current Value Method and other techniques as determined to be appropriate. This may include an expected settlement of a security in the near term, a model that incorporates a put feature associated with the security, the price paid or realized in a recently completed transaction or binding offer received in an arms-length transaction, a waterfall approach, or a model based on the redemption value of a security. The Current Value Method concludes the value of the security based on the current redemption value or the current liquidation value, taking into account the concluded enterprise value and the rights and preferences of all the debt and equity securities that make up a company’s capitalization.</w:t>
      </w:r>
    </w:p>
    <w:p>
      <w:pPr>
        <w:pStyle w:val="Heading2"/>
        <w:bidi w:val="0"/>
        <w:spacing w:before="80" w:after="240"/>
        <w:jc w:val="left"/>
        <w:rPr>
          <w:rFonts w:ascii="Times New Roman" w:hAnsi="Times New Roman"/>
          <w:i/>
          <w:color w:val="000000"/>
          <w:sz w:val="20"/>
        </w:rPr>
      </w:pPr>
      <w:r>
        <w:rPr>
          <w:rFonts w:ascii="Times New Roman" w:hAnsi="Times New Roman"/>
          <w:i/>
          <w:color w:val="000000"/>
          <w:sz w:val="20"/>
        </w:rPr>
        <w:t>Investment Classification</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The Company classifies its investments by level of affiliation and control. As defined in the 1940 Act, investee companies are deemed as affiliated investments when a company or individual possesses, or has the right to acquire within 60 days or less, beneficial ownership of 5.0% or more of the outstanding voting securities of an investee company. Control investments are those where the investor has the ability or power to exercise a controlling influence over the management or policies of an investee company. Control is generally deemed to exist when a company or individual possesses, or has the right to acquire within 60 days or less, beneficial ownership of more than 25.0% of the outstanding voting securities of an investee company, or maintains greater than 50% representation on the investee company's board of directors.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Investments are recognized when the Company assumes an obligation to acquire a financial instrument and assumes the risks for gains or losses related to that instrument. Investments are derecognized when the Company assumes an obligation to sell a financial instrument and foregoes the risks for gains or losses related to that instrument. Specifically, the Company records all security transactions on a trade date basis. Investments in other, non-security financial instruments, such as limited partnerships or private companies, are recorded on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12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basis of subscription date or redemption date, as applicable. Amounts for investments recognized or derecognized but not yet settled will be reported as receivables for investments sold and payables for investments acquired, respectively, on the Consolidated Statements of Assets and Liabilities.</w:t>
      </w:r>
    </w:p>
    <w:p>
      <w:pPr>
        <w:pStyle w:val="Heading2"/>
        <w:bidi w:val="0"/>
        <w:spacing w:before="0" w:after="240"/>
        <w:jc w:val="left"/>
        <w:rPr>
          <w:rFonts w:ascii="Times New Roman" w:hAnsi="Times New Roman"/>
          <w:i/>
          <w:color w:val="000000"/>
          <w:sz w:val="20"/>
        </w:rPr>
      </w:pPr>
      <w:r>
        <w:rPr>
          <w:rFonts w:ascii="Times New Roman" w:hAnsi="Times New Roman"/>
          <w:i/>
          <w:color w:val="000000"/>
          <w:sz w:val="20"/>
        </w:rPr>
        <w:t>Income Taxes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Company elected to be treated as a RIC under subchapter M of the Code beginning with its taxable year ended December 31, 2016, currently qualifies as a RIC, and intends to qualify annually for the tax treatment applicable to RICs. A RIC generally is not subject to U.S. federal income taxes on distributed income and gains so long as it meets certain source-of-income and asset diversification requirements and it distributes at least 90% of its net ordinary income and net short-term capital gains in excess of its net long-term capital losses, if any, to its stockholders. So long as the Company maintains its status as a RIC, it generally will not be subject to U.S. federal income tax on any ordinary income or capital gains that it distributes at least annually to its stockholders as dividends. Rather, any tax liability related to income earned by the Company represents obligations of the Company’s investors and will not be reflected in the consolidated financial statements of the Company. The Company intends to make sufficient distributions to maintain its RIC status each taxable year and it does not anticipate paying any material U.S. federal income taxes in the future.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Depending on the level of taxable income earned in a tax year, the Company may choose to carry forward such taxable income in excess of current year dividend distributions from such current year taxable income into the next tax year and pay a 4% nondeductible excise tax on such income, as required. If the Company determines that the estimated current year taxable income will exceed the estimated dividend distributions for the current year from such income, the Company accrues excise tax on estimated excess taxable income as such taxable income is earned. Differences between taxable income and net increase in net assets resulting from operations either can be temporary, meaning they will reverse in the future, or permanent. In accordance with ASC 946, permanent tax differences are reclassified from accumulated undistributed earnings to paid-in-capital at the end of each year and have no impact on total net assets. For more information, refer to "Note 10 – Income Taxes." </w:t>
      </w:r>
    </w:p>
    <w:p>
      <w:pPr>
        <w:pStyle w:val="Heading2"/>
        <w:bidi w:val="0"/>
        <w:spacing w:before="0" w:after="240"/>
        <w:jc w:val="left"/>
        <w:rPr>
          <w:rFonts w:ascii="Times New Roman" w:hAnsi="Times New Roman"/>
          <w:i/>
          <w:color w:val="000000"/>
          <w:sz w:val="20"/>
        </w:rPr>
      </w:pPr>
      <w:r>
        <w:rPr>
          <w:rFonts w:ascii="Times New Roman" w:hAnsi="Times New Roman"/>
          <w:i/>
          <w:color w:val="000000"/>
          <w:sz w:val="20"/>
        </w:rPr>
        <w:t>Per Share Information</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Basic and diluted earnings (loss) per common share is calculated using the weighted-average number of common shares outstanding for the period presented. For the three months ended March 31, 2026 and 2025, basic and diluted earnings (loss) per share of common stock were the same because there were no potentially dilutive securities outstanding. Per share data is based on the weighted-average shares outstanding.</w:t>
      </w:r>
    </w:p>
    <w:p>
      <w:pPr>
        <w:pStyle w:val="Heading2"/>
        <w:bidi w:val="0"/>
        <w:spacing w:before="0" w:after="240"/>
        <w:jc w:val="left"/>
        <w:rPr>
          <w:rFonts w:ascii="Times New Roman" w:hAnsi="Times New Roman"/>
          <w:sz w:val="20"/>
        </w:rPr>
      </w:pPr>
      <w:r>
        <w:rPr>
          <w:rFonts w:ascii="Times New Roman" w:hAnsi="Times New Roman"/>
          <w:i/>
          <w:color w:val="000000"/>
          <w:sz w:val="20"/>
        </w:rPr>
        <w:t>Comprehensive Income</w:t>
      </w:r>
      <w:r>
        <w:rPr>
          <w:rFonts w:ascii="Times New Roman" w:hAnsi="Times New Roman"/>
          <w:color w:val="000000"/>
          <w:sz w:val="20"/>
        </w:rPr>
        <w:t xml:space="preserve"> </w:t>
      </w:r>
    </w:p>
    <w:p>
      <w:pPr>
        <w:pStyle w:val="TextBody"/>
        <w:bidi w:val="0"/>
        <w:jc w:val="both"/>
        <w:rPr>
          <w:rFonts w:ascii="Times New Roman" w:hAnsi="Times New Roman"/>
          <w:color w:val="000000"/>
          <w:sz w:val="20"/>
        </w:rPr>
      </w:pPr>
      <w:r>
        <w:rPr>
          <w:rFonts w:ascii="Times New Roman" w:hAnsi="Times New Roman"/>
          <w:color w:val="000000"/>
          <w:sz w:val="20"/>
        </w:rPr>
        <w:t xml:space="preserve">The Company reports all changes in comprehensive income in the Consolidated Statements of Operations. The Company did not have any other comprehensive income during the three months ended March 31, 2026 and 2025. The Company’s comprehensive income is equal to its "Net increase (decrease) in net assets resulting from operations" on the Consolidated Statements of Operations. </w:t>
      </w:r>
    </w:p>
    <w:p>
      <w:pPr>
        <w:pStyle w:val="Heading2"/>
        <w:bidi w:val="0"/>
        <w:spacing w:before="240" w:after="240"/>
        <w:jc w:val="left"/>
        <w:rPr>
          <w:rFonts w:ascii="Times New Roman" w:hAnsi="Times New Roman"/>
          <w:i/>
          <w:color w:val="000000"/>
          <w:sz w:val="20"/>
        </w:rPr>
      </w:pPr>
      <w:r>
        <w:rPr>
          <w:rFonts w:ascii="Times New Roman" w:hAnsi="Times New Roman"/>
          <w:i/>
          <w:color w:val="000000"/>
          <w:sz w:val="20"/>
        </w:rPr>
        <w:t>Distributions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Distributions to common stockholders are recorded on the applicable record date. The amount, if any, to be distributed to common stockholders is determined by the Board of Directors each quarter and is generally based upon the Company's earnings estimated by management. Net realized capital gains, if any, are generally distributed at least annually. For more information, refer to "Note 9 – Net Assets." </w:t>
      </w:r>
    </w:p>
    <w:p>
      <w:pPr>
        <w:pStyle w:val="TextBody"/>
        <w:bidi w:val="0"/>
        <w:spacing w:before="120" w:after="240"/>
        <w:jc w:val="both"/>
        <w:rPr>
          <w:rFonts w:ascii="Times New Roman" w:hAnsi="Times New Roman"/>
          <w:b/>
          <w:i/>
          <w:color w:val="000000"/>
          <w:sz w:val="20"/>
        </w:rPr>
      </w:pPr>
      <w:r>
        <w:rPr>
          <w:rFonts w:ascii="Times New Roman" w:hAnsi="Times New Roman"/>
          <w:b/>
          <w:i/>
          <w:color w:val="000000"/>
          <w:sz w:val="20"/>
        </w:rPr>
        <w:t>Recently Issued Accounting Pronouncements</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On December 8, 2025, the FASB issued ASU 2025-11, </w:t>
      </w:r>
      <w:r>
        <w:rPr>
          <w:rFonts w:ascii="Times New Roman" w:hAnsi="Times New Roman"/>
          <w:i/>
          <w:color w:val="000000"/>
          <w:sz w:val="20"/>
        </w:rPr>
        <w:t>Interim Reporting (Topic 270): Narrow-Scope Improvements</w:t>
      </w:r>
      <w:r>
        <w:rPr>
          <w:rFonts w:ascii="Times New Roman" w:hAnsi="Times New Roman"/>
          <w:color w:val="000000"/>
          <w:sz w:val="20"/>
        </w:rPr>
        <w:t xml:space="preserve"> ("ASU 2025-11"), which amends the guidance in Topic 270 to clarify and enhance certain interim reporting requirements, including improvements intended to increase consistency in the application of interim disclosure and recognition guidance. The amendments are designed to simplify the preparation of interim consolidated financial statements and improve the transparency of interim reporting. The guidance in ASU 2025-11 is effective for fiscal years beginning after December 15, 2027, and interim periods within those fiscal years, with early adoption permitted. The Company plans to adopt the pronouncement for our fiscal year beginning January 1, 2028 and is currently evaluating the potential effect that the standard will have on our consolidated financial statements and related disclosures.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120"/>
        <w:jc w:val="left"/>
        <w:rPr/>
      </w:pPr>
      <w:r>
        <w:rPr/>
        <w:t> </w:t>
      </w:r>
    </w:p>
    <w:p>
      <w:pPr>
        <w:pStyle w:val="Heading1"/>
        <w:bidi w:val="0"/>
        <w:spacing w:before="360" w:after="240"/>
        <w:jc w:val="left"/>
        <w:rPr>
          <w:rFonts w:ascii="Times New Roman" w:hAnsi="Times New Roman"/>
          <w:color w:val="000000"/>
          <w:sz w:val="20"/>
        </w:rPr>
      </w:pPr>
      <w:r>
        <w:rPr>
          <w:rFonts w:ascii="Times New Roman" w:hAnsi="Times New Roman"/>
          <w:color w:val="000000"/>
          <w:sz w:val="20"/>
        </w:rPr>
        <w:t>Note 3 – Related Party Agreements and Transactions</w:t>
      </w:r>
    </w:p>
    <w:p>
      <w:pPr>
        <w:pStyle w:val="Heading2"/>
        <w:bidi w:val="0"/>
        <w:spacing w:before="0" w:after="240"/>
        <w:jc w:val="left"/>
        <w:rPr>
          <w:rFonts w:ascii="Times New Roman" w:hAnsi="Times New Roman"/>
          <w:i/>
          <w:color w:val="000000"/>
          <w:sz w:val="20"/>
        </w:rPr>
      </w:pPr>
      <w:r>
        <w:rPr>
          <w:rFonts w:ascii="Times New Roman" w:hAnsi="Times New Roman"/>
          <w:i/>
          <w:color w:val="000000"/>
          <w:sz w:val="20"/>
        </w:rPr>
        <w:t>Advisory Agreement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On May 27, 2021, the Company entered into the Second Amended and Restated Investment Advisory Agreement with RGC. On January 30, 2025, in connection with the closing of the BCP Transaction, the Company entered into the Third Amended and Restated Investment Advisory Agreement (the "Advisory Agreement") with RGC. Although the ownership of RGC changed in connection with the completion of the BCP Transaction, the management of RGC did not change, nor did the terms of the Advisory Agreement compared to the Second Amended and Restated Advisory Agreement.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Under the terms of the Advisory Agreement, RGC:</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determines the composition of the Company’s portfolio, the nature and timing of the changes to the portfolio and the manner of implementing such changes;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identifies, evaluates and negotiates the structure of the investments the Company makes;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executes, closes and monitors the investments the Company makes;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determines the securities and other assets that the Company will purchase, retain or sell;</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performs due diligence on prospective investments; and</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provides the Company with such other investment advisory, research and related services as the Company may, from time to time, reasonably require for the investment of its funds.</w:t>
      </w:r>
    </w:p>
    <w:p>
      <w:pPr>
        <w:pStyle w:val="TextBody"/>
        <w:bidi w:val="0"/>
        <w:spacing w:before="120" w:after="240"/>
        <w:jc w:val="both"/>
        <w:rPr>
          <w:rFonts w:ascii="Times New Roman" w:hAnsi="Times New Roman"/>
          <w:color w:val="000000"/>
          <w:sz w:val="20"/>
        </w:rPr>
      </w:pPr>
      <w:r>
        <w:rPr>
          <w:rFonts w:ascii="Times New Roman" w:hAnsi="Times New Roman"/>
          <w:color w:val="000000"/>
          <w:sz w:val="20"/>
        </w:rPr>
        <w:t>Pursuant to the Advisory Agreement, the Company pays RGC a fee for its investment advisory and management services consisting of two components – a base management fee and an incentive fee. The cost of both the base management fee and incentive fee are ultimately borne by the Company’s stockholders.</w:t>
      </w:r>
    </w:p>
    <w:p>
      <w:pPr>
        <w:pStyle w:val="TextBody"/>
        <w:bidi w:val="0"/>
        <w:spacing w:before="0" w:after="240"/>
        <w:jc w:val="left"/>
        <w:rPr>
          <w:rFonts w:ascii="Times New Roman" w:hAnsi="Times New Roman"/>
          <w:i/>
          <w:color w:val="000000"/>
          <w:sz w:val="20"/>
        </w:rPr>
      </w:pPr>
      <w:r>
        <w:rPr>
          <w:rFonts w:ascii="Times New Roman" w:hAnsi="Times New Roman"/>
          <w:i/>
          <w:color w:val="000000"/>
          <w:sz w:val="20"/>
        </w:rPr>
        <w:t>Base Management Fee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base management fee is payable on the first day of each calendar quarter and is calculated on the Company's gross assets, which, for purposes of the Advisory Agreement, is defined as the Company’s average daily gross assets, including assets purchased with borrowed funds or other forms of leverage, as of the end of the most recently completed fiscal quarter. The base management fee will be an amount equal to 0.375% (1.50% annualized) of the Company’s average daily gross assets during the most recently completed calendar quarter, so long as the aggregate amount of the Company’s gross assets as of the end of the most recently completed calendar quarter is equal to or greater than $1.0 billion. If the aggregate amount of the Company’s gross assets as of the end of the most recently completed calendar quarter is less than $1.0 billion but equal to or greater than $500.0 million, the base management fee will be an amount equal to 0.40% (1.60% annualized) of the Company’s average daily gross assets during the most recently completed calendar quarter. If the aggregate amount of the Company’s gross assets as of the end of the most recently completed calendar quarter is less than $500.0 million, the base management fee will be an amount equal to 0.4375% (1.75% annualized) of the Company’s average daily gross assets during the most recently completed calendar quarter.</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For the three months ended March 31, 2026, RGC earned base management fees at a rate of 1.50% per annum, amounting to $3.6 million. During the quarter ended December 31, 2025, the Company’s average daily gross assets temporarily declined below $1.0 billion, which resulted in an increase to the quarterly base management fee rate from 0.375% to 0.40%. With the approval of RGC’s Board of Managers, RGC voluntarily waived the incremental base management fee otherwise payable for that period. The waiver was not subject to recoupment and did not amend the terms of the Advisory Agreement. The total base management fees waived for the quarter ended March 31, 2026 were approximately $240.8 thousand. For the three months ended March 31, 2025, RGC earned base management fees at a rate of 1.50% per annum, amounting to $4.0 million. As the Company pays management fees at the beginning of each respective quarter, there were no management fees payable as of March 31, 2026 and December 31, 2025.</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120"/>
        <w:jc w:val="left"/>
        <w:rPr/>
      </w:pPr>
      <w:r>
        <w:rPr/>
        <w:t> </w:t>
      </w:r>
    </w:p>
    <w:p>
      <w:pPr>
        <w:pStyle w:val="TextBody"/>
        <w:bidi w:val="0"/>
        <w:spacing w:before="240" w:after="240"/>
        <w:jc w:val="left"/>
        <w:rPr>
          <w:rFonts w:ascii="Times New Roman" w:hAnsi="Times New Roman"/>
          <w:i/>
          <w:color w:val="000000"/>
          <w:sz w:val="20"/>
        </w:rPr>
      </w:pPr>
      <w:r>
        <w:rPr>
          <w:rFonts w:ascii="Times New Roman" w:hAnsi="Times New Roman"/>
          <w:i/>
          <w:color w:val="000000"/>
          <w:sz w:val="20"/>
        </w:rPr>
        <w:t>Incentive Fee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incentive fee, which provides RGC with a share of the income that RGC generates for the Company, consists of an investment-income component and a capital-gains component, which are largely independent of each other, with the result that one component may be payable even if the other is not.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Under the investment-income component (the "Income Incentive Fee"), the Company pays RGC each quarter an incentive fee with respect to the Company’s pre-incentive fee net investment income ("Pre-Incentive Fee NII"). The Income Incentive Fee is calculated and payable quarterly in arrears based on the Pre-Incentive Fee NII for the immediately preceding fiscal quarter. Payments based on Pre-Incentive Fee NII will be based on the Pre-Incentive Fee NII earned for the quarter. For this purpose, Pre-Incentive Fee NII means interest income, dividend income and any other income (including any other fees, such as commitment, origination, structuring, diligence, managerial and consulting fees or other fees that the Company receives from portfolio companies) accrued by the Company during the fiscal quarter, minus the Company’s operating expenses for the quarter (including the base management fee, expenses payable under the amended and restated administration agreement with the Administrator, and any dividends paid on any issued and outstanding preferred stock/units, but excluding the incentive fee). Pre-Incentive Fee NII includes, in the case of investments with a deferred interest feature (such as OID and ETP accretion, debt instruments with PIK interest and zero coupon securities), accrued income the Company has not yet received in cash; provided, however, that the portion of the Income Incentive Fee attributable to deferred interest features will be paid, only if and to the extent received in cash, and any accrual thereof will be reversed if and to the extent such interest is reversed in connection with any write off or similar treatment of the investment giving rise to any deferred interest accrual, applied in each case in the order such interest was accrued. Such subsequent payments in respect of previously accrued income will not reduce the amounts payable for any quarter pursuant to the calculation of the Income Incentive Fee described above. Pre-Incentive Fee NII does not include any realized or unrealized capital gains (losses).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Pre-Incentive Fee NII, expressed as a rate of return on the value of the Company’s net assets (defined as total assets less liabilities) at the end of the immediately preceding fiscal quarter, will be compared to a "hurdle rate" of 2.0% per quarter (8.0% annualized). The Company pays RGC an Income Incentive Fee with respect to the Company’s Pre-Incentive Fee NII in each calendar quarter as follows: (1) no Income Incentive Fee in any calendar quarter in which the Company’s Pre-Incentive Fee NII does not exceed the hurdle rate of 2.0%; (2) 80% of the Company’s Pre-Incentive Fee NII with respect to that portion of such Pre-Incentive Fee NII, if any, that exceeds the hurdle rate but is less than 2.667% in any calendar quarter (10.668% annualized) (the portion of the Company’s Pre-Incentive Fee NII that exceeds the hurdle but is less than 2.667% is referred to as the "catch-up"; the "catch-up" is meant to provide RGC with 20.0% of the Company’s Pre-Incentive Fee NII as if a hurdle did not apply if the Company’s Pre-Incentive Fee NII exceeds 2.667% in any calendar quarter (10.668% annualized)); and (3) 20.0% of the amount of the Company’s Pre-Incentive Fee NII, if any, that exceeds 2.667% in any calendar quarter (10.668% annualized) payable to RGC (once the hurdle is reached and the catch-up is achieved, 20.0% of all Pre-Incentive Fee NII thereafter is allocated to RGC).</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Under the capital gains component of the incentive fee (the "Capital Gains Fee"), the Company will pay RGC, as of the end of each calendar year, 20.0% of the Company’s aggregate cumulative realized capital gains, if any, from the date of the Company’s election to be regulated as a BDC through the end of that calendar year, computed net of the Company’s aggregate cumulative realized capital losses and aggregate cumulative unrealized capital losses through the end of such year, less the aggregate amount of any previously paid Capital Gains Fee. For the foregoing purpose, the Company’s "aggregate cumulative realized capital gains" will not include any unrealized gains. If such amount is negative, then no Capital Gains Fee will be payable for such year.</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For the three months ended March 31, 2026, RGC earned incentive fees of $2.6 million, of which $1.4 million was payable in cash, and $1.2 million was accrued and generated from deferred interest. For the three months ended March 31, 2025, RGC earned incentive fees of $3.9 million, of which $3.0 million was payable in cash, and $0.9 million was accrued and generated from deferred interest. All incentive fees accrued and generated from deferred interest (i.e., PIK and certain ETP accretion) are not payable until receipt of associated cash by the Company, at which time the incentive fees are recategorized from deferred incentive fees payable to cash incentive fees payable. All figures presented for the three months ended March 31, 2026 and 2025 are net of such recategorizations during the respective period.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As of March 31, 2026, $1.4 million of incentive fees was payable in cash, and $13.4 million was deferred incentive fees payable, both of which are included in "Incentive fees payable" on the Statements of Assets and Liabilities. As of December 31, 2025, $2.2 million of incentive fees payable was payable in cash, and $12.2 million was deferred incentive fees payable, both of which are included in "Incentive fees payable" on the Consolidated Statements of Assets and Liabilities.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capital gains incentive fee consists of fees related to realized gains and losses and unrealized capital losses. As of March 31, 2026 and December 31, 2025, there were no capital gains incentive fees accrued, earned or payable to RGC under the Advisory Agreement.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120"/>
        <w:jc w:val="left"/>
        <w:rPr/>
      </w:pPr>
      <w:r>
        <w:rPr/>
        <w:t> </w:t>
      </w:r>
    </w:p>
    <w:p>
      <w:pPr>
        <w:pStyle w:val="Heading2"/>
        <w:bidi w:val="0"/>
        <w:spacing w:before="360" w:after="240"/>
        <w:jc w:val="left"/>
        <w:rPr>
          <w:rFonts w:ascii="Times New Roman" w:hAnsi="Times New Roman"/>
          <w:i/>
          <w:color w:val="000000"/>
          <w:sz w:val="20"/>
        </w:rPr>
      </w:pPr>
      <w:r>
        <w:rPr>
          <w:rFonts w:ascii="Times New Roman" w:hAnsi="Times New Roman"/>
          <w:i/>
          <w:color w:val="000000"/>
          <w:sz w:val="20"/>
        </w:rPr>
        <w:t>Administration Agreement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The Company reimburses the Administrator for the allocable portion of overhead expenses incurred by the Administrator in performing its obligations under the amended and restated administration agreement with the Administrator (the "Administration Agreement"), including furnishing the Company with office facilities, equipment and clerical, bookkeeping and recordkeeping services at such facilities, as well as providing other administrative services. In addition, the Company reimburses the Administrator for the fees and expenses associated with performing compliance functions, and the Company’s allocable portion of the compensation of the Company’s Chief Financial Officer, Chief Compliance Officer and their respective support staff, as well as any expenses paid by the Administrator on the Company's behalf.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For the three months ended March 31, 2026, the Company incurred $0.6 million of Administration Agreement expenses, of which $0.2 million was a third-party administrator expense and $0.4 million was overhead allocation expense. For the three months ended March 31, 2025, the Company incurred $0.6 million of Administration Agreement expenses, of which $0.2 million was a third-party administrator expense and $0.4 million was overhead allocation expense. All Administration Agreement expenses are recorded as "Administration agreement expenses" on the Consolidated Statements of Operations.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As of March 31, 2026, the Company had accrued a payable to the Administrator of $0.3 million and a payable to the third-party administrator of $0.1 million As of December 31, 2025, the Company had accrued a payable to the Administrator of $0.6 million and a payable to the third-party administrator of $0.3 million. All payables related to the Administration Agreement are recorded within "Accrued expenses and other liabilities" on the Consolidated Statements of Assets and Liabilities.</w:t>
      </w:r>
    </w:p>
    <w:p>
      <w:pPr>
        <w:pStyle w:val="Heading2"/>
        <w:bidi w:val="0"/>
        <w:spacing w:before="120" w:after="240"/>
        <w:jc w:val="left"/>
        <w:rPr>
          <w:rFonts w:ascii="Times New Roman" w:hAnsi="Times New Roman"/>
          <w:i/>
          <w:color w:val="000000"/>
          <w:sz w:val="20"/>
        </w:rPr>
      </w:pPr>
      <w:r>
        <w:rPr>
          <w:rFonts w:ascii="Times New Roman" w:hAnsi="Times New Roman"/>
          <w:i/>
          <w:color w:val="000000"/>
          <w:sz w:val="20"/>
        </w:rPr>
        <w:t>License Agreement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Company has entered into a license agreement with RGC (the "License Agreement") pursuant to which RGC has granted the Company a personal, non-exclusive, royalty-free right and license to use the name "Runway Growth Finance." Under the License Agreement, the Company has the right to use the "Runway Growth Finance" name, so long as RGC or one of its affiliates remains the Company’s investment adviser. Other than with respect to this limited license, the Company has no legal right to the "Runway Growth Finance" name.</w:t>
      </w:r>
    </w:p>
    <w:p>
      <w:pPr>
        <w:pStyle w:val="TextBody"/>
        <w:bidi w:val="0"/>
        <w:spacing w:before="120" w:after="240"/>
        <w:jc w:val="both"/>
        <w:rPr>
          <w:rFonts w:ascii="Times New Roman" w:hAnsi="Times New Roman"/>
          <w:b/>
          <w:i/>
          <w:color w:val="000000"/>
          <w:sz w:val="20"/>
        </w:rPr>
      </w:pPr>
      <w:r>
        <w:rPr>
          <w:rFonts w:ascii="Times New Roman" w:hAnsi="Times New Roman"/>
          <w:b/>
          <w:i/>
          <w:color w:val="000000"/>
          <w:sz w:val="20"/>
        </w:rPr>
        <w:t>Runway-Cadma I LLC</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In March 2024, the Company entered into a joint venture agreement with Cadma to create and co-manage Runway-Cadma I LLC, also referred to as the JV. The JV entered into a senior secured revolving credit facility with Apollo Capital Management, L.P ("Apollo Credit Facility"), which provided the JV with a $40.0 million commitment, subject to borrowing base requirements. The Apollo Credit Facility is non-recourse to the Company and bears interest at three-month SOFR plus 4.15%. As of March 31, 2026, the JV has not drawn on the available commitment in the Apollo Credit Facility.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During the three months ended March 31, 2026 and 2025, there were no additional contributions of equity capital to the JV by the Company or Cadma. The Company had $0.6 million in receivables from the JV, comprised of an income distribution and shared expenses as of March 31, 2026. There were no receivables or payables between the Company and the JV as of December 31, 2025. As of March 31, 2026 and December 31, 2025, the JV had the following contributed capital and unfunded commitments from its members (in thousands):</w:t>
      </w:r>
    </w:p>
    <w:tbl>
      <w:tblPr>
        <w:tblW w:w="8889" w:type="dxa"/>
        <w:jc w:val="left"/>
        <w:tblInd w:w="0" w:type="dxa"/>
        <w:tblLayout w:type="fixed"/>
        <w:tblCellMar>
          <w:top w:w="28" w:type="dxa"/>
          <w:left w:w="28" w:type="dxa"/>
          <w:bottom w:w="28" w:type="dxa"/>
          <w:right w:w="28" w:type="dxa"/>
        </w:tblCellMar>
      </w:tblPr>
      <w:tblGrid>
        <w:gridCol w:w="4706"/>
        <w:gridCol w:w="349"/>
        <w:gridCol w:w="260"/>
        <w:gridCol w:w="1071"/>
        <w:gridCol w:w="146"/>
        <w:gridCol w:w="146"/>
        <w:gridCol w:w="399"/>
        <w:gridCol w:w="297"/>
        <w:gridCol w:w="1224"/>
        <w:gridCol w:w="291"/>
      </w:tblGrid>
      <w:tr>
        <w:trPr/>
        <w:tc>
          <w:tcPr>
            <w:tcW w:w="4706"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1224"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47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0"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March 31,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20"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December 31, 2025</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center"/>
              <w:rPr/>
            </w:pPr>
            <w:r>
              <w:rPr/>
              <w:t> </w:t>
            </w:r>
          </w:p>
        </w:tc>
      </w:tr>
      <w:tr>
        <w:trPr/>
        <w:tc>
          <w:tcPr>
            <w:tcW w:w="470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Total contributed capital by Runway Growth Finance Corp.</w:t>
            </w:r>
          </w:p>
        </w:tc>
        <w:tc>
          <w:tcPr>
            <w:tcW w:w="3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12,283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12,283</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70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Total contributed capital by all members</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24,565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24,565</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70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Total unfunded commitments by Runway Growth Finance Corp.</w:t>
            </w:r>
          </w:p>
        </w:tc>
        <w:tc>
          <w:tcPr>
            <w:tcW w:w="3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22,820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22,718</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70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Total unfunded commitments by all members</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45,640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45,435</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As of March 31, 2026, the JV had two debt investments with an aggregate fair value of $24.0 million and two warrant investments with an aggregate fair value of $0.2 million. As of December 31, 2025, the JV had two debt investments with an aggregate fair value of $23.8 million and two warrant investments with an aggregate fair value of $0.2 million.</w:t>
      </w:r>
    </w:p>
    <w:p>
      <w:pPr>
        <w:pStyle w:val="TextBody"/>
        <w:bidi w:val="0"/>
        <w:spacing w:before="240" w:after="240"/>
        <w:jc w:val="both"/>
        <w:rPr>
          <w:rFonts w:ascii="Times New Roman" w:hAnsi="Times New Roman"/>
          <w:color w:val="000000"/>
          <w:sz w:val="20"/>
        </w:rPr>
      </w:pPr>
      <w:r>
        <w:rPr>
          <w:rFonts w:ascii="Times New Roman" w:hAnsi="Times New Roman"/>
          <w:color w:val="000000"/>
          <w:sz w:val="20"/>
        </w:rPr>
        <w:t>As of March 31, 2026 and December 31, 2025, the fair value of the Company's equity interest in the JV was $13.0 million and $13.3 million, respectively.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120"/>
        <w:jc w:val="left"/>
        <w:rPr/>
      </w:pPr>
      <w:r>
        <w:rPr/>
        <w:t> </w:t>
      </w:r>
    </w:p>
    <w:p>
      <w:pPr>
        <w:pStyle w:val="Heading2"/>
        <w:bidi w:val="0"/>
        <w:spacing w:before="360" w:after="240"/>
        <w:jc w:val="both"/>
        <w:rPr>
          <w:rFonts w:ascii="Times New Roman" w:hAnsi="Times New Roman"/>
          <w:i/>
          <w:color w:val="000000"/>
          <w:sz w:val="20"/>
        </w:rPr>
      </w:pPr>
      <w:r>
        <w:rPr>
          <w:rFonts w:ascii="Times New Roman" w:hAnsi="Times New Roman"/>
          <w:i/>
          <w:color w:val="000000"/>
          <w:sz w:val="20"/>
        </w:rPr>
        <w:t>Relationship with Oaktree Capital Management, L.P. and OCM Growth Holdings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In December 2016, the Company and RGC entered into a strategic relationship with Oaktree Capital Management, L.P ("Oaktree"). In connection with the relationship, OCM Growth Holdings ("OCM Growth"), an affiliate of Oaktree, purchased an aggregate of 14,571,334 shares of the Company's common stock for an aggregate purchase price of $219.3 million in the Company's initial private offering and second private offering. As of March 31, 2026, OCM Growth owned 7,029,668 shares of the Company's common stock, or 19.5% of the Company's outstanding shares.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In connection with OCM Growth’s commitment, the Company entered into a stockholder agreement, dated December 15, 2016, with OCM Growth, pursuant to which OCM Growth has a right to nominate a member of the Board of Directors for election for so long as OCM Growth holds shares of the Company’s common stock in an amount equal to, in the aggregate, at least one-third (33%) of OCM Growth’s initial $125.0 million capital commitment, or 2,763,810 shares. Catherine Frey serves on the Company's Board of Directors as OCM Growth’s director nominee and is considered an independent director. Further, to the extent OCM Growth’s share ownership falls below one-third of its initial $125.0 million capital commitment under any circumstances, OCM Growth will no longer have the right to appoint a director nominee and will use reasonable efforts to cause such nominee to resign immediately (subject to his or her existing fiduciary duties).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120"/>
        <w:jc w:val="left"/>
        <w:rPr/>
      </w:pPr>
      <w:r>
        <w:rPr/>
        <w:t> </w:t>
      </w:r>
    </w:p>
    <w:p>
      <w:pPr>
        <w:pStyle w:val="Heading1"/>
        <w:bidi w:val="0"/>
        <w:spacing w:before="360" w:after="240"/>
        <w:jc w:val="left"/>
        <w:rPr>
          <w:rFonts w:ascii="Times New Roman" w:hAnsi="Times New Roman"/>
          <w:color w:val="000000"/>
          <w:sz w:val="20"/>
        </w:rPr>
      </w:pPr>
      <w:r>
        <w:rPr>
          <w:rFonts w:ascii="Times New Roman" w:hAnsi="Times New Roman"/>
          <w:color w:val="000000"/>
          <w:sz w:val="20"/>
        </w:rPr>
        <w:t>Note 4 – Investments</w:t>
      </w:r>
    </w:p>
    <w:p>
      <w:pPr>
        <w:pStyle w:val="TextBody"/>
        <w:bidi w:val="0"/>
        <w:spacing w:before="120" w:after="240"/>
        <w:jc w:val="both"/>
        <w:rPr>
          <w:rFonts w:ascii="Times New Roman" w:hAnsi="Times New Roman"/>
          <w:b/>
          <w:i/>
          <w:color w:val="000000"/>
          <w:sz w:val="20"/>
        </w:rPr>
      </w:pPr>
      <w:r>
        <w:rPr>
          <w:rFonts w:ascii="Times New Roman" w:hAnsi="Times New Roman"/>
          <w:b/>
          <w:i/>
          <w:color w:val="000000"/>
          <w:sz w:val="20"/>
        </w:rPr>
        <w:t>Control and Affiliate Investments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The Company classifies its investment portfolio by level of affiliation and control in accordance with the requirements of the 1940 Act. As defined in the 1940 Act, investee companies are deemed as affiliated investments when a company or individual possesses, or has the right to acquire within 60 days or less, beneficial ownership of 5.0% or more of the outstanding voting securities of an investee company. Control investments are those where the investor has the ability or power to exercise a controlling influence over the management or policies of an investee company. Control is generally deemed to exist when a company or individual possesses, or has the right to acquire within 60 days or less, beneficial ownership of more than 25.0% of the outstanding voting securities of an investee company, or maintains greater than 50.0% representation on the investee company's board of directors.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Company’s affiliate and control investments as of March 31, 2026, along with the transactions during the three months ended March 31, 2026, are as follows (in thousands):</w:t>
      </w:r>
    </w:p>
    <w:tbl>
      <w:tblPr>
        <w:tblW w:w="10998" w:type="dxa"/>
        <w:jc w:val="left"/>
        <w:tblInd w:w="0" w:type="dxa"/>
        <w:tblLayout w:type="fixed"/>
        <w:tblCellMar>
          <w:top w:w="28" w:type="dxa"/>
          <w:left w:w="28" w:type="dxa"/>
          <w:bottom w:w="28" w:type="dxa"/>
          <w:right w:w="28" w:type="dxa"/>
        </w:tblCellMar>
      </w:tblPr>
      <w:tblGrid>
        <w:gridCol w:w="293"/>
        <w:gridCol w:w="724"/>
        <w:gridCol w:w="492"/>
        <w:gridCol w:w="146"/>
        <w:gridCol w:w="931"/>
        <w:gridCol w:w="146"/>
        <w:gridCol w:w="245"/>
        <w:gridCol w:w="183"/>
        <w:gridCol w:w="473"/>
        <w:gridCol w:w="146"/>
        <w:gridCol w:w="146"/>
        <w:gridCol w:w="196"/>
        <w:gridCol w:w="146"/>
        <w:gridCol w:w="601"/>
        <w:gridCol w:w="146"/>
        <w:gridCol w:w="146"/>
        <w:gridCol w:w="318"/>
        <w:gridCol w:w="237"/>
        <w:gridCol w:w="271"/>
        <w:gridCol w:w="146"/>
        <w:gridCol w:w="146"/>
        <w:gridCol w:w="199"/>
        <w:gridCol w:w="148"/>
        <w:gridCol w:w="584"/>
        <w:gridCol w:w="166"/>
        <w:gridCol w:w="146"/>
        <w:gridCol w:w="196"/>
        <w:gridCol w:w="146"/>
        <w:gridCol w:w="511"/>
        <w:gridCol w:w="146"/>
        <w:gridCol w:w="146"/>
        <w:gridCol w:w="223"/>
        <w:gridCol w:w="166"/>
        <w:gridCol w:w="497"/>
        <w:gridCol w:w="166"/>
        <w:gridCol w:w="146"/>
        <w:gridCol w:w="196"/>
        <w:gridCol w:w="146"/>
        <w:gridCol w:w="601"/>
        <w:gridCol w:w="191"/>
      </w:tblGrid>
      <w:tr>
        <w:trPr/>
        <w:tc>
          <w:tcPr>
            <w:tcW w:w="293"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75" w:type="dxa"/>
            <w:gridSpan w:val="3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 Ended March 31, 2026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09"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Portfolio Company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Investment </w:t>
              <w:br/>
              <w:t>Description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1"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Investment Income Earned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Fair Value as of December </w:t>
              <w:br/>
              <w:t>31, 2025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 xml:space="preserve">Gross </w:t>
              <w:br/>
              <w:t>Additions</w:t>
            </w:r>
            <w:r>
              <w:rPr>
                <w:rFonts w:ascii="Times New Roman" w:hAnsi="Times New Roman"/>
                <w:b/>
                <w:color w:val="000000"/>
                <w:sz w:val="11"/>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 xml:space="preserve">Gross </w:t>
              <w:br/>
              <w:t>Reductions</w:t>
            </w:r>
            <w:r>
              <w:rPr>
                <w:rFonts w:ascii="Times New Roman" w:hAnsi="Times New Roman"/>
                <w:b/>
                <w:color w:val="000000"/>
                <w:sz w:val="11"/>
              </w:rPr>
              <w:t>(2)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 Realized Gain (Loss)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 Change in Unrealized Gain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Fair Value as of March 31, 2026</w:t>
            </w:r>
            <w:r>
              <w:rPr>
                <w:rFonts w:ascii="Times New Roman" w:hAnsi="Times New Roman"/>
                <w:b/>
                <w:color w:val="000000"/>
                <w:sz w:val="11"/>
              </w:rPr>
              <w:t>(3)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86" w:type="dxa"/>
            <w:gridSpan w:val="5"/>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Affiliate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56"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4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08"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3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63"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4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3" w:type="dxa"/>
            <w:gridSpan w:val="4"/>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Equity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5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08"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3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63"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Coginiti Corp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3" w:type="dxa"/>
            <w:gridSpan w:val="4"/>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Equity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586" w:type="dxa"/>
            <w:gridSpan w:val="5"/>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56"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4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08"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3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63"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4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3" w:type="dxa"/>
            <w:gridSpan w:val="4"/>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5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08"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3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63"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Coginiti Corp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3" w:type="dxa"/>
            <w:gridSpan w:val="4"/>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586" w:type="dxa"/>
            <w:gridSpan w:val="5"/>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Affiliate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8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2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586" w:type="dxa"/>
            <w:gridSpan w:val="5"/>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5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08"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3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63"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586" w:type="dxa"/>
            <w:gridSpan w:val="5"/>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Control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56"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4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08"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3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63"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4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3" w:type="dxa"/>
            <w:gridSpan w:val="4"/>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Equity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5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0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6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Pivot3,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100% Equity Interest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1,493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Runway-Cadma I LLC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50% Equity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13,253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13,035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3" w:type="dxa"/>
            <w:gridSpan w:val="4"/>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Equity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14,746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(2,103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1,050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(658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13,035</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586" w:type="dxa"/>
            <w:gridSpan w:val="5"/>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Control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14,746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23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(2,103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1,050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(658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13,035</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pBdr>
          <w:bottom w:val="single" w:sz="6" w:space="1" w:color="000000"/>
        </w:pBdr>
        <w:bidi w:val="0"/>
        <w:jc w:val="both"/>
        <w:rPr/>
      </w:pPr>
      <w:r>
        <w:rPr/>
        <w:t> </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(1)</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Gross additions include increases in the cost basis of investments resulting from fundings, PIK interest, accretion of OID and ETP, the exchange of one or more existing investments for one or more new investments and the movement of an investment between categories.</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(2)</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Gross reductions include decreases in the basis of investments resulting from principal collections related to investment repayments or sales, the exchange of one or more existing investments for one or more new investments and the movement of an investment between categories.</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(3)</w:t>
      </w:r>
    </w:p>
    <w:p>
      <w:pPr>
        <w:pStyle w:val="TextBody"/>
        <w:bidi w:val="0"/>
        <w:spacing w:before="120" w:after="283"/>
        <w:jc w:val="both"/>
        <w:rPr/>
      </w:pPr>
      <w:r>
        <w:rPr>
          <w:rFonts w:ascii="Times New Roman" w:hAnsi="Times New Roman"/>
          <w:color w:val="000000"/>
          <w:sz w:val="16"/>
        </w:rPr>
        <w:t>All affiliate and control investments, which as of March 31, 2026, represented 2.97%</w:t>
      </w:r>
      <w:r>
        <w:rPr>
          <w:color w:val="000000"/>
        </w:rPr>
        <w:t xml:space="preserve"> </w:t>
      </w:r>
      <w:r>
        <w:rPr>
          <w:rFonts w:ascii="Times New Roman" w:hAnsi="Times New Roman"/>
          <w:color w:val="000000"/>
          <w:sz w:val="16"/>
        </w:rPr>
        <w:t>of the Company’s net assets, may be deemed to be restricted securities under the Securities Act, and were valued at fair value as determined in good faith by the Company’s Board of Directors.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120"/>
        <w:jc w:val="left"/>
        <w:rPr/>
      </w:pPr>
      <w:r>
        <w:rPr/>
        <w:t> </w:t>
      </w:r>
    </w:p>
    <w:p>
      <w:pPr>
        <w:pStyle w:val="TextBody"/>
        <w:bidi w:val="0"/>
        <w:spacing w:before="240" w:after="240"/>
        <w:jc w:val="both"/>
        <w:rPr>
          <w:rFonts w:ascii="Times New Roman" w:hAnsi="Times New Roman"/>
          <w:color w:val="000000"/>
          <w:sz w:val="20"/>
        </w:rPr>
      </w:pPr>
      <w:r>
        <w:rPr>
          <w:rFonts w:ascii="Times New Roman" w:hAnsi="Times New Roman"/>
          <w:color w:val="000000"/>
          <w:sz w:val="20"/>
        </w:rPr>
        <w:t>The Company’s affiliate and control investments as of December 31, 2025, along with the transactions during the year ended December 31, 2025, are as follows (in thousands):</w:t>
      </w:r>
    </w:p>
    <w:tbl>
      <w:tblPr>
        <w:tblW w:w="11144" w:type="dxa"/>
        <w:jc w:val="left"/>
        <w:tblInd w:w="0" w:type="dxa"/>
        <w:tblLayout w:type="fixed"/>
        <w:tblCellMar>
          <w:top w:w="28" w:type="dxa"/>
          <w:left w:w="28" w:type="dxa"/>
          <w:bottom w:w="28" w:type="dxa"/>
          <w:right w:w="28" w:type="dxa"/>
        </w:tblCellMar>
      </w:tblPr>
      <w:tblGrid>
        <w:gridCol w:w="293"/>
        <w:gridCol w:w="682"/>
        <w:gridCol w:w="534"/>
        <w:gridCol w:w="146"/>
        <w:gridCol w:w="931"/>
        <w:gridCol w:w="146"/>
        <w:gridCol w:w="245"/>
        <w:gridCol w:w="183"/>
        <w:gridCol w:w="473"/>
        <w:gridCol w:w="146"/>
        <w:gridCol w:w="146"/>
        <w:gridCol w:w="196"/>
        <w:gridCol w:w="146"/>
        <w:gridCol w:w="601"/>
        <w:gridCol w:w="146"/>
        <w:gridCol w:w="146"/>
        <w:gridCol w:w="196"/>
        <w:gridCol w:w="146"/>
        <w:gridCol w:w="511"/>
        <w:gridCol w:w="146"/>
        <w:gridCol w:w="146"/>
        <w:gridCol w:w="196"/>
        <w:gridCol w:w="146"/>
        <w:gridCol w:w="661"/>
        <w:gridCol w:w="166"/>
        <w:gridCol w:w="146"/>
        <w:gridCol w:w="196"/>
        <w:gridCol w:w="146"/>
        <w:gridCol w:w="511"/>
        <w:gridCol w:w="166"/>
        <w:gridCol w:w="146"/>
        <w:gridCol w:w="196"/>
        <w:gridCol w:w="146"/>
        <w:gridCol w:w="571"/>
        <w:gridCol w:w="166"/>
        <w:gridCol w:w="146"/>
        <w:gridCol w:w="196"/>
        <w:gridCol w:w="146"/>
        <w:gridCol w:w="601"/>
        <w:gridCol w:w="191"/>
      </w:tblGrid>
      <w:tr>
        <w:trPr/>
        <w:tc>
          <w:tcPr>
            <w:tcW w:w="293"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1" w:type="dxa"/>
            <w:gridSpan w:val="3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Year Ended December 31,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09"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Portfolio Company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Investment </w:t>
              <w:br/>
              <w:t>Description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1"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Investment Income Earned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Fair Value as of December </w:t>
              <w:br/>
              <w:t>31, 2024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 xml:space="preserve">Gross </w:t>
              <w:br/>
              <w:t>Additions</w:t>
            </w:r>
            <w:r>
              <w:rPr>
                <w:rFonts w:ascii="Times New Roman" w:hAnsi="Times New Roman"/>
                <w:b/>
                <w:color w:val="000000"/>
                <w:sz w:val="11"/>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 xml:space="preserve">Gross </w:t>
              <w:br/>
              <w:t>Reductions</w:t>
            </w:r>
            <w:r>
              <w:rPr>
                <w:rFonts w:ascii="Times New Roman" w:hAnsi="Times New Roman"/>
                <w:b/>
                <w:color w:val="000000"/>
                <w:sz w:val="11"/>
              </w:rPr>
              <w:t>(2)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 Realized Gain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 Change in Unrealized Gain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Fair Value as of December 31, 2025</w:t>
            </w:r>
            <w:r>
              <w:rPr>
                <w:rFonts w:ascii="Times New Roman" w:hAnsi="Times New Roman"/>
                <w:b/>
                <w:color w:val="000000"/>
                <w:sz w:val="11"/>
              </w:rPr>
              <w:t>(3)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86" w:type="dxa"/>
            <w:gridSpan w:val="5"/>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Affiliate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56"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4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0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1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4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3" w:type="dxa"/>
            <w:gridSpan w:val="4"/>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Debt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5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0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Gynesonics, Inc. -</w:t>
              <w:br/>
              <w:t>Senior Secured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SOFR+8.75%, 8.00% ceiling, 5.00% ETP, due 11/30/2026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902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27,217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(26,235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(982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3" w:type="dxa"/>
            <w:gridSpan w:val="4"/>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Debt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902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27,217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(26,235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(982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56"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4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0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1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4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3" w:type="dxa"/>
            <w:gridSpan w:val="4"/>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Equity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5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0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Coginiti Corp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Gynesonics,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Series A-2 Preferred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Series A-1 Preferred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12,355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(12,355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9,255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(9,255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3" w:type="dxa"/>
            <w:gridSpan w:val="4"/>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Equity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37,355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(37,355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9,255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(9,255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586" w:type="dxa"/>
            <w:gridSpan w:val="5"/>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56"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4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0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1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4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3" w:type="dxa"/>
            <w:gridSpan w:val="4"/>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5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0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Coginiti Corp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Gynesonics,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Success fee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3" w:type="dxa"/>
            <w:gridSpan w:val="4"/>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586" w:type="dxa"/>
            <w:gridSpan w:val="5"/>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Affiliate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902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64,572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(63,590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8,943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(9,925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586" w:type="dxa"/>
            <w:gridSpan w:val="5"/>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56"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4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0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1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4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586" w:type="dxa"/>
            <w:gridSpan w:val="5"/>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Control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5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0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3" w:type="dxa"/>
            <w:gridSpan w:val="4"/>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Equity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5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0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1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Pivot3,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100% Equity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1,198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1,493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Runway-Cadma I LLC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50% Equity Interest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5,742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6,683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828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13,253</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3" w:type="dxa"/>
            <w:gridSpan w:val="4"/>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Equity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6,940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6,683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14,746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586" w:type="dxa"/>
            <w:gridSpan w:val="5"/>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Control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8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6,940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6,683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1,123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14,746</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Heading2"/>
        <w:pBdr>
          <w:bottom w:val="single" w:sz="6" w:space="1" w:color="000000"/>
        </w:pBdr>
        <w:bidi w:val="0"/>
        <w:jc w:val="left"/>
        <w:rPr/>
      </w:pPr>
      <w:r>
        <w:rPr/>
        <w:t> </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(1)</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Gross additions include increases in the cost basis of investments resulting from fundings, PIK interest, accretion of OID and ETP, the exchange of one or more existing investments for one or more new investments and the movement of an investment between categories.</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(2)</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Gross reductions include decreases in the basis of investments resulting from principal collections related to investment repayments or sales, the exchange of one or more existing Investments for one or more new investments and the movement of investment between categories.</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(3)</w:t>
      </w:r>
    </w:p>
    <w:p>
      <w:pPr>
        <w:pStyle w:val="TextBody"/>
        <w:bidi w:val="0"/>
        <w:spacing w:before="120" w:after="283"/>
        <w:jc w:val="both"/>
        <w:rPr>
          <w:rFonts w:ascii="Times New Roman" w:hAnsi="Times New Roman"/>
          <w:sz w:val="20"/>
        </w:rPr>
      </w:pPr>
      <w:r>
        <w:rPr>
          <w:rFonts w:ascii="Times New Roman" w:hAnsi="Times New Roman"/>
          <w:color w:val="000000"/>
          <w:sz w:val="16"/>
        </w:rPr>
        <w:t>All affiliate and control investments, which as of December 31, 2025, represented 3.04%</w:t>
      </w:r>
      <w:r>
        <w:rPr>
          <w:rFonts w:ascii="Times New Roman" w:hAnsi="Times New Roman"/>
          <w:color w:val="000000"/>
          <w:sz w:val="20"/>
        </w:rPr>
        <w:t xml:space="preserve"> </w:t>
      </w:r>
      <w:r>
        <w:rPr>
          <w:rFonts w:ascii="Times New Roman" w:hAnsi="Times New Roman"/>
          <w:color w:val="000000"/>
          <w:sz w:val="16"/>
        </w:rPr>
        <w:t>of the Company’s net assets, may be deemed to be restricted securities under the Securities Act, and were valued at fair value as determined in good faith by the Company’s Board of Directors.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120"/>
        <w:jc w:val="left"/>
        <w:rPr/>
      </w:pPr>
      <w:r>
        <w:rPr/>
        <w:t> </w:t>
      </w:r>
    </w:p>
    <w:p>
      <w:pPr>
        <w:pStyle w:val="TextBody"/>
        <w:bidi w:val="0"/>
        <w:spacing w:before="240" w:after="120"/>
        <w:jc w:val="both"/>
        <w:rPr>
          <w:rFonts w:ascii="Times New Roman" w:hAnsi="Times New Roman"/>
          <w:b/>
          <w:i/>
          <w:color w:val="000000"/>
          <w:sz w:val="20"/>
        </w:rPr>
      </w:pPr>
      <w:r>
        <w:rPr>
          <w:rFonts w:ascii="Times New Roman" w:hAnsi="Times New Roman"/>
          <w:b/>
          <w:i/>
          <w:color w:val="000000"/>
          <w:sz w:val="20"/>
        </w:rPr>
        <w:t>Portfolio Composition</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following table shows the fair value of the Company's portfolio of investments by geographic region as of March 31, 2026 and December 31, 2025 (in thousands):</w:t>
      </w:r>
    </w:p>
    <w:tbl>
      <w:tblPr>
        <w:tblW w:w="10205" w:type="dxa"/>
        <w:jc w:val="left"/>
        <w:tblInd w:w="0" w:type="dxa"/>
        <w:tblLayout w:type="fixed"/>
        <w:tblCellMar>
          <w:top w:w="28" w:type="dxa"/>
          <w:left w:w="28" w:type="dxa"/>
          <w:bottom w:w="28" w:type="dxa"/>
          <w:right w:w="28" w:type="dxa"/>
        </w:tblCellMar>
      </w:tblPr>
      <w:tblGrid>
        <w:gridCol w:w="2000"/>
        <w:gridCol w:w="146"/>
        <w:gridCol w:w="349"/>
        <w:gridCol w:w="260"/>
        <w:gridCol w:w="1234"/>
        <w:gridCol w:w="146"/>
        <w:gridCol w:w="146"/>
        <w:gridCol w:w="218"/>
        <w:gridCol w:w="901"/>
        <w:gridCol w:w="218"/>
        <w:gridCol w:w="451"/>
        <w:gridCol w:w="146"/>
        <w:gridCol w:w="349"/>
        <w:gridCol w:w="260"/>
        <w:gridCol w:w="1234"/>
        <w:gridCol w:w="146"/>
        <w:gridCol w:w="146"/>
        <w:gridCol w:w="201"/>
        <w:gridCol w:w="830"/>
        <w:gridCol w:w="201"/>
        <w:gridCol w:w="623"/>
      </w:tblGrid>
      <w:tr>
        <w:trPr/>
        <w:tc>
          <w:tcPr>
            <w:tcW w:w="200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23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23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r>
      <w:tr>
        <w:trPr/>
        <w:tc>
          <w:tcPr>
            <w:tcW w:w="20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23" w:type="dxa"/>
            <w:gridSpan w:val="9"/>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990" w:type="dxa"/>
            <w:gridSpan w:val="9"/>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r>
      <w:tr>
        <w:trPr/>
        <w:tc>
          <w:tcPr>
            <w:tcW w:w="20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Geographic Region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4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Investments at 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88"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Percentage of Net Assets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4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Investments at 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55"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Percentage of Net Assets</w:t>
            </w:r>
          </w:p>
        </w:tc>
      </w:tr>
      <w:tr>
        <w:trPr/>
        <w:tc>
          <w:tcPr>
            <w:tcW w:w="20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United States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00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Western United States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9"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297,219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67.82</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9"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329,514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67.95</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color w:val="000000"/>
              </w:rPr>
            </w:pPr>
            <w:r>
              <w:rPr>
                <w:color w:val="000000"/>
              </w:rPr>
              <w:t> </w:t>
            </w:r>
            <w:r>
              <w:rPr>
                <w:rFonts w:ascii="Times New Roman" w:hAnsi="Times New Roman"/>
                <w:color w:val="000000"/>
                <w:sz w:val="16"/>
              </w:rPr>
              <w:t>%</w:t>
            </w:r>
          </w:p>
        </w:tc>
      </w:tr>
      <w:tr>
        <w:trPr/>
        <w:tc>
          <w:tcPr>
            <w:tcW w:w="200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Northeastern United States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168,191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38.38</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171,308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35.32</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00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Midwestern United States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9"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161,193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36.78</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9"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156,397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32.25</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00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Northwestern United States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73,813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16.84</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74,198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15.30</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00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South Central United States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49"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41,699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9.52</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9"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41,413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8.54</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00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Southeastern United States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21,414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4.89</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21,590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4.45</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00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16"/>
              </w:rPr>
            </w:pPr>
            <w:r>
              <w:rPr>
                <w:rFonts w:ascii="Times New Roman" w:hAnsi="Times New Roman"/>
                <w:color w:val="000000"/>
                <w:sz w:val="16"/>
              </w:rPr>
              <w:t>Runway-Cadma I LLC</w:t>
            </w:r>
            <w:r>
              <w:rPr>
                <w:rFonts w:ascii="Times New Roman" w:hAnsi="Times New Roman"/>
                <w:color w:val="000000"/>
                <w:sz w:val="11"/>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2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13,035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2.97</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2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13,253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2.73</w:t>
            </w:r>
          </w:p>
        </w:tc>
        <w:tc>
          <w:tcPr>
            <w:tcW w:w="2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0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United States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776,564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177.20</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807,673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166.54</w:t>
            </w:r>
          </w:p>
        </w:tc>
        <w:tc>
          <w:tcPr>
            <w:tcW w:w="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0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49"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94"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9"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9"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94"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Germany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58,383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13.32</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67,665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13.95</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0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United Kingdom</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49"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33,928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7.74</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9"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34,415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7.10</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Netherlands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17,261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3.94</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17,525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3.61</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0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Canada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2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0.05</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2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0.03</w:t>
            </w:r>
          </w:p>
        </w:tc>
        <w:tc>
          <w:tcPr>
            <w:tcW w:w="2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0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886,346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202.25</w:t>
            </w:r>
          </w:p>
        </w:tc>
        <w:tc>
          <w:tcPr>
            <w:tcW w:w="2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927,402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191.23</w:t>
            </w:r>
          </w:p>
        </w:tc>
        <w:tc>
          <w:tcPr>
            <w:tcW w:w="2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bl>
    <w:p>
      <w:pPr>
        <w:pStyle w:val="TextBody"/>
        <w:bidi w:val="0"/>
        <w:spacing w:before="120" w:after="283"/>
        <w:jc w:val="both"/>
        <w:rPr>
          <w:rFonts w:ascii="Times New Roman" w:hAnsi="Times New Roman"/>
          <w:color w:val="000000"/>
          <w:sz w:val="16"/>
        </w:rPr>
      </w:pPr>
      <w:r>
        <w:rPr>
          <w:rFonts w:ascii="Times New Roman" w:hAnsi="Times New Roman"/>
          <w:color w:val="000000"/>
          <w:sz w:val="16"/>
        </w:rPr>
        <w:t>(1)</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Runway-Cadma I LLC is a joint venture between the Company and Cadma. This entity invests in secured loans to growth-stage companies that have been originated by the Company. See "Note 2 – Summary of Significant Accounting Policies" for further discussion.</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 xml:space="preserve">The following table shows the fair value of the Company's portfolio of investments by industry using the Global Industry Classification Standard as of March 31, 2026 and </w:t>
      </w:r>
      <w:r>
        <w:rPr>
          <w:rFonts w:ascii="Times New Roman" w:hAnsi="Times New Roman"/>
          <w:color w:val="000000"/>
          <w:sz w:val="19"/>
        </w:rPr>
        <w:t xml:space="preserve">December 31, 2025 </w:t>
      </w:r>
      <w:r>
        <w:rPr>
          <w:rFonts w:ascii="Times New Roman" w:hAnsi="Times New Roman"/>
          <w:color w:val="000000"/>
          <w:sz w:val="20"/>
        </w:rPr>
        <w:t>(in thousands):</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2712"/>
        <w:gridCol w:w="146"/>
        <w:gridCol w:w="312"/>
        <w:gridCol w:w="232"/>
        <w:gridCol w:w="1103"/>
        <w:gridCol w:w="146"/>
        <w:gridCol w:w="146"/>
        <w:gridCol w:w="209"/>
        <w:gridCol w:w="862"/>
        <w:gridCol w:w="209"/>
        <w:gridCol w:w="345"/>
        <w:gridCol w:w="146"/>
        <w:gridCol w:w="312"/>
        <w:gridCol w:w="232"/>
        <w:gridCol w:w="1103"/>
        <w:gridCol w:w="146"/>
        <w:gridCol w:w="146"/>
        <w:gridCol w:w="199"/>
        <w:gridCol w:w="821"/>
        <w:gridCol w:w="199"/>
        <w:gridCol w:w="479"/>
      </w:tblGrid>
      <w:tr>
        <w:trPr/>
        <w:tc>
          <w:tcPr>
            <w:tcW w:w="271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r>
      <w:tr>
        <w:trPr/>
        <w:tc>
          <w:tcPr>
            <w:tcW w:w="27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4" w:type="dxa"/>
            <w:gridSpan w:val="9"/>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637" w:type="dxa"/>
            <w:gridSpan w:val="9"/>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r>
      <w:tr>
        <w:trPr/>
        <w:tc>
          <w:tcPr>
            <w:tcW w:w="27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Industry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47"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Investments at 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5"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Percentage of Net Assets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47"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Investments at 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8"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Percentage of Net Assets</w:t>
            </w:r>
          </w:p>
        </w:tc>
      </w:tr>
      <w:tr>
        <w:trPr/>
        <w:tc>
          <w:tcPr>
            <w:tcW w:w="27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Application Software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214,229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48.89</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226,692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46.74</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9"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r>
      <w:tr>
        <w:trPr/>
        <w:tc>
          <w:tcPr>
            <w:tcW w:w="27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Health Care Equipment &amp; Services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113,973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26.01</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122,997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25.36</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Commercial &amp; Professional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104,238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23.79</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115,268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23.77</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Systems Software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95,807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21.86</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97,823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20.17</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Financial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87,628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20.00</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83,915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17.31</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Technology Hardware &amp;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72,747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16.60</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72,922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15.03</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Insurance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45,153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10.30</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44,831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9.25</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Household &amp; Personal Products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39,971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9.12</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39,777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8.20</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Consumer Staples Distribution &amp; Retail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37,538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8.56</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47,813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9.86</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Media &amp; Entertainment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28,803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6.57</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30,297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6.25</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Multi-Sector Holdings(1)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23,394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5.33</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23,222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4.79</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Consumer Services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20,845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4.76</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19,851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4.09</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Pharmaceuticals, Biotechnology &amp; Life Sciences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2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2,020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0.46</w:t>
            </w:r>
          </w:p>
        </w:tc>
        <w:tc>
          <w:tcPr>
            <w:tcW w:w="2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1,994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0.41</w:t>
            </w:r>
          </w:p>
        </w:tc>
        <w:tc>
          <w:tcPr>
            <w:tcW w:w="1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7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886,346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202.25</w:t>
            </w:r>
          </w:p>
        </w:tc>
        <w:tc>
          <w:tcPr>
            <w:tcW w:w="2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927,402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191.23</w:t>
            </w:r>
          </w:p>
        </w:tc>
        <w:tc>
          <w:tcPr>
            <w:tcW w:w="1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bl>
    <w:p>
      <w:pPr>
        <w:pStyle w:val="TextBody"/>
        <w:bidi w:val="0"/>
        <w:jc w:val="left"/>
        <w:rPr/>
      </w:pPr>
      <w:r>
        <w:rPr/>
        <w:t> </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(1)</w:t>
      </w:r>
    </w:p>
    <w:p>
      <w:pPr>
        <w:pStyle w:val="TextBody"/>
        <w:bidi w:val="0"/>
        <w:jc w:val="both"/>
        <w:rPr>
          <w:rFonts w:ascii="Times New Roman" w:hAnsi="Times New Roman"/>
          <w:color w:val="000000"/>
          <w:sz w:val="16"/>
        </w:rPr>
      </w:pPr>
      <w:r>
        <w:rPr>
          <w:rFonts w:ascii="Times New Roman" w:hAnsi="Times New Roman"/>
          <w:color w:val="000000"/>
          <w:sz w:val="16"/>
        </w:rPr>
        <w:t>Multi-Sector Holdings consists of the Company's investment in Runway-Cadma I LLC, a joint venture between the Company and Cadma. This entity invests in secured loans to growth-stage companies that have been originated by the Company. See "Note 2 – Summary of Significant Accounting Policies" for further discussion.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120"/>
        <w:jc w:val="left"/>
        <w:rPr/>
      </w:pPr>
      <w:r>
        <w:rPr/>
        <w:t> </w:t>
      </w:r>
    </w:p>
    <w:p>
      <w:pPr>
        <w:pStyle w:val="Heading2"/>
        <w:bidi w:val="0"/>
        <w:spacing w:before="360" w:after="240"/>
        <w:jc w:val="left"/>
        <w:rPr>
          <w:rFonts w:ascii="Times New Roman" w:hAnsi="Times New Roman"/>
          <w:i/>
          <w:color w:val="000000"/>
          <w:sz w:val="20"/>
        </w:rPr>
      </w:pPr>
      <w:r>
        <w:rPr>
          <w:rFonts w:ascii="Times New Roman" w:hAnsi="Times New Roman"/>
          <w:i/>
          <w:color w:val="000000"/>
          <w:sz w:val="20"/>
        </w:rPr>
        <w:t>Derivative Financial Instruments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In the normal course of business, the Company may utilize derivative contracts in connection with its investment activities. Investments in derivative contracts are subject to additional risks that can result in a loss of all or part of an investment. The derivative activities and exposure to derivative contracts primarily involve equity price risks. In addition to the primary underlying risk, additional counterparty risk exists due to the potential inability of counterparties to meet the terms of their contracts.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Warrants provide exposure and potential gains upon increases in the portfolio company’s equity value. A warrant has a limited life and expires on a certain date. As a warrant’s expiration date approaches, the time value of the warrant will decline. In addition, if the stock underlying the warrant declines in price, the intrinsic value of an "in the money" warrant will decline. Further, if the price of the stock underlying the warrant does not exceed the strike price of the warrant on the expiration date, the warrant will expire worthless. As a result, there is the potential for the entire value of an investment in a warrant to be lost. The Company’s volume of warrant investment activity is closely correlated to its primary senior secured loans to portfolio companies. Counterparty risk exists from the potential failure of an issuer of warrants to settle its exercised warrants. The maximum risk of loss from counterparty risk is the fair value of the contracts and the purchase price of the warrants. The Board of Directors considers the effects of counterparty risk when determining the fair value of its investments in warrants.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For the three months ended March 31, 2026, the Company had a net realized gain of $0.2 million and a net change in unrealized loss of $1.4 million from its investments in warrants. For the three months ended March 31, 2025, the Company had a realized loss of $1.3 million and a net change in unrealized gains of $0.8 million from its investments in warrants. Realized gains and losses from warrants are included in the respective control, affiliate, or non-control/non-affiliate "Net realized gain (loss)" on the Consolidated Statements of Operations. Unrealized gains and losses from investments in warrants are included in the respective control, affiliate, or non-control/non-affiliate "Net change in unrealized gain (loss)" on the Consolidated Statements of Operations.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The following table shows the Company's outstanding foreign currency forward contracts as of March 31, 2026 (in thousands): </w:t>
      </w:r>
    </w:p>
    <w:tbl>
      <w:tblPr>
        <w:tblW w:w="10205" w:type="dxa"/>
        <w:jc w:val="left"/>
        <w:tblInd w:w="0" w:type="dxa"/>
        <w:tblLayout w:type="fixed"/>
        <w:tblCellMar>
          <w:top w:w="28" w:type="dxa"/>
          <w:left w:w="28" w:type="dxa"/>
          <w:bottom w:w="28" w:type="dxa"/>
          <w:right w:w="28" w:type="dxa"/>
        </w:tblCellMar>
      </w:tblPr>
      <w:tblGrid>
        <w:gridCol w:w="1476"/>
        <w:gridCol w:w="146"/>
        <w:gridCol w:w="1950"/>
        <w:gridCol w:w="146"/>
        <w:gridCol w:w="962"/>
        <w:gridCol w:w="146"/>
        <w:gridCol w:w="307"/>
        <w:gridCol w:w="1265"/>
        <w:gridCol w:w="146"/>
        <w:gridCol w:w="146"/>
        <w:gridCol w:w="360"/>
        <w:gridCol w:w="1486"/>
        <w:gridCol w:w="146"/>
        <w:gridCol w:w="196"/>
        <w:gridCol w:w="278"/>
        <w:gridCol w:w="833"/>
        <w:gridCol w:w="216"/>
      </w:tblGrid>
      <w:tr>
        <w:trPr/>
        <w:tc>
          <w:tcPr>
            <w:tcW w:w="14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5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126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r>
      <w:tr>
        <w:trPr/>
        <w:tc>
          <w:tcPr>
            <w:tcW w:w="14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Foreign Currency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Counterparty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Maturity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Notional Amount to be Sold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Notional Amount to be Purchased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Unrealized Gain </w:t>
              <w:br/>
              <w:t>(Loss)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British Pound Sterling (GBP)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50"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Canadian Imperial Bank of Commerce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5/14/2026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21,964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28,873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(176</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4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2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(176</w:t>
            </w:r>
          </w:p>
        </w:tc>
        <w:tc>
          <w:tcPr>
            <w:tcW w:w="2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bl>
    <w:p>
      <w:pPr>
        <w:pStyle w:val="TextBody"/>
        <w:bidi w:val="0"/>
        <w:spacing w:before="240" w:after="240"/>
        <w:jc w:val="both"/>
        <w:rPr>
          <w:rFonts w:ascii="Times New Roman" w:hAnsi="Times New Roman"/>
          <w:color w:val="000000"/>
          <w:sz w:val="20"/>
        </w:rPr>
      </w:pPr>
      <w:r>
        <w:rPr>
          <w:rFonts w:ascii="Times New Roman" w:hAnsi="Times New Roman"/>
          <w:color w:val="000000"/>
          <w:sz w:val="20"/>
        </w:rPr>
        <w:t>The following table shows the Company's outstanding foreign currency forward contracts as of December 31, 2025 (in thousands):</w:t>
      </w:r>
    </w:p>
    <w:tbl>
      <w:tblPr>
        <w:tblW w:w="10205" w:type="dxa"/>
        <w:jc w:val="left"/>
        <w:tblInd w:w="0" w:type="dxa"/>
        <w:tblLayout w:type="fixed"/>
        <w:tblCellMar>
          <w:top w:w="28" w:type="dxa"/>
          <w:left w:w="28" w:type="dxa"/>
          <w:bottom w:w="28" w:type="dxa"/>
          <w:right w:w="28" w:type="dxa"/>
        </w:tblCellMar>
      </w:tblPr>
      <w:tblGrid>
        <w:gridCol w:w="1476"/>
        <w:gridCol w:w="146"/>
        <w:gridCol w:w="1950"/>
        <w:gridCol w:w="146"/>
        <w:gridCol w:w="962"/>
        <w:gridCol w:w="146"/>
        <w:gridCol w:w="307"/>
        <w:gridCol w:w="1265"/>
        <w:gridCol w:w="146"/>
        <w:gridCol w:w="146"/>
        <w:gridCol w:w="360"/>
        <w:gridCol w:w="1486"/>
        <w:gridCol w:w="146"/>
        <w:gridCol w:w="196"/>
        <w:gridCol w:w="278"/>
        <w:gridCol w:w="833"/>
        <w:gridCol w:w="216"/>
      </w:tblGrid>
      <w:tr>
        <w:trPr/>
        <w:tc>
          <w:tcPr>
            <w:tcW w:w="14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5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126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r>
      <w:tr>
        <w:trPr/>
        <w:tc>
          <w:tcPr>
            <w:tcW w:w="14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Foreign Currency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Counterparty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Maturity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Notional Amount to be Sold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Notional Amount to be Purchased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Unrealized Gain </w:t>
              <w:br/>
              <w:t>(Loss)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British Pound Sterling (GBP)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50"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Canadian Imperial Bank of Commerce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5/14/2026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21,964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28,873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(711</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4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2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(711</w:t>
            </w:r>
          </w:p>
        </w:tc>
        <w:tc>
          <w:tcPr>
            <w:tcW w:w="2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bl>
    <w:p>
      <w:pPr>
        <w:pStyle w:val="TextBody"/>
        <w:bidi w:val="0"/>
        <w:spacing w:before="240" w:after="240"/>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120"/>
        <w:jc w:val="left"/>
        <w:rPr/>
      </w:pPr>
      <w:r>
        <w:rPr/>
        <w:t> </w:t>
      </w:r>
    </w:p>
    <w:p>
      <w:pPr>
        <w:pStyle w:val="TextBody"/>
        <w:bidi w:val="0"/>
        <w:spacing w:before="360" w:after="240"/>
        <w:jc w:val="left"/>
        <w:rPr>
          <w:rFonts w:ascii="Times New Roman" w:hAnsi="Times New Roman"/>
          <w:b/>
          <w:i/>
          <w:color w:val="000000"/>
          <w:sz w:val="20"/>
        </w:rPr>
      </w:pPr>
      <w:r>
        <w:rPr>
          <w:rFonts w:ascii="Times New Roman" w:hAnsi="Times New Roman"/>
          <w:b/>
          <w:i/>
          <w:color w:val="000000"/>
          <w:sz w:val="20"/>
        </w:rPr>
        <w:t>Offsetting of Derivative Instruments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Company has derivative instruments that are subject to master netting agreements. These agreements include provisions to offset positions with the same counterparty in the event of default by either party. The Company’s unrealized loss on derivative instruments is reported as "Foreign currency forward contracts" on the Consolidated Statements of Assets and Liabilities. The following table presents the Company’s liabilities related to derivatives by counterparty, net of amounts available for offset under a master netting arrangement and net of any collateral received or pledged by the Company for such assets and liabilities as of March 31, 2026 (in thousands):</w:t>
      </w:r>
    </w:p>
    <w:tbl>
      <w:tblPr>
        <w:tblW w:w="10205" w:type="dxa"/>
        <w:jc w:val="left"/>
        <w:tblInd w:w="0" w:type="dxa"/>
        <w:tblLayout w:type="fixed"/>
        <w:tblCellMar>
          <w:top w:w="28" w:type="dxa"/>
          <w:left w:w="28" w:type="dxa"/>
          <w:bottom w:w="28" w:type="dxa"/>
          <w:right w:w="28" w:type="dxa"/>
        </w:tblCellMar>
      </w:tblPr>
      <w:tblGrid>
        <w:gridCol w:w="1663"/>
        <w:gridCol w:w="146"/>
        <w:gridCol w:w="507"/>
        <w:gridCol w:w="379"/>
        <w:gridCol w:w="1137"/>
        <w:gridCol w:w="166"/>
        <w:gridCol w:w="146"/>
        <w:gridCol w:w="455"/>
        <w:gridCol w:w="339"/>
        <w:gridCol w:w="387"/>
        <w:gridCol w:w="146"/>
        <w:gridCol w:w="146"/>
        <w:gridCol w:w="400"/>
        <w:gridCol w:w="297"/>
        <w:gridCol w:w="340"/>
        <w:gridCol w:w="146"/>
        <w:gridCol w:w="146"/>
        <w:gridCol w:w="450"/>
        <w:gridCol w:w="335"/>
        <w:gridCol w:w="383"/>
        <w:gridCol w:w="146"/>
        <w:gridCol w:w="146"/>
        <w:gridCol w:w="397"/>
        <w:gridCol w:w="295"/>
        <w:gridCol w:w="887"/>
        <w:gridCol w:w="220"/>
      </w:tblGrid>
      <w:tr>
        <w:trPr/>
        <w:tc>
          <w:tcPr>
            <w:tcW w:w="166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113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r>
      <w:tr>
        <w:trPr/>
        <w:tc>
          <w:tcPr>
            <w:tcW w:w="16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Counterparty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2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Derivative Liabilities Subject to Master Netting Agreement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Derivatives Available </w:t>
              <w:br/>
              <w:t>for Offset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7"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Non-cash </w:t>
              <w:br/>
              <w:t>Collateral Pledged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Cash Collateral Pledged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9"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Net Amount of Derivative Liabilities</w:t>
            </w:r>
            <w:r>
              <w:rPr>
                <w:rFonts w:ascii="Times New Roman" w:hAnsi="Times New Roman"/>
                <w:color w:val="000000"/>
                <w:sz w:val="16"/>
              </w:rPr>
              <w:t> </w:t>
            </w:r>
            <w:r>
              <w:rPr>
                <w:rFonts w:ascii="Times New Roman" w:hAnsi="Times New Roman"/>
                <w:b/>
                <w:color w:val="000000"/>
                <w:sz w:val="11"/>
              </w:rPr>
              <w:t>(1)</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6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Canadian Imperial Bank of Commerce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3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3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2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3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2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(176</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66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3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3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3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8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2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3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2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(176</w:t>
            </w:r>
          </w:p>
        </w:tc>
        <w:tc>
          <w:tcPr>
            <w:tcW w:w="2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bl>
    <w:p>
      <w:pPr>
        <w:pStyle w:val="TextBody"/>
        <w:bidi w:val="0"/>
        <w:spacing w:before="120" w:after="240"/>
        <w:jc w:val="both"/>
        <w:rPr>
          <w:rFonts w:ascii="Times New Roman" w:hAnsi="Times New Roman"/>
          <w:color w:val="000000"/>
          <w:sz w:val="16"/>
        </w:rPr>
      </w:pPr>
      <w:r>
        <w:rPr>
          <w:rFonts w:ascii="Times New Roman" w:hAnsi="Times New Roman"/>
          <w:color w:val="000000"/>
          <w:sz w:val="16"/>
        </w:rPr>
        <w:t>(1)</w:t>
      </w:r>
    </w:p>
    <w:p>
      <w:pPr>
        <w:pStyle w:val="TextBody"/>
        <w:bidi w:val="0"/>
        <w:spacing w:before="120" w:after="240"/>
        <w:jc w:val="both"/>
        <w:rPr>
          <w:rFonts w:ascii="Times New Roman" w:hAnsi="Times New Roman"/>
          <w:color w:val="000000"/>
          <w:sz w:val="16"/>
        </w:rPr>
      </w:pPr>
      <w:r>
        <w:rPr>
          <w:rFonts w:ascii="Times New Roman" w:hAnsi="Times New Roman"/>
          <w:color w:val="000000"/>
          <w:sz w:val="16"/>
        </w:rPr>
        <w:t>Net amount of derivative liabilities represents the net amount due from the Company to the counterparty.</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following table presents the Company’s liabilities related to derivatives by counterparty, net of amounts available for offset under a master netting arrangement and net of any collateral received or pledged by the Company for such assets and liabilities as of December 31, 2025 (in thousands):</w:t>
      </w:r>
    </w:p>
    <w:tbl>
      <w:tblPr>
        <w:tblW w:w="10205" w:type="dxa"/>
        <w:jc w:val="left"/>
        <w:tblInd w:w="0" w:type="dxa"/>
        <w:tblLayout w:type="fixed"/>
        <w:tblCellMar>
          <w:top w:w="28" w:type="dxa"/>
          <w:left w:w="28" w:type="dxa"/>
          <w:bottom w:w="28" w:type="dxa"/>
          <w:right w:w="28" w:type="dxa"/>
        </w:tblCellMar>
      </w:tblPr>
      <w:tblGrid>
        <w:gridCol w:w="1663"/>
        <w:gridCol w:w="146"/>
        <w:gridCol w:w="507"/>
        <w:gridCol w:w="379"/>
        <w:gridCol w:w="1137"/>
        <w:gridCol w:w="166"/>
        <w:gridCol w:w="146"/>
        <w:gridCol w:w="455"/>
        <w:gridCol w:w="339"/>
        <w:gridCol w:w="387"/>
        <w:gridCol w:w="146"/>
        <w:gridCol w:w="146"/>
        <w:gridCol w:w="400"/>
        <w:gridCol w:w="297"/>
        <w:gridCol w:w="340"/>
        <w:gridCol w:w="146"/>
        <w:gridCol w:w="146"/>
        <w:gridCol w:w="450"/>
        <w:gridCol w:w="335"/>
        <w:gridCol w:w="383"/>
        <w:gridCol w:w="146"/>
        <w:gridCol w:w="146"/>
        <w:gridCol w:w="397"/>
        <w:gridCol w:w="295"/>
        <w:gridCol w:w="887"/>
        <w:gridCol w:w="220"/>
      </w:tblGrid>
      <w:tr>
        <w:trPr/>
        <w:tc>
          <w:tcPr>
            <w:tcW w:w="166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113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r>
      <w:tr>
        <w:trPr/>
        <w:tc>
          <w:tcPr>
            <w:tcW w:w="16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Counterparty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2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Derivative Liabilities Subject to Master Netting Agreement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Derivatives Available </w:t>
              <w:br/>
              <w:t>for Offset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7"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Non-cash </w:t>
              <w:br/>
              <w:t>Collateral Pledged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Cash Collateral Pledged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9"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Net Amount of Derivative Liabilities</w:t>
            </w:r>
            <w:r>
              <w:rPr>
                <w:rFonts w:ascii="Times New Roman" w:hAnsi="Times New Roman"/>
                <w:color w:val="000000"/>
                <w:sz w:val="16"/>
              </w:rPr>
              <w:t> </w:t>
            </w:r>
            <w:r>
              <w:rPr>
                <w:rFonts w:ascii="Times New Roman" w:hAnsi="Times New Roman"/>
                <w:b/>
                <w:color w:val="000000"/>
                <w:sz w:val="11"/>
              </w:rPr>
              <w:t>(1)</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6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Canadian Imperial Bank of Commerce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3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(711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3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2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3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2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(711</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66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3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3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(711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3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8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2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3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2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(711</w:t>
            </w:r>
          </w:p>
        </w:tc>
        <w:tc>
          <w:tcPr>
            <w:tcW w:w="2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bl>
    <w:p>
      <w:pPr>
        <w:pStyle w:val="TextBody"/>
        <w:bidi w:val="0"/>
        <w:spacing w:before="120" w:after="240"/>
        <w:jc w:val="both"/>
        <w:rPr>
          <w:rFonts w:ascii="Times New Roman" w:hAnsi="Times New Roman"/>
          <w:color w:val="000000"/>
          <w:sz w:val="16"/>
        </w:rPr>
      </w:pPr>
      <w:r>
        <w:rPr>
          <w:rFonts w:ascii="Times New Roman" w:hAnsi="Times New Roman"/>
          <w:color w:val="000000"/>
          <w:sz w:val="16"/>
        </w:rPr>
        <w:t>(1)</w:t>
      </w:r>
    </w:p>
    <w:p>
      <w:pPr>
        <w:pStyle w:val="TextBody"/>
        <w:bidi w:val="0"/>
        <w:spacing w:before="120" w:after="240"/>
        <w:jc w:val="both"/>
        <w:rPr>
          <w:rFonts w:ascii="Times New Roman" w:hAnsi="Times New Roman"/>
          <w:color w:val="000000"/>
          <w:sz w:val="16"/>
        </w:rPr>
      </w:pPr>
      <w:r>
        <w:rPr>
          <w:rFonts w:ascii="Times New Roman" w:hAnsi="Times New Roman"/>
          <w:color w:val="000000"/>
          <w:sz w:val="16"/>
        </w:rPr>
        <w:t>Net amount of derivative liabilities represents the net amount due from the Company to the counterparty.</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120"/>
        <w:jc w:val="left"/>
        <w:rPr/>
      </w:pPr>
      <w:r>
        <w:rPr/>
        <w:t> </w:t>
      </w:r>
    </w:p>
    <w:p>
      <w:pPr>
        <w:pStyle w:val="Heading1"/>
        <w:bidi w:val="0"/>
        <w:spacing w:before="360" w:after="240"/>
        <w:jc w:val="left"/>
        <w:rPr>
          <w:rFonts w:ascii="Times New Roman" w:hAnsi="Times New Roman"/>
          <w:color w:val="000000"/>
          <w:sz w:val="20"/>
        </w:rPr>
      </w:pPr>
      <w:r>
        <w:rPr>
          <w:rFonts w:ascii="Times New Roman" w:hAnsi="Times New Roman"/>
          <w:color w:val="000000"/>
          <w:sz w:val="20"/>
        </w:rPr>
        <w:t>Note 5 – Fair Value of Financial Instruments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Company’s assets recorded at fair value have been categorized based upon a fair value hierarchy in accordance with ASC 820. Refer to "Note 2 – Summary of Significant Accounting Policies" for a discussion of the Company’s policies.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Investments measured at fair value on a recurring basis are categorized in the tables below based upon the lowest level of significant input to the valuations as of March 31, 2026 and December 31, 2025 (in thousands):</w:t>
      </w:r>
    </w:p>
    <w:tbl>
      <w:tblPr>
        <w:tblW w:w="10205" w:type="dxa"/>
        <w:jc w:val="left"/>
        <w:tblInd w:w="0" w:type="dxa"/>
        <w:tblLayout w:type="fixed"/>
        <w:tblCellMar>
          <w:top w:w="28" w:type="dxa"/>
          <w:left w:w="28" w:type="dxa"/>
          <w:bottom w:w="28" w:type="dxa"/>
          <w:right w:w="28" w:type="dxa"/>
        </w:tblCellMar>
      </w:tblPr>
      <w:tblGrid>
        <w:gridCol w:w="2466"/>
        <w:gridCol w:w="146"/>
        <w:gridCol w:w="196"/>
        <w:gridCol w:w="146"/>
        <w:gridCol w:w="511"/>
        <w:gridCol w:w="146"/>
        <w:gridCol w:w="146"/>
        <w:gridCol w:w="256"/>
        <w:gridCol w:w="146"/>
        <w:gridCol w:w="436"/>
        <w:gridCol w:w="166"/>
        <w:gridCol w:w="146"/>
        <w:gridCol w:w="256"/>
        <w:gridCol w:w="146"/>
        <w:gridCol w:w="691"/>
        <w:gridCol w:w="146"/>
        <w:gridCol w:w="146"/>
        <w:gridCol w:w="514"/>
        <w:gridCol w:w="293"/>
        <w:gridCol w:w="1208"/>
        <w:gridCol w:w="146"/>
        <w:gridCol w:w="146"/>
        <w:gridCol w:w="256"/>
        <w:gridCol w:w="146"/>
        <w:gridCol w:w="691"/>
        <w:gridCol w:w="513"/>
      </w:tblGrid>
      <w:tr>
        <w:trPr/>
        <w:tc>
          <w:tcPr>
            <w:tcW w:w="2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20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r>
      <w:tr>
        <w:trPr/>
        <w:tc>
          <w:tcPr>
            <w:tcW w:w="24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5"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Measured at Net Asset Value</w:t>
            </w:r>
            <w:r>
              <w:rPr>
                <w:rFonts w:ascii="Times New Roman" w:hAnsi="Times New Roman"/>
                <w:b/>
                <w:color w:val="000000"/>
                <w:sz w:val="11"/>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5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As of March 31,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4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16"/>
              </w:rPr>
            </w:pPr>
            <w:r>
              <w:rPr>
                <w:rFonts w:ascii="Times New Roman" w:hAnsi="Times New Roman"/>
                <w:b/>
                <w:color w:val="000000"/>
                <w:sz w:val="16"/>
              </w:rPr>
              <w:t>Portfolio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4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imes New Roman" w:hAnsi="Times New Roman"/>
                <w:color w:val="000000"/>
                <w:sz w:val="16"/>
              </w:rPr>
              <w:t>Senior Secured Loans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822,899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4"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822,899</w:t>
            </w:r>
          </w:p>
        </w:tc>
        <w:tc>
          <w:tcPr>
            <w:tcW w:w="5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4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imes New Roman" w:hAnsi="Times New Roman"/>
                <w:color w:val="000000"/>
                <w:sz w:val="16"/>
              </w:rPr>
              <w:t>Second Lien Loans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6,652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6,652</w:t>
            </w:r>
          </w:p>
        </w:tc>
        <w:tc>
          <w:tcPr>
            <w:tcW w:w="5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4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imes New Roman" w:hAnsi="Times New Roman"/>
                <w:color w:val="000000"/>
                <w:sz w:val="16"/>
              </w:rPr>
              <w:t>Preferred Stock/Units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29,275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29,275</w:t>
            </w:r>
          </w:p>
        </w:tc>
        <w:tc>
          <w:tcPr>
            <w:tcW w:w="5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4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imes New Roman" w:hAnsi="Times New Roman"/>
                <w:color w:val="000000"/>
                <w:sz w:val="16"/>
              </w:rPr>
              <w:t>Common Stock/Units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w:t>
            </w:r>
          </w:p>
        </w:tc>
        <w:tc>
          <w:tcPr>
            <w:tcW w:w="5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4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imes New Roman" w:hAnsi="Times New Roman"/>
                <w:color w:val="000000"/>
                <w:sz w:val="16"/>
              </w:rPr>
              <w:t>Equity Interest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13,035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13,035</w:t>
            </w:r>
          </w:p>
        </w:tc>
        <w:tc>
          <w:tcPr>
            <w:tcW w:w="5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4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imes New Roman" w:hAnsi="Times New Roman"/>
                <w:color w:val="000000"/>
                <w:sz w:val="16"/>
              </w:rPr>
              <w:t>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14,287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14,455</w:t>
            </w:r>
          </w:p>
        </w:tc>
        <w:tc>
          <w:tcPr>
            <w:tcW w:w="51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246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b/>
                <w:color w:val="000000"/>
                <w:sz w:val="16"/>
              </w:rPr>
            </w:pPr>
            <w:r>
              <w:rPr>
                <w:rFonts w:ascii="Times New Roman" w:hAnsi="Times New Roman"/>
                <w:b/>
                <w:color w:val="000000"/>
                <w:sz w:val="16"/>
              </w:rPr>
              <w:t>Total Portfolio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873,128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13,035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886,346</w:t>
            </w:r>
          </w:p>
        </w:tc>
        <w:tc>
          <w:tcPr>
            <w:tcW w:w="5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4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1,562</w:t>
            </w:r>
          </w:p>
        </w:tc>
        <w:tc>
          <w:tcPr>
            <w:tcW w:w="5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4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Foreign Currency Forward Contract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(176</w:t>
            </w:r>
          </w:p>
        </w:tc>
        <w:tc>
          <w:tcPr>
            <w:tcW w:w="51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300"/>
              <w:jc w:val="left"/>
              <w:rPr>
                <w:rFonts w:ascii="Times New Roman" w:hAnsi="Times New Roman"/>
                <w:color w:val="000000"/>
                <w:sz w:val="16"/>
              </w:rPr>
            </w:pPr>
            <w:r>
              <w:rPr>
                <w:rFonts w:ascii="Times New Roman" w:hAnsi="Times New Roman"/>
                <w:color w:val="000000"/>
                <w:sz w:val="16"/>
              </w:rPr>
              <w:t>)</w:t>
            </w:r>
          </w:p>
        </w:tc>
      </w:tr>
      <w:tr>
        <w:trPr/>
        <w:tc>
          <w:tcPr>
            <w:tcW w:w="246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b/>
                <w:color w:val="000000"/>
                <w:sz w:val="16"/>
              </w:rPr>
            </w:pPr>
            <w:r>
              <w:rPr>
                <w:rFonts w:ascii="Times New Roman" w:hAnsi="Times New Roman"/>
                <w:b/>
                <w:color w:val="000000"/>
                <w:sz w:val="16"/>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1,577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873,128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2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13,035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887,732</w:t>
            </w:r>
          </w:p>
        </w:tc>
        <w:tc>
          <w:tcPr>
            <w:tcW w:w="513"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4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As of December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4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16"/>
              </w:rPr>
            </w:pPr>
            <w:r>
              <w:rPr>
                <w:rFonts w:ascii="Times New Roman" w:hAnsi="Times New Roman"/>
                <w:b/>
                <w:color w:val="000000"/>
                <w:sz w:val="16"/>
              </w:rPr>
              <w:t>Portfolio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4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imes New Roman" w:hAnsi="Times New Roman"/>
                <w:color w:val="000000"/>
                <w:sz w:val="16"/>
              </w:rPr>
              <w:t>Senior Secured Loans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853,893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4"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853,893</w:t>
            </w:r>
          </w:p>
        </w:tc>
        <w:tc>
          <w:tcPr>
            <w:tcW w:w="5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4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imes New Roman" w:hAnsi="Times New Roman"/>
                <w:color w:val="000000"/>
                <w:sz w:val="16"/>
              </w:rPr>
              <w:t>Second Lien Loans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6,434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6,434</w:t>
            </w:r>
          </w:p>
        </w:tc>
        <w:tc>
          <w:tcPr>
            <w:tcW w:w="5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4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imes New Roman" w:hAnsi="Times New Roman"/>
                <w:color w:val="000000"/>
                <w:sz w:val="16"/>
              </w:rPr>
              <w:t>Preferred Stock/Units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36,264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36,264</w:t>
            </w:r>
          </w:p>
        </w:tc>
        <w:tc>
          <w:tcPr>
            <w:tcW w:w="5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4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imes New Roman" w:hAnsi="Times New Roman"/>
                <w:color w:val="000000"/>
                <w:sz w:val="16"/>
              </w:rPr>
              <w:t>Common Stock/Units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w:t>
            </w:r>
          </w:p>
        </w:tc>
        <w:tc>
          <w:tcPr>
            <w:tcW w:w="5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4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imes New Roman" w:hAnsi="Times New Roman"/>
                <w:color w:val="000000"/>
                <w:sz w:val="16"/>
              </w:rPr>
              <w:t>Equity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1,493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13,253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14,746</w:t>
            </w:r>
          </w:p>
        </w:tc>
        <w:tc>
          <w:tcPr>
            <w:tcW w:w="5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4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imes New Roman" w:hAnsi="Times New Roman"/>
                <w:color w:val="000000"/>
                <w:sz w:val="16"/>
              </w:rPr>
              <w:t>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15,582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16,005</w:t>
            </w:r>
          </w:p>
        </w:tc>
        <w:tc>
          <w:tcPr>
            <w:tcW w:w="51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246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b/>
                <w:color w:val="000000"/>
                <w:sz w:val="16"/>
              </w:rPr>
            </w:pPr>
            <w:r>
              <w:rPr>
                <w:rFonts w:ascii="Times New Roman" w:hAnsi="Times New Roman"/>
                <w:b/>
                <w:color w:val="000000"/>
                <w:sz w:val="16"/>
              </w:rPr>
              <w:t>Total Portfolio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913,684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13,253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927,402</w:t>
            </w:r>
          </w:p>
        </w:tc>
        <w:tc>
          <w:tcPr>
            <w:tcW w:w="5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4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2,849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2,849</w:t>
            </w:r>
          </w:p>
        </w:tc>
        <w:tc>
          <w:tcPr>
            <w:tcW w:w="5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4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Foreign Currency Forward Contract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(711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(711</w:t>
            </w:r>
          </w:p>
        </w:tc>
        <w:tc>
          <w:tcPr>
            <w:tcW w:w="51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rFonts w:ascii="Times New Roman" w:hAnsi="Times New Roman"/>
                <w:color w:val="000000"/>
                <w:sz w:val="16"/>
              </w:rPr>
            </w:pPr>
            <w:r>
              <w:rPr>
                <w:rFonts w:ascii="Times New Roman" w:hAnsi="Times New Roman"/>
                <w:color w:val="000000"/>
                <w:sz w:val="16"/>
              </w:rPr>
              <w:t>)</w:t>
            </w:r>
          </w:p>
        </w:tc>
      </w:tr>
      <w:tr>
        <w:trPr/>
        <w:tc>
          <w:tcPr>
            <w:tcW w:w="246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b/>
                <w:color w:val="000000"/>
                <w:sz w:val="16"/>
              </w:rPr>
            </w:pPr>
            <w:r>
              <w:rPr>
                <w:rFonts w:ascii="Times New Roman" w:hAnsi="Times New Roman"/>
                <w:b/>
                <w:color w:val="000000"/>
                <w:sz w:val="16"/>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2,891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913,684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2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13,253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929,540</w:t>
            </w:r>
          </w:p>
        </w:tc>
        <w:tc>
          <w:tcPr>
            <w:tcW w:w="5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(1)</w:t>
      </w:r>
    </w:p>
    <w:p>
      <w:pPr>
        <w:pStyle w:val="TextBody"/>
        <w:bidi w:val="0"/>
        <w:jc w:val="both"/>
        <w:rPr>
          <w:rFonts w:ascii="Times New Roman" w:hAnsi="Times New Roman"/>
          <w:color w:val="000000"/>
          <w:sz w:val="16"/>
        </w:rPr>
      </w:pPr>
      <w:r>
        <w:rPr>
          <w:rFonts w:ascii="Times New Roman" w:hAnsi="Times New Roman"/>
          <w:color w:val="000000"/>
          <w:sz w:val="16"/>
        </w:rPr>
        <w:t>In accordance with ASC 820, the Company's equity investment in Runway-Cadma I LLC is measured using the net asset value as a practical expedient for fair value, and thus has not been classified in the fair value hierarchy.</w:t>
      </w:r>
    </w:p>
    <w:p>
      <w:pPr>
        <w:pStyle w:val="TextBody"/>
        <w:bidi w:val="0"/>
        <w:spacing w:before="240" w:after="240"/>
        <w:jc w:val="both"/>
        <w:rPr>
          <w:rFonts w:ascii="Times New Roman" w:hAnsi="Times New Roman"/>
          <w:color w:val="000000"/>
          <w:sz w:val="20"/>
        </w:rPr>
      </w:pPr>
      <w:r>
        <w:rPr>
          <w:rFonts w:ascii="Times New Roman" w:hAnsi="Times New Roman"/>
          <w:color w:val="000000"/>
          <w:sz w:val="20"/>
        </w:rPr>
        <w:t xml:space="preserve">The Company transfers investments in and out of Levels 1, 2 and 3 as of the beginning balance sheet date, based on changes in the use of observable and unobservable inputs utilized to perform the valuation for the period. During the three months ended March 31, 2026, the Company did not have any transfers of investments between levels.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120"/>
        <w:jc w:val="left"/>
        <w:rPr/>
      </w:pPr>
      <w:r>
        <w:rPr/>
        <w:t> </w:t>
      </w:r>
    </w:p>
    <w:p>
      <w:pPr>
        <w:pStyle w:val="TextBody"/>
        <w:bidi w:val="0"/>
        <w:spacing w:before="240" w:after="240"/>
        <w:jc w:val="both"/>
        <w:rPr>
          <w:rFonts w:ascii="Times New Roman" w:hAnsi="Times New Roman"/>
          <w:color w:val="000000"/>
          <w:sz w:val="20"/>
        </w:rPr>
      </w:pPr>
      <w:r>
        <w:rPr>
          <w:rFonts w:ascii="Times New Roman" w:hAnsi="Times New Roman"/>
          <w:color w:val="000000"/>
          <w:sz w:val="20"/>
        </w:rPr>
        <w:t>The following table presents a rollforward of Level 3 assets measured at fair value as of March 31, 2026 (in thousands):</w:t>
      </w:r>
    </w:p>
    <w:tbl>
      <w:tblPr>
        <w:tblW w:w="10287" w:type="dxa"/>
        <w:jc w:val="left"/>
        <w:tblInd w:w="0" w:type="dxa"/>
        <w:tblLayout w:type="fixed"/>
        <w:tblCellMar>
          <w:top w:w="28" w:type="dxa"/>
          <w:left w:w="28" w:type="dxa"/>
          <w:bottom w:w="28" w:type="dxa"/>
          <w:right w:w="28" w:type="dxa"/>
        </w:tblCellMar>
      </w:tblPr>
      <w:tblGrid>
        <w:gridCol w:w="1036"/>
        <w:gridCol w:w="196"/>
        <w:gridCol w:w="146"/>
        <w:gridCol w:w="691"/>
        <w:gridCol w:w="166"/>
        <w:gridCol w:w="146"/>
        <w:gridCol w:w="256"/>
        <w:gridCol w:w="146"/>
        <w:gridCol w:w="511"/>
        <w:gridCol w:w="166"/>
        <w:gridCol w:w="146"/>
        <w:gridCol w:w="256"/>
        <w:gridCol w:w="158"/>
        <w:gridCol w:w="653"/>
        <w:gridCol w:w="166"/>
        <w:gridCol w:w="146"/>
        <w:gridCol w:w="256"/>
        <w:gridCol w:w="258"/>
        <w:gridCol w:w="508"/>
        <w:gridCol w:w="166"/>
        <w:gridCol w:w="146"/>
        <w:gridCol w:w="256"/>
        <w:gridCol w:w="146"/>
        <w:gridCol w:w="571"/>
        <w:gridCol w:w="166"/>
        <w:gridCol w:w="146"/>
        <w:gridCol w:w="256"/>
        <w:gridCol w:w="158"/>
        <w:gridCol w:w="653"/>
        <w:gridCol w:w="166"/>
        <w:gridCol w:w="146"/>
        <w:gridCol w:w="256"/>
        <w:gridCol w:w="146"/>
        <w:gridCol w:w="691"/>
        <w:gridCol w:w="211"/>
      </w:tblGrid>
      <w:tr>
        <w:trPr/>
        <w:tc>
          <w:tcPr>
            <w:tcW w:w="103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0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Senior Secured Loans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Second Lien </w:t>
              <w:br/>
              <w:t>Loans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Preferred </w:t>
              <w:br/>
              <w:t>Stock/Units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Common </w:t>
              <w:br/>
              <w:t>Stock/Units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Equity Interest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Warrants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0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Fair value at December 31, 2025</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853,893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6,434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36,264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1,493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15,582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913,684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Transfers in (out) of Level 3</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Purchases of investments</w:t>
            </w:r>
            <w:r>
              <w:rPr>
                <w:rFonts w:ascii="Times New Roman" w:hAnsi="Times New Roman"/>
                <w:color w:val="000000"/>
                <w:sz w:val="11"/>
              </w:rPr>
              <w:t>(1)</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15,477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17,477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PIK interest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4,583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4,797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Sales or prepayments of investments</w:t>
            </w:r>
            <w:r>
              <w:rPr>
                <w:rFonts w:ascii="Times New Roman" w:hAnsi="Times New Roman"/>
                <w:color w:val="000000"/>
                <w:sz w:val="11"/>
              </w:rPr>
              <w:t>(1)</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(17,380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0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Scheduled principal repayments of investments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(1,934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0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Amortization of fixed income premiums or accretion of discounts and ETP</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1,912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realized gain (loss)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1,257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change in unrealized gain (loss)</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(36,024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(8,989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(543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(1,122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(46,685</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0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Fair value at March 31, 2026</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822,899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6,652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1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29,275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2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1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14,287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873,128</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0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Net change in unrealized gain (loss) on Level 3 investments still held</w:t>
            </w:r>
            <w:r>
              <w:rPr>
                <w:rFonts w:ascii="Times New Roman" w:hAnsi="Times New Roman"/>
                <w:color w:val="000000"/>
                <w:sz w:val="20"/>
              </w:rPr>
              <w:t> </w:t>
            </w:r>
            <w:r>
              <w:rPr>
                <w:rFonts w:ascii="Times New Roman" w:hAnsi="Times New Roman"/>
                <w:color w:val="000000"/>
                <w:sz w:val="16"/>
              </w:rPr>
              <w:t>as of March 31, 2026</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(35,664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1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(8,988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2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1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(1,035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(45,694</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bl>
    <w:p>
      <w:pPr>
        <w:pStyle w:val="TextBody"/>
        <w:bidi w:val="0"/>
        <w:spacing w:before="120" w:after="283"/>
        <w:jc w:val="both"/>
        <w:rPr>
          <w:rFonts w:ascii="Times New Roman" w:hAnsi="Times New Roman"/>
          <w:color w:val="000000"/>
          <w:sz w:val="16"/>
        </w:rPr>
      </w:pPr>
      <w:r>
        <w:rPr>
          <w:rFonts w:ascii="Times New Roman" w:hAnsi="Times New Roman"/>
          <w:color w:val="000000"/>
          <w:sz w:val="16"/>
        </w:rPr>
        <w:t>(1)</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Net of reorganization and restructuring of investments.</w:t>
      </w:r>
    </w:p>
    <w:p>
      <w:pPr>
        <w:pStyle w:val="TextBody"/>
        <w:bidi w:val="0"/>
        <w:spacing w:before="240" w:after="240"/>
        <w:jc w:val="both"/>
        <w:rPr>
          <w:rFonts w:ascii="Times New Roman" w:hAnsi="Times New Roman"/>
          <w:color w:val="000000"/>
          <w:sz w:val="20"/>
        </w:rPr>
      </w:pPr>
      <w:r>
        <w:rPr>
          <w:rFonts w:ascii="Times New Roman" w:hAnsi="Times New Roman"/>
          <w:color w:val="000000"/>
          <w:sz w:val="20"/>
        </w:rPr>
        <w:t>The following table presents a rollforward of Level 3 assets measured at fair value as of March 31, 2025 (in thousands):</w:t>
      </w:r>
    </w:p>
    <w:tbl>
      <w:tblPr>
        <w:tblW w:w="10416" w:type="dxa"/>
        <w:jc w:val="left"/>
        <w:tblInd w:w="0" w:type="dxa"/>
        <w:tblLayout w:type="fixed"/>
        <w:tblCellMar>
          <w:top w:w="28" w:type="dxa"/>
          <w:left w:w="28" w:type="dxa"/>
          <w:bottom w:w="28" w:type="dxa"/>
          <w:right w:w="28" w:type="dxa"/>
        </w:tblCellMar>
      </w:tblPr>
      <w:tblGrid>
        <w:gridCol w:w="1036"/>
        <w:gridCol w:w="196"/>
        <w:gridCol w:w="146"/>
        <w:gridCol w:w="691"/>
        <w:gridCol w:w="166"/>
        <w:gridCol w:w="146"/>
        <w:gridCol w:w="256"/>
        <w:gridCol w:w="146"/>
        <w:gridCol w:w="601"/>
        <w:gridCol w:w="146"/>
        <w:gridCol w:w="146"/>
        <w:gridCol w:w="256"/>
        <w:gridCol w:w="146"/>
        <w:gridCol w:w="665"/>
        <w:gridCol w:w="166"/>
        <w:gridCol w:w="146"/>
        <w:gridCol w:w="256"/>
        <w:gridCol w:w="258"/>
        <w:gridCol w:w="508"/>
        <w:gridCol w:w="146"/>
        <w:gridCol w:w="146"/>
        <w:gridCol w:w="256"/>
        <w:gridCol w:w="146"/>
        <w:gridCol w:w="515"/>
        <w:gridCol w:w="166"/>
        <w:gridCol w:w="146"/>
        <w:gridCol w:w="256"/>
        <w:gridCol w:w="158"/>
        <w:gridCol w:w="653"/>
        <w:gridCol w:w="166"/>
        <w:gridCol w:w="146"/>
        <w:gridCol w:w="256"/>
        <w:gridCol w:w="146"/>
        <w:gridCol w:w="826"/>
        <w:gridCol w:w="211"/>
      </w:tblGrid>
      <w:tr>
        <w:trPr/>
        <w:tc>
          <w:tcPr>
            <w:tcW w:w="103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0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Senior Secured Loans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Second Lien </w:t>
              <w:br/>
              <w:t> Loans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Preferred </w:t>
              <w:br/>
              <w:t>Stock/Units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Common </w:t>
              <w:br/>
              <w:t>Stock/Units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Equity Interest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Warrants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2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0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Fair value at December 31, 2024</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950,092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20,152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73,460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13,752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1,058,670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Transfers in (out) of Level 3</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Purchases of investments</w:t>
            </w:r>
            <w:r>
              <w:rPr>
                <w:rFonts w:ascii="Times New Roman" w:hAnsi="Times New Roman"/>
                <w:color w:val="000000"/>
                <w:sz w:val="11"/>
              </w:rPr>
              <w:t>(1)</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15,061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15,320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PIK interest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3,188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3,260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Sales or prepayments of investments</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(36,906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(37,355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(74,261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0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Scheduled repayments of investments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(3,665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0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Amortization of fixed income premiums or accretion of discounts and ETP</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1,155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1,189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realized gain (loss)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9,255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(1,083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8,172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change in unrealized gain (loss)</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(2,853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(18,122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659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(20,461</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0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Fair Value at March 31, 2025</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926,072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20,316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27,238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2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995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1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13,587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988,224</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0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Net change in unrealized gain (loss) on Level 3 investments still held</w:t>
            </w:r>
            <w:r>
              <w:rPr>
                <w:rFonts w:ascii="Times New Roman" w:hAnsi="Times New Roman"/>
                <w:color w:val="000000"/>
                <w:sz w:val="20"/>
              </w:rPr>
              <w:t> </w:t>
            </w:r>
            <w:r>
              <w:rPr>
                <w:rFonts w:ascii="Times New Roman" w:hAnsi="Times New Roman"/>
                <w:color w:val="000000"/>
                <w:sz w:val="16"/>
              </w:rPr>
              <w:t>as of March 31, 2025</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(2,332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(8,866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2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1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(11,590</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bl>
    <w:p>
      <w:pPr>
        <w:pStyle w:val="TextBody"/>
        <w:bidi w:val="0"/>
        <w:spacing w:before="120" w:after="283"/>
        <w:jc w:val="both"/>
        <w:rPr>
          <w:rFonts w:ascii="Times New Roman" w:hAnsi="Times New Roman"/>
          <w:color w:val="000000"/>
          <w:sz w:val="16"/>
        </w:rPr>
      </w:pPr>
      <w:r>
        <w:rPr>
          <w:rFonts w:ascii="Times New Roman" w:hAnsi="Times New Roman"/>
          <w:color w:val="000000"/>
          <w:sz w:val="16"/>
        </w:rPr>
        <w:t>(1)</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Net of reorganization and restructuring of investments.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120"/>
        <w:jc w:val="left"/>
        <w:rPr/>
      </w:pPr>
      <w:r>
        <w:rPr/>
        <w:t> </w:t>
      </w:r>
    </w:p>
    <w:p>
      <w:pPr>
        <w:pStyle w:val="TextBody"/>
        <w:bidi w:val="0"/>
        <w:spacing w:before="240" w:after="240"/>
        <w:jc w:val="both"/>
        <w:rPr>
          <w:rFonts w:ascii="Times New Roman" w:hAnsi="Times New Roman"/>
          <w:color w:val="000000"/>
          <w:sz w:val="20"/>
        </w:rPr>
      </w:pPr>
      <w:r>
        <w:rPr>
          <w:rFonts w:ascii="Times New Roman" w:hAnsi="Times New Roman"/>
          <w:color w:val="000000"/>
          <w:sz w:val="20"/>
        </w:rPr>
        <w:t>The following table provides quantitative information regarding Level 3 fair value measurements as of March 31, 2026 (in thousands):</w:t>
      </w:r>
    </w:p>
    <w:tbl>
      <w:tblPr>
        <w:tblW w:w="10122" w:type="dxa"/>
        <w:jc w:val="left"/>
        <w:tblInd w:w="0" w:type="dxa"/>
        <w:tblLayout w:type="fixed"/>
        <w:tblCellMar>
          <w:top w:w="28" w:type="dxa"/>
          <w:left w:w="28" w:type="dxa"/>
          <w:bottom w:w="28" w:type="dxa"/>
          <w:right w:w="28" w:type="dxa"/>
        </w:tblCellMar>
      </w:tblPr>
      <w:tblGrid>
        <w:gridCol w:w="1981"/>
        <w:gridCol w:w="146"/>
        <w:gridCol w:w="196"/>
        <w:gridCol w:w="146"/>
        <w:gridCol w:w="691"/>
        <w:gridCol w:w="146"/>
        <w:gridCol w:w="146"/>
        <w:gridCol w:w="2281"/>
        <w:gridCol w:w="146"/>
        <w:gridCol w:w="1966"/>
        <w:gridCol w:w="146"/>
        <w:gridCol w:w="2131"/>
      </w:tblGrid>
      <w:tr>
        <w:trPr/>
        <w:tc>
          <w:tcPr>
            <w:tcW w:w="19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1" w:type="dxa"/>
            <w:tcBorders/>
            <w:vAlign w:val="center"/>
          </w:tcPr>
          <w:p>
            <w:pPr>
              <w:pStyle w:val="TableContents"/>
              <w:bidi w:val="0"/>
              <w:spacing w:before="0" w:after="283"/>
              <w:jc w:val="left"/>
              <w:rPr>
                <w:sz w:val="4"/>
                <w:szCs w:val="4"/>
              </w:rPr>
            </w:pPr>
            <w:r>
              <w:rPr>
                <w:sz w:val="4"/>
                <w:szCs w:val="4"/>
              </w:rPr>
            </w:r>
          </w:p>
        </w:tc>
      </w:tr>
      <w:tr>
        <w:trPr/>
        <w:tc>
          <w:tcPr>
            <w:tcW w:w="19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Description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Valuation Technique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Unobservable Inputs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Range (Weighted Average)</w:t>
            </w:r>
          </w:p>
        </w:tc>
      </w:tr>
      <w:tr>
        <w:trPr/>
        <w:tc>
          <w:tcPr>
            <w:tcW w:w="19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Senior Secured Loans</w:t>
            </w:r>
            <w:r>
              <w:rPr>
                <w:rFonts w:ascii="Times New Roman" w:hAnsi="Times New Roman"/>
                <w:color w:val="000000"/>
                <w:sz w:val="11"/>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661,338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Discounted Cash Flow Analysis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Discount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3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10.4% - 18.7% (13.6%)</w:t>
            </w:r>
          </w:p>
        </w:tc>
      </w:tr>
      <w:tr>
        <w:trPr/>
        <w:tc>
          <w:tcPr>
            <w:tcW w:w="19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Origination yield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3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10.2% - 19.1% (13.7%)</w:t>
            </w:r>
          </w:p>
        </w:tc>
      </w:tr>
      <w:tr>
        <w:trPr/>
        <w:tc>
          <w:tcPr>
            <w:tcW w:w="19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Revenue multiples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3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0.57x - 7.32x (3.22x)</w:t>
            </w:r>
          </w:p>
        </w:tc>
      </w:tr>
      <w:tr>
        <w:trPr/>
        <w:tc>
          <w:tcPr>
            <w:tcW w:w="19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161,561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PWERM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Discount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19.8% - 45.8% (30.2%)</w:t>
            </w:r>
          </w:p>
        </w:tc>
      </w:tr>
      <w:tr>
        <w:trPr/>
        <w:tc>
          <w:tcPr>
            <w:tcW w:w="19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Origination yield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12.3% - 29.9% (14.8%)</w:t>
            </w:r>
          </w:p>
        </w:tc>
      </w:tr>
      <w:tr>
        <w:trPr/>
        <w:tc>
          <w:tcPr>
            <w:tcW w:w="19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Revenue multiples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0.21x - 3.45x (1.98x)</w:t>
            </w:r>
          </w:p>
        </w:tc>
      </w:tr>
      <w:tr>
        <w:trPr/>
        <w:tc>
          <w:tcPr>
            <w:tcW w:w="19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Second Lien Loans</w:t>
            </w:r>
            <w:r>
              <w:rPr>
                <w:rFonts w:ascii="Times New Roman" w:hAnsi="Times New Roman"/>
                <w:color w:val="000000"/>
                <w:sz w:val="11"/>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6,652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Discounted Cash Flow Analysis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Discount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3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21.3% - 21.3% (21.3%)</w:t>
            </w:r>
          </w:p>
        </w:tc>
      </w:tr>
      <w:tr>
        <w:trPr/>
        <w:tc>
          <w:tcPr>
            <w:tcW w:w="19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Origination yield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3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18.4% - 18.4% (18.4%)</w:t>
            </w:r>
          </w:p>
        </w:tc>
      </w:tr>
      <w:tr>
        <w:trPr/>
        <w:tc>
          <w:tcPr>
            <w:tcW w:w="19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Revenue Multiples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3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2.72x - 2.72x (2.72x)</w:t>
            </w:r>
          </w:p>
        </w:tc>
      </w:tr>
      <w:tr>
        <w:trPr/>
        <w:tc>
          <w:tcPr>
            <w:tcW w:w="19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Preferred Stock/Units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26,850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color w:val="000000"/>
                <w:sz w:val="16"/>
              </w:rPr>
              <w:t xml:space="preserve">Current Value Method </w:t>
            </w:r>
            <w:r>
              <w:rPr>
                <w:rFonts w:ascii="Times New Roman" w:hAnsi="Times New Roman"/>
                <w:color w:val="000000"/>
                <w:sz w:val="11"/>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Risk-free interest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3.4% - 3.4% (3.4%)</w:t>
            </w:r>
          </w:p>
        </w:tc>
      </w:tr>
      <w:tr>
        <w:trPr/>
        <w:tc>
          <w:tcPr>
            <w:tcW w:w="19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Average industry volatility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52.5% - 80.0% (62.4%)</w:t>
            </w:r>
          </w:p>
        </w:tc>
      </w:tr>
      <w:tr>
        <w:trPr/>
        <w:tc>
          <w:tcPr>
            <w:tcW w:w="19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Estimated time to exit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16"/>
              </w:rPr>
              <w:t>2.0</w:t>
            </w:r>
            <w:r>
              <w:rPr>
                <w:rFonts w:ascii="Times New Roman" w:hAnsi="Times New Roman"/>
                <w:color w:val="000000"/>
                <w:sz w:val="20"/>
              </w:rPr>
              <w:t> </w:t>
            </w:r>
            <w:r>
              <w:rPr>
                <w:rFonts w:ascii="Times New Roman" w:hAnsi="Times New Roman"/>
                <w:color w:val="000000"/>
                <w:sz w:val="16"/>
              </w:rPr>
              <w:t>- 3.0</w:t>
            </w:r>
            <w:r>
              <w:rPr>
                <w:rFonts w:ascii="Times New Roman" w:hAnsi="Times New Roman"/>
                <w:color w:val="000000"/>
                <w:sz w:val="20"/>
              </w:rPr>
              <w:t> </w:t>
            </w:r>
            <w:r>
              <w:rPr>
                <w:rFonts w:ascii="Times New Roman" w:hAnsi="Times New Roman"/>
                <w:color w:val="000000"/>
                <w:sz w:val="16"/>
              </w:rPr>
              <w:t>(2.6</w:t>
            </w:r>
            <w:r>
              <w:rPr>
                <w:rFonts w:ascii="Times New Roman" w:hAnsi="Times New Roman"/>
                <w:color w:val="000000"/>
                <w:sz w:val="20"/>
              </w:rPr>
              <w:t> </w:t>
            </w:r>
            <w:r>
              <w:rPr>
                <w:rFonts w:ascii="Times New Roman" w:hAnsi="Times New Roman"/>
                <w:color w:val="000000"/>
                <w:sz w:val="16"/>
              </w:rPr>
              <w:t>years)</w:t>
            </w:r>
          </w:p>
        </w:tc>
      </w:tr>
      <w:tr>
        <w:trPr/>
        <w:tc>
          <w:tcPr>
            <w:tcW w:w="19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Option Pricing Model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Risk-free interest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3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3.4% - 3.5% (3.4%)</w:t>
            </w:r>
          </w:p>
        </w:tc>
      </w:tr>
      <w:tr>
        <w:trPr/>
        <w:tc>
          <w:tcPr>
            <w:tcW w:w="19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Average industry volatility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3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35.0% - 60.0% (49.5%)</w:t>
            </w:r>
          </w:p>
        </w:tc>
      </w:tr>
      <w:tr>
        <w:trPr/>
        <w:tc>
          <w:tcPr>
            <w:tcW w:w="19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Estimated time to exit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3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16"/>
              </w:rPr>
              <w:t>2.2</w:t>
            </w:r>
            <w:r>
              <w:rPr>
                <w:rFonts w:ascii="Times New Roman" w:hAnsi="Times New Roman"/>
                <w:color w:val="000000"/>
                <w:sz w:val="20"/>
              </w:rPr>
              <w:t> </w:t>
            </w:r>
            <w:r>
              <w:rPr>
                <w:rFonts w:ascii="Times New Roman" w:hAnsi="Times New Roman"/>
                <w:color w:val="000000"/>
                <w:sz w:val="16"/>
              </w:rPr>
              <w:t>- 3.5</w:t>
            </w:r>
            <w:r>
              <w:rPr>
                <w:rFonts w:ascii="Times New Roman" w:hAnsi="Times New Roman"/>
                <w:color w:val="000000"/>
                <w:sz w:val="20"/>
              </w:rPr>
              <w:t> </w:t>
            </w:r>
            <w:r>
              <w:rPr>
                <w:rFonts w:ascii="Times New Roman" w:hAnsi="Times New Roman"/>
                <w:color w:val="000000"/>
                <w:sz w:val="16"/>
              </w:rPr>
              <w:t>(2.5</w:t>
            </w:r>
            <w:r>
              <w:rPr>
                <w:rFonts w:ascii="Times New Roman" w:hAnsi="Times New Roman"/>
                <w:color w:val="000000"/>
                <w:sz w:val="20"/>
              </w:rPr>
              <w:t> </w:t>
            </w:r>
            <w:r>
              <w:rPr>
                <w:rFonts w:ascii="Times New Roman" w:hAnsi="Times New Roman"/>
                <w:color w:val="000000"/>
                <w:sz w:val="16"/>
              </w:rPr>
              <w:t>years)</w:t>
            </w:r>
          </w:p>
        </w:tc>
      </w:tr>
      <w:tr>
        <w:trPr/>
        <w:tc>
          <w:tcPr>
            <w:tcW w:w="19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Revenue multiples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3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2.60x - 2.72x (2.60x)</w:t>
            </w:r>
          </w:p>
        </w:tc>
      </w:tr>
      <w:tr>
        <w:trPr/>
        <w:tc>
          <w:tcPr>
            <w:tcW w:w="19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PWERM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Risk-free interest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3.5% - 3.5% (3.5%)</w:t>
            </w:r>
          </w:p>
        </w:tc>
      </w:tr>
      <w:tr>
        <w:trPr/>
        <w:tc>
          <w:tcPr>
            <w:tcW w:w="19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Average industry volatility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44.4% - 44.4% (44.4%)</w:t>
            </w:r>
          </w:p>
        </w:tc>
      </w:tr>
      <w:tr>
        <w:trPr/>
        <w:tc>
          <w:tcPr>
            <w:tcW w:w="19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Estimated time to exit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16"/>
              </w:rPr>
              <w:t>4.8</w:t>
            </w:r>
            <w:r>
              <w:rPr>
                <w:rFonts w:ascii="Times New Roman" w:hAnsi="Times New Roman"/>
                <w:color w:val="000000"/>
                <w:sz w:val="20"/>
              </w:rPr>
              <w:t> </w:t>
            </w:r>
            <w:r>
              <w:rPr>
                <w:rFonts w:ascii="Times New Roman" w:hAnsi="Times New Roman"/>
                <w:color w:val="000000"/>
                <w:sz w:val="16"/>
              </w:rPr>
              <w:t>- 4.8</w:t>
            </w:r>
            <w:r>
              <w:rPr>
                <w:rFonts w:ascii="Times New Roman" w:hAnsi="Times New Roman"/>
                <w:color w:val="000000"/>
                <w:sz w:val="20"/>
              </w:rPr>
              <w:t> </w:t>
            </w:r>
            <w:r>
              <w:rPr>
                <w:rFonts w:ascii="Times New Roman" w:hAnsi="Times New Roman"/>
                <w:color w:val="000000"/>
                <w:sz w:val="16"/>
              </w:rPr>
              <w:t>(4.8</w:t>
            </w:r>
            <w:r>
              <w:rPr>
                <w:rFonts w:ascii="Times New Roman" w:hAnsi="Times New Roman"/>
                <w:color w:val="000000"/>
                <w:sz w:val="20"/>
              </w:rPr>
              <w:t> </w:t>
            </w:r>
            <w:r>
              <w:rPr>
                <w:rFonts w:ascii="Times New Roman" w:hAnsi="Times New Roman"/>
                <w:color w:val="000000"/>
                <w:sz w:val="16"/>
              </w:rPr>
              <w:t>years)</w:t>
            </w:r>
          </w:p>
        </w:tc>
      </w:tr>
      <w:tr>
        <w:trPr/>
        <w:tc>
          <w:tcPr>
            <w:tcW w:w="19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Revenue multiples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1.88x - 1.88x (1.88x)</w:t>
            </w:r>
          </w:p>
        </w:tc>
      </w:tr>
      <w:tr>
        <w:trPr/>
        <w:tc>
          <w:tcPr>
            <w:tcW w:w="19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Common Stock/Units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Option Pricing Model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Risk-free interest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3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3.4% - 3.4% (3.4%)</w:t>
            </w:r>
          </w:p>
        </w:tc>
      </w:tr>
      <w:tr>
        <w:trPr/>
        <w:tc>
          <w:tcPr>
            <w:tcW w:w="19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Average industry volatility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3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60.0% - 60.0% (60.0%)</w:t>
            </w:r>
          </w:p>
        </w:tc>
      </w:tr>
      <w:tr>
        <w:trPr/>
        <w:tc>
          <w:tcPr>
            <w:tcW w:w="19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Estimated time to exit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3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16"/>
              </w:rPr>
              <w:t>3.0</w:t>
            </w:r>
            <w:r>
              <w:rPr>
                <w:rFonts w:ascii="Times New Roman" w:hAnsi="Times New Roman"/>
                <w:color w:val="000000"/>
                <w:sz w:val="20"/>
              </w:rPr>
              <w:t> </w:t>
            </w:r>
            <w:r>
              <w:rPr>
                <w:rFonts w:ascii="Times New Roman" w:hAnsi="Times New Roman"/>
                <w:color w:val="000000"/>
                <w:sz w:val="16"/>
              </w:rPr>
              <w:t>- 3.0</w:t>
            </w:r>
            <w:r>
              <w:rPr>
                <w:rFonts w:ascii="Times New Roman" w:hAnsi="Times New Roman"/>
                <w:color w:val="000000"/>
                <w:sz w:val="20"/>
              </w:rPr>
              <w:t> </w:t>
            </w:r>
            <w:r>
              <w:rPr>
                <w:rFonts w:ascii="Times New Roman" w:hAnsi="Times New Roman"/>
                <w:color w:val="000000"/>
                <w:sz w:val="16"/>
              </w:rPr>
              <w:t>(3.0</w:t>
            </w:r>
            <w:r>
              <w:rPr>
                <w:rFonts w:ascii="Times New Roman" w:hAnsi="Times New Roman"/>
                <w:color w:val="000000"/>
                <w:sz w:val="20"/>
              </w:rPr>
              <w:t> </w:t>
            </w:r>
            <w:r>
              <w:rPr>
                <w:rFonts w:ascii="Times New Roman" w:hAnsi="Times New Roman"/>
                <w:color w:val="000000"/>
                <w:sz w:val="16"/>
              </w:rPr>
              <w:t>years)</w:t>
            </w:r>
          </w:p>
        </w:tc>
      </w:tr>
      <w:tr>
        <w:trPr/>
        <w:tc>
          <w:tcPr>
            <w:tcW w:w="19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Warrants</w:t>
            </w:r>
            <w:r>
              <w:rPr>
                <w:rFonts w:ascii="Times New Roman" w:hAnsi="Times New Roman"/>
                <w:color w:val="000000"/>
                <w:sz w:val="11"/>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11,298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Option Pricing Model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Risk-free interest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3.4% - 3.5% (3.4%)</w:t>
            </w:r>
          </w:p>
        </w:tc>
      </w:tr>
      <w:tr>
        <w:trPr/>
        <w:tc>
          <w:tcPr>
            <w:tcW w:w="19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Average industry volatility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27.5% - 85.0% (50.5%)</w:t>
            </w:r>
          </w:p>
        </w:tc>
      </w:tr>
      <w:tr>
        <w:trPr/>
        <w:tc>
          <w:tcPr>
            <w:tcW w:w="19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Estimated time to exit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16"/>
              </w:rPr>
              <w:t>2.0</w:t>
            </w:r>
            <w:r>
              <w:rPr>
                <w:rFonts w:ascii="Times New Roman" w:hAnsi="Times New Roman"/>
                <w:color w:val="000000"/>
                <w:sz w:val="20"/>
              </w:rPr>
              <w:t> </w:t>
            </w:r>
            <w:r>
              <w:rPr>
                <w:rFonts w:ascii="Times New Roman" w:hAnsi="Times New Roman"/>
                <w:color w:val="000000"/>
                <w:sz w:val="16"/>
              </w:rPr>
              <w:t>- 5.0</w:t>
            </w:r>
            <w:r>
              <w:rPr>
                <w:rFonts w:ascii="Times New Roman" w:hAnsi="Times New Roman"/>
                <w:color w:val="000000"/>
                <w:sz w:val="20"/>
              </w:rPr>
              <w:t> </w:t>
            </w:r>
            <w:r>
              <w:rPr>
                <w:rFonts w:ascii="Times New Roman" w:hAnsi="Times New Roman"/>
                <w:color w:val="000000"/>
                <w:sz w:val="16"/>
              </w:rPr>
              <w:t>(3.1</w:t>
            </w:r>
            <w:r>
              <w:rPr>
                <w:rFonts w:ascii="Times New Roman" w:hAnsi="Times New Roman"/>
                <w:color w:val="000000"/>
                <w:sz w:val="20"/>
              </w:rPr>
              <w:t> </w:t>
            </w:r>
            <w:r>
              <w:rPr>
                <w:rFonts w:ascii="Times New Roman" w:hAnsi="Times New Roman"/>
                <w:color w:val="000000"/>
                <w:sz w:val="16"/>
              </w:rPr>
              <w:t>years)</w:t>
            </w:r>
          </w:p>
        </w:tc>
      </w:tr>
      <w:tr>
        <w:trPr/>
        <w:tc>
          <w:tcPr>
            <w:tcW w:w="19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Revenue multiples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1.72x - 91.22x (3.44x)</w:t>
            </w:r>
          </w:p>
        </w:tc>
      </w:tr>
      <w:tr>
        <w:trPr/>
        <w:tc>
          <w:tcPr>
            <w:tcW w:w="19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2,989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color w:val="000000"/>
                <w:sz w:val="16"/>
              </w:rPr>
              <w:t xml:space="preserve">PWERM </w:t>
            </w:r>
            <w:r>
              <w:rPr>
                <w:rFonts w:ascii="Times New Roman" w:hAnsi="Times New Roman"/>
                <w:color w:val="000000"/>
                <w:sz w:val="11"/>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3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N/A</w:t>
            </w:r>
          </w:p>
        </w:tc>
      </w:tr>
      <w:tr>
        <w:trPr/>
        <w:tc>
          <w:tcPr>
            <w:tcW w:w="19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9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Level 3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873,128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83"/>
        <w:jc w:val="both"/>
        <w:rPr>
          <w:rFonts w:ascii="Times New Roman" w:hAnsi="Times New Roman"/>
          <w:color w:val="000000"/>
          <w:sz w:val="16"/>
        </w:rPr>
      </w:pPr>
      <w:r>
        <w:rPr>
          <w:rFonts w:ascii="Times New Roman" w:hAnsi="Times New Roman"/>
          <w:color w:val="000000"/>
          <w:sz w:val="16"/>
        </w:rPr>
        <w:t>(1)</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The significant unobservable inputs used in the fair value measurement of the Company’s debt securities are origination yields and discount rates. The origination yield is defined as the initial market price of an investment in a hypothetical market to hypothetical market participants where buyers and sellers are willing participants. The discount rate is related to company-specific characteristics such as underlying investment performance, projected cash flows, and other characteristics of the investment. Significant increases or decreases in the inputs in isolation may result in a significantly higher or lower fair value measurement, depending on the materiality of the investment. However, a significantly higher or lower fair value measurement of any of the Company’s portfolio investments may occur regardless of whether there is a significant increase or decrease in the unobservable inputs.</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(2)</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The significant unobservable inputs used in the fair value measurement of the Company’s warrant and equity-related securities are inputs used in the OPM, which include industry volatility, risk free interest rate and estimated time to exit. The Equity Allocation model and the Black Scholes model were the main OPMs used during the period ended March 31, 2026. PWERM and other techniques were used as determined appropriate. Significant increases or decreases in the inputs in isolation would result in a significantly higher or lower fair value measurement, depending on the materiality of the investment. However, a significantly higher or lower fair value measurement of any of the Company’s portfolio investments may occur regardless of whether there is a significant increase or decrease in the unobservable inputs. For some investments, additional consideration may be given to data from the last round of financing or merger/acquisition events near the measurement date.</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(3)</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 xml:space="preserve">Warrant investments using a PWERM valuation technique contain success fees, in which case the inputs are not applicable because the nature of a success fee is a fixed payout dependent on certain liquidation events. </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(4)</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Investments valued using the Current Value Method, which may include a Waterfall valuation technique or be based on the redemption value of preferred shares. In the case of the JobGet Holdings, Inc. valuation, the inputs applied are based on an option pricing model that was utilized to value the shares that JobGet Holdings, Inc. owns in JobGet, Inc. In the case of a redemption value technique, inputs may be utilized in order to calculate a DLOM.</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120"/>
        <w:jc w:val="left"/>
        <w:rPr/>
      </w:pPr>
      <w:r>
        <w:rPr/>
        <w:t> </w:t>
      </w:r>
    </w:p>
    <w:p>
      <w:pPr>
        <w:pStyle w:val="TextBody"/>
        <w:bidi w:val="0"/>
        <w:spacing w:before="240" w:after="240"/>
        <w:jc w:val="both"/>
        <w:rPr>
          <w:rFonts w:ascii="Times New Roman" w:hAnsi="Times New Roman"/>
          <w:color w:val="000000"/>
          <w:sz w:val="20"/>
        </w:rPr>
      </w:pPr>
      <w:r>
        <w:rPr>
          <w:rFonts w:ascii="Times New Roman" w:hAnsi="Times New Roman"/>
          <w:color w:val="000000"/>
          <w:sz w:val="20"/>
        </w:rPr>
        <w:t>The following table provides quantitative information regarding Level 3 fair value measurements as of December 31, 2025 (in thousands):</w:t>
      </w:r>
    </w:p>
    <w:tbl>
      <w:tblPr>
        <w:tblW w:w="10122" w:type="dxa"/>
        <w:jc w:val="left"/>
        <w:tblInd w:w="0" w:type="dxa"/>
        <w:tblLayout w:type="fixed"/>
        <w:tblCellMar>
          <w:top w:w="28" w:type="dxa"/>
          <w:left w:w="28" w:type="dxa"/>
          <w:bottom w:w="28" w:type="dxa"/>
          <w:right w:w="28" w:type="dxa"/>
        </w:tblCellMar>
      </w:tblPr>
      <w:tblGrid>
        <w:gridCol w:w="1981"/>
        <w:gridCol w:w="146"/>
        <w:gridCol w:w="196"/>
        <w:gridCol w:w="146"/>
        <w:gridCol w:w="691"/>
        <w:gridCol w:w="146"/>
        <w:gridCol w:w="146"/>
        <w:gridCol w:w="2281"/>
        <w:gridCol w:w="146"/>
        <w:gridCol w:w="1966"/>
        <w:gridCol w:w="146"/>
        <w:gridCol w:w="2131"/>
      </w:tblGrid>
      <w:tr>
        <w:trPr/>
        <w:tc>
          <w:tcPr>
            <w:tcW w:w="19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1" w:type="dxa"/>
            <w:tcBorders/>
            <w:vAlign w:val="center"/>
          </w:tcPr>
          <w:p>
            <w:pPr>
              <w:pStyle w:val="TableContents"/>
              <w:bidi w:val="0"/>
              <w:spacing w:before="0" w:after="283"/>
              <w:jc w:val="left"/>
              <w:rPr>
                <w:sz w:val="4"/>
                <w:szCs w:val="4"/>
              </w:rPr>
            </w:pPr>
            <w:r>
              <w:rPr>
                <w:sz w:val="4"/>
                <w:szCs w:val="4"/>
              </w:rPr>
            </w:r>
          </w:p>
        </w:tc>
      </w:tr>
      <w:tr>
        <w:trPr/>
        <w:tc>
          <w:tcPr>
            <w:tcW w:w="19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Description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Valuation Technique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Unobservable Inputs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Range (Weighted Average)</w:t>
            </w:r>
          </w:p>
        </w:tc>
      </w:tr>
      <w:tr>
        <w:trPr/>
        <w:tc>
          <w:tcPr>
            <w:tcW w:w="19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Senior Secured Loans</w:t>
            </w:r>
            <w:r>
              <w:rPr>
                <w:rFonts w:ascii="Times New Roman" w:hAnsi="Times New Roman"/>
                <w:color w:val="000000"/>
                <w:sz w:val="11"/>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721,579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Discounted Cash Flow Analysis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Discount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3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9.3% - 26.0% (14.6%)</w:t>
            </w:r>
          </w:p>
        </w:tc>
      </w:tr>
      <w:tr>
        <w:trPr/>
        <w:tc>
          <w:tcPr>
            <w:tcW w:w="19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Origination yield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3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10.2% - 19.1% (13.7%)</w:t>
            </w:r>
          </w:p>
        </w:tc>
      </w:tr>
      <w:tr>
        <w:trPr/>
        <w:tc>
          <w:tcPr>
            <w:tcW w:w="19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Revenue multiples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3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0.77x - 8.27x (3.58x)</w:t>
            </w:r>
          </w:p>
        </w:tc>
      </w:tr>
      <w:tr>
        <w:trPr/>
        <w:tc>
          <w:tcPr>
            <w:tcW w:w="19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132,314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PWERM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Discount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13.6% - 46.2% (25.4%)</w:t>
            </w:r>
          </w:p>
        </w:tc>
      </w:tr>
      <w:tr>
        <w:trPr/>
        <w:tc>
          <w:tcPr>
            <w:tcW w:w="19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Origination yield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12.7% - 29.9% (15.8%)</w:t>
            </w:r>
          </w:p>
        </w:tc>
      </w:tr>
      <w:tr>
        <w:trPr/>
        <w:tc>
          <w:tcPr>
            <w:tcW w:w="19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Revenue multiples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0.28x - 121.39x (15.20x)</w:t>
            </w:r>
          </w:p>
        </w:tc>
      </w:tr>
      <w:tr>
        <w:trPr/>
        <w:tc>
          <w:tcPr>
            <w:tcW w:w="19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Second Lien Loans</w:t>
            </w:r>
            <w:r>
              <w:rPr>
                <w:rFonts w:ascii="Times New Roman" w:hAnsi="Times New Roman"/>
                <w:color w:val="000000"/>
                <w:sz w:val="11"/>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6,434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Discounted Cash Flow Analysis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Discount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3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20.5% - 20.5% (20.5%)</w:t>
            </w:r>
          </w:p>
        </w:tc>
      </w:tr>
      <w:tr>
        <w:trPr/>
        <w:tc>
          <w:tcPr>
            <w:tcW w:w="19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Origination yield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3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18.4% - 18.4% (18.4%)</w:t>
            </w:r>
          </w:p>
        </w:tc>
      </w:tr>
      <w:tr>
        <w:trPr/>
        <w:tc>
          <w:tcPr>
            <w:tcW w:w="19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Revenue Multiples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3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2.88x - 2.88x (2.88x)</w:t>
            </w:r>
          </w:p>
        </w:tc>
      </w:tr>
      <w:tr>
        <w:trPr/>
        <w:tc>
          <w:tcPr>
            <w:tcW w:w="19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Preferred Stock/Units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35,781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color w:val="000000"/>
                <w:sz w:val="16"/>
              </w:rPr>
              <w:t xml:space="preserve">Current Value Method </w:t>
            </w:r>
            <w:r>
              <w:rPr>
                <w:rFonts w:ascii="Times New Roman" w:hAnsi="Times New Roman"/>
                <w:color w:val="000000"/>
                <w:sz w:val="11"/>
              </w:rPr>
              <w:t>(5)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Risk-free interest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3.5% - 3.5% (3.5%)</w:t>
            </w:r>
          </w:p>
        </w:tc>
      </w:tr>
      <w:tr>
        <w:trPr/>
        <w:tc>
          <w:tcPr>
            <w:tcW w:w="19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Average industry volatility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50.0% - 80.0% (58.1%)</w:t>
            </w:r>
          </w:p>
        </w:tc>
      </w:tr>
      <w:tr>
        <w:trPr/>
        <w:tc>
          <w:tcPr>
            <w:tcW w:w="19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Estimated time to exit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16"/>
              </w:rPr>
              <w:t>2.0</w:t>
            </w:r>
            <w:r>
              <w:rPr>
                <w:rFonts w:ascii="Times New Roman" w:hAnsi="Times New Roman"/>
                <w:color w:val="000000"/>
                <w:sz w:val="20"/>
              </w:rPr>
              <w:t> </w:t>
            </w:r>
            <w:r>
              <w:rPr>
                <w:rFonts w:ascii="Times New Roman" w:hAnsi="Times New Roman"/>
                <w:color w:val="000000"/>
                <w:sz w:val="16"/>
              </w:rPr>
              <w:t>- 3.0</w:t>
            </w:r>
            <w:r>
              <w:rPr>
                <w:rFonts w:ascii="Times New Roman" w:hAnsi="Times New Roman"/>
                <w:color w:val="000000"/>
                <w:sz w:val="20"/>
              </w:rPr>
              <w:t> </w:t>
            </w:r>
            <w:r>
              <w:rPr>
                <w:rFonts w:ascii="Times New Roman" w:hAnsi="Times New Roman"/>
                <w:color w:val="000000"/>
                <w:sz w:val="16"/>
              </w:rPr>
              <w:t>(2.7</w:t>
            </w:r>
            <w:r>
              <w:rPr>
                <w:rFonts w:ascii="Times New Roman" w:hAnsi="Times New Roman"/>
                <w:color w:val="000000"/>
                <w:sz w:val="20"/>
              </w:rPr>
              <w:t> </w:t>
            </w:r>
            <w:r>
              <w:rPr>
                <w:rFonts w:ascii="Times New Roman" w:hAnsi="Times New Roman"/>
                <w:color w:val="000000"/>
                <w:sz w:val="16"/>
              </w:rPr>
              <w:t>years)</w:t>
            </w:r>
          </w:p>
        </w:tc>
      </w:tr>
      <w:tr>
        <w:trPr/>
        <w:tc>
          <w:tcPr>
            <w:tcW w:w="19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Option Pricing Model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Risk-free interest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3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3.5% - 3.6% (3.5%)</w:t>
            </w:r>
          </w:p>
        </w:tc>
      </w:tr>
      <w:tr>
        <w:trPr/>
        <w:tc>
          <w:tcPr>
            <w:tcW w:w="19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Average industry volatility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3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35.0% - 55.0% (46.2%)</w:t>
            </w:r>
          </w:p>
        </w:tc>
      </w:tr>
      <w:tr>
        <w:trPr/>
        <w:tc>
          <w:tcPr>
            <w:tcW w:w="19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Estimated time to exit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3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16"/>
              </w:rPr>
              <w:t>2.5</w:t>
            </w:r>
            <w:r>
              <w:rPr>
                <w:rFonts w:ascii="Times New Roman" w:hAnsi="Times New Roman"/>
                <w:color w:val="000000"/>
                <w:sz w:val="20"/>
              </w:rPr>
              <w:t> </w:t>
            </w:r>
            <w:r>
              <w:rPr>
                <w:rFonts w:ascii="Times New Roman" w:hAnsi="Times New Roman"/>
                <w:color w:val="000000"/>
                <w:sz w:val="16"/>
              </w:rPr>
              <w:t>- 3.7</w:t>
            </w:r>
            <w:r>
              <w:rPr>
                <w:rFonts w:ascii="Times New Roman" w:hAnsi="Times New Roman"/>
                <w:color w:val="000000"/>
                <w:sz w:val="20"/>
              </w:rPr>
              <w:t> </w:t>
            </w:r>
            <w:r>
              <w:rPr>
                <w:rFonts w:ascii="Times New Roman" w:hAnsi="Times New Roman"/>
                <w:color w:val="000000"/>
                <w:sz w:val="16"/>
              </w:rPr>
              <w:t>(2.7 years)</w:t>
            </w:r>
          </w:p>
        </w:tc>
      </w:tr>
      <w:tr>
        <w:trPr/>
        <w:tc>
          <w:tcPr>
            <w:tcW w:w="19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Revenue multiples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3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2.73x - 2.88x (2.73x)</w:t>
            </w:r>
          </w:p>
        </w:tc>
      </w:tr>
      <w:tr>
        <w:trPr/>
        <w:tc>
          <w:tcPr>
            <w:tcW w:w="19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Common Stock/Units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Option Pricing Model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Risk-free interest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3.5% - 3.5% (3.5%)</w:t>
            </w:r>
          </w:p>
        </w:tc>
      </w:tr>
      <w:tr>
        <w:trPr/>
        <w:tc>
          <w:tcPr>
            <w:tcW w:w="19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Average industry volatility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55.0% - 55.0% (55.0%)</w:t>
            </w:r>
          </w:p>
        </w:tc>
      </w:tr>
      <w:tr>
        <w:trPr/>
        <w:tc>
          <w:tcPr>
            <w:tcW w:w="19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Estimated time to exit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16"/>
              </w:rPr>
              <w:t>3.0</w:t>
            </w:r>
            <w:r>
              <w:rPr>
                <w:rFonts w:ascii="Times New Roman" w:hAnsi="Times New Roman"/>
                <w:color w:val="000000"/>
                <w:sz w:val="20"/>
              </w:rPr>
              <w:t> </w:t>
            </w:r>
            <w:r>
              <w:rPr>
                <w:rFonts w:ascii="Times New Roman" w:hAnsi="Times New Roman"/>
                <w:color w:val="000000"/>
                <w:sz w:val="16"/>
              </w:rPr>
              <w:t>- 3.0</w:t>
            </w:r>
            <w:r>
              <w:rPr>
                <w:rFonts w:ascii="Times New Roman" w:hAnsi="Times New Roman"/>
                <w:color w:val="000000"/>
                <w:sz w:val="20"/>
              </w:rPr>
              <w:t> </w:t>
            </w:r>
            <w:r>
              <w:rPr>
                <w:rFonts w:ascii="Times New Roman" w:hAnsi="Times New Roman"/>
                <w:color w:val="000000"/>
                <w:sz w:val="16"/>
              </w:rPr>
              <w:t>(3.0</w:t>
            </w:r>
            <w:r>
              <w:rPr>
                <w:rFonts w:ascii="Times New Roman" w:hAnsi="Times New Roman"/>
                <w:color w:val="000000"/>
                <w:sz w:val="20"/>
              </w:rPr>
              <w:t> </w:t>
            </w:r>
            <w:r>
              <w:rPr>
                <w:rFonts w:ascii="Times New Roman" w:hAnsi="Times New Roman"/>
                <w:color w:val="000000"/>
                <w:sz w:val="16"/>
              </w:rPr>
              <w:t>years)</w:t>
            </w:r>
          </w:p>
        </w:tc>
      </w:tr>
      <w:tr>
        <w:trPr/>
        <w:tc>
          <w:tcPr>
            <w:tcW w:w="19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Equity Interest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1,493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color w:val="000000"/>
                <w:sz w:val="16"/>
              </w:rPr>
              <w:t xml:space="preserve">PWERM </w:t>
            </w:r>
            <w:r>
              <w:rPr>
                <w:rFonts w:ascii="Times New Roman" w:hAnsi="Times New Roman"/>
                <w:color w:val="000000"/>
                <w:sz w:val="11"/>
              </w:rPr>
              <w:t>(4)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3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N/A</w:t>
            </w:r>
          </w:p>
        </w:tc>
      </w:tr>
      <w:tr>
        <w:trPr/>
        <w:tc>
          <w:tcPr>
            <w:tcW w:w="19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Warrants</w:t>
            </w:r>
            <w:r>
              <w:rPr>
                <w:rFonts w:ascii="Times New Roman" w:hAnsi="Times New Roman"/>
                <w:color w:val="000000"/>
                <w:sz w:val="11"/>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Option Pricing Model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Risk-free interest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3.5% - 3.6% (3.5%)</w:t>
            </w:r>
          </w:p>
        </w:tc>
      </w:tr>
      <w:tr>
        <w:trPr/>
        <w:tc>
          <w:tcPr>
            <w:tcW w:w="19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Average industry volatility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25.0% - 90.0% (51.0%)</w:t>
            </w:r>
          </w:p>
        </w:tc>
      </w:tr>
      <w:tr>
        <w:trPr/>
        <w:tc>
          <w:tcPr>
            <w:tcW w:w="19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Estimated time to exit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16"/>
              </w:rPr>
              <w:t>0.5</w:t>
            </w:r>
            <w:r>
              <w:rPr>
                <w:rFonts w:ascii="Times New Roman" w:hAnsi="Times New Roman"/>
                <w:color w:val="000000"/>
                <w:sz w:val="20"/>
              </w:rPr>
              <w:t> </w:t>
            </w:r>
            <w:r>
              <w:rPr>
                <w:rFonts w:ascii="Times New Roman" w:hAnsi="Times New Roman"/>
                <w:color w:val="000000"/>
                <w:sz w:val="16"/>
              </w:rPr>
              <w:t>- 5.0</w:t>
            </w:r>
            <w:r>
              <w:rPr>
                <w:rFonts w:ascii="Times New Roman" w:hAnsi="Times New Roman"/>
                <w:color w:val="000000"/>
                <w:sz w:val="20"/>
              </w:rPr>
              <w:t> </w:t>
            </w:r>
            <w:r>
              <w:rPr>
                <w:rFonts w:ascii="Times New Roman" w:hAnsi="Times New Roman"/>
                <w:color w:val="000000"/>
                <w:sz w:val="16"/>
              </w:rPr>
              <w:t>(2.9</w:t>
            </w:r>
            <w:r>
              <w:rPr>
                <w:rFonts w:ascii="Times New Roman" w:hAnsi="Times New Roman"/>
                <w:color w:val="000000"/>
                <w:sz w:val="20"/>
              </w:rPr>
              <w:t> </w:t>
            </w:r>
            <w:r>
              <w:rPr>
                <w:rFonts w:ascii="Times New Roman" w:hAnsi="Times New Roman"/>
                <w:color w:val="000000"/>
                <w:sz w:val="16"/>
              </w:rPr>
              <w:t>years)</w:t>
            </w:r>
          </w:p>
        </w:tc>
      </w:tr>
      <w:tr>
        <w:trPr/>
        <w:tc>
          <w:tcPr>
            <w:tcW w:w="19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Revenue multiples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2.08x - 121.39x (3.82x)</w:t>
            </w:r>
          </w:p>
        </w:tc>
      </w:tr>
      <w:tr>
        <w:trPr/>
        <w:tc>
          <w:tcPr>
            <w:tcW w:w="19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3,582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color w:val="000000"/>
                <w:sz w:val="16"/>
              </w:rPr>
              <w:t xml:space="preserve">PWERM </w:t>
            </w:r>
            <w:r>
              <w:rPr>
                <w:rFonts w:ascii="Times New Roman" w:hAnsi="Times New Roman"/>
                <w:color w:val="000000"/>
                <w:sz w:val="11"/>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3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N/A</w:t>
            </w:r>
          </w:p>
        </w:tc>
      </w:tr>
      <w:tr>
        <w:trPr/>
        <w:tc>
          <w:tcPr>
            <w:tcW w:w="19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9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Level 3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913,684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pPr>
      <w:r>
        <w:rPr/>
        <w:t> </w:t>
      </w:r>
    </w:p>
    <w:p>
      <w:pPr>
        <w:pStyle w:val="TextBody"/>
        <w:pBdr>
          <w:bottom w:val="single" w:sz="6" w:space="1" w:color="000000"/>
        </w:pBdr>
        <w:bidi w:val="0"/>
        <w:jc w:val="both"/>
        <w:rPr/>
      </w:pPr>
      <w:r>
        <w:rPr/>
        <w:t> </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(1)</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The significant unobservable inputs used in the fair value measurement of the Company’s debt securities are origination yields and discount rates. The origination yield is defined as the initial market price of an investment in a hypothetical market to hypothetical market participants where buyers and sellers are willing participants. The discount rate is related to company-specific characteristics such as underlying investment performance, projected cash flows, and other characteristics of the investment. Significant increases or decreases in the inputs in isolation may result in a significantly higher or lower fair value measurement, depending on the materiality of the investment. However, a significantly higher or lower fair value measurement of any of the Company’s portfolio investments may occur regardless of whether there is a significant increase or decrease in the unobservable inputs.</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(2)</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The significant unobservable inputs used in the fair value measurement of the Company’s warrant and equity-related securities are inputs used in the OPM, which include industry volatility, risk free interest rate and estimated time to exit. The Equity Allocation model and the Black Scholes model were the main OPMs used during the year ended December 31, 2025. PWERM and other techniques were used as determined appropriate. Significant increases (decreases) in the inputs in isolation would result in a significantly higher (lower) fair value measurement, depending on the materiality of the investment. However, a significantly higher or lower fair value measurement of any of the Company’s portfolio investments may occur regardless of whether there is a significant increase (decrease) in the unobservable inputs. For some investments, additional consideration may be given to data from the last round of financing or merger/acquisition events near the measurement date.</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(3)</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Warrant investments using a PWERM valuation technique contain success fees, in which case the inputs are not applicable because the nature of a success fee is a fixed payout dependent on certain liquidation events.</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(4)</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Investment valued using a PWERM valuation technique and includes inputs that are based on scenario analysis specific to the asset recovery of such investment.</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(5)</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Investment valued using a Waterfall valuation technique. The inputs utilized in the valuation are based on an option pricing model that was utilized to value the shares that JobGet Holdings, Inc. owns in JobGet, Inc.</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120"/>
        <w:jc w:val="left"/>
        <w:rPr/>
      </w:pPr>
      <w:r>
        <w:rPr/>
        <w:t> </w:t>
      </w:r>
    </w:p>
    <w:p>
      <w:pPr>
        <w:pStyle w:val="TextBody"/>
        <w:bidi w:val="0"/>
        <w:spacing w:before="360" w:after="240"/>
        <w:jc w:val="both"/>
        <w:rPr>
          <w:rFonts w:ascii="Times New Roman" w:hAnsi="Times New Roman"/>
          <w:b/>
          <w:i/>
          <w:color w:val="000000"/>
          <w:sz w:val="20"/>
        </w:rPr>
      </w:pPr>
      <w:r>
        <w:rPr>
          <w:rFonts w:ascii="Times New Roman" w:hAnsi="Times New Roman"/>
          <w:b/>
          <w:i/>
          <w:color w:val="000000"/>
          <w:sz w:val="20"/>
        </w:rPr>
        <w:t>Fair Value of Financial Instruments Reported at Cost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The Company records its debt at amortized cost on the Consolidated Statements of Assets and Liabilities. The fair value of the Company’s Credit Facility and April 2028 Notes (each defined in "Note 7 – Borrowings") are estimated using Level 3 inputs, which involves discounting the remaining payments based on comparable market rates for similar instruments as of the measurement date. The July 2027 Notes and February 2031 Notes are publicly traded on NASDAQ and are valued using Level 1 inputs, reflecting the most recent market prices of $25.23 and $25.00 per share as of March 31, 2026, respectively. As of December 31, 2025, the market prices were $25.24 and $25.24 per share, respectively. On March 5, 2026, the Company fully redeemed $51.75 million of its December 2027 Notes and, accordingly, the December 2027 Notes were no longer outstanding as of March 31, 2026. Additionally, the Company partially redeemed $40.25 million of its July 2027 Notes.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following table provides additional information about the approximate fair value and level in the fair value hierarchy of the Company’s outstanding borrowings as of March 31, 2026 and December 31, 2025 (in thousands):</w:t>
      </w:r>
    </w:p>
    <w:tbl>
      <w:tblPr>
        <w:tblW w:w="8298" w:type="dxa"/>
        <w:jc w:val="left"/>
        <w:tblInd w:w="0" w:type="dxa"/>
        <w:tblLayout w:type="fixed"/>
        <w:tblCellMar>
          <w:top w:w="28" w:type="dxa"/>
          <w:left w:w="28" w:type="dxa"/>
          <w:bottom w:w="28" w:type="dxa"/>
          <w:right w:w="28" w:type="dxa"/>
        </w:tblCellMar>
      </w:tblPr>
      <w:tblGrid>
        <w:gridCol w:w="1468"/>
        <w:gridCol w:w="297"/>
        <w:gridCol w:w="236"/>
        <w:gridCol w:w="176"/>
        <w:gridCol w:w="833"/>
        <w:gridCol w:w="146"/>
        <w:gridCol w:w="146"/>
        <w:gridCol w:w="196"/>
        <w:gridCol w:w="146"/>
        <w:gridCol w:w="691"/>
        <w:gridCol w:w="146"/>
        <w:gridCol w:w="146"/>
        <w:gridCol w:w="243"/>
        <w:gridCol w:w="181"/>
        <w:gridCol w:w="206"/>
        <w:gridCol w:w="146"/>
        <w:gridCol w:w="146"/>
        <w:gridCol w:w="196"/>
        <w:gridCol w:w="146"/>
        <w:gridCol w:w="691"/>
        <w:gridCol w:w="146"/>
        <w:gridCol w:w="146"/>
        <w:gridCol w:w="196"/>
        <w:gridCol w:w="146"/>
        <w:gridCol w:w="691"/>
        <w:gridCol w:w="391"/>
      </w:tblGrid>
      <w:tr>
        <w:trPr/>
        <w:tc>
          <w:tcPr>
            <w:tcW w:w="1468"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4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9"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605" w:type="dxa"/>
            <w:gridSpan w:val="1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 Hierarchy</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5"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Carrying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907" w:type="dxa"/>
            <w:gridSpan w:val="25"/>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As of March 31, 2026</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765"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Credit Facility</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176,105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183,803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183,803</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765"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July 2027 Notes</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39,898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40,612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40,612</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765"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April 2028 Notes</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106,709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112,256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112,256</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765"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February 2031 Notes</w:t>
            </w:r>
          </w:p>
        </w:tc>
        <w:tc>
          <w:tcPr>
            <w:tcW w:w="2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100,337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103,250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103,250</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46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16"/>
              </w:rPr>
            </w:pPr>
            <w:r>
              <w:rPr>
                <w:rFonts w:ascii="Times New Roman" w:hAnsi="Times New Roman"/>
                <w:b/>
                <w:color w:val="000000"/>
                <w:sz w:val="16"/>
              </w:rPr>
              <w:t>Total</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423,049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143,862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296,059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439,921</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4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9"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907" w:type="dxa"/>
            <w:gridSpan w:val="25"/>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As of December 31, 2025</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765"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Credit Facility</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168,783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179,962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179,962</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765"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April 2026 Notes</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24,962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25,528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25,528</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765"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July 2027 Notes</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79,649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81,272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81,272</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765"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December 2027 Notes</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51,030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52,247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52,247</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765"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April 2028 Notes</w:t>
            </w:r>
          </w:p>
        </w:tc>
        <w:tc>
          <w:tcPr>
            <w:tcW w:w="2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106,696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93,848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93,848</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46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16"/>
              </w:rPr>
            </w:pPr>
            <w:r>
              <w:rPr>
                <w:rFonts w:ascii="Times New Roman" w:hAnsi="Times New Roman"/>
                <w:b/>
                <w:color w:val="000000"/>
                <w:sz w:val="16"/>
              </w:rPr>
              <w:t>Total</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431,120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133,519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299,338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432,857</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120"/>
        <w:jc w:val="left"/>
        <w:rPr/>
      </w:pPr>
      <w:r>
        <w:rPr/>
        <w:t> </w:t>
      </w:r>
    </w:p>
    <w:p>
      <w:pPr>
        <w:pStyle w:val="Heading1"/>
        <w:bidi w:val="0"/>
        <w:spacing w:before="360" w:after="240"/>
        <w:jc w:val="left"/>
        <w:rPr>
          <w:rFonts w:ascii="Times New Roman" w:hAnsi="Times New Roman"/>
          <w:color w:val="000000"/>
          <w:sz w:val="20"/>
        </w:rPr>
      </w:pPr>
      <w:r>
        <w:rPr>
          <w:rFonts w:ascii="Times New Roman" w:hAnsi="Times New Roman"/>
          <w:color w:val="000000"/>
          <w:sz w:val="20"/>
        </w:rPr>
        <w:t>Note 6 – Concentration of Credit Risk</w:t>
      </w:r>
    </w:p>
    <w:p>
      <w:pPr>
        <w:pStyle w:val="TextBody"/>
        <w:bidi w:val="0"/>
        <w:jc w:val="both"/>
        <w:rPr>
          <w:rFonts w:ascii="Times New Roman" w:hAnsi="Times New Roman"/>
          <w:color w:val="000000"/>
          <w:sz w:val="20"/>
        </w:rPr>
      </w:pPr>
      <w:r>
        <w:rPr>
          <w:rFonts w:ascii="Times New Roman" w:hAnsi="Times New Roman"/>
          <w:color w:val="000000"/>
          <w:sz w:val="20"/>
        </w:rPr>
        <w:t xml:space="preserve">In the normal course of business, the Company maintains its cash balances at large, high credit-quality financial institutions, which at times may exceed federally insured limits. The Company is subject to credit risk to the extent that any financial institution with which it conducts business is unable to fulfill contractual obligations on its behalf. The Company monitors the financial condition of those financial institutions and believes that risk of loss associated with any uninsured balance is remote.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In the event that a portfolio company completely fails to perform according to the terms of their loan agreement, the amount of loss due to credit risk from the Company's investments would equal the sum of the Company’s recorded investments in the portfolio company and the portion of unfunded commitments currently eligible to be drawn. Refer to "Note 8 – Commitments, Contingencies, and Off-Balance Sheet Arrangements" for a summary of the aggregate balance of unfunded commitments as of March 31, 2026. The Company predominantly collateralizes its investments by obtaining a first priority security interest in a portfolio company’s assets, which may include its intellectual property. </w:t>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As of March 31, 2026 and December 31, 2025, the Company’s five largest debt investments in portfolio companies represented 30.0% and 29.7%, respectively, of the total fair value of the Company’s debt investments in portfolio companies. As of March 31, 2026 and December 31, 2025, the Company had debt investments in 16 and 17 portfolio companies, respectively, that represented 5% or more of the Company’s net assets.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120"/>
        <w:jc w:val="left"/>
        <w:rPr/>
      </w:pPr>
      <w:r>
        <w:rPr/>
        <w:t> </w:t>
      </w:r>
    </w:p>
    <w:p>
      <w:pPr>
        <w:pStyle w:val="Heading1"/>
        <w:bidi w:val="0"/>
        <w:spacing w:before="360" w:after="240"/>
        <w:jc w:val="left"/>
        <w:rPr>
          <w:rFonts w:ascii="Times New Roman" w:hAnsi="Times New Roman"/>
          <w:color w:val="000000"/>
          <w:sz w:val="20"/>
        </w:rPr>
      </w:pPr>
      <w:r>
        <w:rPr>
          <w:rFonts w:ascii="Times New Roman" w:hAnsi="Times New Roman"/>
          <w:color w:val="000000"/>
          <w:sz w:val="20"/>
        </w:rPr>
        <w:t>Note 7 – Borrowings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following table shows the Company's borrowings as of March 31, 2026 and December 31, 2025 (in thousands):</w:t>
      </w:r>
    </w:p>
    <w:tbl>
      <w:tblPr>
        <w:tblW w:w="7994" w:type="dxa"/>
        <w:jc w:val="left"/>
        <w:tblInd w:w="0" w:type="dxa"/>
        <w:tblLayout w:type="fixed"/>
        <w:tblCellMar>
          <w:top w:w="28" w:type="dxa"/>
          <w:left w:w="28" w:type="dxa"/>
          <w:bottom w:w="28" w:type="dxa"/>
          <w:right w:w="28" w:type="dxa"/>
        </w:tblCellMar>
      </w:tblPr>
      <w:tblGrid>
        <w:gridCol w:w="1766"/>
        <w:gridCol w:w="146"/>
        <w:gridCol w:w="348"/>
        <w:gridCol w:w="198"/>
        <w:gridCol w:w="939"/>
        <w:gridCol w:w="146"/>
        <w:gridCol w:w="146"/>
        <w:gridCol w:w="256"/>
        <w:gridCol w:w="146"/>
        <w:gridCol w:w="691"/>
        <w:gridCol w:w="146"/>
        <w:gridCol w:w="146"/>
        <w:gridCol w:w="256"/>
        <w:gridCol w:w="146"/>
        <w:gridCol w:w="571"/>
        <w:gridCol w:w="166"/>
        <w:gridCol w:w="146"/>
        <w:gridCol w:w="291"/>
        <w:gridCol w:w="166"/>
        <w:gridCol w:w="787"/>
        <w:gridCol w:w="391"/>
      </w:tblGrid>
      <w:tr>
        <w:trPr/>
        <w:tc>
          <w:tcPr>
            <w:tcW w:w="1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7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5"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 Commitment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Face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DFC</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4"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Carrying Value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603" w:type="dxa"/>
            <w:gridSpan w:val="20"/>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As of March 31, 2026</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7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Credit Facility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(3,895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176,105</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7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July 2027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40,250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40,250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39,898</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7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April 2028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107,000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107,000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106,709</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7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February 2031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103,250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103,250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(2,913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100,337</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17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16"/>
              </w:rPr>
            </w:pPr>
            <w:r>
              <w:rPr>
                <w:rFonts w:ascii="Times New Roman" w:hAnsi="Times New Roman"/>
                <w:b/>
                <w:color w:val="000000"/>
                <w:sz w:val="16"/>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1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800,500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430,500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(7,451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423,049</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7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3"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603" w:type="dxa"/>
            <w:gridSpan w:val="20"/>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As of December 31, 2025</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7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Credit Facility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8"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173,000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168,783</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7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April 2026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24,962</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7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July 2027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80,500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80,500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79,649</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7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December 2027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51,750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51,750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51,030</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7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April 2028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107,000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107,000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106,696</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7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16"/>
              </w:rPr>
            </w:pPr>
            <w:r>
              <w:rPr>
                <w:rFonts w:ascii="Times New Roman" w:hAnsi="Times New Roman"/>
                <w:b/>
                <w:color w:val="000000"/>
                <w:sz w:val="16"/>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1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814,250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437,250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(6,130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431,120</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40"/>
        <w:jc w:val="both"/>
        <w:rPr>
          <w:rFonts w:ascii="Times New Roman" w:hAnsi="Times New Roman"/>
          <w:color w:val="000000"/>
          <w:sz w:val="20"/>
        </w:rPr>
      </w:pPr>
      <w:r>
        <w:rPr>
          <w:rFonts w:ascii="Times New Roman" w:hAnsi="Times New Roman"/>
          <w:color w:val="000000"/>
          <w:sz w:val="20"/>
        </w:rPr>
        <w:t>For the three months ended March 31, 2026 and 2025, the components of interest expense, amortization of deferred financing costs, unused fees on the Credit Facility (as defined below), and any other costs associated with the Company's borrowings were as follows (in thousands):</w:t>
      </w:r>
    </w:p>
    <w:tbl>
      <w:tblPr>
        <w:tblW w:w="10205" w:type="dxa"/>
        <w:jc w:val="left"/>
        <w:tblInd w:w="0" w:type="dxa"/>
        <w:tblLayout w:type="fixed"/>
        <w:tblCellMar>
          <w:top w:w="28" w:type="dxa"/>
          <w:left w:w="28" w:type="dxa"/>
          <w:bottom w:w="28" w:type="dxa"/>
          <w:right w:w="28" w:type="dxa"/>
        </w:tblCellMar>
      </w:tblPr>
      <w:tblGrid>
        <w:gridCol w:w="1803"/>
        <w:gridCol w:w="146"/>
        <w:gridCol w:w="245"/>
        <w:gridCol w:w="182"/>
        <w:gridCol w:w="639"/>
        <w:gridCol w:w="146"/>
        <w:gridCol w:w="146"/>
        <w:gridCol w:w="274"/>
        <w:gridCol w:w="205"/>
        <w:gridCol w:w="718"/>
        <w:gridCol w:w="146"/>
        <w:gridCol w:w="146"/>
        <w:gridCol w:w="312"/>
        <w:gridCol w:w="232"/>
        <w:gridCol w:w="599"/>
        <w:gridCol w:w="146"/>
        <w:gridCol w:w="146"/>
        <w:gridCol w:w="480"/>
        <w:gridCol w:w="357"/>
        <w:gridCol w:w="1473"/>
        <w:gridCol w:w="146"/>
        <w:gridCol w:w="146"/>
        <w:gridCol w:w="167"/>
        <w:gridCol w:w="584"/>
        <w:gridCol w:w="167"/>
        <w:gridCol w:w="454"/>
      </w:tblGrid>
      <w:tr>
        <w:trPr/>
        <w:tc>
          <w:tcPr>
            <w:tcW w:w="180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47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r>
      <w:tr>
        <w:trPr/>
        <w:tc>
          <w:tcPr>
            <w:tcW w:w="18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Interest Expense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97"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 xml:space="preserve">Amortization of </w:t>
              <w:br/>
              <w:t xml:space="preserve">DFC </w:t>
            </w:r>
            <w:r>
              <w:rPr>
                <w:rFonts w:ascii="Times New Roman" w:hAnsi="Times New Roman"/>
                <w:b/>
                <w:color w:val="000000"/>
                <w:sz w:val="11"/>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Unused Facility and </w:t>
              <w:br/>
              <w:t>Other Fees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10"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 Interest and Other Debt Financing Expenses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72"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Weighted Average </w:t>
              <w:br/>
              <w:t>Cost of Debt</w:t>
            </w:r>
          </w:p>
        </w:tc>
      </w:tr>
      <w:tr>
        <w:trPr/>
        <w:tc>
          <w:tcPr>
            <w:tcW w:w="18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Three Months Ended March 31,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21"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23"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31"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30"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54"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8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Credit Facility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888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3,658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11.03</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8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April 2026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11.46</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July 2027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1,291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1,789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10.75</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December 2027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736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1,464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16.39</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April 2028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7.98</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February 2031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1,206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1,312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8.14</w:t>
            </w:r>
          </w:p>
        </w:tc>
        <w:tc>
          <w:tcPr>
            <w:tcW w:w="1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5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80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16"/>
              </w:rPr>
            </w:pPr>
            <w:r>
              <w:rPr>
                <w:rFonts w:ascii="Times New Roman" w:hAnsi="Times New Roman"/>
                <w:b/>
                <w:color w:val="000000"/>
                <w:sz w:val="16"/>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7,801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1,797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888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10,486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9.96</w:t>
            </w:r>
          </w:p>
        </w:tc>
        <w:tc>
          <w:tcPr>
            <w:tcW w:w="1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8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21"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23"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31"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30"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54"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8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Three Months Ended March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3"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3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5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8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Credit Facility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5,739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9.00</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8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April 2026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9.11</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December 2026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744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803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4.59</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July 2027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1,654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8.22</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August 2027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7.70</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December 2027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1,035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1,136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8.78</w:t>
            </w:r>
          </w:p>
        </w:tc>
        <w:tc>
          <w:tcPr>
            <w:tcW w:w="1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80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16"/>
              </w:rPr>
            </w:pPr>
            <w:r>
              <w:rPr>
                <w:rFonts w:ascii="Times New Roman" w:hAnsi="Times New Roman"/>
                <w:b/>
                <w:color w:val="000000"/>
                <w:sz w:val="16"/>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8,899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832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10,287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8.19</w:t>
            </w:r>
          </w:p>
        </w:tc>
        <w:tc>
          <w:tcPr>
            <w:tcW w:w="1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bl>
    <w:p>
      <w:pPr>
        <w:pStyle w:val="TextBody"/>
        <w:bidi w:val="0"/>
        <w:spacing w:before="0" w:after="120"/>
        <w:jc w:val="both"/>
        <w:rPr/>
      </w:pPr>
      <w:r>
        <w:rPr/>
        <w:t> </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(1)</w:t>
      </w:r>
    </w:p>
    <w:p>
      <w:pPr>
        <w:pStyle w:val="TextBody"/>
        <w:bidi w:val="0"/>
        <w:jc w:val="both"/>
        <w:rPr/>
      </w:pPr>
      <w:r>
        <w:rPr>
          <w:rFonts w:ascii="Times New Roman" w:hAnsi="Times New Roman"/>
          <w:color w:val="000000"/>
          <w:sz w:val="16"/>
        </w:rPr>
        <w:t>Amortization of deferred financing costs includes non-recurring acceleration of deferred debt financing costs related to prepayments, resulting in a higher expenses and weighted average cost of debt for the three months ended March 31, 2026 when compared to the three months ended March 31, 2025,. Accelerated deferred financing costs totaled $38.4</w:t>
      </w:r>
      <w:r>
        <w:rPr>
          <w:color w:val="000000"/>
        </w:rPr>
        <w:t xml:space="preserve"> </w:t>
      </w:r>
      <w:r>
        <w:rPr>
          <w:rFonts w:ascii="Times New Roman" w:hAnsi="Times New Roman"/>
          <w:color w:val="000000"/>
          <w:sz w:val="16"/>
        </w:rPr>
        <w:t>thousand</w:t>
      </w:r>
      <w:r>
        <w:rPr>
          <w:color w:val="000000"/>
        </w:rPr>
        <w:t xml:space="preserve"> </w:t>
      </w:r>
      <w:r>
        <w:rPr>
          <w:rFonts w:ascii="Times New Roman" w:hAnsi="Times New Roman"/>
          <w:color w:val="000000"/>
          <w:sz w:val="16"/>
        </w:rPr>
        <w:t>for the April 2026 Notes repaid on January 21, 2026, and $0.4</w:t>
      </w:r>
      <w:r>
        <w:rPr>
          <w:color w:val="000000"/>
        </w:rPr>
        <w:t xml:space="preserve"> </w:t>
      </w:r>
      <w:r>
        <w:rPr>
          <w:rFonts w:ascii="Times New Roman" w:hAnsi="Times New Roman"/>
          <w:color w:val="000000"/>
          <w:sz w:val="16"/>
        </w:rPr>
        <w:t>million</w:t>
      </w:r>
      <w:r>
        <w:rPr>
          <w:color w:val="000000"/>
        </w:rPr>
        <w:t xml:space="preserve"> </w:t>
      </w:r>
      <w:r>
        <w:rPr>
          <w:rFonts w:ascii="Times New Roman" w:hAnsi="Times New Roman"/>
          <w:color w:val="000000"/>
          <w:sz w:val="16"/>
        </w:rPr>
        <w:t>and $0.7</w:t>
      </w:r>
      <w:r>
        <w:rPr>
          <w:color w:val="000000"/>
        </w:rPr>
        <w:t xml:space="preserve"> </w:t>
      </w:r>
      <w:r>
        <w:rPr>
          <w:rFonts w:ascii="Times New Roman" w:hAnsi="Times New Roman"/>
          <w:color w:val="000000"/>
          <w:sz w:val="16"/>
        </w:rPr>
        <w:t>million</w:t>
      </w:r>
      <w:r>
        <w:rPr>
          <w:color w:val="000000"/>
        </w:rPr>
        <w:t xml:space="preserve"> </w:t>
      </w:r>
      <w:r>
        <w:rPr>
          <w:rFonts w:ascii="Times New Roman" w:hAnsi="Times New Roman"/>
          <w:color w:val="000000"/>
          <w:sz w:val="16"/>
        </w:rPr>
        <w:t>for the July 2027 and December 2027 Notes, respectively, repaid on March 5, 2026.</w:t>
      </w:r>
    </w:p>
    <w:p>
      <w:pPr>
        <w:pStyle w:val="TextBody"/>
        <w:bidi w:val="0"/>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120"/>
        <w:jc w:val="left"/>
        <w:rPr/>
      </w:pPr>
      <w:r>
        <w:rPr/>
        <w:t> </w:t>
      </w:r>
    </w:p>
    <w:p>
      <w:pPr>
        <w:pStyle w:val="TextBody"/>
        <w:bidi w:val="0"/>
        <w:spacing w:before="360" w:after="240"/>
        <w:jc w:val="both"/>
        <w:rPr>
          <w:rFonts w:ascii="Times New Roman" w:hAnsi="Times New Roman"/>
          <w:b/>
          <w:i/>
          <w:color w:val="000000"/>
          <w:sz w:val="20"/>
        </w:rPr>
      </w:pPr>
      <w:r>
        <w:rPr>
          <w:rFonts w:ascii="Times New Roman" w:hAnsi="Times New Roman"/>
          <w:b/>
          <w:i/>
          <w:color w:val="000000"/>
          <w:sz w:val="20"/>
        </w:rPr>
        <w:t>Credit Facility</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On April 20, 2022, the Company entered into an amended and restated credit agreement with KeyBank National Association, acting as administrative agent, CIBC Bank USA and MUFG Union Bank, N.A. as co-documentation agents, the guarantors party thereto and syndication agent and the other lenders party thereto, which initially provided the Company with a $225.0 million commitment, subject to borrowing base requirements (as amended, supplemented or otherwise modified from time to time, the "Credit Facility"). On March 18, 2025, the Company entered into a Sixth Amendment to the Credit Facility, which, among other things, (i) extended the maturity date and revolving period; (ii) permits future financing subsidiaries, and (iii) amended certain other terms of the Credit Facility, including without limitation loan eligibility criteria, the borrowing base calculation, and excess concentration measures.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As of March 31, 2026, the Company had $550.0 million in total commitments available under the Credit Facility, subject to an accordion feature that allows the Company to increase the total commitments under the Credit Facility up to $600.0 million. The availability period under the Credit Facility expires on March 18, 2028 and is followed by a one-year amortization period. The stated maturity date under the Credit Facility is March 18, 2029, unless extended.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Borrowings under the Credit Facility bear interest on a per annum rate equal to Adjusted Term SOFR plus an applicable margin rate that ranges from 2.95% to 3.35% per annum depending on the Company’s leverage ratio and number of eligible loans in the collateral pool. The Credit Facility provides for a variable advance rate of up to 65% on eligible term loans. The Company also pays an unused commitment fee that ranges from 0.25% to 1.00% per annum based on the total unused lender commitments under the Credit Facility.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Credit Facility is collateralized by all eligible investment assets held by the Company. The Credit Facility contains representations, warranties, and affirmative and negative covenants customary for secured financings of this type, including certain financial covenants such as a consolidated tangible net worth requirement and a required asset coverage ratio. For all periods presented, the Company was in compliance with all such covenants.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For the three months ended March 31, 2026, the weighted average outstanding principal balance was $144.4 million and the weighted average effective interest rate was 6.85%. For the three months ended March 31, 2025, the weighted average outstanding principal balance was $255.2 million and the weighted average effective interest rate was 7.51%.</w:t>
      </w:r>
    </w:p>
    <w:p>
      <w:pPr>
        <w:pStyle w:val="TextBody"/>
        <w:bidi w:val="0"/>
        <w:spacing w:before="120" w:after="240"/>
        <w:jc w:val="both"/>
        <w:rPr>
          <w:rFonts w:ascii="Times New Roman" w:hAnsi="Times New Roman"/>
          <w:b/>
          <w:i/>
          <w:color w:val="000000"/>
          <w:sz w:val="20"/>
        </w:rPr>
      </w:pPr>
      <w:r>
        <w:rPr>
          <w:rFonts w:ascii="Times New Roman" w:hAnsi="Times New Roman"/>
          <w:b/>
          <w:i/>
          <w:color w:val="000000"/>
          <w:sz w:val="20"/>
        </w:rPr>
        <w:t>2026 Notes</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On December 10, 2021, the Company entered into a master note purchase agreement, completing a private debt offering of $70.0 million in aggregate principal amount of 4.25% interest-bearing unsecured Series 2021A Senior Notes due 2026 (the "December 2026 Notes") to institutional accredited investors (as defined in Regulation D under the Securities Act of 1933, as amended (the "Securities Act")). The December 2026 Notes were repaid in full by the Company on April 7, 2025 and are no longer outstanding. On April 13, 2023, the Company completed the first supplement to the master note purchase agreement, resulting in an additional private debt offering of $25.0 million in aggregate principal amount of 8.54% interest-bearing unsecured Series 2023A Senior Notes due 2026 (the "April 2026 Notes") to institutional accredited investors (as defined in the Securities Act). The April 2026 Notes are subject to a 1.00% increase in the interest rate in the event that, subject to certain exceptions, the April 2026 Notes cease to have an investment grade rating or receive an investment grade rating below the Investment Grade (as defined in the master note purchase agreement). The April 2026 Notes are general unsecured obligations of the Company that rank </w:t>
      </w:r>
      <w:r>
        <w:rPr>
          <w:rFonts w:ascii="Times New Roman" w:hAnsi="Times New Roman"/>
          <w:i/>
          <w:color w:val="000000"/>
          <w:sz w:val="20"/>
        </w:rPr>
        <w:t xml:space="preserve">pari passu </w:t>
      </w:r>
      <w:r>
        <w:rPr>
          <w:rFonts w:ascii="Times New Roman" w:hAnsi="Times New Roman"/>
          <w:color w:val="000000"/>
          <w:sz w:val="20"/>
        </w:rPr>
        <w:t>with all outstanding and future unsecured unsubordinated indebtedness issued by the Company.</w:t>
      </w:r>
    </w:p>
    <w:p>
      <w:pPr>
        <w:pStyle w:val="TextBody"/>
        <w:bidi w:val="0"/>
        <w:spacing w:before="0" w:after="240"/>
        <w:jc w:val="both"/>
        <w:rPr>
          <w:rFonts w:ascii="Times New Roman" w:hAnsi="Times New Roman"/>
          <w:i/>
          <w:color w:val="000000"/>
          <w:sz w:val="20"/>
        </w:rPr>
      </w:pPr>
      <w:r>
        <w:rPr>
          <w:rFonts w:ascii="Times New Roman" w:hAnsi="Times New Roman"/>
          <w:i/>
          <w:color w:val="000000"/>
          <w:sz w:val="20"/>
        </w:rPr>
        <w:t>April 2026 Notes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The April 2026 Notes bore an interest rate of 8.54% per year and were due on April 13, 2026, unless redeemed, purchased or prepaid prior to such date by the Company or its affiliates in accordance with their terms. Interest on the April 2026 Notes was due semiannually in arrears on April 13 and October 13 of each year. The April 2026 Notes were repaid in full by the Company on January 21, 2026 and are no longer outstanding. </w:t>
      </w:r>
    </w:p>
    <w:p>
      <w:pPr>
        <w:pStyle w:val="TextBody"/>
        <w:bidi w:val="0"/>
        <w:spacing w:before="0" w:after="240"/>
        <w:jc w:val="both"/>
        <w:rPr>
          <w:rFonts w:ascii="Times New Roman" w:hAnsi="Times New Roman"/>
          <w:sz w:val="20"/>
        </w:rPr>
      </w:pPr>
      <w:r>
        <w:rPr>
          <w:rFonts w:ascii="Times New Roman" w:hAnsi="Times New Roman"/>
          <w:color w:val="000000"/>
          <w:sz w:val="20"/>
        </w:rPr>
        <w:t>Aggregate costs in connection with the April 2026 Notes issuance were $0.4 million, and were capitalized as deferred financing costs upon issuance. As of the repayment date, January 21, 2026, remaining deferred financing costs were $38.4 thousand, which were fully expensed upon repayment of the notes. Accordingly, as of March 31, 2026</w:t>
      </w:r>
      <w:r>
        <w:rPr>
          <w:rFonts w:ascii="Times New Roman" w:hAnsi="Times New Roman"/>
          <w:color w:val="000000"/>
          <w:sz w:val="16"/>
        </w:rPr>
        <w:t>,</w:t>
      </w:r>
      <w:r>
        <w:rPr>
          <w:rFonts w:ascii="Times New Roman" w:hAnsi="Times New Roman"/>
          <w:color w:val="000000"/>
          <w:sz w:val="20"/>
        </w:rPr>
        <w:t xml:space="preserve"> no deferred financing costs related to the April 2026 Notes remained.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120"/>
        <w:jc w:val="left"/>
        <w:rPr/>
      </w:pPr>
      <w:r>
        <w:rPr/>
        <w:t> </w:t>
      </w:r>
    </w:p>
    <w:p>
      <w:pPr>
        <w:pStyle w:val="TextBody"/>
        <w:bidi w:val="0"/>
        <w:spacing w:before="360" w:after="240"/>
        <w:jc w:val="both"/>
        <w:rPr>
          <w:rFonts w:ascii="Times New Roman" w:hAnsi="Times New Roman"/>
          <w:b/>
          <w:i/>
          <w:color w:val="000000"/>
          <w:sz w:val="20"/>
        </w:rPr>
      </w:pPr>
      <w:r>
        <w:rPr>
          <w:rFonts w:ascii="Times New Roman" w:hAnsi="Times New Roman"/>
          <w:b/>
          <w:i/>
          <w:color w:val="000000"/>
          <w:sz w:val="20"/>
        </w:rPr>
        <w:t>2027 Notes</w:t>
      </w:r>
    </w:p>
    <w:p>
      <w:pPr>
        <w:pStyle w:val="TextBody"/>
        <w:bidi w:val="0"/>
        <w:spacing w:before="0" w:after="240"/>
        <w:jc w:val="both"/>
        <w:rPr>
          <w:rFonts w:ascii="Times New Roman" w:hAnsi="Times New Roman"/>
          <w:i/>
          <w:color w:val="000000"/>
          <w:sz w:val="20"/>
        </w:rPr>
      </w:pPr>
      <w:r>
        <w:rPr>
          <w:rFonts w:ascii="Times New Roman" w:hAnsi="Times New Roman"/>
          <w:i/>
          <w:color w:val="000000"/>
          <w:sz w:val="20"/>
        </w:rPr>
        <w:t>July 2027 Notes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On July 28, 2022, the Company issued and sold $80.5 million in aggregate principal amount of 7.50% interest-bearing unsecured Notes due July 28, 2027 (the "July 2027 Notes") under its shelf Registration Statement on Form N-2. The July 2027 Notes were issued pursuant to the Base Indenture dated July 28, 2022 (the "Base Indenture") and First Supplemental Indenture, dated July 28, 2022 (together with the Base Indenture, the "Indenture"), between the Company and the Trustee, U.S. Bank Trust Company, National Association. </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Interest on the 2027 Notes is due quarterly in arrears on March 1, June 1, September 1 and December 1 of each year. The July 2027 Notes may be redeemed in whole or in part at any time or from time to time at the Company’s option on or after July 28, 2024, at a redemption price of $25 per July 2027 Note plus accrued and unpaid interest payments otherwise payable for the then-current quarterly interest period accrued to the date fixed for redemption. The July 2027 Notes are general unsecured obligations of the Company that rank </w:t>
      </w:r>
      <w:r>
        <w:rPr>
          <w:rFonts w:ascii="Times New Roman" w:hAnsi="Times New Roman"/>
          <w:i/>
          <w:color w:val="000000"/>
          <w:sz w:val="20"/>
        </w:rPr>
        <w:t>pari passu</w:t>
      </w:r>
      <w:r>
        <w:rPr>
          <w:rFonts w:ascii="Times New Roman" w:hAnsi="Times New Roman"/>
          <w:color w:val="000000"/>
          <w:sz w:val="20"/>
        </w:rPr>
        <w:t xml:space="preserve"> with the Company's existing and future unsecured, unsubordinated indebtedness. On March 5, 2026, the Company redeemed $40.25 million of the $80.5 million in aggregate principal of the July 2027 Notes in accordance with the terms of the indenture governing the July 2027 Notes. As a result of the partial redemption, $0.4 million of deferred financing costs were expensed upon prepayment of the notes.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Aggregate costs in connection with the July 2027 Notes issuance, including the underwriter’s discount and commissions, were $2.8 million, and were capitalized and deferred. As of March 31, 2026 and December 31, 2025, deferred financing costs related to the July 2027 Notes were $0.4 million and $0.9 million, respectively. </w:t>
      </w:r>
    </w:p>
    <w:p>
      <w:pPr>
        <w:pStyle w:val="TextBody"/>
        <w:bidi w:val="0"/>
        <w:spacing w:before="0" w:after="240"/>
        <w:jc w:val="both"/>
        <w:rPr>
          <w:rFonts w:ascii="Times New Roman" w:hAnsi="Times New Roman"/>
          <w:i/>
          <w:color w:val="000000"/>
          <w:sz w:val="20"/>
        </w:rPr>
      </w:pPr>
      <w:r>
        <w:rPr>
          <w:rFonts w:ascii="Times New Roman" w:hAnsi="Times New Roman"/>
          <w:i/>
          <w:color w:val="000000"/>
          <w:sz w:val="20"/>
        </w:rPr>
        <w:t>August 2027 Notes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On August 31, 2022, the Company completed a private debt offering of $20.0 million in aggregate principal amount of 7.00% interest-bearing unsecured Series 2022A Senior Notes due 2027 (the "August 2027 Notes") to an institutional accredited investor (as defined in Regulation D under the Securities Act). The August 2027 Notes were due on August 31, 2027, unless redeemed, purchased or prepaid prior to such date by the Company or its affiliates in accordance with their terms. The August 2027 Notes were repaid in full by the Company on April 7, 2025 and are no longer outstanding.</w:t>
      </w:r>
    </w:p>
    <w:p>
      <w:pPr>
        <w:pStyle w:val="TextBody"/>
        <w:bidi w:val="0"/>
        <w:spacing w:before="0" w:after="240"/>
        <w:jc w:val="both"/>
        <w:rPr>
          <w:rFonts w:ascii="Times New Roman" w:hAnsi="Times New Roman"/>
          <w:i/>
          <w:color w:val="000000"/>
          <w:sz w:val="20"/>
        </w:rPr>
      </w:pPr>
      <w:r>
        <w:rPr>
          <w:rFonts w:ascii="Times New Roman" w:hAnsi="Times New Roman"/>
          <w:i/>
          <w:color w:val="000000"/>
          <w:sz w:val="20"/>
        </w:rPr>
        <w:t>December 2027 Notes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On December 7, 2022, the Company issued and sold $51.75 million in aggregate principal amount of 8.00% interest-bearing unsecured Notes due December 28, 2027 (the "December 2027 Notes") under its shelf Registration Statement on Form N-2. The December 2027 Notes were issued pursuant to the Base Indenture and Second Supplemental Indenture, dated December 7, 2022, between the Company and the Trustee, U.S. Bank Trust Company, National Association.</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Interest on the December 2027 Notes was due quarterly in arrears on March 1, June 1, September 1, and December 1 of each year. The December 2027 Notes were general unsecured obligations of the Company that ranked </w:t>
      </w:r>
      <w:r>
        <w:rPr>
          <w:rFonts w:ascii="Times New Roman" w:hAnsi="Times New Roman"/>
          <w:i/>
          <w:color w:val="000000"/>
          <w:sz w:val="20"/>
        </w:rPr>
        <w:t>pari passu</w:t>
      </w:r>
      <w:r>
        <w:rPr>
          <w:rFonts w:ascii="Times New Roman" w:hAnsi="Times New Roman"/>
          <w:color w:val="000000"/>
          <w:sz w:val="20"/>
        </w:rPr>
        <w:t xml:space="preserve"> with the Company's existing and future unsecured, unsubordinated indebtedness. On March 5, 2026, the Company redeemed in full the $51.75 million in aggregate principal of the December 2027 Notes in accordance with the terms of the indenture governing the December 2027 Notes.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Aggregate costs in connection with the December 2027 Notes issuance, including the underwriter's discount and commissions, were $1.9 million, and were capitalized and deferred upon issuance. As of March 05, 2026, remaining deferred financing costs related to the December 2027 Notes were $0.7 million, which were fully expensed upon repayment of the notes.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120"/>
        <w:jc w:val="left"/>
        <w:rPr/>
      </w:pPr>
      <w:r>
        <w:rPr/>
        <w:t> </w:t>
      </w:r>
    </w:p>
    <w:p>
      <w:pPr>
        <w:pStyle w:val="TextBody"/>
        <w:bidi w:val="0"/>
        <w:spacing w:before="360" w:after="240"/>
        <w:jc w:val="both"/>
        <w:rPr>
          <w:rFonts w:ascii="Times New Roman" w:hAnsi="Times New Roman"/>
          <w:b/>
          <w:i/>
          <w:color w:val="000000"/>
          <w:sz w:val="20"/>
        </w:rPr>
      </w:pPr>
      <w:r>
        <w:rPr>
          <w:rFonts w:ascii="Times New Roman" w:hAnsi="Times New Roman"/>
          <w:b/>
          <w:i/>
          <w:color w:val="000000"/>
          <w:sz w:val="20"/>
        </w:rPr>
        <w:t>2028 Notes</w:t>
      </w:r>
    </w:p>
    <w:p>
      <w:pPr>
        <w:pStyle w:val="TextBody"/>
        <w:bidi w:val="0"/>
        <w:spacing w:before="0" w:after="240"/>
        <w:jc w:val="both"/>
        <w:rPr>
          <w:rFonts w:ascii="Times New Roman" w:hAnsi="Times New Roman"/>
          <w:i/>
          <w:color w:val="000000"/>
          <w:sz w:val="20"/>
        </w:rPr>
      </w:pPr>
      <w:r>
        <w:rPr>
          <w:rFonts w:ascii="Times New Roman" w:hAnsi="Times New Roman"/>
          <w:i/>
          <w:color w:val="000000"/>
          <w:sz w:val="20"/>
        </w:rPr>
        <w:t>April 2028 Notes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On April 7, 2025, the Company completed a private debt offering of $107.0 million in aggregate principal amount of 7.51% interest-bearing unsecured Series 2025A Senior Notes due 2028 (the "April 2028 Notes") to institutional accredited investors (as defined in Regulation D under the Securities Act). The April 2028 Notes are due on April 7, 2028, unless redeemed, purchased or prepaid prior to such date by the Company or its affiliates in accordance with their terms. </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Interest on the April 2028 Notes is due semiannually in arrears on April 7 and October 7 of each year. The April 2028 Notes are general unsecured obligations of the Company that rank </w:t>
      </w:r>
      <w:r>
        <w:rPr>
          <w:rFonts w:ascii="Times New Roman" w:hAnsi="Times New Roman"/>
          <w:i/>
          <w:color w:val="000000"/>
          <w:sz w:val="20"/>
        </w:rPr>
        <w:t>pari passu</w:t>
      </w:r>
      <w:r>
        <w:rPr>
          <w:rFonts w:ascii="Times New Roman" w:hAnsi="Times New Roman"/>
          <w:color w:val="000000"/>
          <w:sz w:val="20"/>
        </w:rPr>
        <w:t xml:space="preserve"> with all outstanding and future unsecured unsubordinated indebtedness issued by the Company.</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Aggregate costs in connection with the April 2028 Notes issuance were $0.4 million and were capitalized and deferred upon issuance. As of March 31, 2026, remaining deferred financing costs related to the April 2028 Notes were $0.3 million.</w:t>
      </w:r>
    </w:p>
    <w:p>
      <w:pPr>
        <w:pStyle w:val="TextBody"/>
        <w:bidi w:val="0"/>
        <w:spacing w:before="120" w:after="240"/>
        <w:jc w:val="both"/>
        <w:rPr>
          <w:rFonts w:ascii="Times New Roman" w:hAnsi="Times New Roman"/>
          <w:b/>
          <w:i/>
          <w:color w:val="000000"/>
          <w:sz w:val="20"/>
        </w:rPr>
      </w:pPr>
      <w:r>
        <w:rPr>
          <w:rFonts w:ascii="Times New Roman" w:hAnsi="Times New Roman"/>
          <w:b/>
          <w:i/>
          <w:color w:val="000000"/>
          <w:sz w:val="20"/>
        </w:rPr>
        <w:t>2031 Notes</w:t>
      </w:r>
    </w:p>
    <w:p>
      <w:pPr>
        <w:pStyle w:val="TextBody"/>
        <w:bidi w:val="0"/>
        <w:spacing w:before="0" w:after="240"/>
        <w:jc w:val="both"/>
        <w:rPr>
          <w:rFonts w:ascii="Times New Roman" w:hAnsi="Times New Roman"/>
          <w:i/>
          <w:color w:val="000000"/>
          <w:sz w:val="20"/>
        </w:rPr>
      </w:pPr>
      <w:r>
        <w:rPr>
          <w:rFonts w:ascii="Times New Roman" w:hAnsi="Times New Roman"/>
          <w:i/>
          <w:color w:val="000000"/>
          <w:sz w:val="20"/>
        </w:rPr>
        <w:t>February 2031 Notes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On February 3, 2026, the Company issued and sold $103.25 million in aggregate principal amount of 7.25% interest-bearing unsecured Notes due February 3, 2031 (the "February 2031 Notes") under its shelf Registration Statement on Form N-2. The February 2031 Notes were issued pursuant to the Base Indenture and Third Supplemental Indenture, dated February 3, 2026, between the Company and the Trustee, U.S. Bank Trust Company, National Association.</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Interest on the February 2031 Notes is due quarterly in arrears on March 1, June 1, September 1, and December 1 of each year. The February 2031 Notes may be redeemed in whole or in part at any time or from time to time at the Company's option on or after February 3, 2028, at a redemption price of $25 per February 2031 Note plus accrued and unpaid interest payments otherwise payable for the then-current quarterly interest period accrued to the date fixed for redemption. The February 2031 Notes are general unsecured obligations of the Company that rank </w:t>
      </w:r>
      <w:r>
        <w:rPr>
          <w:rFonts w:ascii="Times New Roman" w:hAnsi="Times New Roman"/>
          <w:i/>
          <w:color w:val="000000"/>
          <w:sz w:val="20"/>
        </w:rPr>
        <w:t>pari passu</w:t>
      </w:r>
      <w:r>
        <w:rPr>
          <w:rFonts w:ascii="Times New Roman" w:hAnsi="Times New Roman"/>
          <w:color w:val="000000"/>
          <w:sz w:val="20"/>
        </w:rPr>
        <w:t xml:space="preserve"> with the Company's existing and future unsecured, unsubordinated indebtedness.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Aggregate costs in connection with the February 2031 Notes issuance, including the underwriter's discount and commissions, were $3.0 million, and were capitalized and deferred upon issuance. As of March 31, 2026, remaining deferred financing costs related to the February 2031 Notes were $2.9 million.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120"/>
        <w:jc w:val="left"/>
        <w:rPr/>
      </w:pPr>
      <w:r>
        <w:rPr/>
        <w:t> </w:t>
      </w:r>
    </w:p>
    <w:p>
      <w:pPr>
        <w:pStyle w:val="Heading1"/>
        <w:bidi w:val="0"/>
        <w:spacing w:before="360" w:after="240"/>
        <w:jc w:val="left"/>
        <w:rPr>
          <w:rFonts w:ascii="Times New Roman" w:hAnsi="Times New Roman"/>
          <w:color w:val="000000"/>
          <w:sz w:val="20"/>
        </w:rPr>
      </w:pPr>
      <w:r>
        <w:rPr>
          <w:rFonts w:ascii="Times New Roman" w:hAnsi="Times New Roman"/>
          <w:color w:val="000000"/>
          <w:sz w:val="20"/>
        </w:rPr>
        <w:t>Note 8 – Commitments, Contingencies, and Off-balance Sheet Arrangements</w:t>
      </w:r>
    </w:p>
    <w:p>
      <w:pPr>
        <w:pStyle w:val="TextBody"/>
        <w:bidi w:val="0"/>
        <w:spacing w:before="120" w:after="240"/>
        <w:jc w:val="both"/>
        <w:rPr>
          <w:rFonts w:ascii="Times New Roman" w:hAnsi="Times New Roman"/>
          <w:b/>
          <w:i/>
          <w:color w:val="000000"/>
          <w:sz w:val="20"/>
        </w:rPr>
      </w:pPr>
      <w:r>
        <w:rPr>
          <w:rFonts w:ascii="Times New Roman" w:hAnsi="Times New Roman"/>
          <w:b/>
          <w:i/>
          <w:color w:val="000000"/>
          <w:sz w:val="20"/>
        </w:rPr>
        <w:t>Commitments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following table provides the Company’s contractual obligations as of March 31, 2026 and December 31, 2025 (in thousands):</w:t>
      </w:r>
    </w:p>
    <w:tbl>
      <w:tblPr>
        <w:tblW w:w="10205" w:type="dxa"/>
        <w:jc w:val="left"/>
        <w:tblInd w:w="0" w:type="dxa"/>
        <w:tblLayout w:type="fixed"/>
        <w:tblCellMar>
          <w:top w:w="28" w:type="dxa"/>
          <w:left w:w="28" w:type="dxa"/>
          <w:bottom w:w="28" w:type="dxa"/>
          <w:right w:w="28" w:type="dxa"/>
        </w:tblCellMar>
      </w:tblPr>
      <w:tblGrid>
        <w:gridCol w:w="2502"/>
        <w:gridCol w:w="146"/>
        <w:gridCol w:w="322"/>
        <w:gridCol w:w="183"/>
        <w:gridCol w:w="757"/>
        <w:gridCol w:w="166"/>
        <w:gridCol w:w="146"/>
        <w:gridCol w:w="256"/>
        <w:gridCol w:w="146"/>
        <w:gridCol w:w="691"/>
        <w:gridCol w:w="146"/>
        <w:gridCol w:w="146"/>
        <w:gridCol w:w="256"/>
        <w:gridCol w:w="146"/>
        <w:gridCol w:w="691"/>
        <w:gridCol w:w="146"/>
        <w:gridCol w:w="146"/>
        <w:gridCol w:w="496"/>
        <w:gridCol w:w="283"/>
        <w:gridCol w:w="554"/>
        <w:gridCol w:w="146"/>
        <w:gridCol w:w="146"/>
        <w:gridCol w:w="256"/>
        <w:gridCol w:w="146"/>
        <w:gridCol w:w="691"/>
        <w:gridCol w:w="495"/>
      </w:tblGrid>
      <w:tr>
        <w:trPr/>
        <w:tc>
          <w:tcPr>
            <w:tcW w:w="250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r>
      <w:tr>
        <w:trPr/>
        <w:tc>
          <w:tcPr>
            <w:tcW w:w="25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2" w:type="dxa"/>
            <w:gridSpan w:val="2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 xml:space="preserve">Payments Due by Period </w:t>
            </w:r>
            <w:r>
              <w:rPr>
                <w:rFonts w:ascii="Times New Roman" w:hAnsi="Times New Roman"/>
                <w:b/>
                <w:color w:val="000000"/>
                <w:sz w:val="11"/>
              </w:rPr>
              <w:t>(1)</w:t>
            </w:r>
          </w:p>
        </w:tc>
        <w:tc>
          <w:tcPr>
            <w:tcW w:w="4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62"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Less than 1 Year</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1-3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3-5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More than 5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4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As of March 31,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50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16"/>
              </w:rPr>
            </w:pPr>
            <w:r>
              <w:rPr>
                <w:rFonts w:ascii="Times New Roman" w:hAnsi="Times New Roman"/>
                <w:color w:val="000000"/>
                <w:sz w:val="16"/>
              </w:rPr>
              <w:t>Borrowings </w:t>
            </w:r>
            <w:r>
              <w:rPr>
                <w:rFonts w:ascii="Times New Roman" w:hAnsi="Times New Roman"/>
                <w:color w:val="000000"/>
                <w:sz w:val="11"/>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50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Credit Facility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2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180,000</w:t>
            </w:r>
          </w:p>
        </w:tc>
        <w:tc>
          <w:tcPr>
            <w:tcW w:w="49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50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2027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40,250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40,250</w:t>
            </w:r>
          </w:p>
        </w:tc>
        <w:tc>
          <w:tcPr>
            <w:tcW w:w="49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50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2028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107,000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107,000</w:t>
            </w:r>
          </w:p>
        </w:tc>
        <w:tc>
          <w:tcPr>
            <w:tcW w:w="49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50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2031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103,250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103,250</w:t>
            </w:r>
          </w:p>
        </w:tc>
        <w:tc>
          <w:tcPr>
            <w:tcW w:w="49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2502"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6"/>
              </w:rPr>
            </w:pPr>
            <w:r>
              <w:rPr>
                <w:rFonts w:ascii="Times New Roman" w:hAnsi="Times New Roman"/>
                <w:color w:val="000000"/>
                <w:sz w:val="16"/>
              </w:rPr>
              <w:t>Total Borrowings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327,250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103,250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430,500</w:t>
            </w:r>
          </w:p>
        </w:tc>
        <w:tc>
          <w:tcPr>
            <w:tcW w:w="49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50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Deferred Incentive Fees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4,357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6,287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13,438</w:t>
            </w:r>
          </w:p>
        </w:tc>
        <w:tc>
          <w:tcPr>
            <w:tcW w:w="49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50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Foreign Currency Forward Contracts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(176</w:t>
            </w:r>
          </w:p>
        </w:tc>
        <w:tc>
          <w:tcPr>
            <w:tcW w:w="49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w:t>
            </w:r>
          </w:p>
        </w:tc>
      </w:tr>
      <w:tr>
        <w:trPr/>
        <w:tc>
          <w:tcPr>
            <w:tcW w:w="250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16"/>
              </w:rPr>
            </w:pPr>
            <w:r>
              <w:rPr>
                <w:rFonts w:ascii="Times New Roman" w:hAnsi="Times New Roman"/>
                <w:b/>
                <w:color w:val="000000"/>
                <w:sz w:val="16"/>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1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4,181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333,537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105,960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2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443,762</w:t>
            </w:r>
          </w:p>
        </w:tc>
        <w:tc>
          <w:tcPr>
            <w:tcW w:w="4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5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As of December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50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16"/>
              </w:rPr>
            </w:pPr>
            <w:r>
              <w:rPr>
                <w:rFonts w:ascii="Times New Roman" w:hAnsi="Times New Roman"/>
                <w:color w:val="000000"/>
                <w:sz w:val="16"/>
              </w:rPr>
              <w:t>Borrowings </w:t>
            </w:r>
            <w:r>
              <w:rPr>
                <w:rFonts w:ascii="Times New Roman" w:hAnsi="Times New Roman"/>
                <w:color w:val="000000"/>
                <w:sz w:val="11"/>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50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Credit Facility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173,000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173,000</w:t>
            </w:r>
          </w:p>
        </w:tc>
        <w:tc>
          <w:tcPr>
            <w:tcW w:w="49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50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2026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25,000</w:t>
            </w:r>
          </w:p>
        </w:tc>
        <w:tc>
          <w:tcPr>
            <w:tcW w:w="49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50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2027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132,250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132,250</w:t>
            </w:r>
          </w:p>
        </w:tc>
        <w:tc>
          <w:tcPr>
            <w:tcW w:w="49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50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2028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107,000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107,000</w:t>
            </w:r>
          </w:p>
        </w:tc>
        <w:tc>
          <w:tcPr>
            <w:tcW w:w="49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2502"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6"/>
              </w:rPr>
            </w:pPr>
            <w:r>
              <w:rPr>
                <w:rFonts w:ascii="Times New Roman" w:hAnsi="Times New Roman"/>
                <w:color w:val="000000"/>
                <w:sz w:val="16"/>
              </w:rPr>
              <w:t>Total Borrowings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239,250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173,000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437,250</w:t>
            </w:r>
          </w:p>
        </w:tc>
        <w:tc>
          <w:tcPr>
            <w:tcW w:w="49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50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Deferred Incentive Fees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4,197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5,309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2,659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12,249</w:t>
            </w:r>
          </w:p>
        </w:tc>
        <w:tc>
          <w:tcPr>
            <w:tcW w:w="49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50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Foreign Currency Forward Contracts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(711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(711</w:t>
            </w:r>
          </w:p>
        </w:tc>
        <w:tc>
          <w:tcPr>
            <w:tcW w:w="49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w:t>
            </w:r>
          </w:p>
        </w:tc>
      </w:tr>
      <w:tr>
        <w:trPr/>
        <w:tc>
          <w:tcPr>
            <w:tcW w:w="250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16"/>
              </w:rPr>
            </w:pPr>
            <w:r>
              <w:rPr>
                <w:rFonts w:ascii="Times New Roman" w:hAnsi="Times New Roman"/>
                <w:b/>
                <w:color w:val="000000"/>
                <w:sz w:val="16"/>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18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28,486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244,559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175,659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28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448,788</w:t>
            </w:r>
          </w:p>
        </w:tc>
        <w:tc>
          <w:tcPr>
            <w:tcW w:w="4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0" w:after="120"/>
        <w:jc w:val="left"/>
        <w:rPr/>
      </w:pPr>
      <w:r>
        <w:rPr/>
        <w:t> </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(1)</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Excludes interest payable on borrowings, accrued expenses, and commitments to extend credit to the Company’s portfolio companies.</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(2)</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Amounts represent future principal repayments and not the carrying value of each liability (refer to "Note 7 – Borrowings").</w:t>
      </w:r>
    </w:p>
    <w:p>
      <w:pPr>
        <w:pStyle w:val="TextBody"/>
        <w:bidi w:val="0"/>
        <w:spacing w:before="360" w:after="240"/>
        <w:jc w:val="both"/>
        <w:rPr>
          <w:rFonts w:ascii="Times New Roman" w:hAnsi="Times New Roman"/>
          <w:b/>
          <w:i/>
          <w:color w:val="000000"/>
          <w:sz w:val="20"/>
        </w:rPr>
      </w:pPr>
      <w:r>
        <w:rPr>
          <w:rFonts w:ascii="Times New Roman" w:hAnsi="Times New Roman"/>
          <w:b/>
          <w:i/>
          <w:color w:val="000000"/>
          <w:sz w:val="20"/>
        </w:rPr>
        <w:t>Contingencies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Company and RGC are not currently subject to any material legal proceedings, nor, to the Company's knowledge, is any material legal proceeding threatened against the Company or RGC. From time to time, the Company or RGC may be a party to certain legal proceedings in the ordinary course of business, including proceedings relating to the enforcement of their rights under contracts with its portfolio companies. The Company's business is also subject to extensive regulation, which may result in regulatory proceedings against it. While the outcome of any such legal proceedings cannot be predicted with certainty, the Company does not expect that any such proceedings will have a material effect upon its financial condition or results of operations.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120"/>
        <w:jc w:val="left"/>
        <w:rPr/>
      </w:pPr>
      <w:r>
        <w:rPr/>
        <w:t> </w:t>
      </w:r>
    </w:p>
    <w:p>
      <w:pPr>
        <w:pStyle w:val="TextBody"/>
        <w:bidi w:val="0"/>
        <w:spacing w:before="360" w:after="240"/>
        <w:jc w:val="both"/>
        <w:rPr>
          <w:rFonts w:ascii="Times New Roman" w:hAnsi="Times New Roman"/>
          <w:b/>
          <w:i/>
          <w:color w:val="000000"/>
          <w:sz w:val="20"/>
        </w:rPr>
      </w:pPr>
      <w:r>
        <w:rPr>
          <w:rFonts w:ascii="Times New Roman" w:hAnsi="Times New Roman"/>
          <w:b/>
          <w:i/>
          <w:color w:val="000000"/>
          <w:sz w:val="20"/>
        </w:rPr>
        <w:t>Off-Balance Sheet Arrangements</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In the normal course of business, the Company may enter into investment agreements under which it commits to make an investment in a portfolio company at some future date or over a specified period of time. These unfunded contractual commitments to provide funds to portfolio companies are not reflected on the Consolidated Statements of Assets and Liabilities. With the exception of the JV, the availability of such unfunded commitments is subject to the specific terms and conditions of each contract, which may include, among other things, portfolio company performance requirements and time-based cancellation provisions. As a result, only a portion of unfunded commitments is currently eligible to be drawn.</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Company's unfunded commitments to provide debt and equity financing to its portfolio companies and Runway-Cadma I LLC amounted to $179.2 million and $145.5 million as of March 31, 2026 and December 31, 2025, respectively, shown in the table below (in thousands):</w:t>
      </w:r>
    </w:p>
    <w:tbl>
      <w:tblPr>
        <w:tblW w:w="9011" w:type="dxa"/>
        <w:jc w:val="left"/>
        <w:tblInd w:w="0" w:type="dxa"/>
        <w:tblLayout w:type="fixed"/>
        <w:tblCellMar>
          <w:top w:w="28" w:type="dxa"/>
          <w:left w:w="28" w:type="dxa"/>
          <w:bottom w:w="28" w:type="dxa"/>
          <w:right w:w="28" w:type="dxa"/>
        </w:tblCellMar>
      </w:tblPr>
      <w:tblGrid>
        <w:gridCol w:w="3496"/>
        <w:gridCol w:w="146"/>
        <w:gridCol w:w="1981"/>
        <w:gridCol w:w="146"/>
        <w:gridCol w:w="239"/>
        <w:gridCol w:w="178"/>
        <w:gridCol w:w="843"/>
        <w:gridCol w:w="146"/>
        <w:gridCol w:w="146"/>
        <w:gridCol w:w="351"/>
        <w:gridCol w:w="200"/>
        <w:gridCol w:w="948"/>
        <w:gridCol w:w="191"/>
      </w:tblGrid>
      <w:tr>
        <w:trPr/>
        <w:tc>
          <w:tcPr>
            <w:tcW w:w="34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Portfolio Company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Investment Type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60"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9"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13Scents,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Senior Secured Term Loan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40,500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13Scents,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Senior Secured Revolver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5,786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Autobooks,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Senior Secured Term Loan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5,400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10,400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Blueshift Labs,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Senior Secured Term Loan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Bombora,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Senior Secured Term Loan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CarNow,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Senior Secured Term Loan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Digicert,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Senior Secured Revolver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673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673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HR Pharmaceuticals, LLC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Senior Secured Term Loan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2,386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Marley Spoon 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Senior Secured Term Loan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752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5,756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Marley Spoon 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Senior Secured Revolver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4,851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Onward Medical, N.V.</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Senior Secured Term Loan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38,982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38,982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Route 92 Medical,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Senior Secured Term Loan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20,000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Runway-Cadma I LLC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Joint Venture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22,820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22,718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Shepherd Intermediate, LLC (dba FHAS)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Senior Secured Term Loan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2,083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2,083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Shepherd Intermediate, LLC (dba FHAS)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Senior Secured Revolver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Shield Therapeutics PLC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Senior Secured Term Loan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18,000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Snap! Mobile,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Senior Secured Term Loan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Swing Education,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Senior Secured Term Loan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Swing Education,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Senior Secured Revolver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10,000</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4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unused commitments to extend financing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179,150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20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145,530</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Company may also enter into foreign currency forward contracts to mitigate its exposure to foreign currency fluctuations associated with certain investments denominated in foreign currencies. While these contracts are recognized on the Consolidated Statements of Assets and Liabilities at fair value in accordance with ASC 815, they are also considered off-balance sheet arrangements because they may result in future cash payments or receipts that are not fully reflected in the financial statements as of March 31, 2026. As of March 31, 2026 and December 31, 2025, the Company had outstanding forward currency contracts with a total notional amount of $28.9 million to purchase foreign currencies. For more information on the contracts and related maturities, refer to "Note 4 - Investments."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120"/>
        <w:jc w:val="left"/>
        <w:rPr/>
      </w:pPr>
      <w:r>
        <w:rPr/>
        <w:t> </w:t>
      </w:r>
    </w:p>
    <w:p>
      <w:pPr>
        <w:pStyle w:val="Heading1"/>
        <w:bidi w:val="0"/>
        <w:spacing w:before="360" w:after="240"/>
        <w:jc w:val="left"/>
        <w:rPr>
          <w:rFonts w:ascii="Times New Roman" w:hAnsi="Times New Roman"/>
          <w:color w:val="000000"/>
          <w:sz w:val="20"/>
        </w:rPr>
      </w:pPr>
      <w:r>
        <w:rPr>
          <w:rFonts w:ascii="Times New Roman" w:hAnsi="Times New Roman"/>
          <w:color w:val="000000"/>
          <w:sz w:val="20"/>
        </w:rPr>
        <w:t>Note 9 – Net Assets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The Company has the authority to issue 100,000,000 shares of common stock, par value $0.01 per share. In October 2015, in connection with the Company's formation, the Company issued and sold 1,667 shares of common stock to R. David Spreng, the President and Chief Executive Officer of the Company, for an aggregate purchase price of $25 thousand. </w:t>
      </w:r>
    </w:p>
    <w:p>
      <w:pPr>
        <w:pStyle w:val="TextBody"/>
        <w:bidi w:val="0"/>
        <w:spacing w:before="120" w:after="240"/>
        <w:jc w:val="both"/>
        <w:rPr>
          <w:rFonts w:ascii="Times New Roman" w:hAnsi="Times New Roman"/>
          <w:b/>
          <w:i/>
          <w:color w:val="000000"/>
          <w:sz w:val="20"/>
        </w:rPr>
      </w:pPr>
      <w:r>
        <w:rPr>
          <w:rFonts w:ascii="Times New Roman" w:hAnsi="Times New Roman"/>
          <w:b/>
          <w:i/>
          <w:color w:val="000000"/>
          <w:sz w:val="20"/>
        </w:rPr>
        <w:t>Private Common Stock Offerings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On December 1, 2017, the Company completed its initial private offering ("Initial Private Offering"), in which the Company issued 18,241,157 shares of its common stock to stockholders for a total purchase price of $275.0 million in reliance on exemptions from the registration requirements of the Securities Act, and other applicable securities laws.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Beginning October 15, 2019 and ending September 29, 2021, the Company completed multiple closings under its second private offering (the "Second Private Offering") and accepted aggregate capital commitments of $181.7 million. In connection with the Second Private Offering the Company issued 9,617,379 shares of its common stock for a total purchase price of $144.3 million. Concurrent with the IPO, all undrawn commitments under the Second Private Offering were cancelled.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On March 31, 2020 and March 24, 2021, the Company issued in aggregate 22,564 shares as an additional direct investment by Runway Growth Holdings LLC, an affiliate of RGC, at a per share price of $15.00 for total proceeds of $0.3 million in a private offering pursuant to an exemption from registration under Regulation D of the Securities Act. </w:t>
      </w:r>
    </w:p>
    <w:p>
      <w:pPr>
        <w:pStyle w:val="TextBody"/>
        <w:bidi w:val="0"/>
        <w:spacing w:before="120" w:after="240"/>
        <w:jc w:val="both"/>
        <w:rPr>
          <w:rFonts w:ascii="Times New Roman" w:hAnsi="Times New Roman"/>
          <w:b/>
          <w:i/>
          <w:color w:val="000000"/>
          <w:sz w:val="20"/>
        </w:rPr>
      </w:pPr>
      <w:r>
        <w:rPr>
          <w:rFonts w:ascii="Times New Roman" w:hAnsi="Times New Roman"/>
          <w:b/>
          <w:i/>
          <w:color w:val="000000"/>
          <w:sz w:val="20"/>
        </w:rPr>
        <w:t>Initial Public Offering</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On October 25, 2021, the Company closed its IPO, issuing 6,850,000 shares of its common stock at a public offering price of $14.60 per share. Net of underwriting fees and offering costs, the Company received net cash proceeds of $93.0 million. The Company’s common stock began trading on NASDAQ on October 21, 2021 under the symbol "RWAY."</w:t>
      </w:r>
    </w:p>
    <w:p>
      <w:pPr>
        <w:pStyle w:val="TextBody"/>
        <w:bidi w:val="0"/>
        <w:spacing w:before="120" w:after="240"/>
        <w:jc w:val="both"/>
        <w:rPr>
          <w:rFonts w:ascii="Times New Roman" w:hAnsi="Times New Roman"/>
          <w:b/>
          <w:i/>
          <w:color w:val="000000"/>
          <w:sz w:val="20"/>
        </w:rPr>
      </w:pPr>
      <w:r>
        <w:rPr>
          <w:rFonts w:ascii="Times New Roman" w:hAnsi="Times New Roman"/>
          <w:b/>
          <w:i/>
          <w:color w:val="000000"/>
          <w:sz w:val="20"/>
        </w:rPr>
        <w:t>Repurchase Program</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On February 24, 2022, the Board of Directors approved a share repurchase program (the "First Repurchase Program") under which the Company was authorized to repurchase up to $25.0 million of its outstanding shares of common stock, at management’s discretion from time to time in open-market transactions and in accordance with all applicable securities laws and regulations. The Company repurchased 871,345 shares in connection with the First Repurchase Program for an aggregate purchase price of $10.8 million. The First Repurchase Program expired on February 24, 2023.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On November 2, 2023, the Board of Directors approved a share repurchase program (the "Second Repurchase Program"), under which the Company was authorized to repurchase up to $25.0 million of its outstanding shares of common stock, at management’s discretion from time to time in open-market transactions and in accordance with all applicable securities laws and regulations. The Company repurchased 1,961,938 shares in connection with the Second Repurchase Program for an aggregate purchase price of $23.5 million. The Second Repurchase Program expired on November 2, 2024.</w:t>
      </w:r>
    </w:p>
    <w:p>
      <w:pPr>
        <w:pStyle w:val="TextBody"/>
        <w:bidi w:val="0"/>
        <w:jc w:val="both"/>
        <w:rPr>
          <w:rFonts w:ascii="Times New Roman" w:hAnsi="Times New Roman"/>
          <w:color w:val="000000"/>
          <w:sz w:val="20"/>
        </w:rPr>
      </w:pPr>
      <w:r>
        <w:rPr>
          <w:rFonts w:ascii="Times New Roman" w:hAnsi="Times New Roman"/>
          <w:color w:val="000000"/>
          <w:sz w:val="20"/>
        </w:rPr>
        <w:t>On July 30, 2024, the Board of Directors approved a share repurchase program (the "Third Repurchase Program"), under which the Company was authorized to repurchase up to $15.0 million of its outstanding shares of common stock, at management's discretion from time to time in open-market transactions and in accordance with all applicable securities laws and regulations. The Company repurchased 1,199,867 shares in connection with the Third Repurchase Program for an aggregate purchase price of $12.5 million. The Third Repurchase Program expired on July 30, 2025.</w:t>
      </w:r>
    </w:p>
    <w:p>
      <w:pPr>
        <w:pStyle w:val="TextBody"/>
        <w:bidi w:val="0"/>
        <w:spacing w:before="240" w:after="240"/>
        <w:jc w:val="both"/>
        <w:rPr>
          <w:rFonts w:ascii="Times New Roman" w:hAnsi="Times New Roman"/>
          <w:color w:val="000000"/>
          <w:sz w:val="20"/>
        </w:rPr>
      </w:pPr>
      <w:r>
        <w:rPr>
          <w:rFonts w:ascii="Times New Roman" w:hAnsi="Times New Roman"/>
          <w:color w:val="000000"/>
          <w:sz w:val="20"/>
        </w:rPr>
        <w:t xml:space="preserve">On May 7, 2025, the Board of Directors approved a share repurchase program (the "Fourth Repurchase Program"), under which the Company was authorized to repurchase up to $25.0 million of its outstanding shares of common stock, at management's discretion from time to time in open-market transactions and in accordance with all applicable securities laws and regulations. The Fourth Repurchase Program was scheduled to terminate upon the earlier of (i) May 7, 2026 or (ii) the repurchase of $25.0 million of the Company's shares of common stock and expired in accordance with its terms on May 7, 2026. From the inception of the Fourth Repurchase Program through March 31, 2026, the Company repurchased 1,213,391 shares for an aggregate purchase price of $12.5 million.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Cumulative repurchases under all repurchase programs totaled 5,246,541 shares at an aggregate purchase price of $59.3 million.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120"/>
        <w:jc w:val="left"/>
        <w:rPr/>
      </w:pPr>
      <w:r>
        <w:rPr/>
        <w:t> </w:t>
      </w:r>
    </w:p>
    <w:p>
      <w:pPr>
        <w:pStyle w:val="TextBody"/>
        <w:bidi w:val="0"/>
        <w:spacing w:before="360" w:after="240"/>
        <w:jc w:val="both"/>
        <w:rPr>
          <w:rFonts w:ascii="Times New Roman" w:hAnsi="Times New Roman"/>
          <w:b/>
          <w:i/>
          <w:color w:val="000000"/>
          <w:sz w:val="20"/>
        </w:rPr>
      </w:pPr>
      <w:r>
        <w:rPr>
          <w:rFonts w:ascii="Times New Roman" w:hAnsi="Times New Roman"/>
          <w:b/>
          <w:i/>
          <w:color w:val="000000"/>
          <w:sz w:val="20"/>
        </w:rPr>
        <w:t>Distributions and Dividend Reinvestment Plan</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The Company intends to pay quarterly distributions to its stockholders out of assets legally available for distribution. All distributions will be paid at the discretion of the Board of Directors and will depend on the Company's earnings, financial condition, maintenance of RIC status for income tax purposes, compliance with applicable BDC regulations and such other factors as the Board of Directors may deem relevant from time to time.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The Company maintains a dividend reinvestment plan for common stockholders (the "Dividend Reinvestment Plan"). The Dividend Reinvestment Plan is administered by its transfer agent on behalf of the Company's record holders and participating brokerage firms. Brokerage firms and other financial intermediaries may decide not to participate in the Dividend Reinvestment Plan but may provide a similar distribution reinvestment plan for their clients. The share requirements of the Dividend Reinvestment Plan may be satisfied through the issuance of new common shares or through open market purchases of common shares by the Company.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For the three months ended March 31, 2026, the Company declared and paid dividends in the amount of $11.9 million, of which $11.7 million was distributed in cash, with the remainder distributed in the form of 31,242 shares of the Company's common stock purchased by the Company in the open market and distributed to stockholders pursuant to the Dividend Reinvestment Plan. For the three months ended March 31, 2025, the Company declared dividends in the amount of $13.4 million, of which $13.2 million was payable in cash, with the remainder to be distributed in the form of shares of the Company's common stock purchased by the Company in the open market and distributed to stockholders pursuant to the Dividend Reinvestment Plan.</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following table summarizes the distributions declared and paid for the year ended 2025 and the quarter ended March 31, 2026:</w:t>
      </w:r>
    </w:p>
    <w:tbl>
      <w:tblPr>
        <w:tblW w:w="7775" w:type="dxa"/>
        <w:jc w:val="left"/>
        <w:tblInd w:w="0" w:type="dxa"/>
        <w:tblLayout w:type="fixed"/>
        <w:tblCellMar>
          <w:top w:w="28" w:type="dxa"/>
          <w:left w:w="28" w:type="dxa"/>
          <w:bottom w:w="28" w:type="dxa"/>
          <w:right w:w="28" w:type="dxa"/>
        </w:tblCellMar>
      </w:tblPr>
      <w:tblGrid>
        <w:gridCol w:w="1066"/>
        <w:gridCol w:w="1464"/>
        <w:gridCol w:w="149"/>
        <w:gridCol w:w="149"/>
        <w:gridCol w:w="1557"/>
        <w:gridCol w:w="149"/>
        <w:gridCol w:w="1464"/>
        <w:gridCol w:w="146"/>
        <w:gridCol w:w="370"/>
        <w:gridCol w:w="275"/>
        <w:gridCol w:w="795"/>
        <w:gridCol w:w="191"/>
      </w:tblGrid>
      <w:tr>
        <w:trPr/>
        <w:tc>
          <w:tcPr>
            <w:tcW w:w="1066" w:type="dxa"/>
            <w:tcBorders/>
            <w:vAlign w:val="center"/>
          </w:tcPr>
          <w:p>
            <w:pPr>
              <w:pStyle w:val="TableContents"/>
              <w:bidi w:val="0"/>
              <w:spacing w:before="0" w:after="283"/>
              <w:jc w:val="left"/>
              <w:rPr>
                <w:sz w:val="4"/>
                <w:szCs w:val="4"/>
              </w:rPr>
            </w:pPr>
            <w:r>
              <w:rPr>
                <w:sz w:val="4"/>
                <w:szCs w:val="4"/>
              </w:rPr>
            </w:r>
          </w:p>
        </w:tc>
        <w:tc>
          <w:tcPr>
            <w:tcW w:w="1464"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557"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6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Type</w:t>
            </w:r>
          </w:p>
        </w:tc>
        <w:tc>
          <w:tcPr>
            <w:tcW w:w="14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Declaration Date</w:t>
            </w:r>
          </w:p>
        </w:tc>
        <w:tc>
          <w:tcPr>
            <w:tcW w:w="1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Record Date</w:t>
            </w:r>
          </w:p>
        </w:tc>
        <w:tc>
          <w:tcPr>
            <w:tcW w:w="1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Payment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40"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 per Share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06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Quarterly</w:t>
            </w:r>
          </w:p>
        </w:tc>
        <w:tc>
          <w:tcPr>
            <w:tcW w:w="1464"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March 20, 2025</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7"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March 31, 2025</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4"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April 14,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0.33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Supplemental</w:t>
            </w:r>
          </w:p>
        </w:tc>
        <w:tc>
          <w:tcPr>
            <w:tcW w:w="1464"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March 20, 2025</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March 31, 2025</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4"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April 14,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0.03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6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Quarterly</w:t>
            </w:r>
          </w:p>
        </w:tc>
        <w:tc>
          <w:tcPr>
            <w:tcW w:w="1464"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May 7, 2025</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7"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May 19, 2025</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4"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June 3,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0.33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Supplemental</w:t>
            </w:r>
          </w:p>
        </w:tc>
        <w:tc>
          <w:tcPr>
            <w:tcW w:w="1464"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May 7, 2025</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May 19, 2025</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4"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June 3,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0.02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6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Quarterly</w:t>
            </w:r>
          </w:p>
        </w:tc>
        <w:tc>
          <w:tcPr>
            <w:tcW w:w="1464"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August 6, 2025</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7"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August 18, 2025</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4"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September 2,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0.33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Supplemental</w:t>
            </w:r>
          </w:p>
        </w:tc>
        <w:tc>
          <w:tcPr>
            <w:tcW w:w="1464"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August 6, 2025</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August 18, 2025</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4"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September 2,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0.03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Quarterly</w:t>
            </w:r>
          </w:p>
        </w:tc>
        <w:tc>
          <w:tcPr>
            <w:tcW w:w="14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November 5, 2025</w:t>
            </w:r>
          </w:p>
        </w:tc>
        <w:tc>
          <w:tcPr>
            <w:tcW w:w="1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November 17, 2025</w:t>
            </w:r>
          </w:p>
        </w:tc>
        <w:tc>
          <w:tcPr>
            <w:tcW w:w="1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December 3, 2025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0.33</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3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Total distribution declared during the year ended December 31,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2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0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Quarterly</w:t>
            </w:r>
          </w:p>
        </w:tc>
        <w:tc>
          <w:tcPr>
            <w:tcW w:w="14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February 25, 2026</w:t>
            </w:r>
          </w:p>
        </w:tc>
        <w:tc>
          <w:tcPr>
            <w:tcW w:w="1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March 10, 2026</w:t>
            </w:r>
          </w:p>
        </w:tc>
        <w:tc>
          <w:tcPr>
            <w:tcW w:w="1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March 24, 2026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0.33</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3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Total distribution declared during the quarter ended March 31,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2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0.33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0" w:after="240"/>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120"/>
        <w:jc w:val="left"/>
        <w:rPr/>
      </w:pPr>
      <w:r>
        <w:rPr/>
        <w:t> </w:t>
      </w:r>
    </w:p>
    <w:p>
      <w:pPr>
        <w:pStyle w:val="Heading1"/>
        <w:bidi w:val="0"/>
        <w:spacing w:before="240" w:after="240"/>
        <w:jc w:val="left"/>
        <w:rPr>
          <w:rFonts w:ascii="Times New Roman" w:hAnsi="Times New Roman"/>
          <w:color w:val="000000"/>
          <w:sz w:val="20"/>
        </w:rPr>
      </w:pPr>
      <w:r>
        <w:rPr>
          <w:rFonts w:ascii="Times New Roman" w:hAnsi="Times New Roman"/>
          <w:color w:val="000000"/>
          <w:sz w:val="20"/>
        </w:rPr>
        <w:t>Note 10 – Income Taxes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Company elected to be treated as a RIC under subchapter M of the Code starting with its taxable year ended December 31, 2016. The Company currently qualifies and intends to qualify annually for the tax treatment applicable to RICs. A RIC generally is not subject to U.S. federal income taxes on distributed income and gains so long as it meets certain source-of-income and asset diversification requirements and it distributes at least 90% of its net ordinary income and net short-term capital gains in excess of its net long-term capital losses, if any, to its stockholders. So long as the Company maintains its status as a RIC, it generally will not be subject to U.S. federal income tax on any ordinary income or capital gains that it distributes at least annually to its stockholders as dividends. Rather, any tax liability related to income earned by the Company represents obligations of the Company’s investors and will not be reflected in the consolidated financial statements of the Company. The Company intends to make sufficient distributions to maintain its RIC status each year and it does not anticipate paying any material U.S. federal income taxes in the future.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Federal income tax regulations differ from U.S. GAAP, therefore distributions in accordance with tax regulations may differ from net investment income and realized gains recognized for financial reporting purposes. Differences may be permanent or temporary in nature. Permanent differences are reclassified among capital accounts in the consolidated financial statements to reflect their appropriate tax character. Temporary differences arise when certain items of income, expense, gain or loss are recognized at some time in the future.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following table sets forth the tax cost basis and the estimated aggregate gross unrealized gain (loss) on investments for federal income tax purposes as of and for the period ended March 31, 2026 and the year ended December 31, 2025 (in thousands):</w:t>
      </w:r>
    </w:p>
    <w:tbl>
      <w:tblPr>
        <w:tblW w:w="6340" w:type="dxa"/>
        <w:jc w:val="left"/>
        <w:tblInd w:w="0" w:type="dxa"/>
        <w:tblLayout w:type="fixed"/>
        <w:tblCellMar>
          <w:top w:w="28" w:type="dxa"/>
          <w:left w:w="28" w:type="dxa"/>
          <w:bottom w:w="28" w:type="dxa"/>
          <w:right w:w="28" w:type="dxa"/>
        </w:tblCellMar>
      </w:tblPr>
      <w:tblGrid>
        <w:gridCol w:w="2911"/>
        <w:gridCol w:w="146"/>
        <w:gridCol w:w="226"/>
        <w:gridCol w:w="168"/>
        <w:gridCol w:w="866"/>
        <w:gridCol w:w="166"/>
        <w:gridCol w:w="146"/>
        <w:gridCol w:w="284"/>
        <w:gridCol w:w="212"/>
        <w:gridCol w:w="1004"/>
        <w:gridCol w:w="211"/>
      </w:tblGrid>
      <w:tr>
        <w:trPr/>
        <w:tc>
          <w:tcPr>
            <w:tcW w:w="29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9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00"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Tax cost on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983,620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2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978,163</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9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Change in unrealized gain on a tax basis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45,997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29,485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Change in unrealized loss on a tax basis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(143,446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(80,958</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9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unrealized gain (loss) on a tax basis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(97,449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2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(51,473</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bl>
    <w:p>
      <w:pPr>
        <w:pStyle w:val="TextBody"/>
        <w:bidi w:val="0"/>
        <w:spacing w:before="240" w:after="240"/>
        <w:jc w:val="both"/>
        <w:rPr>
          <w:rFonts w:ascii="Times New Roman" w:hAnsi="Times New Roman"/>
          <w:sz w:val="20"/>
        </w:rPr>
      </w:pPr>
      <w:r>
        <w:rPr>
          <w:rFonts w:ascii="Times New Roman" w:hAnsi="Times New Roman"/>
          <w:color w:val="000000"/>
          <w:sz w:val="20"/>
        </w:rPr>
        <w:t xml:space="preserve">The Company accounts for income taxes in conformity with ASC Topic 740, </w:t>
      </w:r>
      <w:r>
        <w:rPr>
          <w:rFonts w:ascii="Times New Roman" w:hAnsi="Times New Roman"/>
          <w:i/>
          <w:color w:val="000000"/>
          <w:sz w:val="20"/>
        </w:rPr>
        <w:t>Income Taxes</w:t>
      </w:r>
      <w:r>
        <w:rPr>
          <w:rFonts w:ascii="Times New Roman" w:hAnsi="Times New Roman"/>
          <w:color w:val="000000"/>
          <w:sz w:val="20"/>
        </w:rPr>
        <w:t xml:space="preserve"> ("ASC 740"). ASC 740 provides guidelines for how uncertain tax positions should be recognized, measured, presented and disclosed in the consolidated financial statements. ASC 740 requires the evaluation of tax positions taken or expected to be taken in the course of preparing the Company's tax returns to determine whether the tax positions are "more-likely-than-not" of being sustained by the applicable tax authority. Tax positions deemed to meet a "more-likely-than-not" threshold would be recorded as a tax benefit or expense in the current period. The Company recognizes interest and penalties, if any, related to unrecognized tax benefits as "Tax expense" on the Consolidated Statements of Operations. There were no material uncertain income tax positions at March 31, 2026 or December 31, 2025. Although the Company files federal and state tax returns, the Company's major tax jurisdiction is federal. The previous three tax year-ends and the interim tax period since then remain subject to examination by the Internal Revenue Service.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If the Company does not distribute (or is not deemed to have distributed) each calendar year the sum of (1) 98% of its net ordinary income for each calendar year, (2) 98.2% of its capital gain net income for the one-year period ending October 31 in that calendar year and (3) any income recognized, but not distributed, in preceding years on which the Company paid no U.S. federal income tax (the "Minimum Distribution Amount"), the Company will generally be required to pay a U.S. federal excise tax equal to 4% of the amount by which the Minimum Distribution Amount exceeds the distributions for the year. To the extent that the Company determines that its estimated current year annual taxable income will be in excess of estimated current year dividend distributions from such taxable income, the Company accrues excise taxes, if any, on estimated excess taxable income as taxable income is earned using an annual effective excise tax rate. The annual effective U.S. federal excise tax rate is determined by dividing the estimated annual excise tax by the estimated annual taxable income.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If the Company does not qualify to be treated as a RIC for any taxable year, the Company will be taxed as a regular corporation (a "C corporation") under subchapter C of the Code for such taxable year. If the Company has previously qualified as a RIC but is subsequently unable to qualify, and certain amelioration provisions are not applicable, the Company would be subject to U.S. federal income tax on all of its taxable income (including its net capital gains) at the regular corporate rate. The Company would not be able to deduct distributions to stockholders, nor would it be required to make distributions. In order to requalify as a RIC, in addition to the other requirements discussed above, the Company would be required to distribute all of its previously undistributed earnings attributable to the period it failed to qualify as a RIC by the end of the first year that it intends to requalify. If the Company fails to requalify for a period greater than two taxable years, it may be subject to U.S. federal income tax at corporate tax rates on any net built-in gains with respect to certain of its assets (i.e., the excess of the aggregate gains, including items of income, over aggregate losses that would have been realized with respect to such assets if the Company had been liquidated) that it elects to recognize on requalification or when recognized over the next five years.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120"/>
        <w:jc w:val="left"/>
        <w:rPr/>
      </w:pPr>
      <w:r>
        <w:rPr/>
        <w:t> </w:t>
      </w:r>
    </w:p>
    <w:p>
      <w:pPr>
        <w:pStyle w:val="Heading1"/>
        <w:bidi w:val="0"/>
        <w:spacing w:before="360" w:after="240"/>
        <w:jc w:val="left"/>
        <w:rPr>
          <w:rFonts w:ascii="Times New Roman" w:hAnsi="Times New Roman"/>
          <w:color w:val="000000"/>
          <w:sz w:val="20"/>
        </w:rPr>
      </w:pPr>
      <w:r>
        <w:rPr>
          <w:rFonts w:ascii="Times New Roman" w:hAnsi="Times New Roman"/>
          <w:color w:val="000000"/>
          <w:sz w:val="20"/>
        </w:rPr>
        <w:t>Note 11 – Segment Reporting</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The Company operates through a single operating and reporting segment with an investment objective to generate returns to stockholders primarily through current income on loans, and secondarily through capital gains on warrants and other equity positions. The Company's Chief Executive Officer is the Company’s Chief Operating Decision Maker ("CODM"). While the Company lends to and separately evaluates the performance of each of its portfolio companies across various industries, including technology, healthcare, business services, financial services, select consumer services and products, the CODM evaluates and monitors performance of the Company's business on an aggregated basis. Further, each investment is evaluated and managed using similar processes and shared operational support functions, such as deal origination, underwriting, monitoring, and compliance, in addition to administrative functions, such as human resources, legal, finance and information technology.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CODM uses the Company's "Net investment income" and "Net increase (decrease) in net assets resulting from operations" as reported in the Consolidated Statements of Operations to assess the Company’s performance and when allocating resources. "Net investment income" is comprised of consolidated total investment income (segment revenues) and consolidated total operating expenses (significant segment expenses), which are considered the key segment measures of profit or loss reviewed by the CODM. The information and operating expense categories included in the Company’s Consolidated Statements of Operations are fully reflective of the significant expense categories and amounts that are regularly provided to the CODM. All applicable segment disclosures are included in or can be derived from the Company’s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120"/>
        <w:jc w:val="left"/>
        <w:rPr/>
      </w:pPr>
      <w:r>
        <w:rPr/>
        <w:t> </w:t>
      </w:r>
    </w:p>
    <w:p>
      <w:pPr>
        <w:pStyle w:val="Heading1"/>
        <w:bidi w:val="0"/>
        <w:spacing w:before="240" w:after="240"/>
        <w:jc w:val="left"/>
        <w:rPr>
          <w:rFonts w:ascii="Times New Roman" w:hAnsi="Times New Roman"/>
          <w:color w:val="000000"/>
          <w:sz w:val="20"/>
        </w:rPr>
      </w:pPr>
      <w:r>
        <w:rPr>
          <w:rFonts w:ascii="Times New Roman" w:hAnsi="Times New Roman"/>
          <w:color w:val="000000"/>
          <w:sz w:val="20"/>
        </w:rPr>
        <w:t>Note 12 – Financial Highlights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following table sets forth the financial highlights for the three months ended March 31, 2026 and 2025 (in thousands, except for per share data and ratios):</w:t>
      </w:r>
    </w:p>
    <w:tbl>
      <w:tblPr>
        <w:tblW w:w="9162" w:type="dxa"/>
        <w:jc w:val="left"/>
        <w:tblInd w:w="0" w:type="dxa"/>
        <w:tblLayout w:type="fixed"/>
        <w:tblCellMar>
          <w:top w:w="28" w:type="dxa"/>
          <w:left w:w="28" w:type="dxa"/>
          <w:bottom w:w="28" w:type="dxa"/>
          <w:right w:w="28" w:type="dxa"/>
        </w:tblCellMar>
      </w:tblPr>
      <w:tblGrid>
        <w:gridCol w:w="5861"/>
        <w:gridCol w:w="146"/>
        <w:gridCol w:w="196"/>
        <w:gridCol w:w="146"/>
        <w:gridCol w:w="691"/>
        <w:gridCol w:w="166"/>
        <w:gridCol w:w="146"/>
        <w:gridCol w:w="146"/>
        <w:gridCol w:w="196"/>
        <w:gridCol w:w="159"/>
        <w:gridCol w:w="757"/>
        <w:gridCol w:w="166"/>
        <w:gridCol w:w="386"/>
      </w:tblGrid>
      <w:tr>
        <w:trPr/>
        <w:tc>
          <w:tcPr>
            <w:tcW w:w="58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r>
      <w:tr>
        <w:trPr/>
        <w:tc>
          <w:tcPr>
            <w:tcW w:w="58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55" w:type="dxa"/>
            <w:gridSpan w:val="11"/>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r>
      <w:tr>
        <w:trPr/>
        <w:tc>
          <w:tcPr>
            <w:tcW w:w="58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45"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4"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r>
      <w:tr>
        <w:trPr/>
        <w:tc>
          <w:tcPr>
            <w:tcW w:w="8610" w:type="dxa"/>
            <w:gridSpan w:val="11"/>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b/>
                <w:color w:val="000000"/>
                <w:sz w:val="16"/>
              </w:rPr>
              <w:t>Per Share Data</w:t>
            </w:r>
            <w:r>
              <w:rPr>
                <w:rFonts w:ascii="Times New Roman" w:hAnsi="Times New Roman"/>
                <w:b/>
                <w:color w:val="000000"/>
                <w:sz w:val="11"/>
              </w:rPr>
              <w:t>(1)</w:t>
            </w:r>
            <w:r>
              <w:rPr>
                <w:rFonts w:ascii="Times New Roman" w:hAnsi="Times New Roman"/>
                <w:b/>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Net asset value at beginning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13.79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86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Net investment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0.42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86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Net realized gain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86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Net change in unrealized gain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(0.53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from investment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(0.96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86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86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Distributions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Net asset value at end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14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69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12.13</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159"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757"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13.48</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3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610" w:type="dxa"/>
            <w:gridSpan w:val="11"/>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Ratio/Supplemental Data:</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86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16"/>
              </w:rPr>
            </w:pPr>
            <w:r>
              <w:rPr>
                <w:rFonts w:ascii="Times New Roman" w:hAnsi="Times New Roman"/>
                <w:color w:val="000000"/>
                <w:sz w:val="16"/>
              </w:rPr>
              <w:t>Total return based on net asset value</w:t>
            </w:r>
            <w:r>
              <w:rPr>
                <w:rFonts w:ascii="Times New Roman" w:hAnsi="Times New Roman"/>
                <w:color w:val="000000"/>
                <w:sz w:val="11"/>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92"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w:t>
            </w:r>
          </w:p>
        </w:tc>
      </w:tr>
      <w:tr>
        <w:trPr/>
        <w:tc>
          <w:tcPr>
            <w:tcW w:w="586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16"/>
              </w:rPr>
            </w:pPr>
            <w:r>
              <w:rPr>
                <w:rFonts w:ascii="Times New Roman" w:hAnsi="Times New Roman"/>
                <w:color w:val="000000"/>
                <w:sz w:val="16"/>
              </w:rPr>
              <w:t>Total return based on market value</w:t>
            </w:r>
            <w:r>
              <w:rPr>
                <w:rFonts w:ascii="Times New Roman" w:hAnsi="Times New Roman"/>
                <w:color w:val="000000"/>
                <w:sz w:val="11"/>
              </w:rPr>
              <w:t>(4)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92" w:type="dxa"/>
            <w:gridSpan w:val="2"/>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8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w:t>
            </w:r>
          </w:p>
        </w:tc>
      </w:tr>
      <w:tr>
        <w:trPr/>
        <w:tc>
          <w:tcPr>
            <w:tcW w:w="586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16"/>
              </w:rPr>
            </w:pPr>
            <w:r>
              <w:rPr>
                <w:rFonts w:ascii="Times New Roman" w:hAnsi="Times New Roman"/>
                <w:color w:val="000000"/>
                <w:sz w:val="16"/>
              </w:rPr>
              <w:t>Ratio of net investment income to average net assets</w:t>
            </w:r>
            <w:r>
              <w:rPr>
                <w:rFonts w:ascii="Times New Roman" w:hAnsi="Times New Roman"/>
                <w:color w:val="000000"/>
                <w:sz w:val="11"/>
              </w:rPr>
              <w:t>(5)(6)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8.81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w:t>
            </w:r>
          </w:p>
        </w:tc>
      </w:tr>
      <w:tr>
        <w:trPr/>
        <w:tc>
          <w:tcPr>
            <w:tcW w:w="586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16"/>
              </w:rPr>
            </w:pPr>
            <w:r>
              <w:rPr>
                <w:rFonts w:ascii="Times New Roman" w:hAnsi="Times New Roman"/>
                <w:color w:val="000000"/>
                <w:sz w:val="16"/>
              </w:rPr>
              <w:t>Ratio of total operating expenses to average net assets</w:t>
            </w:r>
            <w:r>
              <w:rPr>
                <w:rFonts w:ascii="Times New Roman" w:hAnsi="Times New Roman"/>
                <w:color w:val="000000"/>
                <w:sz w:val="11"/>
              </w:rPr>
              <w:t>(5)(6)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15.61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gridSpan w:val="2"/>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15.34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w:t>
            </w:r>
          </w:p>
        </w:tc>
      </w:tr>
      <w:tr>
        <w:trPr/>
        <w:tc>
          <w:tcPr>
            <w:tcW w:w="586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16"/>
              </w:rPr>
            </w:pPr>
            <w:r>
              <w:rPr>
                <w:rFonts w:ascii="Times New Roman" w:hAnsi="Times New Roman"/>
                <w:color w:val="000000"/>
                <w:sz w:val="16"/>
              </w:rPr>
              <w:t>Ratio of total operating expenses, excluding incentive fees, to average net assets</w:t>
            </w:r>
            <w:r>
              <w:rPr>
                <w:rFonts w:ascii="Times New Roman" w:hAnsi="Times New Roman"/>
                <w:color w:val="000000"/>
                <w:sz w:val="11"/>
              </w:rPr>
              <w:t>(5)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w:t>
            </w:r>
          </w:p>
        </w:tc>
      </w:tr>
      <w:tr>
        <w:trPr/>
        <w:tc>
          <w:tcPr>
            <w:tcW w:w="586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16"/>
              </w:rPr>
            </w:pPr>
            <w:r>
              <w:rPr>
                <w:rFonts w:ascii="Times New Roman" w:hAnsi="Times New Roman"/>
                <w:color w:val="000000"/>
                <w:sz w:val="16"/>
              </w:rPr>
              <w:t>Portfolio turnover rate</w:t>
            </w:r>
            <w:r>
              <w:rPr>
                <w:rFonts w:ascii="Times New Roman" w:hAnsi="Times New Roman"/>
                <w:color w:val="000000"/>
                <w:sz w:val="11"/>
              </w:rPr>
              <w:t>(7)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gridSpan w:val="2"/>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w:t>
            </w:r>
          </w:p>
        </w:tc>
      </w:tr>
      <w:tr>
        <w:trPr/>
        <w:tc>
          <w:tcPr>
            <w:tcW w:w="586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86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Per share market value at beginning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8.93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10.96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86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Per share market value at end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86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Net assets at beginning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484,969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514,869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86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Net assets at end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438,228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503,290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86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Weighted average net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489,132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523,497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86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Weighted average shares outstanding for the period, basic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gridSpan w:val="3"/>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36,134,037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37,347,428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16"/>
        </w:rPr>
      </w:pPr>
      <w:r>
        <w:rPr>
          <w:rFonts w:ascii="Times New Roman" w:hAnsi="Times New Roman"/>
          <w:color w:val="000000"/>
          <w:sz w:val="16"/>
        </w:rPr>
        <w:t>(1)</w:t>
      </w:r>
    </w:p>
    <w:p>
      <w:pPr>
        <w:pStyle w:val="TextBody"/>
        <w:bidi w:val="0"/>
        <w:spacing w:before="120" w:after="283"/>
        <w:jc w:val="left"/>
        <w:rPr>
          <w:rFonts w:ascii="Times New Roman" w:hAnsi="Times New Roman"/>
          <w:color w:val="000000"/>
          <w:sz w:val="16"/>
        </w:rPr>
      </w:pPr>
      <w:r>
        <w:rPr>
          <w:rFonts w:ascii="Times New Roman" w:hAnsi="Times New Roman"/>
          <w:color w:val="000000"/>
          <w:sz w:val="16"/>
        </w:rPr>
        <w:t>All per share activity, excluding dividends, is calculated based on the weighted-average shares outstanding for the relevant period.</w:t>
      </w:r>
    </w:p>
    <w:p>
      <w:pPr>
        <w:pStyle w:val="TextBody"/>
        <w:bidi w:val="0"/>
        <w:spacing w:before="120" w:after="283"/>
        <w:jc w:val="left"/>
        <w:rPr>
          <w:rFonts w:ascii="Times New Roman" w:hAnsi="Times New Roman"/>
          <w:color w:val="000000"/>
          <w:sz w:val="16"/>
        </w:rPr>
      </w:pPr>
      <w:r>
        <w:rPr>
          <w:rFonts w:ascii="Times New Roman" w:hAnsi="Times New Roman"/>
          <w:color w:val="000000"/>
          <w:sz w:val="16"/>
        </w:rPr>
        <w:t>(2)</w:t>
      </w:r>
    </w:p>
    <w:p>
      <w:pPr>
        <w:pStyle w:val="TextBody"/>
        <w:bidi w:val="0"/>
        <w:spacing w:before="120" w:after="283"/>
        <w:jc w:val="left"/>
        <w:rPr>
          <w:rFonts w:ascii="Times New Roman" w:hAnsi="Times New Roman"/>
          <w:color w:val="000000"/>
          <w:sz w:val="16"/>
        </w:rPr>
      </w:pPr>
      <w:r>
        <w:rPr>
          <w:rFonts w:ascii="Times New Roman" w:hAnsi="Times New Roman"/>
          <w:color w:val="000000"/>
          <w:sz w:val="16"/>
        </w:rPr>
        <w:t>Net accretion (dilution) represents the effect of issuance and repurchase of common stock.</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(3)</w:t>
      </w:r>
    </w:p>
    <w:p>
      <w:pPr>
        <w:pStyle w:val="TextBody"/>
        <w:bidi w:val="0"/>
        <w:spacing w:before="120" w:after="283"/>
        <w:jc w:val="both"/>
        <w:rPr>
          <w:rFonts w:ascii="Times New Roman" w:hAnsi="Times New Roman"/>
          <w:sz w:val="20"/>
        </w:rPr>
      </w:pPr>
      <w:r>
        <w:rPr>
          <w:rFonts w:ascii="Times New Roman" w:hAnsi="Times New Roman"/>
          <w:color w:val="000000"/>
          <w:sz w:val="16"/>
        </w:rPr>
        <w:t>Total return based on net asset value is calculated as the change in net asset value per share during the period, plus dividends per share, divided by the beginning net asset value per share. The total returns are not annualized.</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(4)</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 xml:space="preserve">Total return based on market value is calculated as the change in market value per share during the period, plus dividends per share, divided by the beginning market value per share. The total returns are not annualized. </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(5)</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 xml:space="preserve">The ratios are calculated based on weighted average net assets for the relevant period and are annualized. </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(6)</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 xml:space="preserve">The ratio includes annualized incentive fees and as incentive fees are performance driven, the amount expensed in future periods may vary significantly and is dependent on overall investment performance, early terminations, scheduled prepayments and other liquidity events. </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(7)</w:t>
      </w:r>
    </w:p>
    <w:p>
      <w:pPr>
        <w:pStyle w:val="TextBody"/>
        <w:bidi w:val="0"/>
        <w:spacing w:before="120" w:after="283"/>
        <w:jc w:val="both"/>
        <w:rPr>
          <w:rFonts w:ascii="Times New Roman" w:hAnsi="Times New Roman"/>
          <w:sz w:val="20"/>
        </w:rPr>
      </w:pPr>
      <w:r>
        <w:rPr>
          <w:rFonts w:ascii="Times New Roman" w:hAnsi="Times New Roman"/>
          <w:color w:val="000000"/>
          <w:sz w:val="16"/>
        </w:rPr>
        <w:t>The portfolio turnover rate for the period is calculated by taking the lesser of investment portfolio purchases or sales during the period, divided by the average investment portfolio value during the period. As such, portfolio turnover is not annualized.</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120"/>
        <w:jc w:val="left"/>
        <w:rPr/>
      </w:pPr>
      <w:r>
        <w:rPr/>
        <w:t> </w:t>
      </w:r>
    </w:p>
    <w:p>
      <w:pPr>
        <w:pStyle w:val="Heading1"/>
        <w:bidi w:val="0"/>
        <w:spacing w:before="360" w:after="240"/>
        <w:jc w:val="left"/>
        <w:rPr>
          <w:rFonts w:ascii="Times New Roman" w:hAnsi="Times New Roman"/>
          <w:color w:val="000000"/>
          <w:sz w:val="20"/>
        </w:rPr>
      </w:pPr>
      <w:r>
        <w:rPr>
          <w:rFonts w:ascii="Times New Roman" w:hAnsi="Times New Roman"/>
          <w:color w:val="000000"/>
          <w:sz w:val="20"/>
        </w:rPr>
        <w:t>Note 13 - Subsequent Events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Company evaluated events subsequent to March 31, 2026 through May 7, 2026. There have been no subsequent events that occurred during such period that would require recognition or disclosure, except as disclosed below.</w:t>
      </w:r>
    </w:p>
    <w:p>
      <w:pPr>
        <w:pStyle w:val="TextBody"/>
        <w:bidi w:val="0"/>
        <w:spacing w:before="120" w:after="240"/>
        <w:jc w:val="both"/>
        <w:rPr>
          <w:rFonts w:ascii="Times New Roman" w:hAnsi="Times New Roman"/>
          <w:b/>
          <w:i/>
          <w:color w:val="000000"/>
          <w:sz w:val="20"/>
        </w:rPr>
      </w:pPr>
      <w:r>
        <w:rPr>
          <w:rFonts w:ascii="Times New Roman" w:hAnsi="Times New Roman"/>
          <w:b/>
          <w:i/>
          <w:color w:val="000000"/>
          <w:sz w:val="20"/>
        </w:rPr>
        <w:t>Distributions</w:t>
      </w:r>
    </w:p>
    <w:p>
      <w:pPr>
        <w:pStyle w:val="TextBody"/>
        <w:bidi w:val="0"/>
        <w:jc w:val="both"/>
        <w:rPr>
          <w:rFonts w:ascii="Times New Roman" w:hAnsi="Times New Roman"/>
          <w:color w:val="000000"/>
          <w:sz w:val="20"/>
        </w:rPr>
      </w:pPr>
      <w:r>
        <w:rPr>
          <w:rFonts w:ascii="Times New Roman" w:hAnsi="Times New Roman"/>
          <w:color w:val="000000"/>
          <w:sz w:val="20"/>
        </w:rPr>
        <w:t xml:space="preserve">On May 5, 2026, the Board of Directors declared a distribution of $0.33 per share for stockholders of record as of May 18, 2026, payable on or before June 2, 2026. </w:t>
      </w:r>
    </w:p>
    <w:p>
      <w:pPr>
        <w:pStyle w:val="TextBody"/>
        <w:bidi w:val="0"/>
        <w:spacing w:before="360" w:after="240"/>
        <w:jc w:val="both"/>
        <w:rPr>
          <w:rFonts w:ascii="Times New Roman" w:hAnsi="Times New Roman"/>
          <w:b/>
          <w:i/>
          <w:color w:val="000000"/>
          <w:sz w:val="20"/>
        </w:rPr>
      </w:pPr>
      <w:r>
        <w:rPr>
          <w:rFonts w:ascii="Times New Roman" w:hAnsi="Times New Roman"/>
          <w:b/>
          <w:i/>
          <w:color w:val="000000"/>
          <w:sz w:val="20"/>
        </w:rPr>
        <w:t>Recent Portfolio Activity</w:t>
      </w:r>
    </w:p>
    <w:p>
      <w:pPr>
        <w:pStyle w:val="TextBody"/>
        <w:bidi w:val="0"/>
        <w:jc w:val="both"/>
        <w:rPr>
          <w:rFonts w:ascii="Times New Roman" w:hAnsi="Times New Roman"/>
          <w:color w:val="000000"/>
          <w:sz w:val="20"/>
        </w:rPr>
      </w:pPr>
      <w:r>
        <w:rPr>
          <w:rFonts w:ascii="Times New Roman" w:hAnsi="Times New Roman"/>
          <w:color w:val="000000"/>
          <w:sz w:val="20"/>
        </w:rPr>
        <w:t>From March 31, 2026 through May 7, 2026, the Company funded $44.4 million in unfunded commitments on existing investments.</w:t>
      </w:r>
    </w:p>
    <w:p>
      <w:pPr>
        <w:pStyle w:val="TextBody"/>
        <w:bidi w:val="0"/>
        <w:spacing w:before="360" w:after="240"/>
        <w:jc w:val="both"/>
        <w:rPr>
          <w:rFonts w:ascii="Times New Roman" w:hAnsi="Times New Roman"/>
          <w:b/>
          <w:i/>
          <w:color w:val="000000"/>
          <w:sz w:val="20"/>
        </w:rPr>
      </w:pPr>
      <w:r>
        <w:rPr>
          <w:rFonts w:ascii="Times New Roman" w:hAnsi="Times New Roman"/>
          <w:b/>
          <w:i/>
          <w:color w:val="000000"/>
          <w:sz w:val="20"/>
        </w:rPr>
        <w:t>Repurchase Program</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On May 5, 2026, the Board of Directors approved a share repurchase program (the “New Repurchase Program”) under which the Company may repurchase up to $15.0 million of its outstanding shares of common stock. Under the New Repurchase Program, purchases may be made at management’s discretion from time to time in open-market transactions, in accordance with all applicable securities laws and regulations. If not renewed, the New Repurchase Program will terminate upon the earlier of (i) May 7, 2027 or (ii) the repurchase of $15.0 million of the Company's outstanding shares of common stock.</w:t>
      </w:r>
    </w:p>
    <w:p>
      <w:pPr>
        <w:pStyle w:val="TextBody"/>
        <w:bidi w:val="0"/>
        <w:spacing w:before="120" w:after="240"/>
        <w:jc w:val="both"/>
        <w:rPr>
          <w:rFonts w:ascii="Times New Roman" w:hAnsi="Times New Roman"/>
          <w:b/>
          <w:i/>
          <w:color w:val="000000"/>
          <w:sz w:val="20"/>
        </w:rPr>
      </w:pPr>
      <w:r>
        <w:rPr>
          <w:rFonts w:ascii="Times New Roman" w:hAnsi="Times New Roman"/>
          <w:b/>
          <w:i/>
          <w:color w:val="000000"/>
          <w:sz w:val="20"/>
        </w:rPr>
        <w:t>Retirement and Appointment of Certain Officers</w:t>
      </w:r>
    </w:p>
    <w:p>
      <w:pPr>
        <w:pStyle w:val="TextBody"/>
        <w:bidi w:val="0"/>
        <w:spacing w:before="120" w:after="240"/>
        <w:jc w:val="both"/>
        <w:rPr>
          <w:rFonts w:ascii="Times New Roman" w:hAnsi="Times New Roman"/>
          <w:i/>
          <w:color w:val="000000"/>
          <w:sz w:val="20"/>
        </w:rPr>
      </w:pPr>
      <w:r>
        <w:rPr>
          <w:rFonts w:ascii="Times New Roman" w:hAnsi="Times New Roman"/>
          <w:i/>
          <w:color w:val="000000"/>
          <w:sz w:val="20"/>
        </w:rPr>
        <w:t>The Company</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On May 5, 2026, Thomas B. Raterman notified the Board of Directors that he would retire from his positions as the Company’s Chief Operating Officer, Chief Financial Officer, Treasurer and Corporate Secretary effective as of the close of business on June 30, 2026, at which time he will become Vice Chairman of RGC. In that role, he will focus on strategic initiatives that include portfolio optimization, platform-level mergers and acquisitions, capital markets transactions, and capital formation. Mr. Raterman will also continue to serve as a member of the investment committee of RGC.</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On May 5, 2026, the Board of Directors elected Carmela Thomson to serve as the Company’s Chief Financial Officer, Treasurer and Corporate Secretary effective as of the close of business on June 30, 2026.</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Please refer to “Part II, Item 5. Other Information” for additional information.</w:t>
      </w:r>
    </w:p>
    <w:p>
      <w:pPr>
        <w:pStyle w:val="TextBody"/>
        <w:bidi w:val="0"/>
        <w:spacing w:before="120" w:after="240"/>
        <w:jc w:val="both"/>
        <w:rPr>
          <w:rFonts w:ascii="Times New Roman" w:hAnsi="Times New Roman"/>
          <w:i/>
          <w:color w:val="000000"/>
          <w:sz w:val="20"/>
        </w:rPr>
      </w:pPr>
      <w:r>
        <w:rPr>
          <w:rFonts w:ascii="Times New Roman" w:hAnsi="Times New Roman"/>
          <w:i/>
          <w:color w:val="000000"/>
          <w:sz w:val="20"/>
        </w:rPr>
        <w:t>The Investment Adviser</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Effective as of April 6, 2026, David Spreng, the Company's Chief Executive Officer and President, returned to his role as Chief Investment Officer of RGC in place of Greg Greifeld.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In connection with the Merger (as defined below), John David Tamas became a managing director of healthcare and life sciences investing at RGC.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Effective as of April 30, 2026, Avisha Khubani was promoted to Chief Credit Officer at RGC.</w:t>
      </w:r>
    </w:p>
    <w:p>
      <w:pPr>
        <w:pStyle w:val="TextBody"/>
        <w:bidi w:val="0"/>
        <w:spacing w:before="120" w:after="240"/>
        <w:jc w:val="both"/>
        <w:rPr>
          <w:rFonts w:ascii="Times New Roman" w:hAnsi="Times New Roman"/>
          <w:b/>
          <w:i/>
          <w:color w:val="000000"/>
          <w:sz w:val="20"/>
        </w:rPr>
      </w:pPr>
      <w:r>
        <w:rPr>
          <w:rFonts w:ascii="Times New Roman" w:hAnsi="Times New Roman"/>
          <w:b/>
          <w:i/>
          <w:color w:val="000000"/>
          <w:sz w:val="20"/>
        </w:rPr>
        <w:t>SWK Acquisition</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On April 6, 2026, the Company completed its previously announced acquisition of SWK Holdings Corporation, a Delaware corporation ("SWK"), pursuant to that certain Agreement and Plan of Merger (the "Merger Agreement"), dated as of October 9, 2025, by and among the Company, SWK, RWAY Portfolio Holding Corp., a Delaware corporation and a direct wholly-owned subsidiary of the Company ("Intermediary Sub"), RWAY Portfolio Corp., a Delaware corporation and a wholly-owned subsidiary of Intermediary Sub ("Acquisition Sub") and RGC, a Delaware limited liability company (the "Adviser"). Pursuant to the Merger Agreement, SWK first merged with and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120"/>
        <w:jc w:val="left"/>
        <w:rPr/>
      </w:pPr>
      <w:r>
        <w:rPr/>
        <w:t> </w:t>
      </w:r>
    </w:p>
    <w:p>
      <w:pPr>
        <w:pStyle w:val="TextBody"/>
        <w:bidi w:val="0"/>
        <w:spacing w:before="240" w:after="240"/>
        <w:jc w:val="both"/>
        <w:rPr>
          <w:rFonts w:ascii="Times New Roman" w:hAnsi="Times New Roman"/>
          <w:color w:val="000000"/>
          <w:sz w:val="20"/>
        </w:rPr>
      </w:pPr>
      <w:r>
        <w:rPr>
          <w:rFonts w:ascii="Times New Roman" w:hAnsi="Times New Roman"/>
          <w:color w:val="000000"/>
          <w:sz w:val="20"/>
        </w:rPr>
        <w:t>into Acquisition Sub, with Acquisition Sub as the surviving company (the "First Merger"). Following the effectiveness of the First Merger, Acquisition Sub merged with and into Intermediary Sub, with Intermediary Sub as the surviving company (the "Second Merger"). Following the effectiveness of the Second Merger, Intermediary Sub merged with and into the Company, with the Company as the surviving company (the "Third Merger" and, together with the First Merger and the Second Merger, the "Mergers").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In accordance with the terms of the Merger Agreement, at the effective time of the First Merger, each outstanding share of common stock, par value $0.001 per share, of SWK ("SWK Common Stock") was converted into the right to receive (i) either (A) 1.7264 shares of common stock, par value $0.01 per share, of the Company ("Company Common Stock") or (B) $20.59 in cash (based on the election of the holder thereof in accordance with the terms of the Merger Agreement (and subject to the proration as provided therein)) plus (ii) $0.74 in cash, which represents a pro rata share of the guaranteed cash payment paid by the Adviser. As a result, the Company issued an aggregate of 6,330,509 shares of its common stock to SWK's former stockholders. No fractional shares were issued in the First Merger and the value of any fractional shares of Company Common Stock that a former holder of SWK Common Stock would otherwise be entitled to receive will be paid in cash.</w:t>
      </w:r>
    </w:p>
    <w:p>
      <w:pPr>
        <w:pStyle w:val="TextBody"/>
        <w:bidi w:val="0"/>
        <w:spacing w:before="120" w:after="240"/>
        <w:jc w:val="both"/>
        <w:rPr>
          <w:rFonts w:ascii="Times New Roman" w:hAnsi="Times New Roman"/>
          <w:b/>
          <w:i/>
          <w:color w:val="000000"/>
          <w:sz w:val="20"/>
        </w:rPr>
      </w:pPr>
      <w:r>
        <w:rPr>
          <w:rFonts w:ascii="Times New Roman" w:hAnsi="Times New Roman"/>
          <w:b/>
          <w:i/>
          <w:color w:val="000000"/>
          <w:sz w:val="20"/>
        </w:rPr>
        <w:t>Third Supplemental Indenture for the SWK 2027 Notes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On April 6, 2026, the Company entered into a third supplemental indenture (the "Third Supplemental Indenture") by and between the Company and Wilmington Trust, National Association (the "Trustee"), effective as of the closing of the Merger. The Third Supplemental Indenture relates to the Company's assumption of $33.0 million in aggregate principal amount of SWK's 9.00% Senior Notes due 2027 (the "2027 Notes").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Pursuant to the Third Supplemental Indenture, the Company expressly assumed the obligations of SWK for the due and punctual payment of the principal of, and premium, if any, and interest on all the 2027 Notes, and the due and punctual performance and observance of all of the covenants and conditions of the indenture, dated October 3, 2023 (the "Base Indenture"), by and between SWK and the Trustee, as amended by the First Supplemental Indenture, dated as of October 3, 2023 and the Second Supplemental Indenture dated as of April 6, 2026.</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120"/>
        <w:jc w:val="left"/>
        <w:rPr/>
      </w:pPr>
      <w:r>
        <w:rPr/>
        <w:t> </w:t>
      </w:r>
    </w:p>
    <w:p>
      <w:pPr>
        <w:pStyle w:val="Heading1"/>
        <w:bidi w:val="0"/>
        <w:spacing w:before="360" w:after="240"/>
        <w:jc w:val="left"/>
        <w:rPr>
          <w:rFonts w:ascii="Times New Roman" w:hAnsi="Times New Roman"/>
          <w:color w:val="000000"/>
          <w:sz w:val="20"/>
        </w:rPr>
      </w:pPr>
      <w:bookmarkStart w:id="12" w:name="item2managementsdiscussionandanalysisoff"/>
      <w:bookmarkEnd w:id="12"/>
      <w:r>
        <w:rPr>
          <w:rFonts w:ascii="Times New Roman" w:hAnsi="Times New Roman"/>
          <w:color w:val="000000"/>
          <w:sz w:val="20"/>
        </w:rPr>
        <w:t>Item 2. Management’s Discussion and Analysis of Financial Condition and Results of Operations.</w:t>
      </w:r>
    </w:p>
    <w:p>
      <w:pPr>
        <w:pStyle w:val="TextBody"/>
        <w:bidi w:val="0"/>
        <w:spacing w:before="120" w:after="240"/>
        <w:jc w:val="left"/>
        <w:rPr>
          <w:rFonts w:ascii="Times New Roman" w:hAnsi="Times New Roman"/>
          <w:b/>
          <w:i/>
          <w:color w:val="000000"/>
          <w:sz w:val="20"/>
        </w:rPr>
      </w:pPr>
      <w:r>
        <w:rPr>
          <w:rFonts w:ascii="Times New Roman" w:hAnsi="Times New Roman"/>
          <w:b/>
          <w:i/>
          <w:color w:val="000000"/>
          <w:sz w:val="20"/>
        </w:rPr>
        <w:t>Forward-Looking Statements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This quarterly report on Form 10</w:t>
        <w:noBreakHyphen/>
        <w:t>Q contains forward-looking statements that involve substantial risks and uncertainties. Such statements involve known and unknown risks, uncertainties and other factors, and undue reliance should not be placed thereon. These forward-looking statements are not historical facts, but rather are based on current expectations, estimates and projections about us, our current and prospective portfolio investments, our industry, our beliefs and opinions, and our assumptions. Words such as "anticipates," "expects," "intends," "plans," "will," "may," "continue," "believes," "seeks," "estimates," "would," "could," "should," "targets," "projects," "outlook," "potential," "predicts" and variations of these words and similar expressions are intended to identify forward-looking statements. These statements are not guarantees of future performance and are subject to risks, uncertainties and other factors, some of which are beyond our control and difficult to predict and could cause actual results to differ materially from those expressed or forecasted in the forward-looking statements, including without limitation:</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changes in political, economic or industry conditions, trade policies, restrictions and tariffs, the interest rate environment or conditions affecting the financial and capital markets;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an economic downturn or recession, as well as the impairment or failure of financial institutions on both a domestic and global scale, could impair our portfolio companies’ ability to continue to operate, which could lead to the loss of some or all of our investments in such portfolio companies;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such an economic downturn could disproportionately impact the companies that we intend to target for investment, potentially causing us to experience a decrease in investment opportunities and diminished demand for capital from these companies;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a contraction of available credit and/or an inability to access the equity markets that could impair our lending and investment activities;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interest rate volatility that could adversely affect our results, particularly to the extent that we use leverage as part of our investment strategy;</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impact of changes in interest and inflation rates on our business prospects and the prospects of our portfolio companies;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our business prospects and the prospects of our portfolio companies;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our contractual arrangements and relationships with third parties;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ability of our portfolio companies to achieve their objectives;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competition with other entities and our affiliates for investment opportunities;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speculative and illiquid nature of our investments;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use of borrowed money to finance a portion of our investments;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adequacy of our financing sources and working capital;</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loss of key personnel and members of our management team;</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timing of cash flows, if any, from the operations of our portfolio companies;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ability of our external investment adviser, Runway Growth Capital LLC, to locate suitable investments for us and to monitor and administer our investments;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ability of Runway Growth Capital LLC to attract and retain highly talented professionals;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our ability to qualify and maintain our qualification as a RIC under subchapter M of the Code, and as a BDC;</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occurrence of a disaster, such as a cyber-attack against us or against a third-party that has access to our data or networks, a natural catastrophe, an industrial accident, failure of our disaster-recovery systems, or consequential employee error;</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the effect of legal, tax, and regulatory changes; </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our ability to realize the anticipated benefits of the Mergers;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effects of disruption on our business from the Mergers;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combined company’s plans, expectations, objectives and intentions as a result of the Mergers;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120"/>
        <w:jc w:val="left"/>
        <w:rPr/>
      </w:pPr>
      <w:r>
        <w:rPr/>
        <w:t> </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risk that stockholders litigation in connection with Mergers may result in significant costs of defense and liability; and</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the other risks, uncertainties and other factors we identify under "Risk Factors" in Part I, Item 1A of our annual report on Form 10-K, filed with the Securities and Exchange Commission (the "SEC") on March 12, 2026, and in this quarterly report on Form 10-Q. </w:t>
      </w:r>
    </w:p>
    <w:p>
      <w:pPr>
        <w:pStyle w:val="TextBody"/>
        <w:bidi w:val="0"/>
        <w:spacing w:before="120" w:after="240"/>
        <w:jc w:val="both"/>
        <w:rPr>
          <w:rFonts w:ascii="Times New Roman" w:hAnsi="Times New Roman"/>
          <w:color w:val="000000"/>
          <w:sz w:val="20"/>
        </w:rPr>
      </w:pPr>
      <w:r>
        <w:rPr>
          <w:rFonts w:ascii="Times New Roman" w:hAnsi="Times New Roman"/>
          <w:color w:val="000000"/>
          <w:sz w:val="20"/>
        </w:rPr>
        <w:t>Although we believe the assumptions on which these forward-looking statements are based are reasonable, any of those assumptions could prove to be inaccurate, and as a result, the forward-looking statements based on those assumptions also could be inaccurate. In light of these and other uncertainties, the inclusion of a projection or forward-looking statement in this quarterly report on Form 10-Q should not be regarded as a representation by us that our plans and objectives will be achieved. These risks and uncertainties include those described or identified in "Risk Factors" in Part I, Item 1A of our annual report on Form 10-K, filed with the SEC on March 12, 2026.</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We have based the forward-looking statements included in this quarterly report on Form 10</w:t>
        <w:noBreakHyphen/>
        <w:t>Q on information available to us on the date of this quarterly report on Form 10</w:t>
        <w:noBreakHyphen/>
        <w:t>Q, and we assume no obligation to update any such forward-looking statements. Although we undertake no obligation to revise or update any forward-looking statements, whether as a result of new information, future events or otherwise, you are advised to consult any additional disclosures that we may make directly to you or through reports that we have filed or in the future may file with the SEC, including our annual reports on Form 10</w:t>
        <w:noBreakHyphen/>
        <w:t>K, quarterly reports on Form 10</w:t>
        <w:noBreakHyphen/>
        <w:t>Q and current reports on Form 8</w:t>
        <w:noBreakHyphen/>
        <w:t>K.</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The following analysis of our financial condition and results of operations should be read in conjunction with our consolidated financial statements and the related notes thereto contained elsewhere in this quarterly report on Form 10</w:t>
        <w:noBreakHyphen/>
        <w:t>Q.</w:t>
      </w:r>
    </w:p>
    <w:p>
      <w:pPr>
        <w:pStyle w:val="TextBody"/>
        <w:bidi w:val="0"/>
        <w:spacing w:before="160" w:after="240"/>
        <w:jc w:val="left"/>
        <w:rPr>
          <w:rFonts w:ascii="Times New Roman" w:hAnsi="Times New Roman"/>
          <w:b/>
          <w:i/>
          <w:color w:val="000000"/>
          <w:sz w:val="20"/>
        </w:rPr>
      </w:pPr>
      <w:r>
        <w:rPr>
          <w:rFonts w:ascii="Times New Roman" w:hAnsi="Times New Roman"/>
          <w:b/>
          <w:i/>
          <w:color w:val="000000"/>
          <w:sz w:val="20"/>
        </w:rPr>
        <w:t>Overview</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Runway Growth Finance Corp. ("we," "us," or "our"), a Maryland corporation formed on August 31, 2015, is structured as an externally managed, non-diversified closed-end management investment company. On August 18, 2021, we changed our name to "Runway Growth Finance Corp." from "Runway Growth Credit Fund Inc." We are a specialty finance company focused on providing senior secured loans to high growth-potential companies in technology, healthcare, business services, financial services, select consumer services and products and other high-growth industries. Our goal is to create significant value for our stockholders and the entrepreneurs we support by providing high growth-potential companies with hybrid debt and equity financing that is more flexible than traditional credit and less dilutive than equity. Our investment objective is to maximize our total return to our stockholders primarily through current income on our loan portfolio, and secondarily through capital gains on our warrants and other equity positions. Certain of the loans in which we may invest or obtain exposure to through our investments in structured securities may be deemed "Covenant-Lite Loans," which means the loans contain fewer or no maintenance covenants compared to other loans and do not include terms which allow the lender to declare a default if certain covenants are breached. We are managed by Runway Growth Capital, an experienced provider of growth financing for dynamic, late and growth-stage companies. As of March 31, 2026, we had an investment portfolio of $886.3 million at fair value, and a net asset value of $438.2 million. Our offices are in Chicago, Illinois; Menlo Park, California; and New York, New York.</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We have elected to be regulated as a business development company ("BDC") under the Investment Company Act of 1940, as amended (together with the rules and regulations promulgated thereunder, the "1940 Act"). We have also elected to be treated as a regulated investment company ("RIC") under subchapter M of the Internal Revenue Code of 1986, as amended (the "Code"). While we currently qualify and intend to qualify annually to be treated as a RIC, no assurance can be provided that we will be able to maintain our tax treatment as a RIC. If we fail to qualify for tax treatment as a RIC for any taxable year, we will be subject to U.S. federal income tax at the regular corporate rate on any net taxable income for such taxable year. As a BDC and a RIC, we are required to comply with various regulatory requirements, such as the requirement to invest at least 70% of our assets in "qualifying assets," source-of-income limitations, asset diversification requirements, and the requirement to distribute annually at least 90% of our investment company taxable income and net tax-exempt interest.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We are an "emerging growth company," as defined in the Jumpstart Our Business Startups Act of 2012 (the "JOBS Act"). We expect to remain an emerging growth company until December 31, 2026, the last day of our fiscal year following the fifth anniversary of our IPO, which closed on October 25, 2021, or until the earliest of (i) the last day of the first fiscal year in which we have total annual gross revenue of $1.235 billion or more, (ii) December 31 of the fiscal year in which we become a "large accelerated filer" as defined in Rule 12b-2 under the Securities Exchange Act of 1934, as amended (together with the rules and regulations promulgated thereunder, the "Exchange Act"), (which would occur if the market value of our common stock held by non-affiliates exceeds $700.0 million, measured as of the last business day of our most recently completed second fiscal quarter, and we have been publicly reporting for at least 12 months), or (iii) the date on which we have issued more than $1.0 billion in non-convertible debt during the preceding three-year period. During the time that we are an emerging growth company under the JOBS Act, we will be subject to reduced public company reporting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12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requirements. When we are no longer an emerging growth company, we will be subject to additional public company reporting requirements, including auditor attestation requirements of Section 404(b) of the Sarbanes-Oxley Act, and we will no longer be able to take advantage of the extended transition periods available to emerging growth companies for complying with new or revised accounting standards.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We are externally managed by Runway Growth Capital LLC ("RGC"), an investment adviser that has registered with the SEC under the Investment Advisers Act of 1940, as amended. Runway Administrator Services LLC (the "Administrator"), a wholly-owned subsidiary of RGC, provides all the administrative services necessary for us to operate.</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We, RGC, and certain other funds and accounts sponsored or managed by RGC and/or its affiliates, including BC Partners Advisors L.P. (collectively our "Affiliates"), rely on an order (the "Order") granted by the SEC that permits us greater flexibility than the 1940 Act permits to negotiate the terms of co-investments if our Board of Directors determines that it would be advantageous for us to co-invest with other accounts sponsored or managed by RGC and/or its Affiliates in a manner consistent with our investment objective, positions, policies, strategies and restrictions as well as regulatory requirements and other pertinent factors. We believe that the ability to co-invest with similar investment structures and accounts sponsored or managed by RGC or its Affiliates provides additional investment opportunities and the ability to achieve greater diversification. Under the terms of the Order, a majority of our independent directors are required to make certain determinations in connection with a co-investment transaction, including that (1) the terms of the proposed transaction are reasonable and fair to us and our stockholders and do not involve overreaching in respect of us or our stockholders on the part of any person concerned and (2) the transaction is consistent with the interests of our stockholders and is consistent with our investment strategies and policies. On September 12, 2025, we, RGC and certain Affiliates applied for a new co-investment exemptive order from the SEC. There can be no assurances that the SEC will grant such relief.</w:t>
      </w:r>
    </w:p>
    <w:p>
      <w:pPr>
        <w:pStyle w:val="TextBody"/>
        <w:bidi w:val="0"/>
        <w:spacing w:before="160" w:after="240"/>
        <w:jc w:val="left"/>
        <w:rPr>
          <w:rFonts w:ascii="Times New Roman" w:hAnsi="Times New Roman"/>
          <w:b/>
          <w:i/>
          <w:color w:val="000000"/>
          <w:sz w:val="20"/>
        </w:rPr>
      </w:pPr>
      <w:r>
        <w:rPr>
          <w:rFonts w:ascii="Times New Roman" w:hAnsi="Times New Roman"/>
          <w:b/>
          <w:i/>
          <w:color w:val="000000"/>
          <w:sz w:val="20"/>
        </w:rPr>
        <w:t>Portfolio Composition and Investment Activity</w:t>
      </w:r>
    </w:p>
    <w:p>
      <w:pPr>
        <w:pStyle w:val="TextBody"/>
        <w:bidi w:val="0"/>
        <w:spacing w:before="0" w:after="240"/>
        <w:jc w:val="left"/>
        <w:rPr>
          <w:rFonts w:ascii="Times New Roman" w:hAnsi="Times New Roman"/>
          <w:i/>
          <w:color w:val="000000"/>
          <w:sz w:val="20"/>
        </w:rPr>
      </w:pPr>
      <w:r>
        <w:rPr>
          <w:rFonts w:ascii="Times New Roman" w:hAnsi="Times New Roman"/>
          <w:i/>
          <w:color w:val="000000"/>
          <w:sz w:val="20"/>
        </w:rPr>
        <w:t>Portfolio Composition</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At March 31, 2026, we had investments in 56 companies, representing 23 companies in which we held a combination of debt and equity investments, nine companies in which we held debt investments only, 23 companies in which we held equity investments only, and one company in which we held equity interests only. At December 31, 2025, we had investments in 56 companies, representing 23 companies in which we held a combination of debt and equity investments, eight companies in which we held debt investments only, 23 companies in which we held equity investments only, and two companies in which we held equity interests only.</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The following table shows the fair value of our investments, by asset class, as of March 31, 2026 and December 31, 2025 (in thousands): </w:t>
      </w:r>
    </w:p>
    <w:tbl>
      <w:tblPr>
        <w:tblW w:w="6233" w:type="dxa"/>
        <w:jc w:val="left"/>
        <w:tblInd w:w="0" w:type="dxa"/>
        <w:tblLayout w:type="fixed"/>
        <w:tblCellMar>
          <w:top w:w="28" w:type="dxa"/>
          <w:left w:w="28" w:type="dxa"/>
          <w:bottom w:w="28" w:type="dxa"/>
          <w:right w:w="28" w:type="dxa"/>
        </w:tblCellMar>
      </w:tblPr>
      <w:tblGrid>
        <w:gridCol w:w="1013"/>
        <w:gridCol w:w="922"/>
        <w:gridCol w:w="196"/>
        <w:gridCol w:w="146"/>
        <w:gridCol w:w="691"/>
        <w:gridCol w:w="146"/>
        <w:gridCol w:w="146"/>
        <w:gridCol w:w="196"/>
        <w:gridCol w:w="146"/>
        <w:gridCol w:w="691"/>
        <w:gridCol w:w="146"/>
        <w:gridCol w:w="146"/>
        <w:gridCol w:w="157"/>
        <w:gridCol w:w="157"/>
        <w:gridCol w:w="648"/>
        <w:gridCol w:w="157"/>
        <w:gridCol w:w="529"/>
      </w:tblGrid>
      <w:tr>
        <w:trPr/>
        <w:tc>
          <w:tcPr>
            <w:tcW w:w="1013"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r>
      <w:tr>
        <w:trPr/>
        <w:tc>
          <w:tcPr>
            <w:tcW w:w="10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3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48"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of Total Portfolio</w:t>
            </w:r>
          </w:p>
        </w:tc>
      </w:tr>
      <w:tr>
        <w:trPr/>
        <w:tc>
          <w:tcPr>
            <w:tcW w:w="1935" w:type="dxa"/>
            <w:gridSpan w:val="2"/>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As of March 31, 2026</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935"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Senior Secured Loans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882,738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822,899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92.85</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1935"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Second Lien Loans</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6,619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6,652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0.75</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935"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Preferred Stock/Units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53,920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29,275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3.30</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935"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Common Stock/Units</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5,415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935"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Equity Interest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12,180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13,035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1.47</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935"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Warrants</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24,584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14,455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1.63</w:t>
            </w:r>
          </w:p>
        </w:tc>
        <w:tc>
          <w:tcPr>
            <w:tcW w:w="1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9"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1935"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b/>
                <w:color w:val="000000"/>
                <w:sz w:val="16"/>
              </w:rPr>
            </w:pPr>
            <w:r>
              <w:rPr>
                <w:rFonts w:ascii="Times New Roman" w:hAnsi="Times New Roman"/>
                <w:b/>
                <w:color w:val="000000"/>
                <w:sz w:val="16"/>
              </w:rPr>
              <w:t>Total</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985,456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886,346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100.00</w:t>
            </w:r>
          </w:p>
        </w:tc>
        <w:tc>
          <w:tcPr>
            <w:tcW w:w="1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r>
      <w:tr>
        <w:trPr/>
        <w:tc>
          <w:tcPr>
            <w:tcW w:w="193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35"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As of December 31, 2025</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935"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Senior Secured Loans</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877,707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853,893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92.07</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1935"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Second Lien Loans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6,398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6,434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0.69</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935"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Preferred Stock/Units</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51,920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36,264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3.91</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935"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Common Stock/Units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5,415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0.01</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935"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Equity Interest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13,233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14,746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1.59</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935"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Warrants</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24,757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16,005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1.73</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9"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1935"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b/>
                <w:color w:val="000000"/>
                <w:sz w:val="16"/>
              </w:rPr>
            </w:pPr>
            <w:r>
              <w:rPr>
                <w:rFonts w:ascii="Times New Roman" w:hAnsi="Times New Roman"/>
                <w:b/>
                <w:color w:val="000000"/>
                <w:sz w:val="16"/>
              </w:rPr>
              <w:t>Total</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979,430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927,402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100.00</w:t>
            </w:r>
          </w:p>
        </w:tc>
        <w:tc>
          <w:tcPr>
            <w:tcW w:w="1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r>
    </w:tbl>
    <w:p>
      <w:pPr>
        <w:pStyle w:val="TextBody"/>
        <w:bidi w:val="0"/>
        <w:spacing w:before="240" w:after="283"/>
        <w:jc w:val="both"/>
        <w:rPr>
          <w:rFonts w:ascii="Times New Roman" w:hAnsi="Times New Roman"/>
          <w:sz w:val="20"/>
        </w:rPr>
      </w:pPr>
      <w:r>
        <w:rPr>
          <w:rFonts w:ascii="Times New Roman" w:hAnsi="Times New Roman"/>
          <w:color w:val="231F20"/>
          <w:sz w:val="20"/>
        </w:rPr>
        <w:t xml:space="preserve">For the three months ended March 31, 2026, our debt investment portfolio had a dollar-weighted annualized yield of 14.2%. For the </w:t>
      </w:r>
      <w:r>
        <w:rPr>
          <w:rFonts w:ascii="Times New Roman" w:hAnsi="Times New Roman"/>
          <w:color w:val="000000"/>
          <w:sz w:val="20"/>
        </w:rPr>
        <w:t>three months ended March 31, 2025</w:t>
      </w:r>
      <w:r>
        <w:rPr>
          <w:rFonts w:ascii="Times New Roman" w:hAnsi="Times New Roman"/>
          <w:color w:val="231F20"/>
          <w:sz w:val="20"/>
        </w:rPr>
        <w:t xml:space="preserve">, our debt investment portfolio had a dollar-weighted annualized yield of 15.4%. We calculate the yield on dollar-weighted debt investments for any period measured as (1) total related investment income during the period divided by (2) the daily average of the fair value of debt investments outstanding during the period, including any debt investments on non-accrual status. As of March 31, 2026, our debt investments had a dollar-weighted average term of 53 months at origination and a dollar-weighted average remaining term of 29 months, or approximately 2.4 years. As of March 31, 2026, substantially all of our debt investments had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120"/>
        <w:jc w:val="left"/>
        <w:rPr/>
      </w:pPr>
      <w:r>
        <w:rPr/>
        <w:t> </w:t>
      </w:r>
    </w:p>
    <w:p>
      <w:pPr>
        <w:pStyle w:val="TextBody"/>
        <w:bidi w:val="0"/>
        <w:spacing w:before="240" w:after="283"/>
        <w:jc w:val="both"/>
        <w:rPr>
          <w:rFonts w:ascii="Times New Roman" w:hAnsi="Times New Roman"/>
          <w:color w:val="231F20"/>
          <w:sz w:val="20"/>
        </w:rPr>
      </w:pPr>
      <w:r>
        <w:rPr>
          <w:rFonts w:ascii="Times New Roman" w:hAnsi="Times New Roman"/>
          <w:color w:val="231F20"/>
          <w:sz w:val="20"/>
        </w:rPr>
        <w:t>a committed principal amount of between $2.0 million and $68.5 million and pay cash interest at annual interest rates of between 6.3% and 14.7%.</w:t>
      </w:r>
    </w:p>
    <w:p>
      <w:pPr>
        <w:pStyle w:val="TextBody"/>
        <w:bidi w:val="0"/>
        <w:spacing w:before="240" w:after="240"/>
        <w:jc w:val="both"/>
        <w:rPr>
          <w:rFonts w:ascii="Times New Roman" w:hAnsi="Times New Roman"/>
          <w:sz w:val="20"/>
        </w:rPr>
      </w:pPr>
      <w:r>
        <w:rPr>
          <w:rFonts w:ascii="Times New Roman" w:hAnsi="Times New Roman"/>
          <w:color w:val="231F20"/>
          <w:sz w:val="20"/>
        </w:rPr>
        <w:t xml:space="preserve">The following table shows our dollar-weighted annualized yield by investment type for the </w:t>
      </w:r>
      <w:r>
        <w:rPr>
          <w:rFonts w:ascii="Times New Roman" w:hAnsi="Times New Roman"/>
          <w:color w:val="000000"/>
          <w:sz w:val="20"/>
        </w:rPr>
        <w:t>three months ended March 31, 2026 and 2025</w:t>
      </w:r>
      <w:r>
        <w:rPr>
          <w:rFonts w:ascii="Times New Roman" w:hAnsi="Times New Roman"/>
          <w:color w:val="231F20"/>
          <w:sz w:val="20"/>
        </w:rPr>
        <w:t>:</w:t>
      </w:r>
    </w:p>
    <w:tbl>
      <w:tblPr>
        <w:tblW w:w="6391" w:type="dxa"/>
        <w:jc w:val="left"/>
        <w:tblInd w:w="0" w:type="dxa"/>
        <w:tblLayout w:type="fixed"/>
        <w:tblCellMar>
          <w:top w:w="28" w:type="dxa"/>
          <w:left w:w="28" w:type="dxa"/>
          <w:bottom w:w="28" w:type="dxa"/>
          <w:right w:w="28" w:type="dxa"/>
        </w:tblCellMar>
      </w:tblPr>
      <w:tblGrid>
        <w:gridCol w:w="1406"/>
        <w:gridCol w:w="146"/>
        <w:gridCol w:w="156"/>
        <w:gridCol w:w="549"/>
        <w:gridCol w:w="156"/>
        <w:gridCol w:w="259"/>
        <w:gridCol w:w="156"/>
        <w:gridCol w:w="156"/>
        <w:gridCol w:w="549"/>
        <w:gridCol w:w="156"/>
        <w:gridCol w:w="259"/>
        <w:gridCol w:w="150"/>
        <w:gridCol w:w="525"/>
        <w:gridCol w:w="150"/>
        <w:gridCol w:w="247"/>
        <w:gridCol w:w="150"/>
        <w:gridCol w:w="150"/>
        <w:gridCol w:w="525"/>
        <w:gridCol w:w="150"/>
        <w:gridCol w:w="396"/>
      </w:tblGrid>
      <w:tr>
        <w:trPr/>
        <w:tc>
          <w:tcPr>
            <w:tcW w:w="1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r>
      <w:tr>
        <w:trPr/>
        <w:tc>
          <w:tcPr>
            <w:tcW w:w="1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96" w:type="dxa"/>
            <w:gridSpan w:val="9"/>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Fair Value</w:t>
            </w:r>
            <w:r>
              <w:rPr>
                <w:rFonts w:ascii="Times New Roman" w:hAnsi="Times New Roman"/>
                <w:b/>
                <w:color w:val="000000"/>
                <w:sz w:val="11"/>
              </w:rPr>
              <w:t>(1)</w:t>
            </w:r>
          </w:p>
        </w:tc>
        <w:tc>
          <w:tcPr>
            <w:tcW w:w="2443" w:type="dxa"/>
            <w:gridSpan w:val="9"/>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Cost</w:t>
            </w:r>
            <w:r>
              <w:rPr>
                <w:rFonts w:ascii="Times New Roman" w:hAnsi="Times New Roman"/>
                <w:b/>
                <w:color w:val="000000"/>
                <w:sz w:val="11"/>
              </w:rPr>
              <w:t>(2)</w:t>
            </w:r>
          </w:p>
        </w:tc>
      </w:tr>
      <w:tr>
        <w:trPr/>
        <w:tc>
          <w:tcPr>
            <w:tcW w:w="1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96" w:type="dxa"/>
            <w:gridSpan w:val="9"/>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2443" w:type="dxa"/>
            <w:gridSpan w:val="9"/>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r>
      <w:tr>
        <w:trPr/>
        <w:tc>
          <w:tcPr>
            <w:tcW w:w="1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0"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0"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072"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21"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r>
      <w:tr>
        <w:trPr/>
        <w:tc>
          <w:tcPr>
            <w:tcW w:w="14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Investment type: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5" w:type="dxa"/>
            <w:gridSpan w:val="2"/>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5" w:type="dxa"/>
            <w:gridSpan w:val="2"/>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gridSpan w:val="2"/>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gridSpan w:val="2"/>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40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Debt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14.22</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15.44</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13.80</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15.15</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w:t>
            </w:r>
          </w:p>
        </w:tc>
      </w:tr>
      <w:tr>
        <w:trPr/>
        <w:tc>
          <w:tcPr>
            <w:tcW w:w="140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Equity interest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4.84</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1.85</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3.40</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1.46</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w:t>
            </w:r>
          </w:p>
        </w:tc>
      </w:tr>
      <w:tr>
        <w:trPr/>
        <w:tc>
          <w:tcPr>
            <w:tcW w:w="140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All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13.50</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14.48</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12.73</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13.97</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bl>
    <w:p>
      <w:pPr>
        <w:pStyle w:val="TextBody"/>
        <w:pBdr>
          <w:bottom w:val="single" w:sz="6" w:space="1" w:color="000000"/>
        </w:pBdr>
        <w:bidi w:val="0"/>
        <w:jc w:val="both"/>
        <w:rPr/>
      </w:pPr>
      <w:r>
        <w:rPr/>
        <w:t> </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(1)</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We calculate the dollar-weighted annualized yield on average investment type for any period as (a) total related investment income during the period divided by (b) the daily average of the fair value of the investment type outstanding during the period, including any investments on non-accrual status. The dollar-weighted annualized yield represents the portfolio yield and will be higher than what investors will realize because it does not reflect our expenses or any sales load paid by investors.</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(2)</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We calculate the dollar-weighted annualized yield on average investment type for any period as (a) total related investment income during the period divided by (b) the daily average of the investment type outstanding during the period, at amortized cost, including any investments on non-accrual status. The dollar-weighted annualized yield represents the portfolio yield and will be higher than what investors will realize because it does not reflect our expenses or any sales load paid by investors.</w:t>
      </w:r>
    </w:p>
    <w:p>
      <w:pPr>
        <w:pStyle w:val="TextBody"/>
        <w:bidi w:val="0"/>
        <w:spacing w:before="240" w:after="240"/>
        <w:jc w:val="left"/>
        <w:rPr>
          <w:rFonts w:ascii="Times New Roman" w:hAnsi="Times New Roman"/>
          <w:i/>
          <w:color w:val="000000"/>
          <w:sz w:val="20"/>
        </w:rPr>
      </w:pPr>
      <w:r>
        <w:rPr>
          <w:rFonts w:ascii="Times New Roman" w:hAnsi="Times New Roman"/>
          <w:i/>
          <w:color w:val="000000"/>
          <w:sz w:val="20"/>
        </w:rPr>
        <w:t>Investment Activity</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value of our investment portfolio will change over time due to changes in the fair value of our underlying investments, as well as changes in the composition of our portfolio resulting from purchases of new and follow-on investments, as well as repayments and sales of existing investments. During the three months ended March 31, 2026, we funded $7.5 million in one new portfolio company and $10.0 million in three existing companies, net of upfront loan origination fees and refinances. We also received $1.9 million in scheduled principal repayments from four portfolio companies, as well as $17.5 million in sales and prepayments, which is comprised of (i) $15.0 million in loan proceeds from one portfolio company and (ii) $2.5 million in proceeds from the sale of equity investments. During the three months ended March 31, 2025, we funded $15.3 million in three existing portfolio companies, net of upfront loan origination fees and refinances. We also received $3.7 million in scheduled principal repayments from one portfolio company, as well as $75.0 million in sales and prepayments, which is comprised of (i) $36.9 million in loan proceeds from two portfolio companies and (ii) $38.1 million in proceeds from the sale of equity investments during the three months ended March 31, 2025.</w:t>
      </w:r>
    </w:p>
    <w:p>
      <w:pPr>
        <w:pStyle w:val="TextBody"/>
        <w:bidi w:val="0"/>
        <w:spacing w:before="120" w:after="240"/>
        <w:jc w:val="left"/>
        <w:rPr>
          <w:rFonts w:ascii="Times New Roman" w:hAnsi="Times New Roman"/>
          <w:b/>
          <w:i/>
          <w:color w:val="000000"/>
          <w:sz w:val="20"/>
        </w:rPr>
      </w:pPr>
      <w:r>
        <w:rPr>
          <w:rFonts w:ascii="Times New Roman" w:hAnsi="Times New Roman"/>
          <w:b/>
          <w:i/>
          <w:color w:val="000000"/>
          <w:sz w:val="20"/>
        </w:rPr>
        <w:t>Portfolio Reconciliation</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following is a reconciliation of our investment portfolio for the three months ended March 31, 2026 and 2025 (in thousands):</w:t>
      </w:r>
    </w:p>
    <w:tbl>
      <w:tblPr>
        <w:tblW w:w="7486" w:type="dxa"/>
        <w:jc w:val="left"/>
        <w:tblInd w:w="0" w:type="dxa"/>
        <w:tblLayout w:type="fixed"/>
        <w:tblCellMar>
          <w:top w:w="28" w:type="dxa"/>
          <w:left w:w="28" w:type="dxa"/>
          <w:bottom w:w="28" w:type="dxa"/>
          <w:right w:w="28" w:type="dxa"/>
        </w:tblCellMar>
      </w:tblPr>
      <w:tblGrid>
        <w:gridCol w:w="2452"/>
        <w:gridCol w:w="2228"/>
        <w:gridCol w:w="196"/>
        <w:gridCol w:w="151"/>
        <w:gridCol w:w="716"/>
        <w:gridCol w:w="172"/>
        <w:gridCol w:w="151"/>
        <w:gridCol w:w="203"/>
        <w:gridCol w:w="151"/>
        <w:gridCol w:w="855"/>
        <w:gridCol w:w="211"/>
      </w:tblGrid>
      <w:tr>
        <w:trPr/>
        <w:tc>
          <w:tcPr>
            <w:tcW w:w="2452" w:type="dxa"/>
            <w:tcBorders/>
            <w:vAlign w:val="center"/>
          </w:tcPr>
          <w:p>
            <w:pPr>
              <w:pStyle w:val="TableContents"/>
              <w:bidi w:val="0"/>
              <w:spacing w:before="0" w:after="283"/>
              <w:jc w:val="left"/>
              <w:rPr>
                <w:sz w:val="4"/>
                <w:szCs w:val="4"/>
              </w:rPr>
            </w:pPr>
            <w:r>
              <w:rPr>
                <w:sz w:val="4"/>
                <w:szCs w:val="4"/>
              </w:rPr>
            </w:r>
          </w:p>
        </w:tc>
        <w:tc>
          <w:tcPr>
            <w:tcW w:w="222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4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99" w:type="dxa"/>
            <w:gridSpan w:val="7"/>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4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9"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r>
      <w:tr>
        <w:trPr/>
        <w:tc>
          <w:tcPr>
            <w:tcW w:w="4680" w:type="dxa"/>
            <w:gridSpan w:val="2"/>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Beginning investment portfolio</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927,402</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1,076,840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80"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Purchases of investments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17,477</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15,320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80" w:type="dxa"/>
            <w:gridSpan w:val="2"/>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PIK interest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4,797</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3,260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80"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Sales and prepayments of investments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(17,483</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(74,978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4680" w:type="dxa"/>
            <w:gridSpan w:val="2"/>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Scheduled repayments of investments</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(1,934</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(3,665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4680"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Amortization of fixed income premiums or accretion of discounts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1,912</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1,189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80" w:type="dxa"/>
            <w:gridSpan w:val="2"/>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realized gain (loss) on investments</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1,257</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6,057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80"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change in unrealized gain (loss) on investments</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(47,082</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(19,790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4680" w:type="dxa"/>
            <w:gridSpan w:val="2"/>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Ending investment portfolio</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886,346</w:t>
            </w:r>
          </w:p>
        </w:tc>
        <w:tc>
          <w:tcPr>
            <w:tcW w:w="1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1,004,233</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0" w:after="240"/>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120"/>
        <w:jc w:val="left"/>
        <w:rPr/>
      </w:pPr>
      <w:r>
        <w:rPr/>
        <w:t> </w:t>
      </w:r>
    </w:p>
    <w:p>
      <w:pPr>
        <w:pStyle w:val="TextBody"/>
        <w:bidi w:val="0"/>
        <w:spacing w:before="360" w:after="240"/>
        <w:jc w:val="left"/>
        <w:rPr>
          <w:rFonts w:ascii="Times New Roman" w:hAnsi="Times New Roman"/>
          <w:b/>
          <w:i/>
          <w:color w:val="000000"/>
          <w:sz w:val="20"/>
        </w:rPr>
      </w:pPr>
      <w:r>
        <w:rPr>
          <w:rFonts w:ascii="Times New Roman" w:hAnsi="Times New Roman"/>
          <w:b/>
          <w:i/>
          <w:color w:val="000000"/>
          <w:sz w:val="20"/>
        </w:rPr>
        <w:t>Asset Quality</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In addition to various risk management and monitoring tools, RGC uses an investment rating system to characterize and monitor the quality of our debt investment portfolio. Equity securities and Treasury Bills are not graded. This debt investment rating system uses a five-level numeric scale. The following is a description of the conditions associated with each investment rating:</w:t>
      </w:r>
    </w:p>
    <w:tbl>
      <w:tblPr>
        <w:tblW w:w="10205" w:type="dxa"/>
        <w:jc w:val="left"/>
        <w:tblInd w:w="0" w:type="dxa"/>
        <w:tblLayout w:type="fixed"/>
        <w:tblCellMar>
          <w:top w:w="28" w:type="dxa"/>
          <w:left w:w="28" w:type="dxa"/>
          <w:bottom w:w="28" w:type="dxa"/>
          <w:right w:w="28" w:type="dxa"/>
        </w:tblCellMar>
      </w:tblPr>
      <w:tblGrid>
        <w:gridCol w:w="916"/>
        <w:gridCol w:w="109"/>
        <w:gridCol w:w="9180"/>
      </w:tblGrid>
      <w:tr>
        <w:trPr/>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80" w:type="dxa"/>
            <w:tcBorders/>
            <w:vAlign w:val="center"/>
          </w:tcPr>
          <w:p>
            <w:pPr>
              <w:pStyle w:val="TableContents"/>
              <w:bidi w:val="0"/>
              <w:spacing w:before="0" w:after="283"/>
              <w:jc w:val="left"/>
              <w:rPr>
                <w:sz w:val="4"/>
                <w:szCs w:val="4"/>
              </w:rPr>
            </w:pPr>
            <w:r>
              <w:rPr>
                <w:sz w:val="4"/>
                <w:szCs w:val="4"/>
              </w:rPr>
            </w:r>
          </w:p>
        </w:tc>
      </w:tr>
      <w:tr>
        <w:trPr/>
        <w:tc>
          <w:tcPr>
            <w:tcW w:w="916"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Investment</w:t>
            </w:r>
            <w:r>
              <w:rPr>
                <w:rFonts w:ascii="Times New Roman" w:hAnsi="Times New Roman"/>
                <w:color w:val="000000"/>
                <w:sz w:val="16"/>
              </w:rPr>
              <w:br/>
            </w:r>
            <w:r>
              <w:rPr>
                <w:rFonts w:ascii="Times New Roman" w:hAnsi="Times New Roman"/>
                <w:b/>
                <w:color w:val="000000"/>
                <w:sz w:val="16"/>
              </w:rPr>
              <w:t>Rating</w:t>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180"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Rating Definition</w:t>
            </w:r>
          </w:p>
        </w:tc>
      </w:tr>
      <w:tr>
        <w:trPr/>
        <w:tc>
          <w:tcPr>
            <w:tcW w:w="9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tcBorders/>
            <w:shd w:fill="CFF0FC"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16"/>
              </w:rPr>
            </w:pPr>
            <w:r>
              <w:rPr>
                <w:rFonts w:ascii="Times New Roman" w:hAnsi="Times New Roman"/>
                <w:color w:val="000000"/>
                <w:sz w:val="16"/>
              </w:rPr>
              <w:t>Performing above plan and/or strong enterprise profile, value, financial performance/coverage. Maintaining full covenant and payment compliance as agreed.</w:t>
            </w:r>
          </w:p>
        </w:tc>
      </w:tr>
      <w:tr>
        <w:trPr/>
        <w:tc>
          <w:tcPr>
            <w:tcW w:w="9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16"/>
              </w:rPr>
            </w:pPr>
            <w:r>
              <w:rPr>
                <w:rFonts w:ascii="Times New Roman" w:hAnsi="Times New Roman"/>
                <w:color w:val="000000"/>
                <w:sz w:val="16"/>
              </w:rPr>
              <w:t>Performing at or reasonably close to plan. Acceptable business prospects, enterprise value, and financial coverage. Maintaining key covenant and payment compliance as agreed. Generally, all new loans are initially graded Category 2.</w:t>
            </w:r>
          </w:p>
        </w:tc>
      </w:tr>
      <w:tr>
        <w:trPr/>
        <w:tc>
          <w:tcPr>
            <w:tcW w:w="91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3</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tcBorders/>
            <w:shd w:fill="CFF0FC"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16"/>
              </w:rPr>
            </w:pPr>
            <w:r>
              <w:rPr>
                <w:rFonts w:ascii="Times New Roman" w:hAnsi="Times New Roman"/>
                <w:color w:val="000000"/>
                <w:sz w:val="16"/>
              </w:rPr>
              <w:t>Performing below plan of record. Potential elements of concern over performance, trends and business outlook. Loan-to-value remains adequate. Potential key covenant non-compliance. Full payment compliance.</w:t>
            </w:r>
          </w:p>
        </w:tc>
      </w:tr>
      <w:tr>
        <w:trPr/>
        <w:tc>
          <w:tcPr>
            <w:tcW w:w="9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16"/>
              </w:rPr>
            </w:pPr>
            <w:r>
              <w:rPr>
                <w:rFonts w:ascii="Times New Roman" w:hAnsi="Times New Roman"/>
                <w:color w:val="000000"/>
                <w:sz w:val="16"/>
              </w:rPr>
              <w:t>Performing materially below plan. Non-compliant with material financial covenants. Payment default/deferral could result without corrective action. Requires close monitoring. Business prospects, enterprise value and collateral coverage declining. These investments may be in workout, and there is a possibility of loss of return but no loss of principal is expected.</w:t>
            </w:r>
          </w:p>
        </w:tc>
      </w:tr>
      <w:tr>
        <w:trPr/>
        <w:tc>
          <w:tcPr>
            <w:tcW w:w="91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5</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tcBorders/>
            <w:shd w:fill="CFF0FC"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16"/>
              </w:rPr>
            </w:pPr>
            <w:r>
              <w:rPr>
                <w:rFonts w:ascii="Times New Roman" w:hAnsi="Times New Roman"/>
                <w:color w:val="000000"/>
                <w:sz w:val="16"/>
              </w:rPr>
              <w:t>Going concern nature in question. Substantial decline in enterprise value and all coverages. Covenant and payment default imminent if not currently present. Investments are nearly always in workout. May experience partial and/or full loss.</w:t>
            </w:r>
          </w:p>
        </w:tc>
      </w:tr>
    </w:tbl>
    <w:p>
      <w:pPr>
        <w:pStyle w:val="TextBody"/>
        <w:bidi w:val="0"/>
        <w:spacing w:before="240" w:after="240"/>
        <w:jc w:val="both"/>
        <w:rPr>
          <w:rFonts w:ascii="Times New Roman" w:hAnsi="Times New Roman"/>
          <w:color w:val="000000"/>
          <w:sz w:val="20"/>
        </w:rPr>
      </w:pPr>
      <w:r>
        <w:rPr>
          <w:rFonts w:ascii="Times New Roman" w:hAnsi="Times New Roman"/>
          <w:color w:val="000000"/>
          <w:sz w:val="20"/>
        </w:rPr>
        <w:t>The following table shows the investment ratings of our debt investments at fair value as of March 31, 2026 and December 31, 2025 (in thousands):</w:t>
      </w:r>
    </w:p>
    <w:tbl>
      <w:tblPr>
        <w:tblW w:w="10205" w:type="dxa"/>
        <w:jc w:val="left"/>
        <w:tblInd w:w="0" w:type="dxa"/>
        <w:tblLayout w:type="fixed"/>
        <w:tblCellMar>
          <w:top w:w="28" w:type="dxa"/>
          <w:left w:w="28" w:type="dxa"/>
          <w:bottom w:w="28" w:type="dxa"/>
          <w:right w:w="28" w:type="dxa"/>
        </w:tblCellMar>
      </w:tblPr>
      <w:tblGrid>
        <w:gridCol w:w="1219"/>
        <w:gridCol w:w="196"/>
        <w:gridCol w:w="691"/>
        <w:gridCol w:w="146"/>
        <w:gridCol w:w="146"/>
        <w:gridCol w:w="840"/>
        <w:gridCol w:w="397"/>
        <w:gridCol w:w="146"/>
        <w:gridCol w:w="1761"/>
        <w:gridCol w:w="146"/>
        <w:gridCol w:w="146"/>
        <w:gridCol w:w="196"/>
        <w:gridCol w:w="691"/>
        <w:gridCol w:w="146"/>
        <w:gridCol w:w="146"/>
        <w:gridCol w:w="840"/>
        <w:gridCol w:w="397"/>
        <w:gridCol w:w="146"/>
        <w:gridCol w:w="1809"/>
      </w:tblGrid>
      <w:tr>
        <w:trPr/>
        <w:tc>
          <w:tcPr>
            <w:tcW w:w="121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09" w:type="dxa"/>
            <w:tcBorders/>
            <w:vAlign w:val="center"/>
          </w:tcPr>
          <w:p>
            <w:pPr>
              <w:pStyle w:val="TableContents"/>
              <w:bidi w:val="0"/>
              <w:spacing w:before="0" w:after="283"/>
              <w:jc w:val="left"/>
              <w:rPr>
                <w:sz w:val="4"/>
                <w:szCs w:val="4"/>
              </w:rPr>
            </w:pPr>
            <w:r>
              <w:rPr>
                <w:sz w:val="4"/>
                <w:szCs w:val="4"/>
              </w:rPr>
            </w:r>
          </w:p>
        </w:tc>
      </w:tr>
      <w:tr>
        <w:trPr/>
        <w:tc>
          <w:tcPr>
            <w:tcW w:w="1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23"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71"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r>
      <w:tr>
        <w:trPr/>
        <w:tc>
          <w:tcPr>
            <w:tcW w:w="1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Investment Rating</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of Total Portfolio</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 Portfolio Companies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of Total Portfolio</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 Portfolio Companies</w:t>
            </w:r>
          </w:p>
        </w:tc>
      </w:tr>
      <w:tr>
        <w:trPr/>
        <w:tc>
          <w:tcPr>
            <w:tcW w:w="1219"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6,211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0.70</w:t>
            </w:r>
          </w:p>
        </w:tc>
        <w:tc>
          <w:tcPr>
            <w:tcW w:w="397"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6,565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0.71</w:t>
            </w:r>
          </w:p>
        </w:tc>
        <w:tc>
          <w:tcPr>
            <w:tcW w:w="397"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r>
      <w:tr>
        <w:trPr/>
        <w:tc>
          <w:tcPr>
            <w:tcW w:w="121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522,386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58.95</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581,691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62.72</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w:t>
            </w:r>
          </w:p>
        </w:tc>
      </w:tr>
      <w:tr>
        <w:trPr/>
        <w:tc>
          <w:tcPr>
            <w:tcW w:w="1219"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3</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225,848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25.48</w:t>
            </w:r>
          </w:p>
        </w:tc>
        <w:tc>
          <w:tcPr>
            <w:tcW w:w="3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195,691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21.10</w:t>
            </w:r>
          </w:p>
        </w:tc>
        <w:tc>
          <w:tcPr>
            <w:tcW w:w="3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w:t>
            </w:r>
          </w:p>
        </w:tc>
      </w:tr>
      <w:tr>
        <w:trPr/>
        <w:tc>
          <w:tcPr>
            <w:tcW w:w="121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4</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21,122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2.38</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74,019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7.98</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w:t>
            </w:r>
          </w:p>
        </w:tc>
      </w:tr>
      <w:tr>
        <w:trPr/>
        <w:tc>
          <w:tcPr>
            <w:tcW w:w="1219"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5</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53,984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6.09</w:t>
            </w:r>
          </w:p>
        </w:tc>
        <w:tc>
          <w:tcPr>
            <w:tcW w:w="3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2,361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0.25</w:t>
            </w:r>
          </w:p>
        </w:tc>
        <w:tc>
          <w:tcPr>
            <w:tcW w:w="3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r>
      <w:tr>
        <w:trPr/>
        <w:tc>
          <w:tcPr>
            <w:tcW w:w="1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829,551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93.60</w:t>
            </w:r>
          </w:p>
        </w:tc>
        <w:tc>
          <w:tcPr>
            <w:tcW w:w="3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860,327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92.76</w:t>
            </w:r>
          </w:p>
        </w:tc>
        <w:tc>
          <w:tcPr>
            <w:tcW w:w="3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w:t>
            </w:r>
          </w:p>
        </w:tc>
      </w:tr>
    </w:tbl>
    <w:p>
      <w:pPr>
        <w:pStyle w:val="TextBody"/>
        <w:bidi w:val="0"/>
        <w:spacing w:before="240" w:after="240"/>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120"/>
        <w:jc w:val="left"/>
        <w:rPr/>
      </w:pPr>
      <w:r>
        <w:rPr/>
        <w:t> </w:t>
      </w:r>
    </w:p>
    <w:p>
      <w:pPr>
        <w:pStyle w:val="TextBody"/>
        <w:bidi w:val="0"/>
        <w:spacing w:before="360" w:after="240"/>
        <w:jc w:val="left"/>
        <w:rPr>
          <w:rFonts w:ascii="Times New Roman" w:hAnsi="Times New Roman"/>
          <w:b/>
          <w:i/>
          <w:color w:val="000000"/>
          <w:sz w:val="20"/>
        </w:rPr>
      </w:pPr>
      <w:r>
        <w:rPr>
          <w:rFonts w:ascii="Times New Roman" w:hAnsi="Times New Roman"/>
          <w:b/>
          <w:i/>
          <w:color w:val="000000"/>
          <w:sz w:val="20"/>
        </w:rPr>
        <w:t>Non-Accrual Status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Generally, when interest and/or principal payments on a loan become past due, or if we otherwise do not expect the borrower to be able to service its debt and other obligations, we will place the loan on non-accrual status and will cease recognizing interest income on that loan for financial reporting purposes until all principal and interest have been brought current through payment or due to a restructuring such that the interest income is deemed to be collectible.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following table summarizes the cost, fair value, and types of income not recorded in "Interest income" on the Consolidated Statements of Operations related to senior secured term loans on non-accrual status as of March 31, 2026 and December 31, 2025 (in thousands):</w:t>
      </w:r>
    </w:p>
    <w:tbl>
      <w:tblPr>
        <w:tblW w:w="10205" w:type="dxa"/>
        <w:jc w:val="left"/>
        <w:tblInd w:w="0" w:type="dxa"/>
        <w:tblLayout w:type="fixed"/>
        <w:tblCellMar>
          <w:top w:w="28" w:type="dxa"/>
          <w:left w:w="28" w:type="dxa"/>
          <w:bottom w:w="28" w:type="dxa"/>
          <w:right w:w="28" w:type="dxa"/>
        </w:tblCellMar>
      </w:tblPr>
      <w:tblGrid>
        <w:gridCol w:w="1125"/>
        <w:gridCol w:w="246"/>
        <w:gridCol w:w="1061"/>
        <w:gridCol w:w="146"/>
        <w:gridCol w:w="267"/>
        <w:gridCol w:w="152"/>
        <w:gridCol w:w="534"/>
        <w:gridCol w:w="146"/>
        <w:gridCol w:w="146"/>
        <w:gridCol w:w="401"/>
        <w:gridCol w:w="229"/>
        <w:gridCol w:w="262"/>
        <w:gridCol w:w="146"/>
        <w:gridCol w:w="146"/>
        <w:gridCol w:w="265"/>
        <w:gridCol w:w="151"/>
        <w:gridCol w:w="530"/>
        <w:gridCol w:w="146"/>
        <w:gridCol w:w="146"/>
        <w:gridCol w:w="256"/>
        <w:gridCol w:w="146"/>
        <w:gridCol w:w="691"/>
        <w:gridCol w:w="146"/>
        <w:gridCol w:w="146"/>
        <w:gridCol w:w="256"/>
        <w:gridCol w:w="146"/>
        <w:gridCol w:w="601"/>
        <w:gridCol w:w="146"/>
        <w:gridCol w:w="146"/>
        <w:gridCol w:w="154"/>
        <w:gridCol w:w="445"/>
        <w:gridCol w:w="154"/>
        <w:gridCol w:w="527"/>
      </w:tblGrid>
      <w:tr>
        <w:trPr/>
        <w:tc>
          <w:tcPr>
            <w:tcW w:w="1125"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r>
      <w:tr>
        <w:trPr/>
        <w:tc>
          <w:tcPr>
            <w:tcW w:w="11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Date of Non-Accrual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Forgone Interest Income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92"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Forgone Accretion of OID and ETP</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6"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 Forgone Income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9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Cost Basis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80"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 as a % of Total Portfolio</w:t>
            </w:r>
          </w:p>
        </w:tc>
      </w:tr>
      <w:tr>
        <w:trPr/>
        <w:tc>
          <w:tcPr>
            <w:tcW w:w="11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As of March 31, 2026</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9"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7"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center"/>
              <w:rPr/>
            </w:pPr>
            <w:r>
              <w:rPr/>
              <w:t> </w:t>
            </w:r>
          </w:p>
        </w:tc>
      </w:tr>
      <w:tr>
        <w:trPr/>
        <w:tc>
          <w:tcPr>
            <w:tcW w:w="112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Investment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06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center"/>
              <w:rPr/>
            </w:pPr>
            <w:r>
              <w:rPr/>
              <w:t> </w:t>
            </w:r>
          </w:p>
        </w:tc>
      </w:tr>
      <w:tr>
        <w:trPr/>
        <w:tc>
          <w:tcPr>
            <w:tcW w:w="112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Blueshift Labs, Inc.</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3/15/2026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31,647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14,459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1.63</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center"/>
              <w:rPr>
                <w:rFonts w:ascii="Times New Roman" w:hAnsi="Times New Roman"/>
                <w:color w:val="000000"/>
                <w:sz w:val="16"/>
              </w:rPr>
            </w:pPr>
            <w:r>
              <w:rPr>
                <w:rFonts w:ascii="Times New Roman" w:hAnsi="Times New Roman"/>
                <w:color w:val="000000"/>
                <w:sz w:val="16"/>
              </w:rPr>
              <w:t>%</w:t>
            </w:r>
          </w:p>
        </w:tc>
      </w:tr>
      <w:tr>
        <w:trPr/>
        <w:tc>
          <w:tcPr>
            <w:tcW w:w="112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Marley Spoon SE</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3/31/2026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68,369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37,528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center"/>
              <w:rPr/>
            </w:pPr>
            <w:r>
              <w:rPr/>
              <w:t> </w:t>
            </w:r>
          </w:p>
        </w:tc>
      </w:tr>
      <w:tr>
        <w:trPr/>
        <w:tc>
          <w:tcPr>
            <w:tcW w:w="112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Mingle Healthcare Solutions, Inc.</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1/1/2024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1,454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1,454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4,757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1,997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0.23</w:t>
            </w:r>
          </w:p>
        </w:tc>
        <w:tc>
          <w:tcPr>
            <w:tcW w:w="1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7"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300"/>
              <w:jc w:val="center"/>
              <w:rPr/>
            </w:pPr>
            <w:r>
              <w:rPr/>
              <w:t> </w:t>
            </w:r>
          </w:p>
        </w:tc>
      </w:tr>
      <w:tr>
        <w:trPr/>
        <w:tc>
          <w:tcPr>
            <w:tcW w:w="1125"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b/>
                <w:color w:val="000000"/>
                <w:sz w:val="16"/>
              </w:rPr>
            </w:pPr>
            <w:r>
              <w:rPr>
                <w:rFonts w:ascii="Times New Roman" w:hAnsi="Times New Roman"/>
                <w:b/>
                <w:color w:val="000000"/>
                <w:sz w:val="16"/>
              </w:rPr>
              <w:t>Total</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06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1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1,653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2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1,653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104,773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53,984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6.09</w:t>
            </w:r>
          </w:p>
        </w:tc>
        <w:tc>
          <w:tcPr>
            <w:tcW w:w="1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r>
      <w:tr>
        <w:trPr/>
        <w:tc>
          <w:tcPr>
            <w:tcW w:w="11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9"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7"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1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As of December 31, 2025</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center"/>
              <w:rPr/>
            </w:pPr>
            <w:r>
              <w:rPr/>
              <w:t> </w:t>
            </w:r>
          </w:p>
        </w:tc>
      </w:tr>
      <w:tr>
        <w:trPr/>
        <w:tc>
          <w:tcPr>
            <w:tcW w:w="112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Investment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06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9"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center"/>
              <w:rPr/>
            </w:pPr>
            <w:r>
              <w:rPr/>
              <w:t> </w:t>
            </w:r>
          </w:p>
        </w:tc>
      </w:tr>
      <w:tr>
        <w:trPr/>
        <w:tc>
          <w:tcPr>
            <w:tcW w:w="112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Mingle Healthcare Solutions, Inc.</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1/1/2024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1,306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1,306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4,757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2,361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0.25</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7"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center"/>
              <w:rPr/>
            </w:pPr>
            <w:r>
              <w:rPr/>
              <w:t> </w:t>
            </w:r>
          </w:p>
        </w:tc>
      </w:tr>
      <w:tr>
        <w:trPr/>
        <w:tc>
          <w:tcPr>
            <w:tcW w:w="1125"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b/>
                <w:color w:val="000000"/>
                <w:sz w:val="16"/>
              </w:rPr>
            </w:pPr>
            <w:r>
              <w:rPr>
                <w:rFonts w:ascii="Times New Roman" w:hAnsi="Times New Roman"/>
                <w:b/>
                <w:color w:val="000000"/>
                <w:sz w:val="16"/>
              </w:rPr>
              <w:t>Total</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06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1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1,306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2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1,306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4,757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2,361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0.25</w:t>
            </w:r>
          </w:p>
        </w:tc>
        <w:tc>
          <w:tcPr>
            <w:tcW w:w="1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r>
    </w:tbl>
    <w:p>
      <w:pPr>
        <w:pStyle w:val="Heading2"/>
        <w:bidi w:val="0"/>
        <w:spacing w:before="360" w:after="240"/>
        <w:jc w:val="left"/>
        <w:rPr>
          <w:rFonts w:ascii="Times New Roman" w:hAnsi="Times New Roman"/>
          <w:i/>
          <w:color w:val="000000"/>
          <w:sz w:val="20"/>
        </w:rPr>
      </w:pPr>
      <w:r>
        <w:rPr>
          <w:rFonts w:ascii="Times New Roman" w:hAnsi="Times New Roman"/>
          <w:i/>
          <w:color w:val="000000"/>
          <w:sz w:val="20"/>
        </w:rPr>
        <w:t>Results of Operations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An important measure of our financial performance is "Net increase (decrease) in net assets resulting from operations" on the Consolidated Statements of Operations, which includes "Net investment income," "Net realized gain (loss)" and "Net change in unrealized gain (loss)." "Net investment income" is the difference between our income from interest, dividends, fees and other income and our operating expenses, including interest on borrowed funds. "Net realized gain (loss)" is the difference between the proceeds received from dispositions and the amortized cost of portfolio investments and U.S. Treasury Bills, as well as any realized gain (loss) on forward contracts and foreign currency transactions. "Net change in unrealized gain (loss)" is the net change in the fair value of our investment portfolio and the effect of fluctuations in foreign currency exchange rates on forward contracts and foreign cash held.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120"/>
        <w:jc w:val="left"/>
        <w:rPr/>
      </w:pPr>
      <w:r>
        <w:rPr/>
        <w:t> </w:t>
      </w:r>
    </w:p>
    <w:p>
      <w:pPr>
        <w:pStyle w:val="TextBody"/>
        <w:bidi w:val="0"/>
        <w:spacing w:before="360" w:after="240"/>
        <w:jc w:val="left"/>
        <w:rPr>
          <w:rFonts w:ascii="Times New Roman" w:hAnsi="Times New Roman"/>
          <w:b/>
          <w:i/>
          <w:color w:val="000000"/>
          <w:sz w:val="20"/>
        </w:rPr>
      </w:pPr>
      <w:r>
        <w:rPr>
          <w:rFonts w:ascii="Times New Roman" w:hAnsi="Times New Roman"/>
          <w:b/>
          <w:i/>
          <w:color w:val="000000"/>
          <w:sz w:val="20"/>
        </w:rPr>
        <w:t>Comparison of the Three Months Ended March 31, 2026 and 2025</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following table compares the results of our operations for the three months ended March 31, 2026 and 2025 (in thousands):</w:t>
      </w:r>
    </w:p>
    <w:tbl>
      <w:tblPr>
        <w:tblW w:w="9993" w:type="dxa"/>
        <w:jc w:val="left"/>
        <w:tblInd w:w="0" w:type="dxa"/>
        <w:tblLayout w:type="fixed"/>
        <w:tblCellMar>
          <w:top w:w="28" w:type="dxa"/>
          <w:left w:w="28" w:type="dxa"/>
          <w:bottom w:w="28" w:type="dxa"/>
          <w:right w:w="28" w:type="dxa"/>
        </w:tblCellMar>
      </w:tblPr>
      <w:tblGrid>
        <w:gridCol w:w="4576"/>
        <w:gridCol w:w="246"/>
        <w:gridCol w:w="246"/>
        <w:gridCol w:w="146"/>
        <w:gridCol w:w="661"/>
        <w:gridCol w:w="166"/>
        <w:gridCol w:w="146"/>
        <w:gridCol w:w="225"/>
        <w:gridCol w:w="167"/>
        <w:gridCol w:w="552"/>
        <w:gridCol w:w="166"/>
        <w:gridCol w:w="146"/>
        <w:gridCol w:w="196"/>
        <w:gridCol w:w="146"/>
        <w:gridCol w:w="661"/>
        <w:gridCol w:w="166"/>
        <w:gridCol w:w="146"/>
        <w:gridCol w:w="225"/>
        <w:gridCol w:w="167"/>
        <w:gridCol w:w="552"/>
        <w:gridCol w:w="291"/>
      </w:tblGrid>
      <w:tr>
        <w:trPr/>
        <w:tc>
          <w:tcPr>
            <w:tcW w:w="457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45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880" w:type="dxa"/>
            <w:gridSpan w:val="18"/>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5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09"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9"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4"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Per Share</w:t>
            </w:r>
            <w:r>
              <w:rPr>
                <w:rFonts w:ascii="Times New Roman" w:hAnsi="Times New Roman"/>
                <w:b/>
                <w:color w:val="000000"/>
                <w:sz w:val="11"/>
              </w:rPr>
              <w:t>(1)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4"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Per Share</w:t>
            </w:r>
            <w:r>
              <w:rPr>
                <w:rFonts w:ascii="Times New Roman" w:hAnsi="Times New Roman"/>
                <w:b/>
                <w:color w:val="000000"/>
                <w:sz w:val="11"/>
              </w:rPr>
              <w:t>(1)</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Investment income</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9"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9"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57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Interest, fee and dividend income</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29,388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0.81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35,209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0.94</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57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Other income</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0.01</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5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investment income</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29,450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0.81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35,398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0.95</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5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Operating expenses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9"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0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9"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57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Management fees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0.11</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57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Incentive fees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0.10</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57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Interest and other debt financing expenses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10,486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10,287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0.28</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57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Professional fees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0.01</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57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Administration agreement expenses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0.02</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57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Insurance expense</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57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Tax expense</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57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Other expenses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0.01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0.01</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5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operating expenses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18,826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0.52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19,799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0.53</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5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Net investment income</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10,624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0.29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15,599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0.42</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5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Realized gain (loss)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1,252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6,057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0.16</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Net change in unrealized gain (loss)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(46,693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(19,790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(0.53</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45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Net increase (decrease) in net assets resulting from operations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(34,817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1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(0.96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1,866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1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0.05</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40"/>
        <w:jc w:val="both"/>
        <w:rPr>
          <w:rFonts w:ascii="Times New Roman" w:hAnsi="Times New Roman"/>
          <w:color w:val="000000"/>
          <w:sz w:val="16"/>
        </w:rPr>
      </w:pPr>
      <w:r>
        <w:rPr>
          <w:rFonts w:ascii="Times New Roman" w:hAnsi="Times New Roman"/>
          <w:color w:val="000000"/>
          <w:sz w:val="16"/>
        </w:rPr>
        <w:t>(1)</w:t>
      </w:r>
    </w:p>
    <w:p>
      <w:pPr>
        <w:pStyle w:val="TextBody"/>
        <w:bidi w:val="0"/>
        <w:spacing w:before="120" w:after="240"/>
        <w:jc w:val="both"/>
        <w:rPr>
          <w:rFonts w:ascii="Times New Roman" w:hAnsi="Times New Roman"/>
          <w:color w:val="000000"/>
          <w:sz w:val="16"/>
        </w:rPr>
      </w:pPr>
      <w:r>
        <w:rPr>
          <w:rFonts w:ascii="Times New Roman" w:hAnsi="Times New Roman"/>
          <w:color w:val="000000"/>
          <w:sz w:val="16"/>
        </w:rPr>
        <w:t>The basic per share figures noted above are based on weighted averages of 36,134,037 and 37,347,428 shares outstanding for the three months ended March 31, 2026 and 2025, respectively.</w:t>
      </w:r>
    </w:p>
    <w:p>
      <w:pPr>
        <w:pStyle w:val="TextBody"/>
        <w:bidi w:val="0"/>
        <w:spacing w:before="0" w:after="240"/>
        <w:jc w:val="left"/>
        <w:rPr>
          <w:rFonts w:ascii="Times New Roman" w:hAnsi="Times New Roman"/>
          <w:i/>
          <w:color w:val="000000"/>
          <w:sz w:val="20"/>
        </w:rPr>
      </w:pPr>
      <w:r>
        <w:rPr>
          <w:rFonts w:ascii="Times New Roman" w:hAnsi="Times New Roman"/>
          <w:i/>
          <w:color w:val="000000"/>
          <w:sz w:val="20"/>
        </w:rPr>
        <w:t>Investment Income</w:t>
      </w:r>
    </w:p>
    <w:p>
      <w:pPr>
        <w:pStyle w:val="TextBody"/>
        <w:bidi w:val="0"/>
        <w:jc w:val="both"/>
        <w:rPr>
          <w:rFonts w:ascii="Times New Roman" w:hAnsi="Times New Roman"/>
          <w:color w:val="000000"/>
          <w:sz w:val="20"/>
        </w:rPr>
      </w:pPr>
      <w:r>
        <w:rPr>
          <w:rFonts w:ascii="Times New Roman" w:hAnsi="Times New Roman"/>
          <w:color w:val="000000"/>
          <w:sz w:val="20"/>
        </w:rPr>
        <w:t>Our investment objective is to maximize total return to our stockholders primarily through current income on our loan portfolio, and secondarily through capital gain on our warrants and other equity positions. We intend to achieve our investment objective by investing in high growth-potential, private companies. We typically invest in senior secured loans that generally fall into two strategies: Sponsored Growth Lending and Non-Sponsored Growth Lending. We generally receive warrants and/or other equity from our investments. We expect our global loan originations will generally range from between $30-$150 million, with our allocation being in the range of $20-$45 million.</w:t>
      </w:r>
    </w:p>
    <w:p>
      <w:pPr>
        <w:pStyle w:val="TextBody"/>
        <w:bidi w:val="0"/>
        <w:jc w:val="both"/>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We generate revenue in the form of interest on the debt securities that we hold and distributions and capital gains on other interests that we acquire in our portfolio companies. We expect that the debt we invest in will generally have stated terms of 36 to 60 months. Interest on debt securities is generally payable monthly, primarily based on a floating rate index, and subject to certain floors determined by market rates at the time the investment is made. In some cases, some of our investments may provide for deferred interest payments or PIK interest. The principal amount of the debt securities and any accrued but unpaid interest will become due at the maturity date. Any original issue discount ("OID") or market discount or premium will be capitalized, and we will accrete or amortize such amounts as interest income. We record prepayment fees on debt investments as fee income. Dividend income, if any, will be recognized on an accrual basis to the extent that we expect to collect such amounts.</w:t>
      </w:r>
    </w:p>
    <w:p>
      <w:pPr>
        <w:pStyle w:val="TextBody"/>
        <w:bidi w:val="0"/>
        <w:jc w:val="both"/>
        <w:rPr>
          <w:rFonts w:ascii="Times New Roman" w:hAnsi="Times New Roman"/>
          <w:color w:val="000000"/>
          <w:sz w:val="20"/>
        </w:rPr>
      </w:pPr>
      <w:r>
        <w:rPr>
          <w:rFonts w:ascii="Times New Roman" w:hAnsi="Times New Roman"/>
          <w:color w:val="000000"/>
          <w:sz w:val="20"/>
        </w:rPr>
        <w:t>Investment income for the three months ended March 31, 2026 and 2025, at $29.5 million and $35.4 million, respectively, and includes non-recurring income of $1.1 million and $1.9 million, respectively. Non-recurring income includes, but is not limited to, acceleration of unaccreted OID and ETP, prepayment fees, and amendment fees.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120"/>
        <w:jc w:val="left"/>
        <w:rPr/>
      </w:pPr>
      <w:r>
        <w:rPr/>
        <w:t> </w:t>
      </w:r>
    </w:p>
    <w:p>
      <w:pPr>
        <w:pStyle w:val="TextBody"/>
        <w:bidi w:val="0"/>
        <w:spacing w:before="240" w:after="240"/>
        <w:jc w:val="left"/>
        <w:rPr>
          <w:rFonts w:ascii="Times New Roman" w:hAnsi="Times New Roman"/>
          <w:i/>
          <w:color w:val="000000"/>
          <w:sz w:val="20"/>
        </w:rPr>
      </w:pPr>
      <w:r>
        <w:rPr>
          <w:rFonts w:ascii="Times New Roman" w:hAnsi="Times New Roman"/>
          <w:i/>
          <w:color w:val="000000"/>
          <w:sz w:val="20"/>
        </w:rPr>
        <w:t>Operating Expenses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Our primary operating expenses include the payment of fees to RGC under the Advisory Agreement, our allocable portion of overhead expenses under the Administration Agreement, professional fees, and other operating costs described below. We bear all other out-of-pocket costs and expenses of our operations and transactions, including those relating to:</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our pro-rata portion of fees and expenses related to an initial public offering in connection with a Spin-Off transaction, meaning either a transaction whereby (a) we offer our stockholders the option to elect to either (i) retain their ownership of shares of our common stock, or (ii) exchange their shares of our common stock for shares of common stock in a newly formed entity that will elect to be regulated as a BDC under the 1940 Act and treated as a RIC under subchapter M of the Code; or (b) we complete a listing of our securities on any securities exchange;</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fees and expenses related to public and private offerings, sales and repurchases of our securities;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calculating our net asset value (including the cost and expenses of any independent valuation firm);</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fees and expenses payable to third parties, including agents, consultants or other advisers, in connection with monitoring financial and legal affairs for us and in providing administrative services, monitoring our investments and performing due diligence on our prospective portfolio companies or otherwise relating to, or associated with, evaluating and making investments;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interest payable on debt incurred to finance our investments;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sales and purchases of our common stock and other securities;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management fees and incentive fees;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administration fees payable under the Administration Agreement;</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transfer agent and custodial fees;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federal and state registration fees;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all costs of registration and listing our securities on any securities exchange;</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U.S. federal, state and local taxes;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independent directors’ fees and expenses;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costs of preparing and filing reports or other documents required by the SEC, the Financial Industry Regulatory Authority or other regulators;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costs of any reports, proxy statements or other notices to stockholders, including printing costs;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our allocable portion of any fidelity bond, directors’ and officers’ errors and omissions liability insurance, and any other insurance premiums;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direct costs and expenses of administration, including printing, mailing, long distance telephone, copying, secretarial and other staff, independent auditors and outside legal costs; and</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all other expenses incurred by us, our Administrator or RGC in connection with administering our business, including payments under the Administration Agreement based on our allocable portion of our Administrator’s overhead in performing its obligations under the Administration Agreement, including rent and the allocable portion of the cost of our Chief Compliance Officer and Chief Financial Officer and their respective staffs.</w:t>
      </w:r>
    </w:p>
    <w:p>
      <w:pPr>
        <w:pStyle w:val="TextBody"/>
        <w:bidi w:val="0"/>
        <w:spacing w:before="120" w:after="240"/>
        <w:jc w:val="both"/>
        <w:rPr>
          <w:rFonts w:ascii="Times New Roman" w:hAnsi="Times New Roman"/>
          <w:color w:val="000000"/>
          <w:sz w:val="20"/>
        </w:rPr>
      </w:pPr>
      <w:r>
        <w:rPr>
          <w:rFonts w:ascii="Times New Roman" w:hAnsi="Times New Roman"/>
          <w:color w:val="000000"/>
          <w:sz w:val="20"/>
        </w:rPr>
        <w:t>Operating expenses for the three months ended March 31, 2026 and 2025 were $18.8 million and $19.8 million, respectively. Operating expenses decreased for the three months ended March 31, 2026 from the three months ended March 31, 2025 primarily due to a decrease in incentive fees and managements fees, partially offset by an increase in other expenses. Operating expenses per share for the three months ended March 31, 2026 and 2025 were $0.52 and $0.53, respectively.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12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Management fees for the three months ended March 31, 2026 and 2025 were $3.6 million and $4.0 million, respectively. Management fees decreased for the three months ended March 31, 2026 from the three months ended March 31, 2025 due to decreased average daily gross assets. Management fees per share for the three months ended March 31, 2026 and 2025 were $0.10 and $0.11 per share, respectively. For the three months ended March 31, 2026, RGC earned base management fees at an annual rate of 1.50%. During the quarter ended December 31, 2025, ending gross assets temporarily fell below $1.0 billion, increasing the quarterly rate from 0.375% to 0.40%. With Board approval, RGC voluntarily waived the incremental fee for that period. The waiver was not subject to recoupment and did not amend the Advisory Agreement. Total fees waived for the quarter ended March 31, 2026 were approximately $240.8 thousand. For the three months ended March 31, 2025, RGC earned base management fees at an annual rate of 1.50%.</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Incentive fees for the three months ended March 31, 2026 and 2025 were $2.6 million and $3.9 million, respectively. Incentive fees decreased for the three months ended March 31, 2026 from the three months ended March 31, 2025 due to a decrease in net investment income in the current quarter. For the three months ended March 31, 2026, $1.4 million of the incentive fees were payable in cash and a net $1.2 million were deferred and accrued. For the three months ended March 31, 2025, $3.0 million of the incentive fees were payable in cash and $0.9 million were deferred and accrued. Incentive fees per share for the three months ended March 31, 2026 and 2025 were $0.07 and $0.10, respectively.</w:t>
      </w:r>
    </w:p>
    <w:p>
      <w:pPr>
        <w:pStyle w:val="TextBody"/>
        <w:bidi w:val="0"/>
        <w:spacing w:before="0" w:after="240"/>
        <w:jc w:val="left"/>
        <w:rPr>
          <w:rFonts w:ascii="Times New Roman" w:hAnsi="Times New Roman"/>
          <w:i/>
          <w:color w:val="000000"/>
          <w:sz w:val="20"/>
        </w:rPr>
      </w:pPr>
      <w:r>
        <w:rPr>
          <w:rFonts w:ascii="Times New Roman" w:hAnsi="Times New Roman"/>
          <w:i/>
          <w:color w:val="000000"/>
          <w:sz w:val="20"/>
        </w:rPr>
        <w:t>Net Investment Income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Net investment income for the three months ended March 31, 2026 and 2025 was $10.6 million and $15.6 million, respectively. Net investment income decreased for the three months ended March 31, 2026 from the three months ended March 31, 2025 primarily due to a decrease in investment income resulting from a decrease in the average outstanding principal on interest-earning debt investments, partially offset by decreased performance-based incentive fees and management fees. Net investment income per share for the three months ended March 31, 2026 and 2025 was $0.29 and $0.42, respectively.</w:t>
      </w:r>
    </w:p>
    <w:p>
      <w:pPr>
        <w:pStyle w:val="TextBody"/>
        <w:bidi w:val="0"/>
        <w:spacing w:before="0" w:after="240"/>
        <w:jc w:val="left"/>
        <w:rPr>
          <w:rFonts w:ascii="Times New Roman" w:hAnsi="Times New Roman"/>
          <w:i/>
          <w:color w:val="000000"/>
          <w:sz w:val="20"/>
        </w:rPr>
      </w:pPr>
      <w:r>
        <w:rPr>
          <w:rFonts w:ascii="Times New Roman" w:hAnsi="Times New Roman"/>
          <w:i/>
          <w:color w:val="000000"/>
          <w:sz w:val="20"/>
        </w:rPr>
        <w:t>Net Realized Gain (Loss) on Investments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The net realized gain on investments of $1.3 million for the three months ended March 31, 2026 was primarily attributable to a realized gain on our equity interest position in Pivot3, Inc. The net realized gain on investments of $6.1 million for the three months ended March 31, 2025 was attributable to a realized gain on our investment in Gynesonics, Inc. offset by a realized loss on our investment in Quantum Corporation. </w:t>
      </w:r>
    </w:p>
    <w:p>
      <w:pPr>
        <w:pStyle w:val="TextBody"/>
        <w:bidi w:val="0"/>
        <w:spacing w:before="0" w:after="240"/>
        <w:jc w:val="left"/>
        <w:rPr>
          <w:rFonts w:ascii="Times New Roman" w:hAnsi="Times New Roman"/>
          <w:i/>
          <w:color w:val="000000"/>
          <w:sz w:val="20"/>
        </w:rPr>
      </w:pPr>
      <w:r>
        <w:rPr>
          <w:rFonts w:ascii="Times New Roman" w:hAnsi="Times New Roman"/>
          <w:i/>
          <w:color w:val="000000"/>
          <w:sz w:val="20"/>
        </w:rPr>
        <w:t>Net Change in Unrealized Gain (Loss) on Investments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Net change in unrealized loss on investments of $46.7 million for the three months ended March 31, 2026 was primarily due to a decrease in fair value on our loan investments in Blueshift Labs, Inc. and Marley Spoon as a result of being placed on non-accrual status within the quarter, accompanied by a decrease in fair value of our preferred stock investment in JobGet Holdings, Inc. (fka Snagajob.com, Inc.). Net change in unrealized loss on investments of $19.8 million for the three months ended March 31, 2025 was primarily due to a release of prior unrealized gain on our investment in Gynesonics, Inc. and a decrease in the fair value of our investments in JobGet Holdings, Inc. (fka Snagajob.com, Inc.), Marley Spoon SE, and zSpace, Inc. The decrease in fair value was partially offset by a release of prior unrealized loss on our investment in Quantum Corporation.</w:t>
      </w:r>
    </w:p>
    <w:p>
      <w:pPr>
        <w:pStyle w:val="TextBody"/>
        <w:bidi w:val="0"/>
        <w:spacing w:before="0" w:after="240"/>
        <w:jc w:val="left"/>
        <w:rPr>
          <w:rFonts w:ascii="Times New Roman" w:hAnsi="Times New Roman"/>
          <w:i/>
          <w:color w:val="000000"/>
          <w:sz w:val="20"/>
        </w:rPr>
      </w:pPr>
      <w:r>
        <w:rPr>
          <w:rFonts w:ascii="Times New Roman" w:hAnsi="Times New Roman"/>
          <w:i/>
          <w:color w:val="000000"/>
          <w:sz w:val="20"/>
        </w:rPr>
        <w:t>Net Increase (Decrease) in Net Assets Resulting from Operations</w:t>
      </w:r>
    </w:p>
    <w:p>
      <w:pPr>
        <w:pStyle w:val="TextBody"/>
        <w:bidi w:val="0"/>
        <w:jc w:val="both"/>
        <w:rPr>
          <w:rFonts w:ascii="Times New Roman" w:hAnsi="Times New Roman"/>
          <w:color w:val="000000"/>
          <w:sz w:val="20"/>
        </w:rPr>
      </w:pPr>
      <w:r>
        <w:rPr>
          <w:rFonts w:ascii="Times New Roman" w:hAnsi="Times New Roman"/>
          <w:color w:val="000000"/>
          <w:sz w:val="20"/>
        </w:rPr>
        <w:t>We had a net decrease in net assets resulting from operations of $34.8 million for the three months ended March 31, 2026, as compared to a net increase in net assets resulting from operations of $1.9 million for the three months ended March 31, 2025.</w:t>
      </w:r>
    </w:p>
    <w:p>
      <w:pPr>
        <w:pStyle w:val="TextBody"/>
        <w:bidi w:val="0"/>
        <w:spacing w:before="360" w:after="240"/>
        <w:jc w:val="left"/>
        <w:rPr>
          <w:rFonts w:ascii="Times New Roman" w:hAnsi="Times New Roman"/>
          <w:b/>
          <w:i/>
          <w:color w:val="000000"/>
          <w:sz w:val="20"/>
        </w:rPr>
      </w:pPr>
      <w:r>
        <w:rPr>
          <w:rFonts w:ascii="Times New Roman" w:hAnsi="Times New Roman"/>
          <w:b/>
          <w:i/>
          <w:color w:val="000000"/>
          <w:sz w:val="20"/>
        </w:rPr>
        <w:t>Financial Condition, Liquidity, Capital Resources and Obligations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Our liquidity and capital resources are derived from net proceeds from the offering of our securities, debt borrowings and cash flows from operations, including investment sales and repayments, and income earned. We have used, and expect to continue to use, our debt and the proceeds from the turnover of our portfolio and from public and private offerings of securities to finance our investment objectives. We expect that we may also generate cash from any financing arrangements we may enter into in the future and any future offerings of our equity or debt securities. Financing arrangements may come in the form of borrowings from banks or issuances of senior securities, which may be secured or unsecured, through registered offerings or private placements. Our primary use of funds is to make investments in eligible portfolio companies, pay our operating expenses and make distributions to holders of our common stock.</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During the three months ended March 31, 2026 and 2025, we primarily funded our operations from (i) cash receipts from interest, dividend, and fee income from our investment portfolio, (ii) cash proceeds from the realization of portfolio investments through the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12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repayments of debt investments and the sale of debt and equity investments, and (iii) net borrowings under our Credit Facility and (iv) net proceeds from the issuance of our February 2031 Notes which replaced our April 2026 Notes, December 2027 Notes, and a portion of our July 2027 Notes.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During the three months ended March 31, 2026, our operating activities provided $5.9 million of cash and cash equivalents, compared to $73.6 million in cash and cash equivalents provided by operating activities during the three months ended March 31, 2025. The $67.6 million decrease in cash and cash equivalents provided by operating activities was primarily due to a decrease in sales and repayments of investments.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During the three months ended March 31, 2026, our financing activities used $21.8 million of cash and cash equivalents, compared to $61.0 million of cash and cash equivalents used in financing activities during the three months ended March 31, 2025. The $39.2 million decrease in cash and cash equivalents used in financing activities was primarily due to decreased net borrowing activity of $51.3 million, partially offset by an increase in dividends paid to stockholders.</w:t>
      </w:r>
    </w:p>
    <w:p>
      <w:pPr>
        <w:pStyle w:val="TextBody"/>
        <w:bidi w:val="0"/>
        <w:jc w:val="both"/>
        <w:rPr>
          <w:rFonts w:ascii="Times New Roman" w:hAnsi="Times New Roman"/>
          <w:color w:val="000000"/>
          <w:sz w:val="20"/>
        </w:rPr>
      </w:pPr>
      <w:r>
        <w:rPr>
          <w:rFonts w:ascii="Times New Roman" w:hAnsi="Times New Roman"/>
          <w:color w:val="000000"/>
          <w:sz w:val="20"/>
        </w:rPr>
        <w:t xml:space="preserve">As of March 31, 2026, our net assets totaled $438.2 million, with a net asset value per share of $12.13. We intend to continue to operate in order to generate cash flows from operations, including income earned from investments in our portfolio companies. Our primary use of funds will be investments in portfolio companies and cash distributions to holders of our common stock. </w:t>
      </w:r>
    </w:p>
    <w:p>
      <w:pPr>
        <w:pStyle w:val="TextBody"/>
        <w:bidi w:val="0"/>
        <w:spacing w:before="240" w:after="240"/>
        <w:jc w:val="left"/>
        <w:rPr>
          <w:rFonts w:ascii="Times New Roman" w:hAnsi="Times New Roman"/>
          <w:i/>
          <w:color w:val="000000"/>
          <w:sz w:val="20"/>
        </w:rPr>
      </w:pPr>
      <w:r>
        <w:rPr>
          <w:rFonts w:ascii="Times New Roman" w:hAnsi="Times New Roman"/>
          <w:i/>
          <w:color w:val="000000"/>
          <w:sz w:val="20"/>
        </w:rPr>
        <w:t>Available Liquidity and Capital Resources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As of March 31, 2026, we had $372.3 million in available liquidity, including $2.3 million in cash and cash equivalents, and $370.0 million available under our Credit Facility, subject to borrowing base capacity. As of March 31, 2026, we had $180.0 million of secured debt outstanding under our Credit Facility, which is a floating interest rate obligation and $250.5 million of unsecured debt outstanding under the July 2027 Notes, April 2028 Notes and February 2031 Notes, which are all fixed interest rate debt obligations. Refer to "Note 7 – Borrowings" of our consolidated financial statements in Part I, Item 1 of this Form 10-Q for additional discussion of our debt obligations.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Pursuant to the 1940 Act, we are permitted to incur borrowings, issue debt securities, or issue preferred stock if, immediately after the borrowings or issuance, the ratio of total assets (less total liabilities other than indebtedness) to total indebtedness plus preferred stock is at least 150%. As of March 31, 2026 and December 31, 2025, our asset coverage ratio was 202% and 211%, respectively.</w:t>
      </w:r>
    </w:p>
    <w:p>
      <w:pPr>
        <w:pStyle w:val="TextBody"/>
        <w:bidi w:val="0"/>
        <w:jc w:val="both"/>
        <w:rPr>
          <w:rFonts w:ascii="Times New Roman" w:hAnsi="Times New Roman"/>
          <w:color w:val="000000"/>
          <w:sz w:val="20"/>
        </w:rPr>
      </w:pPr>
      <w:r>
        <w:rPr>
          <w:rFonts w:ascii="Times New Roman" w:hAnsi="Times New Roman"/>
          <w:color w:val="000000"/>
          <w:sz w:val="20"/>
        </w:rPr>
        <w:t>As detailed above, our diverse and well-structured balance sheet is designed to provide a long-term focused and sustainable investment platform. Currently, we believe we have sufficient liquidity to support our near-term capital requirements.</w:t>
      </w:r>
    </w:p>
    <w:p>
      <w:pPr>
        <w:pStyle w:val="TextBody"/>
        <w:bidi w:val="0"/>
        <w:spacing w:before="240" w:after="240"/>
        <w:jc w:val="left"/>
        <w:rPr>
          <w:rFonts w:ascii="Times New Roman" w:hAnsi="Times New Roman"/>
          <w:i/>
          <w:color w:val="000000"/>
          <w:sz w:val="20"/>
        </w:rPr>
      </w:pPr>
      <w:r>
        <w:rPr>
          <w:rFonts w:ascii="Times New Roman" w:hAnsi="Times New Roman"/>
          <w:i/>
          <w:color w:val="000000"/>
          <w:sz w:val="20"/>
        </w:rPr>
        <w:t>Commitments and Obligations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Our significant contractual payment obligations relate to our borrowings and deferred incentive fees. As of March 31, 2026, we had $430.5 million in debt outstanding, none of which is due within the next year, $327.3 million is due within one to three years, and $103.3 million is due beyond three years. As of March 31, 2026, we had $13.4 million of deferred incentive fees, $4.4 million of which is due within the next year, $6.3 million is due within one to three years, and $2.8 million is due beyond three years.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In addition to our on-balance sheet contractual obligations, in the normal course of business, we have future cash requirements related to our financial instruments with off-balance sheet risk. These consist of unfunded commitments to extend credit, in the form of loans, to our portfolio companies. Unfunded commitments to provide funds to portfolio companies are not reflected on our balance sheet.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Our unfunded commitments may be significant from time to time. As of March 31, 2026, we had a total of $179.2 million in unfunded commitments, which was comprised of $156.3 million to provide debt financing to our portfolio companies and $22.8 million in unfunded commitments to provide equity financing to Runway-Cadma I LLC. Unfunded contractual commitments depend upon a portfolio company reaching certain milestones before the debt commitment is available to the portfolio company, which is expected to affect our funding levels. These commitments are subject to the same underwriting and ongoing portfolio maintenance as the on-balance sheet financial instruments that we hold. From time to time, unfunded contractual commitments may expire without being drawn and thus do not represent future cash requirements. We maintain sufficient liquidity (through cash on hand and available borrowings under the Credit Facility) to fund such unfunded commitments should the need arise. As of March 31, 2026, we had $23.3 million of available unfunded commitments to portfolio companies that are eligible to be drawn based on achieved milestones and $22.8 million in unfunded capital commitments to Runway-Cadma I LLC. Refer to "Note 8 – Commitments and Contingencies" of our consolidated financial statements in Part I, Item 1 of this Form 10-Q for a summary of unfunded commitments by portfolio company as of March 31, 2026.</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12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0"/>
        </w:rPr>
        <w:t>The fair value of our unfunded commitments is considered to be immaterial as the yield determined at the time of underwriting is expected to be materially consistent with the yield upon funding, given that interest rates are generally pegged to market indices and given the existence of milestones, conditions and/or obligations embedded in the borrowing agreements</w:t>
      </w:r>
      <w:r>
        <w:rPr>
          <w:rFonts w:ascii="Times New Roman" w:hAnsi="Times New Roman"/>
          <w:i/>
          <w:color w:val="000000"/>
          <w:sz w:val="20"/>
        </w:rPr>
        <w:t>.</w:t>
      </w:r>
    </w:p>
    <w:p>
      <w:pPr>
        <w:pStyle w:val="TextBody"/>
        <w:bidi w:val="0"/>
        <w:spacing w:before="0" w:after="240"/>
        <w:jc w:val="left"/>
        <w:rPr>
          <w:rFonts w:ascii="Times New Roman" w:hAnsi="Times New Roman"/>
          <w:i/>
          <w:color w:val="000000"/>
          <w:sz w:val="20"/>
        </w:rPr>
      </w:pPr>
      <w:r>
        <w:rPr>
          <w:rFonts w:ascii="Times New Roman" w:hAnsi="Times New Roman"/>
          <w:i/>
          <w:color w:val="000000"/>
          <w:sz w:val="20"/>
        </w:rPr>
        <w:t>Repurchase Program</w:t>
      </w:r>
    </w:p>
    <w:p>
      <w:pPr>
        <w:pStyle w:val="TextBody"/>
        <w:bidi w:val="0"/>
        <w:jc w:val="both"/>
        <w:rPr>
          <w:rFonts w:ascii="Times New Roman" w:hAnsi="Times New Roman"/>
          <w:color w:val="000000"/>
          <w:sz w:val="20"/>
        </w:rPr>
      </w:pPr>
      <w:r>
        <w:rPr>
          <w:rFonts w:ascii="Times New Roman" w:hAnsi="Times New Roman"/>
          <w:color w:val="000000"/>
          <w:sz w:val="20"/>
        </w:rPr>
        <w:t>On February 24, 2022, our Board of Directors approved a share repurchase program (the "First Repurchase Program") under which we were authorized to repurchase up to $25.0 million of our outstanding shares of common stock, at management’s discretion from time to time in open-market transactions and in accordance with all applicable securities laws and regulations. We repurchased 871,345 shares in connection with the First Repurchase Program for an aggregate purchase price of $10.8 million. The First Repurchase Program expired on February 24, 2023.</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On November 2, 2023, our Board of Directors approved a share repurchase program (the "Second Repurchase Program"), under which we were authorized to repurchase up to $25.0 million of our outstanding shares of common stock, at management’s discretion from time to time in open-market transactions and in accordance with all applicable securities laws and regulations. We repurchased 1,961,938 shares in connection with the Second Repurchase Program for an aggregate purchase price of $23.5 million. The Second Repurchase Program expired on November 2, 2024.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On July 30, 2024, our Board of Directors approved a share repurchase program (the "Third Repurchase Program"), under which we were authorized to repurchase up to $15.0 million of our outstanding shares of common stock, at management's discretion from time to time in open-market transactions and in accordance with all applicable securities laws and regulations. We repurchased 1,199,867 shares in connection with the Third Repurchase Program for an aggregate purchase price of $12.5 million. The Third Repurchase Program expired on July 30, 2025.</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On May 7, 2025, our Board of Directors approved a share repurchase program (the "Fourth Repurchase Program"), under which we were authorized to repurchase up to $25.0 million of our outstanding shares of common stock, at management's discretion from time to time in open-market transactions and in accordance with all applicable securities laws and regulations. The Fourth Repurchase Program was scheduled to terminate upon the earlier of (i) May 7, 2026 or (ii) the repurchase of $25.0 million of our shares of common stock and expired in accordance with its terms on May 7, 2026. From the inception of the Fourth Repurchase Program through March 31, 2026, we repurchased 1,213,391 shares for an aggregate purchase price of $12.5 million.</w:t>
      </w:r>
    </w:p>
    <w:p>
      <w:pPr>
        <w:pStyle w:val="TextBody"/>
        <w:bidi w:val="0"/>
        <w:spacing w:before="360" w:after="240"/>
        <w:jc w:val="both"/>
        <w:rPr>
          <w:rFonts w:ascii="Times New Roman" w:hAnsi="Times New Roman"/>
          <w:color w:val="000000"/>
          <w:sz w:val="20"/>
        </w:rPr>
      </w:pPr>
      <w:r>
        <w:rPr>
          <w:rFonts w:ascii="Times New Roman" w:hAnsi="Times New Roman"/>
          <w:color w:val="000000"/>
          <w:sz w:val="20"/>
        </w:rPr>
        <w:t>On May 5, 2026, our Board of Directors approved a share repurchase program (the "New Repurchase Program"), under which we may repurchase up to $15.0 million of our outstanding shares of common stock. Under the New Repurchase Program, purchases may be made at management’s discretion from time to time in open-market transactions, in accordance with all applicable securities laws and regulations. If not renewed, the New Repurchase Program will terminate upon the earlier of (i) May 7, 2027 or (ii) the repurchase of $15.0 million of our outstanding shares of common stock.</w:t>
      </w:r>
    </w:p>
    <w:p>
      <w:pPr>
        <w:pStyle w:val="TextBody"/>
        <w:bidi w:val="0"/>
        <w:jc w:val="both"/>
        <w:rPr>
          <w:rFonts w:ascii="Times New Roman" w:hAnsi="Times New Roman"/>
          <w:color w:val="000000"/>
          <w:sz w:val="20"/>
        </w:rPr>
      </w:pPr>
      <w:r>
        <w:rPr>
          <w:rFonts w:ascii="Times New Roman" w:hAnsi="Times New Roman"/>
          <w:color w:val="000000"/>
          <w:sz w:val="20"/>
        </w:rPr>
        <w:t>Cumulative repurchases under all repurchase programs totaled 5,246,541 shares at an aggregate purchase price of $59.3 million.</w:t>
      </w:r>
    </w:p>
    <w:p>
      <w:pPr>
        <w:pStyle w:val="TextBody"/>
        <w:bidi w:val="0"/>
        <w:spacing w:before="240" w:after="240"/>
        <w:jc w:val="left"/>
        <w:rPr>
          <w:rFonts w:ascii="Times New Roman" w:hAnsi="Times New Roman"/>
          <w:i/>
          <w:color w:val="000000"/>
          <w:sz w:val="20"/>
        </w:rPr>
      </w:pPr>
      <w:r>
        <w:rPr>
          <w:rFonts w:ascii="Times New Roman" w:hAnsi="Times New Roman"/>
          <w:i/>
          <w:color w:val="000000"/>
          <w:sz w:val="20"/>
        </w:rPr>
        <w:t>Distributions and Dividend Reinvestment Plan</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To the extent that we have funds available, we intend to make quarterly distributions to our stockholders. Our stockholder distributions, if any, will be determined by our Board of Directors. Any distribution to our stockholders will be declared out of assets legally available for distribution. We anticipate that distributions will be paid from income primarily generated by interest and dividend income earned on investments made by us.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During the three months ended March 31, 2026, we declared and paid dividends in the amount of $11.9 million, of which $11.7 million was distributed in cash, with the remainder distributed in the form of 31,242 shares of our common stock purchased by us in the open market and distributed to stockholders pursuant to our dividend reinvestment plan (the "Dividend Reinvestment Plan"). During the three months ended March 31, 2025, we declared dividends in the amount of $13.4 million, of which $13.2 million was payable in cash, with the remainder to be distributed in the form of shares of our common stock purchased by us in the open market and distributed to stockholders pursuant to our Dividend Reinvestment Plan.</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timing and amount of our distributions, if any, will be determined by our Board of Directors and will be declared out of assets legally available for distribution. Refer to "Note 9 – Net Assets" of our consolidated financial statements in Part I, Item 1 of this Form 10-Q for a summary of the distributions declared and paid since inception.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120"/>
        <w:jc w:val="left"/>
        <w:rPr/>
      </w:pPr>
      <w:r>
        <w:rPr/>
        <w:t> </w:t>
      </w:r>
    </w:p>
    <w:p>
      <w:pPr>
        <w:pStyle w:val="TextBody"/>
        <w:bidi w:val="0"/>
        <w:spacing w:before="360" w:after="240"/>
        <w:jc w:val="left"/>
        <w:rPr>
          <w:rFonts w:ascii="Times New Roman" w:hAnsi="Times New Roman"/>
          <w:b/>
          <w:i/>
          <w:color w:val="000000"/>
          <w:sz w:val="20"/>
        </w:rPr>
      </w:pPr>
      <w:r>
        <w:rPr>
          <w:rFonts w:ascii="Times New Roman" w:hAnsi="Times New Roman"/>
          <w:b/>
          <w:i/>
          <w:color w:val="000000"/>
          <w:sz w:val="20"/>
        </w:rPr>
        <w:t>Critical Accounting Estimates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preparation of the consolidated financial statements and related disclosures in conformity with U.S. GAAP requires our management to make estimates and assumptions that affect the reported amounts of assets and liabilities, disclosure of contingent assets and liabilities at the date of the consolidated financial statements, and revenues and expenses during the period reports. On an ongoing basis, our management evaluates its estimates and assumptions, which are based on historical experience and on various other assumptions that we believe to be reasonable under the circumstances. Actual results could materially differ from those estimates, including as a result of changes in the economic environment, financial markets, and any other parameters used in determining such estimates. Changes in our estimates and assumptions could materially impact our results of operations and financial condition. Our critical accounting estimates, including those relating to valuations of our investment portfolio, are described below. The critical accounting estimates should be read in conjunction with our risk factors as disclosed in "Risk Factors" in Part I, Item 1A of our annual report on Form 10-K, filed with the SEC on March 12, 2026. Refer to "Note 2 – Summary of Significant Accounting Policies" of our consolidated financial statements in Part I, Item 1 of this Form 10-Q for a discussion of our significant accounting policies. We consider the most significant critical accounting estimates and significant accounting policies to be those related to the valuation of our investment portfolio (Fair Value Measurements).</w:t>
      </w:r>
    </w:p>
    <w:p>
      <w:pPr>
        <w:pStyle w:val="TextBody"/>
        <w:bidi w:val="0"/>
        <w:spacing w:before="0" w:after="240"/>
        <w:jc w:val="both"/>
        <w:rPr>
          <w:rFonts w:ascii="Times New Roman" w:hAnsi="Times New Roman"/>
          <w:i/>
          <w:color w:val="000000"/>
          <w:sz w:val="20"/>
        </w:rPr>
      </w:pPr>
      <w:r>
        <w:rPr>
          <w:rFonts w:ascii="Times New Roman" w:hAnsi="Times New Roman"/>
          <w:i/>
          <w:color w:val="000000"/>
          <w:sz w:val="20"/>
        </w:rPr>
        <w:t>Investment Valuation</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The most significant estimate inherent in the preparation of our consolidated financial statements is the valuation of investments and the related amounts of unrealized appreciation and depreciation of investments recorded. We measure the value of its financial instruments at fair value in accordance with ASC Topic 820, </w:t>
      </w:r>
      <w:r>
        <w:rPr>
          <w:rFonts w:ascii="Times New Roman" w:hAnsi="Times New Roman"/>
          <w:i/>
          <w:color w:val="000000"/>
          <w:sz w:val="20"/>
        </w:rPr>
        <w:t>Fair Value Measurements and Disclosure</w:t>
      </w:r>
      <w:r>
        <w:rPr>
          <w:rFonts w:ascii="Times New Roman" w:hAnsi="Times New Roman"/>
          <w:color w:val="000000"/>
          <w:sz w:val="20"/>
        </w:rPr>
        <w:t xml:space="preserve"> ("ASC 820"), issued by the FASB. Fair value is the price that would be received to sell an asset or paid to transfer a liability in an orderly transaction between market participants at the measurement date. Our investment portfolio is reported at fair value on our consolidated statements of assets and liabilities. All assets and liabilities approximate fair value on our consolidated statements of assets and liabilities, with the exception of our borrowings, which are reported at amortized cost. For more information on financial instruments reported at cost, refer to "Note 5 – Fair Value of Financial Instruments" of our consolidated financial statements in Part I, Item 1 of this Form 10-Q.</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ASC 820 specifies a hierarchy of valuation techniques based on whether the inputs to those valuation techniques are observable or unobservable. ASC 820 also provides guidance regarding a fair value hierarchy, which prioritizes information used to measure fair value and the effect of fair value measurements on earnings and provides for enhanced disclosures determined by the level within the hierarchy of information used in the valuation. In accordance with ASC 820, these inputs are summarized in the three levels listed below:</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Level 1 - Valuations are based on quoted prices in active markets for identical assets or liabilities that are accessible at the measurement date.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Level 2 - Valuations are based on quoted prices in markets that are not active or for which all significant inputs are observable, either directly or indirectly and model-based valuation techniques for which all significant inputs are observable.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Level 3 - Valuations based on inputs that are unobservable and significant to the overall fair value measurement. Level 3 assets and liabilities include financial instruments whose value is determined using pricing models incorporating significant unobservable inputs, such as discounted cash flow models and other similar valuations techniques. The valuation of Level 3 assets and liabilities generally requires significant management judgment due to the inability to observe inputs to valuation.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certain cases, the inputs used to measure fair value may fall into different levels of the fair value hierarchy. In such cases, a financial instrument's level within the fair value hierarchy is based on the lowest level of observable or unobservable input that is significant to the fair value measurement. The assessment of the significance of a particular input to the fair value measurement in its entirety requires judgment and considers factors specific to the instrument.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Under ASC 820, the fair value measurement also assumes that the transaction to sell an asset or liability occurs in the principal market for the asset or liability or, in the absence of a principal market, the most advantageous market for the asset, which may be a hypothetical market, and excludes transaction costs. The principal market for any asset or liability is the market with the greatest volume and level of activity for such asset or liability in which the reporting entity would or could sell or transfer the asset or liability. In determining the principal market for an asset or liability under ASC 820, it is assumed that the reporting entity has access to such market as of the measurement date. Market participants are defined as buyers and sellers in the principal or most advantageous market that are independent, knowledgeable and willing and able to transact.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Rule 2a-5 under the 1940 Act established additional requirements for determining the fair value of our investments in good faith for purposes of the 1940 Act. Rule 2a-5 permits boards, in compliance with certain conditions, to designate certain parties to perform fair value determinations, subject to board oversight. Rule 2a-5 also defines when market quotations are "readily available" for purposes of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12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1940 Act and the threshold for determining whether a fund must determine the fair value of a security. Rule 31a-4 under the 1940 Act established additional recordkeeping requirements related to fair value determinations. Although we adopted certain revisions to its valuation policies and procedures to comply with Rule 2a-5 and Rule 31a-4, the Board of Directors has not elected to designate a valuation designee. See "Note 2 – Summary of Significant Accounting Policies" for additional information on our valuation process and procedures.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Board of Directors makes fair value determinations on a quarterly basis and any other time when a decision regarding the fair value of the portfolio investments is required. There is no single standard for determining the fair value of investments that do not have an active public market. As a result, determining fair value requires that judgment be applied to the specific facts and circumstances of each portfolio investment while employing a consistently applied valuation process for the types of investments we make. A determination of fair value of investments, particularly those of privately held companies, involves subjective judgments and estimates and depends on the facts and circumstances, including at discrete points in time. In some cases, the fair value of such investments is best expressed as a range of values derived utilizing different methodologies from which a fair value may then be determined. Due to the inherent uncertainty of determining the fair value of portfolio investments that do not have a readily available market value, the fair value of the investments may fluctuate from period to period and/or differ, significantly from the values that would have been used had a readily available market value existed for such investments, and the differences could be material. These estimates may be subjective in nature and involve uncertainties and matters of significant judgment and, therefore, cannot be determined with precision. The carrying amounts of our financial instruments, consisting of cash, investments, receivables, payables and other liabilities approximate the fair values of such items due to the short-term nature of these instruments.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120"/>
        <w:jc w:val="left"/>
        <w:rPr/>
      </w:pPr>
      <w:r>
        <w:rPr/>
        <w:t> </w:t>
      </w:r>
    </w:p>
    <w:p>
      <w:pPr>
        <w:pStyle w:val="TextBody"/>
        <w:bidi w:val="0"/>
        <w:spacing w:before="360" w:after="240"/>
        <w:jc w:val="left"/>
        <w:rPr>
          <w:rFonts w:ascii="Times New Roman" w:hAnsi="Times New Roman"/>
          <w:b/>
          <w:i/>
          <w:color w:val="000000"/>
          <w:sz w:val="20"/>
        </w:rPr>
      </w:pPr>
      <w:r>
        <w:rPr>
          <w:rFonts w:ascii="Times New Roman" w:hAnsi="Times New Roman"/>
          <w:b/>
          <w:i/>
          <w:color w:val="000000"/>
          <w:sz w:val="20"/>
        </w:rPr>
        <w:t>Recent Developments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We evaluated events subsequent to March 31, 2026 through May 7, 2026. There have been no subsequent events that occurred during such period that would require recognition or disclosure, except as disclosed below.</w:t>
      </w:r>
    </w:p>
    <w:p>
      <w:pPr>
        <w:pStyle w:val="TextBody"/>
        <w:bidi w:val="0"/>
        <w:spacing w:before="120" w:after="240"/>
        <w:jc w:val="both"/>
        <w:rPr>
          <w:rFonts w:ascii="Times New Roman" w:hAnsi="Times New Roman"/>
          <w:i/>
          <w:color w:val="000000"/>
          <w:sz w:val="20"/>
        </w:rPr>
      </w:pPr>
      <w:r>
        <w:rPr>
          <w:rFonts w:ascii="Times New Roman" w:hAnsi="Times New Roman"/>
          <w:i/>
          <w:color w:val="000000"/>
          <w:sz w:val="20"/>
        </w:rPr>
        <w:t>Distributions</w:t>
      </w:r>
    </w:p>
    <w:p>
      <w:pPr>
        <w:pStyle w:val="TextBody"/>
        <w:bidi w:val="0"/>
        <w:jc w:val="both"/>
        <w:rPr>
          <w:rFonts w:ascii="Times New Roman" w:hAnsi="Times New Roman"/>
          <w:color w:val="000000"/>
          <w:sz w:val="20"/>
        </w:rPr>
      </w:pPr>
      <w:r>
        <w:rPr>
          <w:rFonts w:ascii="Times New Roman" w:hAnsi="Times New Roman"/>
          <w:color w:val="000000"/>
          <w:sz w:val="20"/>
        </w:rPr>
        <w:t xml:space="preserve">On May 5, 2026, our Board of Directors declared a quarterly distribution of $0.33 per share for our stockholders of record as of May 18, 2026, payable on or before June 2, 2026. </w:t>
      </w:r>
    </w:p>
    <w:p>
      <w:pPr>
        <w:pStyle w:val="TextBody"/>
        <w:bidi w:val="0"/>
        <w:spacing w:before="360" w:after="240"/>
        <w:jc w:val="both"/>
        <w:rPr>
          <w:rFonts w:ascii="Times New Roman" w:hAnsi="Times New Roman"/>
          <w:i/>
          <w:color w:val="000000"/>
          <w:sz w:val="20"/>
        </w:rPr>
      </w:pPr>
      <w:r>
        <w:rPr>
          <w:rFonts w:ascii="Times New Roman" w:hAnsi="Times New Roman"/>
          <w:i/>
          <w:color w:val="000000"/>
          <w:sz w:val="20"/>
        </w:rPr>
        <w:t>Recent Portfolio Activity</w:t>
      </w:r>
    </w:p>
    <w:p>
      <w:pPr>
        <w:pStyle w:val="TextBody"/>
        <w:bidi w:val="0"/>
        <w:jc w:val="both"/>
        <w:rPr>
          <w:rFonts w:ascii="Times New Roman" w:hAnsi="Times New Roman"/>
          <w:color w:val="000000"/>
          <w:sz w:val="20"/>
        </w:rPr>
      </w:pPr>
      <w:r>
        <w:rPr>
          <w:rFonts w:ascii="Times New Roman" w:hAnsi="Times New Roman"/>
          <w:color w:val="000000"/>
          <w:sz w:val="20"/>
        </w:rPr>
        <w:t>From March 31, 2026 through May 7, 2026, we funded $44.4 million in unfunded commitments on existing investments.</w:t>
      </w:r>
    </w:p>
    <w:p>
      <w:pPr>
        <w:pStyle w:val="TextBody"/>
        <w:bidi w:val="0"/>
        <w:spacing w:before="360" w:after="240"/>
        <w:jc w:val="both"/>
        <w:rPr>
          <w:rFonts w:ascii="Times New Roman" w:hAnsi="Times New Roman"/>
          <w:i/>
          <w:color w:val="000000"/>
          <w:sz w:val="20"/>
        </w:rPr>
      </w:pPr>
      <w:r>
        <w:rPr>
          <w:rFonts w:ascii="Times New Roman" w:hAnsi="Times New Roman"/>
          <w:i/>
          <w:color w:val="000000"/>
          <w:sz w:val="20"/>
        </w:rPr>
        <w:t>Repurchase Program</w:t>
      </w:r>
    </w:p>
    <w:p>
      <w:pPr>
        <w:pStyle w:val="TextBody"/>
        <w:bidi w:val="0"/>
        <w:jc w:val="both"/>
        <w:rPr>
          <w:rFonts w:ascii="Times New Roman" w:hAnsi="Times New Roman"/>
          <w:color w:val="000000"/>
          <w:sz w:val="20"/>
        </w:rPr>
      </w:pPr>
      <w:r>
        <w:rPr>
          <w:rFonts w:ascii="Times New Roman" w:hAnsi="Times New Roman"/>
          <w:color w:val="000000"/>
          <w:sz w:val="20"/>
        </w:rPr>
        <w:t>On May 5, 2026, our Board of Directors approved a share repurchase program (the "New Repurchase Program"), under which we may repurchase up to $15.0 million of our outstanding shares of common stock. Under the New Repurchase Program, purchases may be made at management’s discretion from time to time in open-market transactions, in accordance with all applicable securities laws and regulations. If not renewed, the New Repurchase Program will terminate upon the earlier of (i) May 7, 2027 or (ii) the repurchase of $15.0 million of our outstanding shares of common stock.</w:t>
      </w:r>
    </w:p>
    <w:p>
      <w:pPr>
        <w:pStyle w:val="TextBody"/>
        <w:bidi w:val="0"/>
        <w:spacing w:before="360" w:after="240"/>
        <w:jc w:val="both"/>
        <w:rPr>
          <w:rFonts w:ascii="Times New Roman" w:hAnsi="Times New Roman"/>
          <w:i/>
          <w:color w:val="000000"/>
          <w:sz w:val="20"/>
        </w:rPr>
      </w:pPr>
      <w:r>
        <w:rPr>
          <w:rFonts w:ascii="Times New Roman" w:hAnsi="Times New Roman"/>
          <w:i/>
          <w:color w:val="000000"/>
          <w:sz w:val="20"/>
        </w:rPr>
        <w:t>Retirement and Appointment of Certain Officers</w:t>
      </w:r>
    </w:p>
    <w:p>
      <w:pPr>
        <w:pStyle w:val="TextBody"/>
        <w:bidi w:val="0"/>
        <w:spacing w:before="120" w:after="240"/>
        <w:jc w:val="both"/>
        <w:rPr>
          <w:rFonts w:ascii="Times New Roman" w:hAnsi="Times New Roman"/>
          <w:color w:val="000000"/>
          <w:sz w:val="20"/>
          <w:u w:val="single"/>
        </w:rPr>
      </w:pPr>
      <w:r>
        <w:rPr>
          <w:rFonts w:ascii="Times New Roman" w:hAnsi="Times New Roman"/>
          <w:color w:val="000000"/>
          <w:sz w:val="20"/>
          <w:u w:val="single"/>
        </w:rPr>
        <w:t>The Company</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On May 5, 2026, Thomas B. Raterman notified our Board of Directors that he would retire from his positions as our Chief Operating Officer, Chief Financial Officer, Treasurer and Corporate Secretary effective as of the close of business on June 30, 2026, at which time he will become Vice Chairman of RGC. In that role, he will focus on strategic initiatives that include portfolio optimization, platform-level mergers and acquisitions, capital markets transactions, and capital formation. Mr. Raterman will also continue to serve as a member of the investment committee of RGC.</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On May 5, 2026, our Board of Directors elected Carmela Thomson to serve as our Chief Financial Officer, Treasurer and Corporate Secretary effective as of the close of business on June 30, 2026.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Please refer to “Part II, Item 5. Other Information” for additional information. </w:t>
      </w:r>
    </w:p>
    <w:p>
      <w:pPr>
        <w:pStyle w:val="TextBody"/>
        <w:bidi w:val="0"/>
        <w:spacing w:before="120" w:after="240"/>
        <w:jc w:val="both"/>
        <w:rPr>
          <w:rFonts w:ascii="Times New Roman" w:hAnsi="Times New Roman"/>
          <w:color w:val="000000"/>
          <w:sz w:val="20"/>
          <w:u w:val="single"/>
        </w:rPr>
      </w:pPr>
      <w:r>
        <w:rPr>
          <w:rFonts w:ascii="Times New Roman" w:hAnsi="Times New Roman"/>
          <w:color w:val="000000"/>
          <w:sz w:val="20"/>
          <w:u w:val="single"/>
        </w:rPr>
        <w:t>The Investment Adviser</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Effective as of April 6, 2026, David Spreng, our Chief Executive Officer and President, returned to his role as Chief Investment Officer of RGC in place of Greg Greifeld.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In connection with the Merger (as defined below), John David Tamas became a managing director of healthcare and life sciences investing at RGC.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Effective as of April 30, 2026, Avisha Khubani was promoted to Chief Credit Officer at RGC.</w:t>
      </w:r>
    </w:p>
    <w:p>
      <w:pPr>
        <w:pStyle w:val="TextBody"/>
        <w:bidi w:val="0"/>
        <w:spacing w:before="120" w:after="240"/>
        <w:jc w:val="both"/>
        <w:rPr>
          <w:rFonts w:ascii="Times New Roman" w:hAnsi="Times New Roman"/>
          <w:i/>
          <w:color w:val="000000"/>
          <w:sz w:val="20"/>
        </w:rPr>
      </w:pPr>
      <w:r>
        <w:rPr>
          <w:rFonts w:ascii="Times New Roman" w:hAnsi="Times New Roman"/>
          <w:i/>
          <w:color w:val="000000"/>
          <w:sz w:val="20"/>
        </w:rPr>
        <w:t>SWK Acquisition</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On April 6, 2026, we completed our previously announced acquisition of SWK Holdings Corporation, a Delaware corporation ("SWK"), pursuant to that certain Agreement and Plan of Merger (the "Merger Agreement"), dated as of October 9, 2025, by and among us, SWK, RWAY Portfolio Holding Corp., a Delaware corporation and a direct wholly-owned subsidiary of ours ("Intermediary Sub"), RWAY Portfolio Corp., a Delaware corporation and a wholly-owned subsidiary of Intermediary Sub ("Acquisition Sub") and Runway Growth Capital LLC, a Delaware limited liability company (the "Adviser"). Pursuant to the Merger Agreement, SWK first merged with and into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120"/>
        <w:jc w:val="left"/>
        <w:rPr/>
      </w:pPr>
      <w:r>
        <w:rPr/>
        <w:t> </w:t>
      </w:r>
    </w:p>
    <w:p>
      <w:pPr>
        <w:pStyle w:val="TextBody"/>
        <w:bidi w:val="0"/>
        <w:spacing w:before="240" w:after="240"/>
        <w:jc w:val="both"/>
        <w:rPr>
          <w:rFonts w:ascii="Times New Roman" w:hAnsi="Times New Roman"/>
          <w:color w:val="000000"/>
          <w:sz w:val="20"/>
        </w:rPr>
      </w:pPr>
      <w:r>
        <w:rPr>
          <w:rFonts w:ascii="Times New Roman" w:hAnsi="Times New Roman"/>
          <w:color w:val="000000"/>
          <w:sz w:val="20"/>
        </w:rPr>
        <w:t>Acquisition Sub, with Acquisition Sub as the surviving company (the "First Merger"). Following the effectiveness of the First Merger, Acquisition Sub merged with and into Intermediary Sub, with Intermediary Sub as the surviving company (the "Second Merger"). Following the effectiveness of the Second Merger, Intermediary Sub merged with and into us, with us as the surviving company (the "Third Merger" and, together with the First Merger and the Second Merger, the "Mergers").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In accordance with the terms of the Merger Agreement, at the effective time of the First Merger, each outstanding share of common stock, par value $0.001 per share, of SWK ("SWK Common Stock") was converted into the right to receive (i) either (A) 1.7264 shares of common stock, par value $0.01 per share, of ours ("Company Common Stock") or (B) $20.59 in cash (based on the election of the holder thereof in accordance with the terms of the Merger Agreement (and subject to the proration as provided therein)) plus (ii) $0.74 in cash, which represents a pro rata share of the guaranteed cash payment paid by the Adviser. As a result, we issued an aggregate of 6,330,509 shares of our common stock to SWK's former stockholders. No fractional shares were issued in the First Merger and the value of any fractional shares of Company Common Stock that a former holder of SWK Common Stock would otherwise be entitled to receive will be paid in cash.</w:t>
      </w:r>
    </w:p>
    <w:p>
      <w:pPr>
        <w:pStyle w:val="TextBody"/>
        <w:bidi w:val="0"/>
        <w:spacing w:before="120" w:after="240"/>
        <w:jc w:val="left"/>
        <w:rPr>
          <w:rFonts w:ascii="Times New Roman" w:hAnsi="Times New Roman"/>
          <w:i/>
          <w:color w:val="000000"/>
          <w:sz w:val="20"/>
        </w:rPr>
      </w:pPr>
      <w:r>
        <w:rPr>
          <w:rFonts w:ascii="Times New Roman" w:hAnsi="Times New Roman"/>
          <w:i/>
          <w:color w:val="000000"/>
          <w:sz w:val="20"/>
        </w:rPr>
        <w:t>Third Supplemental Indenture for the SWK 2027 Notes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On April 6, 2026, we entered into a third supplemental indenture (the "Third Supplemental Indenture") by and between us and Wilmington Trust, National Association (the "Trustee"), effective as of the closing of the Merger. The Third Supplemental Indenture relates to our assumption of $33.0 million in aggregate principal amount of SWK's 9.00% Senior Notes due 2027 (the "2027 Notes").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Pursuant to the Third Supplemental Indenture, we expressly assumed the obligations of SWK for the due and punctual payment of the principal of, and premium, if any, and interest on all the 2027 Notes, and the due and punctual performance and observance of all of the covenants and conditions of the indenture, dated October 3, 2023 (the "Base Indenture"), by and between SWK and the Trustee, as amended by the First Supplemental Indenture, dated as of October 3, 2023 and the Second Supplemental Indenture dated as of April 6, 2026.</w:t>
      </w:r>
    </w:p>
    <w:p>
      <w:pPr>
        <w:pStyle w:val="Heading1"/>
        <w:bidi w:val="0"/>
        <w:spacing w:before="120" w:after="240"/>
        <w:jc w:val="left"/>
        <w:rPr>
          <w:rFonts w:ascii="Times New Roman" w:hAnsi="Times New Roman"/>
          <w:color w:val="000000"/>
          <w:sz w:val="20"/>
        </w:rPr>
      </w:pPr>
      <w:bookmarkStart w:id="13" w:name="item3quantitativeandqualitativedisclosur"/>
      <w:bookmarkEnd w:id="13"/>
      <w:r>
        <w:rPr>
          <w:rFonts w:ascii="Times New Roman" w:hAnsi="Times New Roman"/>
          <w:color w:val="000000"/>
          <w:sz w:val="20"/>
        </w:rPr>
        <w:t>Item 3. Quantitative and Qualitative Disclosures about Market Risk</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We are subject to financial market risk, including changes in the valuations of our investment portfolio. Market risk includes risks that arise from changes in interest rates, commodity prices, equity prices and other market changes that affect market sensitive instruments. The prices of securities held by us may decline in response to certain events, including those directly involving the companies we invest in, conditions affecting the general economy, overall market changes, legislative reform, local, regional, national or global political, social or economic instability, and interest rate fluctuations. Uncertainty with respect to the economic effects of rising interest rates and inflation, as well as uncertainty with respect to trade policies, restrictions and tariffs, has introduced significant volatility in the financial markets, and the effects of this volatility could materially impact our market risks. For additional information concerning the market risks we face and their potential impact on our business and our operating results, see Part II, Item 1A. Risk Factors.</w:t>
      </w:r>
    </w:p>
    <w:p>
      <w:pPr>
        <w:pStyle w:val="Heading2"/>
        <w:bidi w:val="0"/>
        <w:spacing w:before="120" w:after="240"/>
        <w:jc w:val="left"/>
        <w:rPr>
          <w:rFonts w:ascii="Times New Roman" w:hAnsi="Times New Roman"/>
          <w:i/>
          <w:color w:val="000000"/>
          <w:sz w:val="20"/>
        </w:rPr>
      </w:pPr>
      <w:r>
        <w:rPr>
          <w:rFonts w:ascii="Times New Roman" w:hAnsi="Times New Roman"/>
          <w:i/>
          <w:color w:val="000000"/>
          <w:sz w:val="20"/>
        </w:rPr>
        <w:t>Valuation Risk</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Our investments may not have a readily available market price, and we value these investments at fair value as determined in good faith by our Board of Directors in accordance with our valuation policy. There is no single standard for determining fair value in good faith. As a result, determining fair value requires that judgment be applied to the specific facts and circumstances of each portfolio investment while employing a consistently applied valuation process for the types of investments we make. Due to the inherent uncertainty of determining the fair value of investments that do not have a readily available market value, the fair value of our investments may fluctuate from period to period. Because of the inherent uncertainty of valuation, these estimated values may differ significantly from the values that would have been used had a ready market for the investments existed, and it is possible that the difference could be material.</w:t>
      </w:r>
    </w:p>
    <w:p>
      <w:pPr>
        <w:pStyle w:val="Heading2"/>
        <w:bidi w:val="0"/>
        <w:spacing w:before="120" w:after="240"/>
        <w:jc w:val="left"/>
        <w:rPr>
          <w:rFonts w:ascii="Times New Roman" w:hAnsi="Times New Roman"/>
          <w:i/>
          <w:color w:val="000000"/>
          <w:sz w:val="20"/>
        </w:rPr>
      </w:pPr>
      <w:r>
        <w:rPr>
          <w:rFonts w:ascii="Times New Roman" w:hAnsi="Times New Roman"/>
          <w:i/>
          <w:color w:val="000000"/>
          <w:sz w:val="20"/>
        </w:rPr>
        <w:t>Interest Rate Risk</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We are subject to financial market risks, including changes in interest rates. Interest rate risk is defined as the sensitivity of our current and future earnings to interest rate volatility, variability of spread relationships, the difference in re-pricing intervals between our assets and liabilities and the effect that interest rates may have on our cash flows. Changes in interest rates may affect both our cost of funding and our interest income from portfolio investments and cash and cash equivalents. Changes in interest rates can also affect our ability to acquire and originate loans and securities and the value of our investment portfolio. Our net investment income is affected by fluctuations in various interest rates, including SOFR and Prime rates, to the extent our debt investments include variable interest rates.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12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As of March 31, 2026, $739.1 million of par, or 83.7% of our debt portfolio investments bore interest at variable rates, of which approximately 79.0% were based on SOFR and 21.0% were based on Prime. A hypothetical 200 basis point increase or decrease in the interest rates on our variable-rate debt investments could increase our interest income by a maximum of $11.4 million and decrease our investment income by a maximum of $6.0 million, due to certain floors, on an annual basis.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Our debt borrowings under the Credit Facility bear interest at a floating rate, all other outstanding debt borrowings bear interest at a fixed rate. Borrowings under the Credit Facility bear interest on a per annum basis equal to the SOFR plus an applicable margin rate that ranges from 2.95% to 3.35% per annum depending on our leverage ratio and number of eligible loans in the collateral pool. For additional information regarding the interest rate associated with each of our debt borrowings, refer to "Note 7 – Borrowings" of our consolidated financial statements in Part I, Item 1 of this Form 10-Q.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Because we currently borrow, and plan to borrow in the future, to originate loans and securities, our net investment income is dependent upon the difference between the rate at which we borrow funds and the rate at which we invest the funds borrowed. Accordingly, there can be no assurance that a significant change in market interest rates will not have a material adverse effect on our net investment income.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We regularly measure exposure to interest rate risk. We assess interest rate risk and manage interest rate exposure on an ongoing basis by comparing our interest rate sensitive assets to our interest rate sensitive liabilities. Based on our Consolidated Statements of Assets and Liabilities as of March 31, 2026, the following table shows the approximate annualized increase (decrease) in components of net assets resulting from operations of hypothetical base rate changes in interest rates, assuming no changes to our investments or borrowing structure.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(In thousands except per share data)</w:t>
      </w:r>
    </w:p>
    <w:tbl>
      <w:tblPr>
        <w:tblW w:w="7080" w:type="dxa"/>
        <w:jc w:val="left"/>
        <w:tblInd w:w="0" w:type="dxa"/>
        <w:tblLayout w:type="fixed"/>
        <w:tblCellMar>
          <w:top w:w="28" w:type="dxa"/>
          <w:left w:w="28" w:type="dxa"/>
          <w:bottom w:w="28" w:type="dxa"/>
          <w:right w:w="28" w:type="dxa"/>
        </w:tblCellMar>
      </w:tblPr>
      <w:tblGrid>
        <w:gridCol w:w="1516"/>
        <w:gridCol w:w="255"/>
        <w:gridCol w:w="190"/>
        <w:gridCol w:w="784"/>
        <w:gridCol w:w="166"/>
        <w:gridCol w:w="146"/>
        <w:gridCol w:w="277"/>
        <w:gridCol w:w="206"/>
        <w:gridCol w:w="807"/>
        <w:gridCol w:w="166"/>
        <w:gridCol w:w="146"/>
        <w:gridCol w:w="199"/>
        <w:gridCol w:w="148"/>
        <w:gridCol w:w="582"/>
        <w:gridCol w:w="166"/>
        <w:gridCol w:w="146"/>
        <w:gridCol w:w="146"/>
        <w:gridCol w:w="196"/>
        <w:gridCol w:w="146"/>
        <w:gridCol w:w="481"/>
        <w:gridCol w:w="211"/>
      </w:tblGrid>
      <w:tr>
        <w:trPr/>
        <w:tc>
          <w:tcPr>
            <w:tcW w:w="151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Basis Point Change</w:t>
            </w:r>
          </w:p>
        </w:tc>
        <w:tc>
          <w:tcPr>
            <w:tcW w:w="1229"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Interest Income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0"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Interest Expense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9"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 Income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NII/Share</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1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(200)</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(5,998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(0.07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5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(150)</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(0.06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51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(100)</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(0.04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5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(75)</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(1,057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(0.03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51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(50)</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(0.02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5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(25)</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(0.01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51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25</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0.01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50</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1,982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1,082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0.03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1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75</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0.05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100</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4,786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2,986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0.08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1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150</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7,881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0.14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200</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11,379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7,779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0.22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0" w:after="240"/>
        <w:jc w:val="both"/>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Although we believe that the foregoing analysis is indicative of our sensitivity to interest rate changes, it does not adjust for potential changes in the credit market, credit quality, size and composition of the assets in our portfolio. It also does not adjust for other business developments, including our debt borrowings and use of our Credit Facility that could affect the net increase in net assets resulting from operations, or net income. It also does not assume any repayments from our portfolio companies. Accordingly, no assurances can be given that actual results would not differ materially from the statement above.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In addition, any investments we make that are denominated in a foreign currency will be subject to risks associated with changes in currency exchange rates. These risks include the possibility of significant fluctuations in the foreign currency markets, the imposition or modification of foreign exchange controls and potential illiquidity in the secondary market. These risks will vary depending upon the currency or currencies involved, and may be exacerbated by current economic conditions and any associated impact on foreign financial markets. See "Risk Factors – Risks Related to Our Business and Structure" in Part I, Item 1A of our annual report on Form 10-K, filed with the SEC on March 12, 2026.</w:t>
      </w:r>
    </w:p>
    <w:p>
      <w:pPr>
        <w:pStyle w:val="TextBody"/>
        <w:bidi w:val="0"/>
        <w:spacing w:before="120" w:after="240"/>
        <w:jc w:val="both"/>
        <w:rPr>
          <w:rFonts w:ascii="Times New Roman" w:hAnsi="Times New Roman"/>
          <w:b/>
          <w:i/>
          <w:color w:val="000000"/>
          <w:sz w:val="20"/>
        </w:rPr>
      </w:pPr>
      <w:r>
        <w:rPr>
          <w:rFonts w:ascii="Times New Roman" w:hAnsi="Times New Roman"/>
          <w:b/>
          <w:i/>
          <w:color w:val="000000"/>
          <w:sz w:val="20"/>
        </w:rPr>
        <w:t>Hedging</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From time-to time, we may hedge against interest rate and currency exchange rate fluctuations by using standard hedging instruments such as futures, options, swap contracts and forward contracts subject to the requirements of the 1940 Act. While hedging activities may insulate us against adverse changes in interest rates, they may also limit our ability to participate in benefits of lower interest rates with respect to our portfolio of investments with fixed interest rates. As of March 31, 2026, we did not have any hedging instruments.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120"/>
        <w:jc w:val="left"/>
        <w:rPr/>
      </w:pPr>
      <w:r>
        <w:rPr/>
        <w:t> </w:t>
      </w:r>
    </w:p>
    <w:p>
      <w:pPr>
        <w:pStyle w:val="Heading1"/>
        <w:bidi w:val="0"/>
        <w:spacing w:before="360" w:after="240"/>
        <w:jc w:val="left"/>
        <w:rPr>
          <w:rFonts w:ascii="Times New Roman" w:hAnsi="Times New Roman"/>
          <w:color w:val="000000"/>
          <w:sz w:val="20"/>
        </w:rPr>
      </w:pPr>
      <w:bookmarkStart w:id="14" w:name="item4controlsandprocedures_691536"/>
      <w:bookmarkEnd w:id="14"/>
      <w:r>
        <w:rPr>
          <w:rFonts w:ascii="Times New Roman" w:hAnsi="Times New Roman"/>
          <w:color w:val="000000"/>
          <w:sz w:val="20"/>
        </w:rPr>
        <w:t>Item 4. Controls and Procedures</w:t>
      </w:r>
    </w:p>
    <w:p>
      <w:pPr>
        <w:pStyle w:val="Heading2"/>
        <w:bidi w:val="0"/>
        <w:spacing w:before="120" w:after="240"/>
        <w:jc w:val="left"/>
        <w:rPr>
          <w:rFonts w:ascii="Times New Roman" w:hAnsi="Times New Roman"/>
          <w:i/>
          <w:color w:val="000000"/>
          <w:sz w:val="20"/>
        </w:rPr>
      </w:pPr>
      <w:r>
        <w:rPr>
          <w:rFonts w:ascii="Times New Roman" w:hAnsi="Times New Roman"/>
          <w:i/>
          <w:color w:val="000000"/>
          <w:sz w:val="20"/>
        </w:rPr>
        <w:t>Evaluation of Disclosure Controls and Procedures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As of the end of the period covered by this report, we carried out an evaluation, under the supervision and with the participation of our management, including our Chief Executive Officer and Chief Financial Officer, of the effectiveness of the design and operation of our disclosure controls and procedures (as defined in Rule 13a</w:t>
        <w:noBreakHyphen/>
        <w:t>15(e) and Rule 15d-15(e) under the Exchange Act). Based on that evaluation, our Chief Executive Officer and Chief Financial Officer have concluded that our current disclosure controls and procedures are effective in timely alerting them to material information relating to us that is required to be disclosed by us in the reports we file or submit under the Exchange Act.</w:t>
      </w:r>
    </w:p>
    <w:p>
      <w:pPr>
        <w:pStyle w:val="Heading2"/>
        <w:bidi w:val="0"/>
        <w:spacing w:before="120" w:after="240"/>
        <w:jc w:val="left"/>
        <w:rPr>
          <w:rFonts w:ascii="Times New Roman" w:hAnsi="Times New Roman"/>
          <w:i/>
          <w:color w:val="000000"/>
          <w:sz w:val="20"/>
        </w:rPr>
      </w:pPr>
      <w:r>
        <w:rPr>
          <w:rFonts w:ascii="Times New Roman" w:hAnsi="Times New Roman"/>
          <w:i/>
          <w:color w:val="000000"/>
          <w:sz w:val="20"/>
        </w:rPr>
        <w:t>Changes in Internal Control over Financial Reporting</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There have been no changes in our internal control over financial reporting (as defined in Rules 13a-15(f) and 15d-15(f) under the Exchange Act) that occurred during our most recently completed fiscal quarter that have materially affected, or are reasonably likely to materially affect, our internal control over financial reporting.</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120"/>
        <w:jc w:val="left"/>
        <w:rPr/>
      </w:pPr>
      <w:r>
        <w:rPr/>
        <w:t> </w:t>
      </w:r>
    </w:p>
    <w:p>
      <w:pPr>
        <w:pStyle w:val="TextBody"/>
        <w:bidi w:val="0"/>
        <w:spacing w:before="0" w:after="240"/>
        <w:jc w:val="center"/>
        <w:rPr>
          <w:rFonts w:ascii="Times New Roman" w:hAnsi="Times New Roman"/>
          <w:b/>
          <w:color w:val="000000"/>
          <w:sz w:val="20"/>
        </w:rPr>
      </w:pPr>
      <w:bookmarkStart w:id="15" w:name="partiiotherinformation_686450"/>
      <w:bookmarkEnd w:id="15"/>
      <w:r>
        <w:rPr>
          <w:rFonts w:ascii="Times New Roman" w:hAnsi="Times New Roman"/>
          <w:b/>
          <w:color w:val="000000"/>
          <w:sz w:val="20"/>
        </w:rPr>
        <w:t>PART II. OTHER INFORMATION</w:t>
      </w:r>
    </w:p>
    <w:p>
      <w:pPr>
        <w:pStyle w:val="Heading1"/>
        <w:bidi w:val="0"/>
        <w:spacing w:before="120" w:after="240"/>
        <w:jc w:val="left"/>
        <w:rPr>
          <w:rFonts w:ascii="Times New Roman" w:hAnsi="Times New Roman"/>
          <w:color w:val="000000"/>
          <w:sz w:val="20"/>
        </w:rPr>
      </w:pPr>
      <w:bookmarkStart w:id="16" w:name="item1legalproceedings_844818"/>
      <w:bookmarkEnd w:id="16"/>
      <w:r>
        <w:rPr>
          <w:rFonts w:ascii="Times New Roman" w:hAnsi="Times New Roman"/>
          <w:color w:val="000000"/>
          <w:sz w:val="20"/>
        </w:rPr>
        <w:t>Item 1. Legal Proceedings</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We and RGC are not currently subject to any material legal proceedings, nor, to our knowledge, is any material legal proceeding threatened against us. From time to time, we or RGC may be a party to certain legal proceedings in the ordinary course of business, including proceedings relating to the enforcement of our rights under contracts with our portfolio companies. Our business is also subject to extensive regulation, which may result in regulatory proceedings against us. While the outcome of any such legal proceedings cannot be predicted with certainty, we do not expect that any such proceedings would have a material effect upon our financial condition or results of operations.</w:t>
      </w:r>
    </w:p>
    <w:p>
      <w:pPr>
        <w:pStyle w:val="Heading1"/>
        <w:bidi w:val="0"/>
        <w:spacing w:before="160" w:after="240"/>
        <w:jc w:val="left"/>
        <w:rPr>
          <w:rFonts w:ascii="Times New Roman" w:hAnsi="Times New Roman"/>
          <w:color w:val="000000"/>
          <w:sz w:val="20"/>
        </w:rPr>
      </w:pPr>
      <w:bookmarkStart w:id="17" w:name="item1ariskfactors_996118"/>
      <w:bookmarkEnd w:id="17"/>
      <w:r>
        <w:rPr>
          <w:rFonts w:ascii="Times New Roman" w:hAnsi="Times New Roman"/>
          <w:color w:val="000000"/>
          <w:sz w:val="20"/>
        </w:rPr>
        <w:t>Item 1A. Risk Factors.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You should carefully consider the risks contained in this quarterly report on Form 10-Q, including our interim consolidated financial statements and the related notes thereto, before making a decision to purchase our securities.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In addition to the other information set forth in this report, you should carefully consider the risk factors discussed in "Risk Factors" in Part I, Item 1A of our annual report on Form 10-K, filed with the SEC on March 12, 2026.</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risks and uncertainties described in this report and our annual report on Form 10-K are not the only ones we may face. Additional risks and uncertainties not currently known to us or that we currently deem to be immaterial also may materially adversely affect our business, financial condition and/or operating results. If any of the risks listed in this report and our annual report on Form 10-K actually occur, our business, financial condition or results of operations could be materially adversely affected. If that happens, you may lose all or part of your investment.</w:t>
      </w:r>
    </w:p>
    <w:p>
      <w:pPr>
        <w:pStyle w:val="TextBody"/>
        <w:bidi w:val="0"/>
        <w:spacing w:before="120" w:after="240"/>
        <w:jc w:val="both"/>
        <w:rPr>
          <w:rFonts w:ascii="Times New Roman" w:hAnsi="Times New Roman"/>
          <w:b/>
          <w:i/>
          <w:color w:val="000000"/>
          <w:sz w:val="20"/>
        </w:rPr>
      </w:pPr>
      <w:r>
        <w:rPr>
          <w:rFonts w:ascii="Times New Roman" w:hAnsi="Times New Roman"/>
          <w:b/>
          <w:i/>
          <w:color w:val="000000"/>
          <w:sz w:val="20"/>
        </w:rPr>
        <w:t>Risks Related to Our Business and Structure</w:t>
      </w:r>
    </w:p>
    <w:p>
      <w:pPr>
        <w:pStyle w:val="TextBody"/>
        <w:bidi w:val="0"/>
        <w:spacing w:before="0" w:after="240"/>
        <w:jc w:val="both"/>
        <w:rPr>
          <w:rFonts w:ascii="Times New Roman" w:hAnsi="Times New Roman"/>
          <w:i/>
          <w:color w:val="000000"/>
          <w:sz w:val="20"/>
        </w:rPr>
      </w:pPr>
      <w:r>
        <w:rPr>
          <w:rFonts w:ascii="Times New Roman" w:hAnsi="Times New Roman"/>
          <w:i/>
          <w:color w:val="000000"/>
          <w:sz w:val="20"/>
        </w:rPr>
        <w:t>We are dependent upon RGC's key personnel for our future success.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We depend on the diligence, skill and investment acumen of R. David Spreng, the founder and Chief Executive Officer of RGC, along with the senior officers and other investment professionals at RGC, including Thomas Raterman, Chief Operating Officer and Chief Financial Officer. Mr. Spreng, Mr. Raterman, and the other members of RGC’s senior management evaluate, negotiate, structure, close and monitor our investments. Our future success depends on the continued service of these members of RGC’s senior management. We cannot assure you that unforeseen business, medical, personal or other circumstances would not lead any such individual to terminate his or her relationship with us. The loss of Mr. Spreng, Mr. Raterman and/or any of the other members of RGC’s senior management could have a material adverse effect on our ability to achieve our investment objective as well as on our financial condition and results of operations. In addition, we can offer no assurance that RGC will continue indefinitely as RGC.</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members of RGC’s senior management are and may in the future become affiliated with entities engaged in business activities similar to those intended to be conducted by us and may have conflicts of interest in allocating their time. RGC may also manage and sub-advise private investment funds and accounts, and may manage other such funds and accounts in the future, which have investment mandates that are similar, in whole or in part, with ours. Accordingly, RGC’s senior management may have obligations to investors in those entities, the fulfillment of which might not be in the best interests of us or our stockholders. For example, RGC’s senior management may face conflicts of interest in the allocation of investment opportunities to us and such other existing and future funds and accounts.</w:t>
      </w:r>
    </w:p>
    <w:p>
      <w:pPr>
        <w:pStyle w:val="Heading1"/>
        <w:bidi w:val="0"/>
        <w:spacing w:before="120" w:after="240"/>
        <w:jc w:val="left"/>
        <w:rPr>
          <w:rFonts w:ascii="Times New Roman" w:hAnsi="Times New Roman"/>
          <w:color w:val="000000"/>
          <w:sz w:val="20"/>
        </w:rPr>
      </w:pPr>
      <w:bookmarkStart w:id="18" w:name="item2unregisteredsalesofequitysecurities"/>
      <w:bookmarkEnd w:id="18"/>
      <w:r>
        <w:rPr>
          <w:rFonts w:ascii="Times New Roman" w:hAnsi="Times New Roman"/>
          <w:color w:val="000000"/>
          <w:sz w:val="20"/>
        </w:rPr>
        <w:t>Item 2. Unregistered Sales of Equity Securities and Use of Proceeds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Other than pursuant to our Dividend Reinvestment Plan, and except as previously reported by us on our current reports on Form 8</w:t>
        <w:noBreakHyphen/>
        <w:t>K, we did not sell any securities during the period covered by this quarterly report on Form 10</w:t>
        <w:noBreakHyphen/>
        <w:t>Q that were not registered under the Securities Act.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120"/>
        <w:jc w:val="left"/>
        <w:rPr/>
      </w:pPr>
      <w:r>
        <w:rPr/>
        <w:t> </w:t>
      </w:r>
    </w:p>
    <w:p>
      <w:pPr>
        <w:pStyle w:val="TextBody"/>
        <w:bidi w:val="0"/>
        <w:spacing w:before="240" w:after="240"/>
        <w:jc w:val="both"/>
        <w:rPr>
          <w:rFonts w:ascii="Times New Roman" w:hAnsi="Times New Roman"/>
          <w:color w:val="000000"/>
          <w:sz w:val="20"/>
        </w:rPr>
      </w:pPr>
      <w:r>
        <w:rPr>
          <w:rFonts w:ascii="Times New Roman" w:hAnsi="Times New Roman"/>
          <w:color w:val="000000"/>
          <w:sz w:val="20"/>
        </w:rPr>
        <w:t xml:space="preserve">As part of our Fourth Repurchase Program, we have maintained repurchase plans in accordance with Rule 10b5-1 (the "Rule 10b5-1 Plan") promulgated under the Securities Exchange Act of 1934, as amended (the "Exchange Act"). Under the Fourth Repurchase Program, we repurchased 1,213,391 shares for an aggregate purchase price of $12.5 million. Repurchases under the Fourth Repurchase Program could be made in open-market or privately negotiated transactions, and we were not obligated to repurchase any shares under the Fourth Repurchase Program. As of March 31, 2026, the approximate dollar value of shares that could yet be repurchased under the Fourth Repurchase Program was $12.5 million. The Fourth Repurchase Program expired in accordance with its terms on May 7, 2026. On May 5, 2026, our Board of Directors approved a new share repurchase program. Refer to "Note 13 – Subsequent Events" of our consolidated financial statements in Part I, Item 1 of this Form 10-Q for more information. </w:t>
      </w:r>
    </w:p>
    <w:p>
      <w:pPr>
        <w:pStyle w:val="Heading1"/>
        <w:bidi w:val="0"/>
        <w:spacing w:before="120" w:after="240"/>
        <w:jc w:val="left"/>
        <w:rPr>
          <w:rFonts w:ascii="Times New Roman" w:hAnsi="Times New Roman"/>
          <w:color w:val="000000"/>
          <w:sz w:val="20"/>
        </w:rPr>
      </w:pPr>
      <w:bookmarkStart w:id="19" w:name="item3defaultsuponseniorsecurities_59067"/>
      <w:bookmarkEnd w:id="19"/>
      <w:r>
        <w:rPr>
          <w:rFonts w:ascii="Times New Roman" w:hAnsi="Times New Roman"/>
          <w:color w:val="000000"/>
          <w:sz w:val="20"/>
        </w:rPr>
        <w:t>Item 3. Defaults Upon Senior Securities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None.</w:t>
      </w:r>
    </w:p>
    <w:p>
      <w:pPr>
        <w:pStyle w:val="Heading1"/>
        <w:bidi w:val="0"/>
        <w:spacing w:before="120" w:after="240"/>
        <w:jc w:val="left"/>
        <w:rPr>
          <w:rFonts w:ascii="Times New Roman" w:hAnsi="Times New Roman"/>
          <w:color w:val="000000"/>
          <w:sz w:val="20"/>
        </w:rPr>
      </w:pPr>
      <w:bookmarkStart w:id="20" w:name="item4minesafetydisclosures_325402"/>
      <w:bookmarkEnd w:id="20"/>
      <w:r>
        <w:rPr>
          <w:rFonts w:ascii="Times New Roman" w:hAnsi="Times New Roman"/>
          <w:color w:val="000000"/>
          <w:sz w:val="20"/>
        </w:rPr>
        <w:t>Item 4. Mine Safety Disclosures</w:t>
      </w:r>
    </w:p>
    <w:p>
      <w:pPr>
        <w:pStyle w:val="TextBody"/>
        <w:bidi w:val="0"/>
        <w:jc w:val="both"/>
        <w:rPr>
          <w:rFonts w:ascii="Times New Roman" w:hAnsi="Times New Roman"/>
          <w:color w:val="000000"/>
          <w:sz w:val="20"/>
        </w:rPr>
      </w:pPr>
      <w:r>
        <w:rPr>
          <w:rFonts w:ascii="Times New Roman" w:hAnsi="Times New Roman"/>
          <w:color w:val="000000"/>
          <w:sz w:val="20"/>
        </w:rPr>
        <w:t>Not applicable.</w:t>
      </w:r>
    </w:p>
    <w:p>
      <w:pPr>
        <w:pStyle w:val="Heading1"/>
        <w:bidi w:val="0"/>
        <w:spacing w:before="360" w:after="240"/>
        <w:jc w:val="left"/>
        <w:rPr>
          <w:rFonts w:ascii="Times New Roman" w:hAnsi="Times New Roman"/>
          <w:color w:val="000000"/>
          <w:sz w:val="20"/>
        </w:rPr>
      </w:pPr>
      <w:bookmarkStart w:id="21" w:name="item5otherinformation_981141"/>
      <w:bookmarkEnd w:id="21"/>
      <w:r>
        <w:rPr>
          <w:rFonts w:ascii="Times New Roman" w:hAnsi="Times New Roman"/>
          <w:color w:val="000000"/>
          <w:sz w:val="20"/>
        </w:rPr>
        <w:t>Item 5. Other Information</w:t>
      </w:r>
    </w:p>
    <w:p>
      <w:pPr>
        <w:pStyle w:val="Heading1"/>
        <w:bidi w:val="0"/>
        <w:spacing w:before="120" w:after="240"/>
        <w:jc w:val="left"/>
        <w:rPr>
          <w:rFonts w:ascii="Times New Roman" w:hAnsi="Times New Roman"/>
          <w:i/>
          <w:color w:val="000000"/>
          <w:sz w:val="20"/>
        </w:rPr>
      </w:pPr>
      <w:r>
        <w:rPr>
          <w:rFonts w:ascii="Times New Roman" w:hAnsi="Times New Roman"/>
          <w:i/>
          <w:color w:val="000000"/>
          <w:sz w:val="20"/>
        </w:rPr>
        <w:t>(a) Retirement and Appointment of Certain Officers</w:t>
      </w:r>
    </w:p>
    <w:p>
      <w:pPr>
        <w:pStyle w:val="Heading1"/>
        <w:bidi w:val="0"/>
        <w:spacing w:before="0" w:after="240"/>
        <w:jc w:val="both"/>
        <w:rPr>
          <w:rFonts w:ascii="Times New Roman" w:hAnsi="Times New Roman"/>
          <w:b w:val="false"/>
          <w:color w:val="000000"/>
          <w:sz w:val="20"/>
        </w:rPr>
      </w:pPr>
      <w:r>
        <w:rPr>
          <w:rFonts w:ascii="Times New Roman" w:hAnsi="Times New Roman"/>
          <w:b w:val="false"/>
          <w:color w:val="000000"/>
          <w:sz w:val="20"/>
        </w:rPr>
        <w:t>On May 5, 2026, Thomas B. Raterman notified the Board of Directors that he would retire from his positions as the Company’s Chief Operating Officer, Chief Financial Officer, Treasurer and Corporate Secretary effective as of the close of business on June 30, 2026. Mr. Raterman’s retirement is not the result of any disagreement with the Company. To assist in an orderly transition, Mr. Raterman will continue to serve in his current role during the transition period. In addition, effective as of June 30, 2026, Mr. Raterman will become Vice Chairman of RGC. In that role, he will focus on strategic initiatives that include portfolio optimization, platform-level mergers and acquisitions, capital markets transactions, and capital formation. Mr. Raterman will also continue to serve as a member of the investment committee of RGC.</w:t>
      </w:r>
    </w:p>
    <w:p>
      <w:pPr>
        <w:pStyle w:val="Heading1"/>
        <w:bidi w:val="0"/>
        <w:spacing w:before="0" w:after="240"/>
        <w:jc w:val="both"/>
        <w:rPr>
          <w:rFonts w:ascii="Times New Roman" w:hAnsi="Times New Roman"/>
          <w:sz w:val="20"/>
        </w:rPr>
      </w:pPr>
      <w:r>
        <w:rPr>
          <w:rFonts w:ascii="Times New Roman" w:hAnsi="Times New Roman"/>
          <w:b w:val="false"/>
          <w:color w:val="000000"/>
          <w:sz w:val="20"/>
        </w:rPr>
        <w:t>On May 5, 2026, the Board of Directors elected Carmela Thomson, age 38, to serve as the Company’s Chief Financial Officer, Treasurer and Corporate Secretary effective as of the close of business on June 30, 2026.</w:t>
      </w:r>
      <w:r>
        <w:rPr>
          <w:rFonts w:ascii="Times New Roman" w:hAnsi="Times New Roman"/>
          <w:color w:val="000000"/>
          <w:sz w:val="20"/>
        </w:rPr>
        <w:t xml:space="preserve"> </w:t>
      </w:r>
    </w:p>
    <w:p>
      <w:pPr>
        <w:pStyle w:val="Heading1"/>
        <w:bidi w:val="0"/>
        <w:spacing w:before="0" w:after="240"/>
        <w:jc w:val="both"/>
        <w:rPr>
          <w:rFonts w:ascii="Times New Roman" w:hAnsi="Times New Roman"/>
          <w:b w:val="false"/>
          <w:color w:val="000000"/>
          <w:sz w:val="20"/>
        </w:rPr>
      </w:pPr>
      <w:r>
        <w:rPr>
          <w:rFonts w:ascii="Times New Roman" w:hAnsi="Times New Roman"/>
          <w:b w:val="false"/>
          <w:color w:val="000000"/>
          <w:sz w:val="20"/>
        </w:rPr>
        <w:t>Ms. Thomson has served as Senior Vice President, Finance &amp; Accounting of RGC, the Company’s investment adviser since January 2024. Ms. Thomson joined RGC in June 2021 and previously served as its Vice President, Finance &amp; Accounting from June 2021 to December 2023. Prior to joining RGC, she served as an Audit Senior Manager at KPMG LLP. Ms. Thomson has more than 10 years of experience in finance, accounting, reporting and risk management for financial institutions. She is a certified public accountant and earned a Bachelor of Science in Accounting and Economics from Loyola University Chicago.</w:t>
      </w:r>
    </w:p>
    <w:p>
      <w:pPr>
        <w:pStyle w:val="Heading1"/>
        <w:bidi w:val="0"/>
        <w:spacing w:before="0" w:after="240"/>
        <w:jc w:val="both"/>
        <w:rPr>
          <w:rFonts w:ascii="Times New Roman" w:hAnsi="Times New Roman"/>
          <w:b w:val="false"/>
          <w:color w:val="000000"/>
          <w:sz w:val="20"/>
        </w:rPr>
      </w:pPr>
      <w:r>
        <w:rPr>
          <w:rFonts w:ascii="Times New Roman" w:hAnsi="Times New Roman"/>
          <w:b w:val="false"/>
          <w:color w:val="000000"/>
          <w:sz w:val="20"/>
        </w:rPr>
        <w:t>Ms. Thomson does not have any family relationships with any current director, executive officer, or person nominated to become a director or executive officer, of the Company, and there are no transactions or proposed transactions, to which the Company is a party, or intended to be a party, in which Ms. Thomson has, or will have, a material interest subject to Item 404(a) of Regulation S-K.</w:t>
      </w:r>
    </w:p>
    <w:p>
      <w:pPr>
        <w:pStyle w:val="Heading1"/>
        <w:bidi w:val="0"/>
        <w:spacing w:before="120" w:after="240"/>
        <w:jc w:val="left"/>
        <w:rPr>
          <w:rFonts w:ascii="Times New Roman" w:hAnsi="Times New Roman"/>
          <w:i/>
          <w:color w:val="000000"/>
          <w:sz w:val="20"/>
        </w:rPr>
      </w:pPr>
      <w:r>
        <w:rPr>
          <w:rFonts w:ascii="Times New Roman" w:hAnsi="Times New Roman"/>
          <w:i/>
          <w:color w:val="000000"/>
          <w:sz w:val="20"/>
        </w:rPr>
        <w:t>(b) None.</w:t>
      </w:r>
    </w:p>
    <w:p>
      <w:pPr>
        <w:pStyle w:val="Heading1"/>
        <w:bidi w:val="0"/>
        <w:spacing w:before="120" w:after="240"/>
        <w:jc w:val="left"/>
        <w:rPr>
          <w:rFonts w:ascii="Times New Roman" w:hAnsi="Times New Roman"/>
          <w:i/>
          <w:color w:val="000000"/>
          <w:sz w:val="20"/>
        </w:rPr>
      </w:pPr>
      <w:r>
        <w:rPr>
          <w:rFonts w:ascii="Times New Roman" w:hAnsi="Times New Roman"/>
          <w:i/>
          <w:color w:val="000000"/>
          <w:sz w:val="20"/>
        </w:rPr>
        <w:t>(c) Rule 10b5-1 Disclosure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For the period covered by this Quarterly Report on Form 10-Q, no director or officer of the Company has entered into any (i) contract, instruction or written plan for the purchase or sale of securities of the registrant intended to satisfy the affirmative defense conditions of Rule 10b5-1(c) under the Exchange Act or (ii) any non-Rule 10b5-1 trading arrangement.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120"/>
        <w:jc w:val="left"/>
        <w:rPr/>
      </w:pPr>
      <w:r>
        <w:rPr/>
        <w:t> </w:t>
      </w:r>
    </w:p>
    <w:p>
      <w:pPr>
        <w:pStyle w:val="Heading1"/>
        <w:bidi w:val="0"/>
        <w:spacing w:before="360" w:after="240"/>
        <w:jc w:val="left"/>
        <w:rPr>
          <w:rFonts w:ascii="Times New Roman" w:hAnsi="Times New Roman"/>
          <w:color w:val="000000"/>
          <w:sz w:val="20"/>
        </w:rPr>
      </w:pPr>
      <w:bookmarkStart w:id="22" w:name="item6exhibits_524452"/>
      <w:bookmarkEnd w:id="22"/>
      <w:r>
        <w:rPr>
          <w:rFonts w:ascii="Times New Roman" w:hAnsi="Times New Roman"/>
          <w:color w:val="000000"/>
          <w:sz w:val="20"/>
        </w:rPr>
        <w:t>Item 6. Exhibits</w:t>
      </w:r>
    </w:p>
    <w:p>
      <w:pPr>
        <w:pStyle w:val="TextBody"/>
        <w:bidi w:val="0"/>
        <w:spacing w:before="0" w:after="240"/>
        <w:jc w:val="both"/>
        <w:rPr>
          <w:rFonts w:ascii="Times New Roman" w:hAnsi="Times New Roman"/>
          <w:color w:val="000000"/>
          <w:sz w:val="19"/>
        </w:rPr>
      </w:pPr>
      <w:r>
        <w:rPr>
          <w:rFonts w:ascii="Times New Roman" w:hAnsi="Times New Roman"/>
          <w:color w:val="000000"/>
          <w:sz w:val="19"/>
        </w:rPr>
        <w:t>The following exhibits are filed as part of this report or hereby incorporated by reference to exhibits previously filed with the SEC:</w:t>
      </w:r>
    </w:p>
    <w:tbl>
      <w:tblPr>
        <w:tblW w:w="10205" w:type="dxa"/>
        <w:jc w:val="left"/>
        <w:tblInd w:w="0" w:type="dxa"/>
        <w:tblLayout w:type="fixed"/>
        <w:tblCellMar>
          <w:top w:w="28" w:type="dxa"/>
          <w:left w:w="28" w:type="dxa"/>
          <w:bottom w:w="28" w:type="dxa"/>
          <w:right w:w="28" w:type="dxa"/>
        </w:tblCellMar>
      </w:tblPr>
      <w:tblGrid>
        <w:gridCol w:w="676"/>
        <w:gridCol w:w="9529"/>
      </w:tblGrid>
      <w:tr>
        <w:trPr/>
        <w:tc>
          <w:tcPr>
            <w:tcW w:w="676" w:type="dxa"/>
            <w:tcBorders/>
            <w:vAlign w:val="center"/>
          </w:tcPr>
          <w:p>
            <w:pPr>
              <w:pStyle w:val="TableContents"/>
              <w:bidi w:val="0"/>
              <w:spacing w:before="0" w:after="283"/>
              <w:jc w:val="left"/>
              <w:rPr>
                <w:sz w:val="4"/>
                <w:szCs w:val="4"/>
              </w:rPr>
            </w:pPr>
            <w:r>
              <w:rPr>
                <w:sz w:val="4"/>
                <w:szCs w:val="4"/>
              </w:rPr>
            </w:r>
          </w:p>
        </w:tc>
        <w:tc>
          <w:tcPr>
            <w:tcW w:w="9529" w:type="dxa"/>
            <w:tcBorders/>
            <w:vAlign w:val="center"/>
          </w:tcPr>
          <w:p>
            <w:pPr>
              <w:pStyle w:val="TableContents"/>
              <w:bidi w:val="0"/>
              <w:spacing w:before="0" w:after="283"/>
              <w:jc w:val="left"/>
              <w:rPr>
                <w:sz w:val="4"/>
                <w:szCs w:val="4"/>
              </w:rPr>
            </w:pPr>
            <w:r>
              <w:rPr>
                <w:sz w:val="4"/>
                <w:szCs w:val="4"/>
              </w:rPr>
            </w:r>
          </w:p>
        </w:tc>
      </w:tr>
      <w:tr>
        <w:trPr/>
        <w:tc>
          <w:tcPr>
            <w:tcW w:w="6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3.1</w:t>
            </w:r>
          </w:p>
        </w:tc>
        <w:tc>
          <w:tcPr>
            <w:tcW w:w="9529" w:type="dxa"/>
            <w:tcBorders/>
            <w:tcMar>
              <w:top w:w="0" w:type="dxa"/>
              <w:left w:w="0" w:type="dxa"/>
              <w:bottom w:w="0" w:type="dxa"/>
              <w:right w:w="0" w:type="dxa"/>
            </w:tcMar>
            <w:vAlign w:val="center"/>
          </w:tcPr>
          <w:p>
            <w:pPr>
              <w:pStyle w:val="TableContents"/>
              <w:bidi w:val="0"/>
              <w:spacing w:before="0" w:after="283"/>
              <w:jc w:val="both"/>
              <w:rPr/>
            </w:pPr>
            <w:hyperlink r:id="rId2">
              <w:r>
                <w:rPr>
                  <w:rStyle w:val="InternetLink"/>
                  <w:rFonts w:ascii="Times New Roman" w:hAnsi="Times New Roman"/>
                  <w:color w:val="0000FF"/>
                  <w:sz w:val="16"/>
                  <w:u w:val="single"/>
                </w:rPr>
                <w:t xml:space="preserve">Articles of Amendment and Restatement </w:t>
              </w:r>
            </w:hyperlink>
            <w:hyperlink r:id="rId3">
              <w:r>
                <w:rPr>
                  <w:rStyle w:val="InternetLink"/>
                  <w:rFonts w:ascii="Times New Roman" w:hAnsi="Times New Roman"/>
                  <w:color w:val="0000FF"/>
                  <w:sz w:val="11"/>
                  <w:u w:val="single"/>
                </w:rPr>
                <w:t>(1)</w:t>
              </w:r>
            </w:hyperlink>
          </w:p>
        </w:tc>
      </w:tr>
      <w:tr>
        <w:trPr/>
        <w:tc>
          <w:tcPr>
            <w:tcW w:w="6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3.2</w:t>
            </w:r>
          </w:p>
        </w:tc>
        <w:tc>
          <w:tcPr>
            <w:tcW w:w="9529" w:type="dxa"/>
            <w:tcBorders/>
            <w:tcMar>
              <w:top w:w="0" w:type="dxa"/>
              <w:left w:w="0" w:type="dxa"/>
              <w:bottom w:w="0" w:type="dxa"/>
              <w:right w:w="0" w:type="dxa"/>
            </w:tcMar>
            <w:vAlign w:val="center"/>
          </w:tcPr>
          <w:p>
            <w:pPr>
              <w:pStyle w:val="TableContents"/>
              <w:bidi w:val="0"/>
              <w:spacing w:before="0" w:after="283"/>
              <w:jc w:val="both"/>
              <w:rPr/>
            </w:pPr>
            <w:hyperlink r:id="rId4">
              <w:r>
                <w:rPr>
                  <w:rStyle w:val="InternetLink"/>
                  <w:rFonts w:ascii="Times New Roman" w:hAnsi="Times New Roman"/>
                  <w:color w:val="0000FF"/>
                  <w:sz w:val="16"/>
                  <w:u w:val="single"/>
                </w:rPr>
                <w:t xml:space="preserve">Articles of Amendment </w:t>
              </w:r>
            </w:hyperlink>
            <w:hyperlink r:id="rId5">
              <w:r>
                <w:rPr>
                  <w:rStyle w:val="InternetLink"/>
                  <w:rFonts w:ascii="Times New Roman" w:hAnsi="Times New Roman"/>
                  <w:color w:val="0000FF"/>
                  <w:sz w:val="11"/>
                  <w:u w:val="single"/>
                </w:rPr>
                <w:t>(2)</w:t>
              </w:r>
            </w:hyperlink>
          </w:p>
        </w:tc>
      </w:tr>
      <w:tr>
        <w:trPr/>
        <w:tc>
          <w:tcPr>
            <w:tcW w:w="6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16"/>
              </w:rPr>
            </w:pPr>
            <w:r>
              <w:rPr>
                <w:rFonts w:ascii="Times New Roman" w:hAnsi="Times New Roman"/>
                <w:color w:val="000000"/>
                <w:sz w:val="16"/>
              </w:rPr>
              <w:t>3.3</w:t>
            </w:r>
          </w:p>
        </w:tc>
        <w:tc>
          <w:tcPr>
            <w:tcW w:w="9529" w:type="dxa"/>
            <w:tcBorders/>
            <w:tcMar>
              <w:top w:w="0" w:type="dxa"/>
              <w:left w:w="0" w:type="dxa"/>
              <w:bottom w:w="0" w:type="dxa"/>
              <w:right w:w="0" w:type="dxa"/>
            </w:tcMar>
            <w:vAlign w:val="center"/>
          </w:tcPr>
          <w:p>
            <w:pPr>
              <w:pStyle w:val="TableContents"/>
              <w:bidi w:val="0"/>
              <w:spacing w:before="0" w:after="283"/>
              <w:jc w:val="both"/>
              <w:rPr/>
            </w:pPr>
            <w:hyperlink r:id="rId6">
              <w:r>
                <w:rPr>
                  <w:rStyle w:val="InternetLink"/>
                  <w:rFonts w:ascii="Times New Roman" w:hAnsi="Times New Roman"/>
                  <w:color w:val="0000FF"/>
                  <w:sz w:val="16"/>
                  <w:u w:val="single"/>
                </w:rPr>
                <w:t xml:space="preserve">Second Amended and Restated Bylaws </w:t>
              </w:r>
            </w:hyperlink>
            <w:hyperlink r:id="rId7">
              <w:r>
                <w:rPr>
                  <w:rStyle w:val="InternetLink"/>
                  <w:rFonts w:ascii="Times New Roman" w:hAnsi="Times New Roman"/>
                  <w:color w:val="0000FF"/>
                  <w:sz w:val="11"/>
                  <w:u w:val="single"/>
                </w:rPr>
                <w:t>(2)</w:t>
              </w:r>
            </w:hyperlink>
          </w:p>
        </w:tc>
      </w:tr>
      <w:tr>
        <w:trPr/>
        <w:tc>
          <w:tcPr>
            <w:tcW w:w="676" w:type="dxa"/>
            <w:tcBorders/>
            <w:tcMar>
              <w:top w:w="0" w:type="dxa"/>
              <w:left w:w="0" w:type="dxa"/>
              <w:bottom w:w="0" w:type="dxa"/>
              <w:right w:w="0" w:type="dxa"/>
            </w:tcMar>
            <w:vAlign w:val="center"/>
          </w:tcPr>
          <w:p>
            <w:pPr>
              <w:pStyle w:val="TableContents"/>
              <w:bidi w:val="0"/>
              <w:spacing w:before="0" w:after="283"/>
              <w:jc w:val="both"/>
              <w:rPr/>
            </w:pPr>
            <w:r>
              <w:rPr/>
              <w:t> </w:t>
            </w:r>
          </w:p>
        </w:tc>
        <w:tc>
          <w:tcPr>
            <w:tcW w:w="9529"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67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16"/>
              </w:rPr>
            </w:pPr>
            <w:r>
              <w:rPr>
                <w:rFonts w:ascii="Times New Roman" w:hAnsi="Times New Roman"/>
                <w:color w:val="000000"/>
                <w:sz w:val="16"/>
              </w:rPr>
              <w:t>4.1</w:t>
            </w:r>
          </w:p>
        </w:tc>
        <w:tc>
          <w:tcPr>
            <w:tcW w:w="9529" w:type="dxa"/>
            <w:tcBorders/>
            <w:tcMar>
              <w:top w:w="0" w:type="dxa"/>
              <w:left w:w="0" w:type="dxa"/>
              <w:bottom w:w="0" w:type="dxa"/>
              <w:right w:w="0" w:type="dxa"/>
            </w:tcMar>
            <w:vAlign w:val="center"/>
          </w:tcPr>
          <w:p>
            <w:pPr>
              <w:pStyle w:val="TableContents"/>
              <w:bidi w:val="0"/>
              <w:spacing w:before="0" w:after="283"/>
              <w:jc w:val="both"/>
              <w:rPr/>
            </w:pPr>
            <w:hyperlink r:id="rId8">
              <w:r>
                <w:rPr>
                  <w:rStyle w:val="InternetLink"/>
                  <w:rFonts w:ascii="Times New Roman" w:hAnsi="Times New Roman"/>
                  <w:color w:val="0000FF"/>
                  <w:sz w:val="16"/>
                  <w:u w:val="single"/>
                </w:rPr>
                <w:t>Third Supplemental Indenture, by and between Runway Growth Finance Corp. and Wilmington Trust, National Association, dated as of April 6, 2026</w:t>
              </w:r>
            </w:hyperlink>
            <w:hyperlink r:id="rId9">
              <w:r>
                <w:rPr>
                  <w:rStyle w:val="InternetLink"/>
                  <w:rFonts w:ascii="Times New Roman" w:hAnsi="Times New Roman"/>
                  <w:color w:val="0000FF"/>
                  <w:sz w:val="11"/>
                  <w:u w:val="single"/>
                </w:rPr>
                <w:t>(3)</w:t>
              </w:r>
            </w:hyperlink>
          </w:p>
        </w:tc>
      </w:tr>
      <w:tr>
        <w:trPr/>
        <w:tc>
          <w:tcPr>
            <w:tcW w:w="676" w:type="dxa"/>
            <w:tcBorders/>
            <w:tcMar>
              <w:top w:w="0" w:type="dxa"/>
              <w:left w:w="0" w:type="dxa"/>
              <w:bottom w:w="0" w:type="dxa"/>
              <w:right w:w="0" w:type="dxa"/>
            </w:tcMar>
            <w:vAlign w:val="center"/>
          </w:tcPr>
          <w:p>
            <w:pPr>
              <w:pStyle w:val="TableContents"/>
              <w:bidi w:val="0"/>
              <w:spacing w:before="0" w:after="283"/>
              <w:jc w:val="both"/>
              <w:rPr/>
            </w:pPr>
            <w:r>
              <w:rPr/>
              <w:t> </w:t>
            </w:r>
          </w:p>
        </w:tc>
        <w:tc>
          <w:tcPr>
            <w:tcW w:w="9529"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6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31.1</w:t>
            </w:r>
          </w:p>
        </w:tc>
        <w:tc>
          <w:tcPr>
            <w:tcW w:w="9529" w:type="dxa"/>
            <w:tcBorders/>
            <w:tcMar>
              <w:top w:w="0" w:type="dxa"/>
              <w:left w:w="0" w:type="dxa"/>
              <w:bottom w:w="0" w:type="dxa"/>
              <w:right w:w="0" w:type="dxa"/>
            </w:tcMar>
            <w:vAlign w:val="center"/>
          </w:tcPr>
          <w:p>
            <w:pPr>
              <w:pStyle w:val="TableContents"/>
              <w:bidi w:val="0"/>
              <w:spacing w:before="0" w:after="283"/>
              <w:jc w:val="both"/>
              <w:rPr/>
            </w:pPr>
            <w:hyperlink w:anchor="rway-ex31_1.htm">
              <w:r>
                <w:rPr>
                  <w:rStyle w:val="InternetLink"/>
                  <w:rFonts w:ascii="Times New Roman" w:hAnsi="Times New Roman"/>
                  <w:color w:val="0000FF"/>
                  <w:sz w:val="16"/>
                  <w:u w:val="single"/>
                </w:rPr>
                <w:t>Certification of Chief Executive Officer pursuant to Rule 13a</w:t>
                <w:noBreakHyphen/>
                <w:t>14 of the Securities Exchange Act of 1934, as amended*</w:t>
              </w:r>
            </w:hyperlink>
          </w:p>
        </w:tc>
      </w:tr>
      <w:tr>
        <w:trPr/>
        <w:tc>
          <w:tcPr>
            <w:tcW w:w="6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16"/>
              </w:rPr>
            </w:pPr>
            <w:r>
              <w:rPr>
                <w:rFonts w:ascii="Times New Roman" w:hAnsi="Times New Roman"/>
                <w:color w:val="000000"/>
                <w:sz w:val="16"/>
              </w:rPr>
              <w:t>31.2</w:t>
            </w:r>
          </w:p>
        </w:tc>
        <w:tc>
          <w:tcPr>
            <w:tcW w:w="9529" w:type="dxa"/>
            <w:tcBorders/>
            <w:tcMar>
              <w:top w:w="0" w:type="dxa"/>
              <w:left w:w="0" w:type="dxa"/>
              <w:bottom w:w="0" w:type="dxa"/>
              <w:right w:w="0" w:type="dxa"/>
            </w:tcMar>
            <w:vAlign w:val="center"/>
          </w:tcPr>
          <w:p>
            <w:pPr>
              <w:pStyle w:val="TableContents"/>
              <w:bidi w:val="0"/>
              <w:spacing w:before="0" w:after="283"/>
              <w:jc w:val="both"/>
              <w:rPr/>
            </w:pPr>
            <w:hyperlink w:anchor="rway-ex31_2.htm">
              <w:r>
                <w:rPr>
                  <w:rStyle w:val="InternetLink"/>
                  <w:rFonts w:ascii="Times New Roman" w:hAnsi="Times New Roman"/>
                  <w:color w:val="0000FF"/>
                  <w:sz w:val="16"/>
                  <w:u w:val="single"/>
                </w:rPr>
                <w:t>Certification of Chief Financial Officer pursuant to Rule 13a</w:t>
                <w:noBreakHyphen/>
                <w:t>14 of the Securities Exchange Act of 1934, as amended*</w:t>
              </w:r>
            </w:hyperlink>
          </w:p>
        </w:tc>
      </w:tr>
      <w:tr>
        <w:trPr/>
        <w:tc>
          <w:tcPr>
            <w:tcW w:w="6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16"/>
              </w:rPr>
            </w:pPr>
            <w:r>
              <w:rPr>
                <w:rFonts w:ascii="Times New Roman" w:hAnsi="Times New Roman"/>
                <w:color w:val="000000"/>
                <w:sz w:val="16"/>
              </w:rPr>
              <w:t>32.1</w:t>
            </w:r>
          </w:p>
        </w:tc>
        <w:tc>
          <w:tcPr>
            <w:tcW w:w="9529" w:type="dxa"/>
            <w:tcBorders/>
            <w:tcMar>
              <w:top w:w="0" w:type="dxa"/>
              <w:left w:w="0" w:type="dxa"/>
              <w:bottom w:w="0" w:type="dxa"/>
              <w:right w:w="0" w:type="dxa"/>
            </w:tcMar>
            <w:vAlign w:val="center"/>
          </w:tcPr>
          <w:p>
            <w:pPr>
              <w:pStyle w:val="TableContents"/>
              <w:bidi w:val="0"/>
              <w:spacing w:before="0" w:after="283"/>
              <w:jc w:val="both"/>
              <w:rPr/>
            </w:pPr>
            <w:hyperlink w:anchor="rway-ex32_1.htm">
              <w:r>
                <w:rPr>
                  <w:rStyle w:val="InternetLink"/>
                  <w:rFonts w:ascii="Times New Roman" w:hAnsi="Times New Roman"/>
                  <w:color w:val="0000FF"/>
                  <w:sz w:val="16"/>
                  <w:u w:val="single"/>
                </w:rPr>
                <w:t>Certification of Chief Executive Officer pursuant to Section 906 of the Sarbanes-Oxley Act of 2002*</w:t>
              </w:r>
            </w:hyperlink>
          </w:p>
        </w:tc>
      </w:tr>
      <w:tr>
        <w:trPr/>
        <w:tc>
          <w:tcPr>
            <w:tcW w:w="6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16"/>
              </w:rPr>
            </w:pPr>
            <w:r>
              <w:rPr>
                <w:rFonts w:ascii="Times New Roman" w:hAnsi="Times New Roman"/>
                <w:color w:val="000000"/>
                <w:sz w:val="16"/>
              </w:rPr>
              <w:t>32.2</w:t>
            </w:r>
          </w:p>
        </w:tc>
        <w:tc>
          <w:tcPr>
            <w:tcW w:w="9529" w:type="dxa"/>
            <w:tcBorders/>
            <w:tcMar>
              <w:top w:w="0" w:type="dxa"/>
              <w:left w:w="0" w:type="dxa"/>
              <w:bottom w:w="0" w:type="dxa"/>
              <w:right w:w="0" w:type="dxa"/>
            </w:tcMar>
            <w:vAlign w:val="center"/>
          </w:tcPr>
          <w:p>
            <w:pPr>
              <w:pStyle w:val="TableContents"/>
              <w:bidi w:val="0"/>
              <w:spacing w:before="0" w:after="283"/>
              <w:jc w:val="both"/>
              <w:rPr/>
            </w:pPr>
            <w:hyperlink w:anchor="rway-ex32_2.htm">
              <w:r>
                <w:rPr>
                  <w:rStyle w:val="InternetLink"/>
                  <w:rFonts w:ascii="Times New Roman" w:hAnsi="Times New Roman"/>
                  <w:color w:val="0000FF"/>
                  <w:sz w:val="16"/>
                  <w:u w:val="single"/>
                </w:rPr>
                <w:t>Certification of Chief Financial Officer pursuant to Section 906 of the Sarbanes-Oxley Act of 2002*</w:t>
              </w:r>
            </w:hyperlink>
          </w:p>
        </w:tc>
      </w:tr>
      <w:tr>
        <w:trPr/>
        <w:tc>
          <w:tcPr>
            <w:tcW w:w="676" w:type="dxa"/>
            <w:tcBorders/>
            <w:tcMar>
              <w:top w:w="0" w:type="dxa"/>
              <w:left w:w="0" w:type="dxa"/>
              <w:bottom w:w="0" w:type="dxa"/>
              <w:right w:w="0" w:type="dxa"/>
            </w:tcMar>
            <w:vAlign w:val="center"/>
          </w:tcPr>
          <w:p>
            <w:pPr>
              <w:pStyle w:val="TableContents"/>
              <w:bidi w:val="0"/>
              <w:spacing w:before="0" w:after="283"/>
              <w:jc w:val="both"/>
              <w:rPr/>
            </w:pPr>
            <w:r>
              <w:rPr/>
              <w:t> </w:t>
            </w:r>
          </w:p>
        </w:tc>
        <w:tc>
          <w:tcPr>
            <w:tcW w:w="9529"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67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16"/>
              </w:rPr>
            </w:pPr>
            <w:r>
              <w:rPr>
                <w:rFonts w:ascii="Times New Roman" w:hAnsi="Times New Roman"/>
                <w:color w:val="000000"/>
                <w:sz w:val="16"/>
              </w:rPr>
              <w:t>101.INS</w:t>
            </w:r>
          </w:p>
        </w:tc>
        <w:tc>
          <w:tcPr>
            <w:tcW w:w="9529"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16"/>
              </w:rPr>
            </w:pPr>
            <w:r>
              <w:rPr>
                <w:rFonts w:ascii="Times New Roman" w:hAnsi="Times New Roman"/>
                <w:color w:val="000000"/>
                <w:sz w:val="16"/>
              </w:rPr>
              <w:t>Inline XBRL Instance Document – the instance document does not appear in the Interactive Data File because XBRL tags are embedded within the Inline XBRL document.*</w:t>
            </w:r>
          </w:p>
        </w:tc>
      </w:tr>
      <w:tr>
        <w:trPr/>
        <w:tc>
          <w:tcPr>
            <w:tcW w:w="676" w:type="dxa"/>
            <w:tcBorders/>
            <w:tcMar>
              <w:top w:w="0" w:type="dxa"/>
              <w:left w:w="0" w:type="dxa"/>
              <w:bottom w:w="0" w:type="dxa"/>
              <w:right w:w="0" w:type="dxa"/>
            </w:tcMar>
            <w:vAlign w:val="center"/>
          </w:tcPr>
          <w:p>
            <w:pPr>
              <w:pStyle w:val="TableContents"/>
              <w:bidi w:val="0"/>
              <w:spacing w:before="0" w:after="283"/>
              <w:jc w:val="both"/>
              <w:rPr/>
            </w:pPr>
            <w:r>
              <w:rPr/>
              <w:t> </w:t>
            </w:r>
          </w:p>
        </w:tc>
        <w:tc>
          <w:tcPr>
            <w:tcW w:w="9529"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67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16"/>
              </w:rPr>
            </w:pPr>
            <w:r>
              <w:rPr>
                <w:rFonts w:ascii="Times New Roman" w:hAnsi="Times New Roman"/>
                <w:color w:val="000000"/>
                <w:sz w:val="16"/>
              </w:rPr>
              <w:t>101.SCH</w:t>
            </w:r>
          </w:p>
        </w:tc>
        <w:tc>
          <w:tcPr>
            <w:tcW w:w="9529"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16"/>
              </w:rPr>
            </w:pPr>
            <w:r>
              <w:rPr>
                <w:rFonts w:ascii="Times New Roman" w:hAnsi="Times New Roman"/>
                <w:color w:val="000000"/>
                <w:sz w:val="16"/>
              </w:rPr>
              <w:t>Inline XBRL Taxonomy Extension Schema With Embedded Linkbase Documents *</w:t>
            </w:r>
          </w:p>
        </w:tc>
      </w:tr>
      <w:tr>
        <w:trPr/>
        <w:tc>
          <w:tcPr>
            <w:tcW w:w="676" w:type="dxa"/>
            <w:tcBorders/>
            <w:tcMar>
              <w:top w:w="0" w:type="dxa"/>
              <w:left w:w="0" w:type="dxa"/>
              <w:bottom w:w="0" w:type="dxa"/>
              <w:right w:w="0" w:type="dxa"/>
            </w:tcMar>
            <w:vAlign w:val="center"/>
          </w:tcPr>
          <w:p>
            <w:pPr>
              <w:pStyle w:val="TableContents"/>
              <w:bidi w:val="0"/>
              <w:spacing w:before="0" w:after="283"/>
              <w:jc w:val="both"/>
              <w:rPr/>
            </w:pPr>
            <w:r>
              <w:rPr/>
              <w:t> </w:t>
            </w:r>
          </w:p>
        </w:tc>
        <w:tc>
          <w:tcPr>
            <w:tcW w:w="9529"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67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16"/>
              </w:rPr>
            </w:pPr>
            <w:r>
              <w:rPr>
                <w:rFonts w:ascii="Times New Roman" w:hAnsi="Times New Roman"/>
                <w:color w:val="000000"/>
                <w:sz w:val="16"/>
              </w:rPr>
              <w:t>104</w:t>
            </w:r>
          </w:p>
        </w:tc>
        <w:tc>
          <w:tcPr>
            <w:tcW w:w="9529"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16"/>
              </w:rPr>
            </w:pPr>
            <w:r>
              <w:rPr>
                <w:rFonts w:ascii="Times New Roman" w:hAnsi="Times New Roman"/>
                <w:color w:val="000000"/>
                <w:sz w:val="16"/>
              </w:rPr>
              <w:t>The cover page from the Company's Quarterly Report on Form 10-Q for the quarter ended March 31, 2026 has been formatted in Inline XBRL.*</w:t>
            </w:r>
          </w:p>
        </w:tc>
      </w:tr>
      <w:tr>
        <w:trPr/>
        <w:tc>
          <w:tcPr>
            <w:tcW w:w="676" w:type="dxa"/>
            <w:tcBorders/>
            <w:tcMar>
              <w:top w:w="0" w:type="dxa"/>
              <w:left w:w="0" w:type="dxa"/>
              <w:bottom w:w="0" w:type="dxa"/>
              <w:right w:w="0" w:type="dxa"/>
            </w:tcMar>
            <w:vAlign w:val="center"/>
          </w:tcPr>
          <w:p>
            <w:pPr>
              <w:pStyle w:val="TableContents"/>
              <w:bidi w:val="0"/>
              <w:spacing w:before="0" w:after="283"/>
              <w:jc w:val="both"/>
              <w:rPr/>
            </w:pPr>
            <w:r>
              <w:rPr/>
              <w:t> </w:t>
            </w:r>
          </w:p>
        </w:tc>
        <w:tc>
          <w:tcPr>
            <w:tcW w:w="9529" w:type="dxa"/>
            <w:tcBorders/>
            <w:tcMar>
              <w:top w:w="0" w:type="dxa"/>
              <w:left w:w="0" w:type="dxa"/>
              <w:bottom w:w="0" w:type="dxa"/>
              <w:right w:w="0" w:type="dxa"/>
            </w:tcMar>
            <w:vAlign w:val="center"/>
          </w:tcPr>
          <w:p>
            <w:pPr>
              <w:pStyle w:val="TableContents"/>
              <w:bidi w:val="0"/>
              <w:spacing w:before="0" w:after="283"/>
              <w:jc w:val="both"/>
              <w:rPr/>
            </w:pPr>
            <w:r>
              <w:rPr/>
              <w:t> </w:t>
            </w:r>
          </w:p>
        </w:tc>
      </w:tr>
    </w:tbl>
    <w:p>
      <w:pPr>
        <w:pStyle w:val="TextBody"/>
        <w:bidi w:val="0"/>
        <w:spacing w:before="120" w:after="283"/>
        <w:jc w:val="both"/>
        <w:rPr>
          <w:rFonts w:ascii="Times New Roman" w:hAnsi="Times New Roman"/>
          <w:sz w:val="20"/>
        </w:rPr>
      </w:pPr>
      <w:r>
        <w:rPr>
          <w:rFonts w:ascii="Times New Roman" w:hAnsi="Times New Roman"/>
          <w:color w:val="000000"/>
          <w:sz w:val="20"/>
        </w:rPr>
        <w:t xml:space="preserve">* </w:t>
      </w:r>
      <w:r>
        <w:rPr>
          <w:rFonts w:ascii="Times New Roman" w:hAnsi="Times New Roman"/>
          <w:color w:val="000000"/>
          <w:sz w:val="16"/>
        </w:rPr>
        <w:t>Filed herewith.</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Previously filed as an exhibit to the Registrant’s Current Report on Form 8</w:t>
        <w:noBreakHyphen/>
        <w:t>K filed with the SEC on December 19, 2016.</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Previously filed as an exhibit to the Registrant’s Current Report on Form 8</w:t>
        <w:noBreakHyphen/>
        <w:t>K filed with the SEC on August 19, 2021.</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Previously filed as an exhibit to the Registrant's Current Report on Form 8-K filed with the SEC on April 7, 2026.</w:t>
      </w:r>
    </w:p>
    <w:p>
      <w:pPr>
        <w:pStyle w:val="TextBody"/>
        <w:bidi w:val="0"/>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120"/>
        <w:jc w:val="left"/>
        <w:rPr/>
      </w:pPr>
      <w:r>
        <w:rPr/>
        <w:t> </w:t>
      </w:r>
    </w:p>
    <w:p>
      <w:pPr>
        <w:pStyle w:val="TextBody"/>
        <w:bidi w:val="0"/>
        <w:spacing w:before="0" w:after="240"/>
        <w:jc w:val="center"/>
        <w:rPr>
          <w:rFonts w:ascii="Times New Roman" w:hAnsi="Times New Roman"/>
          <w:b/>
          <w:color w:val="000000"/>
          <w:sz w:val="20"/>
        </w:rPr>
      </w:pPr>
      <w:bookmarkStart w:id="23" w:name="signatures_230440"/>
      <w:bookmarkEnd w:id="23"/>
      <w:r>
        <w:rPr>
          <w:rFonts w:ascii="Times New Roman" w:hAnsi="Times New Roman"/>
          <w:b/>
          <w:color w:val="000000"/>
          <w:sz w:val="20"/>
        </w:rPr>
        <w:t>SIGNATURES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Pursuant to the requirements of Section 13 or 15(d) of the Securities Exchange Act of 1934, the registrant has duly caused this report to be signed on its behalf by the undersigned, thereunto duly authorized.</w:t>
      </w:r>
    </w:p>
    <w:tbl>
      <w:tblPr>
        <w:tblW w:w="6033" w:type="dxa"/>
        <w:jc w:val="left"/>
        <w:tblInd w:w="0" w:type="dxa"/>
        <w:tblLayout w:type="fixed"/>
        <w:tblCellMar>
          <w:top w:w="28" w:type="dxa"/>
          <w:left w:w="28" w:type="dxa"/>
          <w:bottom w:w="28" w:type="dxa"/>
          <w:right w:w="28" w:type="dxa"/>
        </w:tblCellMar>
      </w:tblPr>
      <w:tblGrid>
        <w:gridCol w:w="1636"/>
        <w:gridCol w:w="406"/>
        <w:gridCol w:w="3991"/>
      </w:tblGrid>
      <w:tr>
        <w:trPr/>
        <w:tc>
          <w:tcPr>
            <w:tcW w:w="163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991" w:type="dxa"/>
            <w:tcBorders/>
            <w:vAlign w:val="center"/>
          </w:tcPr>
          <w:p>
            <w:pPr>
              <w:pStyle w:val="TableContents"/>
              <w:bidi w:val="0"/>
              <w:spacing w:before="0" w:after="283"/>
              <w:jc w:val="left"/>
              <w:rPr>
                <w:sz w:val="4"/>
                <w:szCs w:val="4"/>
              </w:rPr>
            </w:pPr>
            <w:r>
              <w:rPr>
                <w:sz w:val="4"/>
                <w:szCs w:val="4"/>
              </w:rPr>
            </w:r>
          </w:p>
        </w:tc>
      </w:tr>
      <w:tr>
        <w:trPr/>
        <w:tc>
          <w:tcPr>
            <w:tcW w:w="16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7"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RUNWAY GROWTH FINANCE CORP.</w:t>
            </w:r>
          </w:p>
        </w:tc>
      </w:tr>
      <w:tr>
        <w:trPr/>
        <w:tc>
          <w:tcPr>
            <w:tcW w:w="16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May 7, 2026</w:t>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991" w:type="dxa"/>
            <w:tcBorders>
              <w:bottom w:val="single" w:sz="8"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R. David Spreng</w:t>
            </w:r>
          </w:p>
        </w:tc>
      </w:tr>
      <w:tr>
        <w:trPr/>
        <w:tc>
          <w:tcPr>
            <w:tcW w:w="16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 David Spreng</w:t>
            </w:r>
          </w:p>
        </w:tc>
      </w:tr>
      <w:tr>
        <w:trPr/>
        <w:tc>
          <w:tcPr>
            <w:tcW w:w="16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President, Chief Executive Officer</w:t>
            </w:r>
          </w:p>
        </w:tc>
      </w:tr>
      <w:tr>
        <w:trPr/>
        <w:tc>
          <w:tcPr>
            <w:tcW w:w="163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39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Executive Officer)</w:t>
            </w:r>
          </w:p>
        </w:tc>
      </w:tr>
      <w:tr>
        <w:trPr/>
        <w:tc>
          <w:tcPr>
            <w:tcW w:w="16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May 7, 2026</w:t>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991" w:type="dxa"/>
            <w:tcBorders>
              <w:bottom w:val="single" w:sz="8"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Thomas B. Raterman</w:t>
            </w:r>
          </w:p>
        </w:tc>
      </w:tr>
      <w:tr>
        <w:trPr/>
        <w:tc>
          <w:tcPr>
            <w:tcW w:w="16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Thomas B. Raterman</w:t>
            </w:r>
          </w:p>
        </w:tc>
      </w:tr>
      <w:tr>
        <w:trPr/>
        <w:tc>
          <w:tcPr>
            <w:tcW w:w="16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 Treasurer and Secretary</w:t>
            </w:r>
          </w:p>
        </w:tc>
      </w:tr>
      <w:tr>
        <w:trPr/>
        <w:tc>
          <w:tcPr>
            <w:tcW w:w="16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Financial and Accounting Officer)</w:t>
            </w:r>
          </w:p>
        </w:tc>
      </w:tr>
    </w:tbl>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78</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4" w:name="rway-ex31_1.htm"/>
      <w:bookmarkStart w:id="25" w:name="ksrwayex31_1"/>
      <w:bookmarkEnd w:id="24"/>
      <w:bookmarkEnd w:id="25"/>
      <w:r>
        <w:rPr>
          <w:rFonts w:ascii="Times New Roman" w:hAnsi="Times New Roman"/>
          <w:b/>
          <w:color w:val="000000"/>
          <w:sz w:val="20"/>
        </w:rPr>
        <w:t>Exhibit 31.1</w:t>
      </w:r>
      <w:r>
        <w:br w:type="page"/>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RULES 13a-14(a) AND 15d-14(a) UNDER THE SECURITIES EXCHANGE ACT OF 1934,</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302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R. David Spreng, as Chief Executive Officer, certify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have reviewed this quarterly report on Form 10-Q of Runway Growth Finance Corp.;</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4282" w:type="dxa"/>
        <w:jc w:val="left"/>
        <w:tblInd w:w="0" w:type="dxa"/>
        <w:tblLayout w:type="fixed"/>
        <w:tblCellMar>
          <w:top w:w="28" w:type="dxa"/>
          <w:left w:w="28" w:type="dxa"/>
          <w:bottom w:w="28" w:type="dxa"/>
          <w:right w:w="28" w:type="dxa"/>
        </w:tblCellMar>
      </w:tblPr>
      <w:tblGrid>
        <w:gridCol w:w="1636"/>
        <w:gridCol w:w="109"/>
        <w:gridCol w:w="406"/>
        <w:gridCol w:w="2131"/>
      </w:tblGrid>
      <w:tr>
        <w:trPr/>
        <w:tc>
          <w:tcPr>
            <w:tcW w:w="16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131" w:type="dxa"/>
            <w:tcBorders/>
            <w:vAlign w:val="center"/>
          </w:tcPr>
          <w:p>
            <w:pPr>
              <w:pStyle w:val="TableContents"/>
              <w:bidi w:val="0"/>
              <w:spacing w:before="0" w:after="283"/>
              <w:jc w:val="left"/>
              <w:rPr>
                <w:sz w:val="4"/>
                <w:szCs w:val="4"/>
              </w:rPr>
            </w:pPr>
            <w:r>
              <w:rPr>
                <w:sz w:val="4"/>
                <w:szCs w:val="4"/>
              </w:rPr>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May 7,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13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R. David Spreng</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R. David Spreng</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Chief Executive Officer</w:t>
            </w:r>
          </w:p>
        </w:tc>
      </w:tr>
    </w:tbl>
    <w:p>
      <w:pPr>
        <w:pStyle w:val="TextBody"/>
        <w:bidi w:val="0"/>
        <w:spacing w:before="240" w:after="283"/>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6" w:name="rway-ex31_2.htm"/>
      <w:bookmarkStart w:id="27" w:name="ksrwayex31_2"/>
      <w:bookmarkEnd w:id="26"/>
      <w:bookmarkEnd w:id="27"/>
      <w:r>
        <w:rPr>
          <w:rFonts w:ascii="Times New Roman" w:hAnsi="Times New Roman"/>
          <w:b/>
          <w:color w:val="000000"/>
          <w:sz w:val="20"/>
        </w:rPr>
        <w:t>Exhibit 31.2</w:t>
      </w:r>
      <w:r>
        <w:br w:type="page"/>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RULES 13a-14(a) AND 15d-14(a) UNDER THE SECURITIES EXCHANGE ACT OF 1934,</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302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Thomas B. Raterman, as Chief Financial Officer, certify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have reviewed this quarterly report on Form 10-Q of Runway Growth Finance Corp.;</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4252" w:type="dxa"/>
        <w:jc w:val="left"/>
        <w:tblInd w:w="0" w:type="dxa"/>
        <w:tblLayout w:type="fixed"/>
        <w:tblCellMar>
          <w:top w:w="28" w:type="dxa"/>
          <w:left w:w="28" w:type="dxa"/>
          <w:bottom w:w="28" w:type="dxa"/>
          <w:right w:w="28" w:type="dxa"/>
        </w:tblCellMar>
      </w:tblPr>
      <w:tblGrid>
        <w:gridCol w:w="1636"/>
        <w:gridCol w:w="109"/>
        <w:gridCol w:w="406"/>
        <w:gridCol w:w="2101"/>
      </w:tblGrid>
      <w:tr>
        <w:trPr/>
        <w:tc>
          <w:tcPr>
            <w:tcW w:w="16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101" w:type="dxa"/>
            <w:tcBorders/>
            <w:vAlign w:val="center"/>
          </w:tcPr>
          <w:p>
            <w:pPr>
              <w:pStyle w:val="TableContents"/>
              <w:bidi w:val="0"/>
              <w:spacing w:before="0" w:after="283"/>
              <w:jc w:val="left"/>
              <w:rPr>
                <w:sz w:val="4"/>
                <w:szCs w:val="4"/>
              </w:rPr>
            </w:pPr>
            <w:r>
              <w:rPr>
                <w:sz w:val="4"/>
                <w:szCs w:val="4"/>
              </w:rPr>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May 7,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10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Thomas B. Raterman</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Thomas B. Raterman</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Chief Financial Officer</w:t>
            </w:r>
          </w:p>
        </w:tc>
      </w:tr>
    </w:tbl>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8" w:name="rway-ex32_1.htm"/>
      <w:bookmarkStart w:id="29" w:name="ksrwayex32_1"/>
      <w:bookmarkEnd w:id="28"/>
      <w:bookmarkEnd w:id="29"/>
      <w:r>
        <w:rPr>
          <w:rFonts w:ascii="Times New Roman" w:hAnsi="Times New Roman"/>
          <w:b/>
          <w:color w:val="000000"/>
          <w:sz w:val="20"/>
        </w:rPr>
        <w:t>Exhibit 32.1</w:t>
      </w:r>
      <w:r>
        <w:br w:type="page"/>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 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Quarterly Report of Runway Growth Finance Corp. (the “Company”) on Form 10-Q for the period ended March 31, 2026 as filed with the Securities and Exchange Commission on the date hereof (the “Report”), I certify, pursuant to 18 U.S.C. § 1350, as adopted pursuant to § 906 of the Sarbanes-Oxley Act of 2002,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Report fully complies with the requirements of section 13(a) or 15(d) of the Securities Exchange Act of 1934;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 of operations of the Company.</w:t>
      </w:r>
    </w:p>
    <w:p>
      <w:pPr>
        <w:pStyle w:val="TextBody"/>
        <w:bidi w:val="0"/>
        <w:jc w:val="left"/>
        <w:rPr/>
      </w:pPr>
      <w:r>
        <w:rPr/>
        <w:t> </w:t>
      </w:r>
    </w:p>
    <w:tbl>
      <w:tblPr>
        <w:tblW w:w="4282" w:type="dxa"/>
        <w:jc w:val="left"/>
        <w:tblInd w:w="0" w:type="dxa"/>
        <w:tblLayout w:type="fixed"/>
        <w:tblCellMar>
          <w:top w:w="28" w:type="dxa"/>
          <w:left w:w="28" w:type="dxa"/>
          <w:bottom w:w="28" w:type="dxa"/>
          <w:right w:w="28" w:type="dxa"/>
        </w:tblCellMar>
      </w:tblPr>
      <w:tblGrid>
        <w:gridCol w:w="1636"/>
        <w:gridCol w:w="109"/>
        <w:gridCol w:w="406"/>
        <w:gridCol w:w="2131"/>
      </w:tblGrid>
      <w:tr>
        <w:trPr/>
        <w:tc>
          <w:tcPr>
            <w:tcW w:w="16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131" w:type="dxa"/>
            <w:tcBorders/>
            <w:vAlign w:val="center"/>
          </w:tcPr>
          <w:p>
            <w:pPr>
              <w:pStyle w:val="TableContents"/>
              <w:bidi w:val="0"/>
              <w:spacing w:before="0" w:after="283"/>
              <w:jc w:val="left"/>
              <w:rPr>
                <w:sz w:val="4"/>
                <w:szCs w:val="4"/>
              </w:rPr>
            </w:pPr>
            <w:r>
              <w:rPr>
                <w:sz w:val="4"/>
                <w:szCs w:val="4"/>
              </w:rPr>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May 7,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13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R. David Spreng</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R. David Spreng</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Chief Executive Officer</w:t>
            </w:r>
          </w:p>
        </w:tc>
      </w:tr>
    </w:tbl>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30" w:name="rway-ex32_2.htm"/>
      <w:bookmarkStart w:id="31" w:name="ksrwayex32_2"/>
      <w:bookmarkEnd w:id="30"/>
      <w:bookmarkEnd w:id="31"/>
      <w:r>
        <w:rPr>
          <w:rFonts w:ascii="Times New Roman" w:hAnsi="Times New Roman"/>
          <w:b/>
          <w:color w:val="000000"/>
          <w:sz w:val="20"/>
        </w:rPr>
        <w:t>Exhibit 32.2</w:t>
      </w:r>
      <w:r>
        <w:br w:type="page"/>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 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Quarterly Report of Runway Growth Finance Corp. (the “Company”) on Form 10-Q for the period ended March 31, 2026 as filed with the Securities and Exchange Commission on the date hereof (the “Report”), I certify, pursuant to 18 U.S.C. § 1350, as adopted pursuant to § 906 of the Sarbanes-Oxley Act of 2002,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Report fully complies with the requirements of section 13(a) or 15(d) of the Securities Exchange Act of 1934;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 of operations of the Company.</w:t>
      </w:r>
    </w:p>
    <w:p>
      <w:pPr>
        <w:pStyle w:val="TextBody"/>
        <w:bidi w:val="0"/>
        <w:jc w:val="left"/>
        <w:rPr/>
      </w:pPr>
      <w:r>
        <w:rPr/>
        <w:t> </w:t>
      </w:r>
    </w:p>
    <w:tbl>
      <w:tblPr>
        <w:tblW w:w="4252" w:type="dxa"/>
        <w:jc w:val="left"/>
        <w:tblInd w:w="0" w:type="dxa"/>
        <w:tblLayout w:type="fixed"/>
        <w:tblCellMar>
          <w:top w:w="28" w:type="dxa"/>
          <w:left w:w="28" w:type="dxa"/>
          <w:bottom w:w="28" w:type="dxa"/>
          <w:right w:w="28" w:type="dxa"/>
        </w:tblCellMar>
      </w:tblPr>
      <w:tblGrid>
        <w:gridCol w:w="1636"/>
        <w:gridCol w:w="109"/>
        <w:gridCol w:w="406"/>
        <w:gridCol w:w="2101"/>
      </w:tblGrid>
      <w:tr>
        <w:trPr/>
        <w:tc>
          <w:tcPr>
            <w:tcW w:w="16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101" w:type="dxa"/>
            <w:tcBorders/>
            <w:vAlign w:val="center"/>
          </w:tcPr>
          <w:p>
            <w:pPr>
              <w:pStyle w:val="TableContents"/>
              <w:bidi w:val="0"/>
              <w:spacing w:before="0" w:after="283"/>
              <w:jc w:val="left"/>
              <w:rPr>
                <w:sz w:val="4"/>
                <w:szCs w:val="4"/>
              </w:rPr>
            </w:pPr>
            <w:r>
              <w:rPr>
                <w:sz w:val="4"/>
                <w:szCs w:val="4"/>
              </w:rPr>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May 7,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10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Thomas B. Raterman</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Thomas B. Raterman</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Chief Financial Officer</w:t>
            </w:r>
          </w:p>
        </w:tc>
      </w:tr>
    </w:tbl>
    <w:p>
      <w:pPr>
        <w:pStyle w:val="TextBody"/>
        <w:bidi w:val="0"/>
        <w:spacing w:before="240" w:after="283"/>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653384/000114420416140270/v454968_ex3-1.htm" TargetMode="External"/><Relationship Id="rId3" Type="http://schemas.openxmlformats.org/officeDocument/2006/relationships/hyperlink" Target="https://www.sec.gov/Archives/edgar/data/1653384/000114420416140270/v454968_ex3-1.htm" TargetMode="External"/><Relationship Id="rId4" Type="http://schemas.openxmlformats.org/officeDocument/2006/relationships/hyperlink" Target="https://www.sec.gov/Archives/edgar/data/0001653384/000165338421000016/rgc-20210819ex31cb84ffa.htm" TargetMode="External"/><Relationship Id="rId5" Type="http://schemas.openxmlformats.org/officeDocument/2006/relationships/hyperlink" Target="https://www.sec.gov/Archives/edgar/data/0001653384/000165338421000016/rgc-20210819ex31cb84ffa.htm" TargetMode="External"/><Relationship Id="rId6" Type="http://schemas.openxmlformats.org/officeDocument/2006/relationships/hyperlink" Target="https://www.sec.gov/Archives/edgar/data/0001653384/000165338421000016/rgc-20210819ex32804659c.htm" TargetMode="External"/><Relationship Id="rId7" Type="http://schemas.openxmlformats.org/officeDocument/2006/relationships/hyperlink" Target="https://www.sec.gov/Archives/edgar/data/0001653384/000165338421000016/rgc-20210819ex32804659c.htm" TargetMode="External"/><Relationship Id="rId8" Type="http://schemas.openxmlformats.org/officeDocument/2006/relationships/hyperlink" Target="https://www.sec.gov/Archives/edgar/data/1653384/000119312526144599/rway-ex4_5.htm" TargetMode="External"/><Relationship Id="rId9" Type="http://schemas.openxmlformats.org/officeDocument/2006/relationships/hyperlink" Target="https://www.sec.gov/Archives/edgar/data/1653384/000119312526144599/rway-ex4_5.htm" TargetMode="External"/><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16</Pages>
  <Words>43520</Words>
  <Characters>235998</Characters>
  <CharactersWithSpaces>290734</CharactersWithSpaces>
  <Paragraphs>24376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