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280" w:right="2500" w:hanging="3272"/>
        <w:spacing w:after="0" w:line="336" w:lineRule="auto"/>
        <w:tabs>
          <w:tab w:leader="none" w:pos="3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-271145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814-01180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Runway Growth Credit Fund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3660" w:type="dxa"/>
            <w:vAlign w:val="bottom"/>
          </w:tcPr>
          <w:p>
            <w:pPr>
              <w:jc w:val="center"/>
              <w:ind w:right="1328"/>
              <w:spacing w:after="0"/>
              <w:rPr>
                <w:sz w:val="20"/>
                <w:szCs w:val="20"/>
                <w:color w:val="auto"/>
              </w:rPr>
            </w:pPr>
            <w:r>
              <w:rPr>
                <w:rFonts w:ascii="Arial" w:cs="Arial" w:eastAsia="Arial" w:hAnsi="Arial"/>
                <w:sz w:val="14"/>
                <w:szCs w:val="14"/>
                <w:b w:val="1"/>
                <w:bCs w:val="1"/>
                <w:color w:val="auto"/>
              </w:rPr>
              <w:t>Maryland</w:t>
            </w:r>
          </w:p>
        </w:tc>
        <w:tc>
          <w:tcPr>
            <w:tcW w:w="3480" w:type="dxa"/>
            <w:vAlign w:val="bottom"/>
          </w:tcPr>
          <w:p>
            <w:pPr>
              <w:jc w:val="right"/>
              <w:ind w:right="648"/>
              <w:spacing w:after="0"/>
              <w:rPr>
                <w:sz w:val="20"/>
                <w:szCs w:val="20"/>
                <w:color w:val="auto"/>
              </w:rPr>
            </w:pPr>
            <w:r>
              <w:rPr>
                <w:rFonts w:ascii="Arial" w:cs="Arial" w:eastAsia="Arial" w:hAnsi="Arial"/>
                <w:sz w:val="14"/>
                <w:szCs w:val="14"/>
                <w:b w:val="1"/>
                <w:bCs w:val="1"/>
                <w:color w:val="auto"/>
              </w:rPr>
              <w:t>47-5049745</w:t>
            </w:r>
          </w:p>
        </w:tc>
        <w:tc>
          <w:tcPr>
            <w:tcW w:w="0" w:type="dxa"/>
            <w:vAlign w:val="bottom"/>
          </w:tcPr>
          <w:p>
            <w:pPr>
              <w:spacing w:after="0"/>
              <w:rPr>
                <w:sz w:val="1"/>
                <w:szCs w:val="1"/>
                <w:color w:val="auto"/>
              </w:rPr>
            </w:pPr>
          </w:p>
        </w:tc>
      </w:tr>
      <w:tr>
        <w:trPr>
          <w:trHeight w:val="182"/>
        </w:trPr>
        <w:tc>
          <w:tcPr>
            <w:tcW w:w="3660" w:type="dxa"/>
            <w:vAlign w:val="bottom"/>
          </w:tcPr>
          <w:p>
            <w:pPr>
              <w:jc w:val="center"/>
              <w:ind w:right="1308"/>
              <w:spacing w:after="0"/>
              <w:rPr>
                <w:sz w:val="20"/>
                <w:szCs w:val="20"/>
                <w:color w:val="auto"/>
              </w:rPr>
            </w:pPr>
            <w:r>
              <w:rPr>
                <w:rFonts w:ascii="Arial" w:cs="Arial" w:eastAsia="Arial" w:hAnsi="Arial"/>
                <w:sz w:val="14"/>
                <w:szCs w:val="14"/>
                <w:color w:val="auto"/>
                <w:w w:val="95"/>
              </w:rPr>
              <w:t>(State of incorporation)</w:t>
            </w:r>
          </w:p>
        </w:tc>
        <w:tc>
          <w:tcPr>
            <w:tcW w:w="3480" w:type="dxa"/>
            <w:vAlign w:val="bottom"/>
          </w:tcPr>
          <w:p>
            <w:pPr>
              <w:jc w:val="center"/>
              <w:ind w:left="132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2"/>
        </w:trPr>
        <w:tc>
          <w:tcPr>
            <w:tcW w:w="3660" w:type="dxa"/>
            <w:vAlign w:val="bottom"/>
          </w:tcPr>
          <w:p>
            <w:pPr>
              <w:jc w:val="center"/>
              <w:ind w:right="1288"/>
              <w:spacing w:after="0"/>
              <w:rPr>
                <w:sz w:val="20"/>
                <w:szCs w:val="20"/>
                <w:color w:val="auto"/>
              </w:rPr>
            </w:pPr>
            <w:r>
              <w:rPr>
                <w:rFonts w:ascii="Arial" w:cs="Arial" w:eastAsia="Arial" w:hAnsi="Arial"/>
                <w:sz w:val="14"/>
                <w:szCs w:val="14"/>
                <w:b w:val="1"/>
                <w:bCs w:val="1"/>
                <w:color w:val="auto"/>
                <w:w w:val="93"/>
              </w:rPr>
              <w:t>205 N. Michigan Ave., Suite 4200</w:t>
            </w:r>
          </w:p>
        </w:tc>
        <w:tc>
          <w:tcPr>
            <w:tcW w:w="348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60601</w:t>
            </w:r>
          </w:p>
        </w:tc>
        <w:tc>
          <w:tcPr>
            <w:tcW w:w="0" w:type="dxa"/>
            <w:vAlign w:val="bottom"/>
          </w:tcPr>
          <w:p>
            <w:pPr>
              <w:spacing w:after="0"/>
              <w:rPr>
                <w:sz w:val="1"/>
                <w:szCs w:val="1"/>
                <w:color w:val="auto"/>
              </w:rPr>
            </w:pPr>
          </w:p>
        </w:tc>
      </w:tr>
      <w:tr>
        <w:trPr>
          <w:trHeight w:val="153"/>
        </w:trPr>
        <w:tc>
          <w:tcPr>
            <w:tcW w:w="3660" w:type="dxa"/>
            <w:vAlign w:val="bottom"/>
          </w:tcPr>
          <w:p>
            <w:pPr>
              <w:jc w:val="center"/>
              <w:ind w:right="1308"/>
              <w:spacing w:after="0" w:line="153" w:lineRule="exact"/>
              <w:rPr>
                <w:sz w:val="20"/>
                <w:szCs w:val="20"/>
                <w:color w:val="auto"/>
              </w:rPr>
            </w:pPr>
            <w:r>
              <w:rPr>
                <w:rFonts w:ascii="Arial" w:cs="Arial" w:eastAsia="Arial" w:hAnsi="Arial"/>
                <w:sz w:val="14"/>
                <w:szCs w:val="14"/>
                <w:b w:val="1"/>
                <w:bCs w:val="1"/>
                <w:color w:val="auto"/>
                <w:w w:val="95"/>
              </w:rPr>
              <w:t>Chicago, IL</w:t>
            </w: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60" w:type="dxa"/>
            <w:vAlign w:val="bottom"/>
          </w:tcPr>
          <w:p>
            <w:pPr>
              <w:jc w:val="center"/>
              <w:ind w:right="1308"/>
              <w:spacing w:after="0"/>
              <w:rPr>
                <w:sz w:val="20"/>
                <w:szCs w:val="20"/>
                <w:color w:val="auto"/>
              </w:rPr>
            </w:pPr>
            <w:r>
              <w:rPr>
                <w:rFonts w:ascii="Arial" w:cs="Arial" w:eastAsia="Arial" w:hAnsi="Arial"/>
                <w:sz w:val="14"/>
                <w:szCs w:val="14"/>
                <w:color w:val="auto"/>
                <w:w w:val="95"/>
              </w:rPr>
              <w:t>(Address of principal executive offices)</w:t>
            </w:r>
          </w:p>
        </w:tc>
        <w:tc>
          <w:tcPr>
            <w:tcW w:w="3480" w:type="dxa"/>
            <w:vAlign w:val="bottom"/>
          </w:tcPr>
          <w:p>
            <w:pPr>
              <w:jc w:val="center"/>
              <w:ind w:left="13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(312) 281-6270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920"/>
          </w:cols>
          <w:pgMar w:left="980" w:top="665" w:right="999" w:bottom="1440" w:gutter="0" w:footer="0" w:header="0"/>
        </w:sectPr>
      </w:pPr>
    </w:p>
    <w:p>
      <w:pPr>
        <w:spacing w:after="0" w:line="73" w:lineRule="exact"/>
        <w:rPr>
          <w:sz w:val="24"/>
          <w:szCs w:val="24"/>
          <w:color w:val="auto"/>
        </w:rPr>
      </w:pPr>
    </w:p>
    <w:p>
      <w:pPr>
        <w:ind w:left="118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49" w:lineRule="exact"/>
        <w:rPr>
          <w:sz w:val="24"/>
          <w:szCs w:val="24"/>
          <w:color w:val="auto"/>
        </w:rPr>
      </w:pPr>
    </w:p>
    <w:p>
      <w:pPr>
        <w:sectPr>
          <w:pgSz w:w="11900" w:h="16838" w:orient="portrait"/>
          <w:cols w:equalWidth="0" w:num="3">
            <w:col w:w="3720" w:space="720"/>
            <w:col w:w="1940" w:space="720"/>
            <w:col w:w="2820"/>
          </w:cols>
          <w:pgMar w:left="980" w:top="665" w:right="999" w:bottom="1440" w:gutter="0" w:footer="0" w:header="0"/>
          <w:type w:val="continuous"/>
        </w:sectPr>
      </w:pPr>
    </w:p>
    <w:p>
      <w:pPr>
        <w:ind w:left="1500"/>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191135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200" w:lineRule="exact"/>
        <w:rPr>
          <w:sz w:val="24"/>
          <w:szCs w:val="24"/>
          <w:color w:val="auto"/>
        </w:rPr>
      </w:pPr>
    </w:p>
    <w:p>
      <w:pPr>
        <w:sectPr>
          <w:pgSz w:w="11900" w:h="16838" w:orient="portrait"/>
          <w:cols w:equalWidth="0" w:num="3">
            <w:col w:w="4120" w:space="720"/>
            <w:col w:w="2580" w:space="720"/>
            <w:col w:w="1780"/>
          </w:cols>
          <w:pgMar w:left="980" w:top="665" w:right="99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jc w:val="center"/>
        <w:spacing w:after="0" w:line="230" w:lineRule="auto"/>
        <w:rPr>
          <w:sz w:val="20"/>
          <w:szCs w:val="20"/>
          <w:color w:val="auto"/>
        </w:rPr>
      </w:pPr>
      <w:r>
        <w:rPr>
          <w:rFonts w:ascii="Arial" w:cs="Arial" w:eastAsia="Arial" w:hAnsi="Arial"/>
          <w:sz w:val="14"/>
          <w:szCs w:val="14"/>
          <w:color w:val="auto"/>
        </w:rPr>
        <w:t>Common Stock, par value $0.01 per share</w:t>
      </w: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53340</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6" w:lineRule="exact"/>
        <w:rPr>
          <w:sz w:val="24"/>
          <w:szCs w:val="24"/>
          <w:color w:val="auto"/>
        </w:rPr>
      </w:pPr>
    </w:p>
    <w:p>
      <w:pPr>
        <w:ind w:left="360" w:right="176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firstLine="3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3"/>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22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jc w:val="both"/>
        <w:ind w:firstLine="3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60"/>
        <w:spacing w:after="0" w:line="17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380" w:right="206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December 31, 2020, there was no established public market for the registrant’s common stock.</w:t>
      </w:r>
    </w:p>
    <w:p>
      <w:pPr>
        <w:spacing w:after="0" w:line="34" w:lineRule="exact"/>
        <w:rPr>
          <w:sz w:val="24"/>
          <w:szCs w:val="24"/>
          <w:color w:val="auto"/>
        </w:rPr>
      </w:pPr>
    </w:p>
    <w:p>
      <w:pPr>
        <w:ind w:left="38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55" w:lineRule="exact"/>
        <w:rPr>
          <w:sz w:val="24"/>
          <w:szCs w:val="24"/>
          <w:color w:val="auto"/>
        </w:rPr>
      </w:pPr>
    </w:p>
    <w:p>
      <w:pPr>
        <w:ind w:left="380"/>
        <w:spacing w:after="0"/>
        <w:rPr>
          <w:sz w:val="20"/>
          <w:szCs w:val="20"/>
          <w:color w:val="auto"/>
        </w:rPr>
      </w:pPr>
      <w:r>
        <w:rPr>
          <w:rFonts w:ascii="Arial" w:cs="Arial" w:eastAsia="Arial" w:hAnsi="Arial"/>
          <w:sz w:val="14"/>
          <w:szCs w:val="14"/>
          <w:color w:val="auto"/>
        </w:rPr>
        <w:t>The issuer had 31,414,051 shares of common stock, $0.01 par value per share, outstanding as of March 11, 2021.</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5" w:lineRule="exact"/>
        <w:rPr>
          <w:sz w:val="24"/>
          <w:szCs w:val="24"/>
          <w:color w:val="auto"/>
        </w:rPr>
      </w:pPr>
    </w:p>
    <w:p>
      <w:pPr>
        <w:jc w:val="both"/>
        <w:ind w:firstLine="360"/>
        <w:spacing w:after="0" w:line="238" w:lineRule="auto"/>
        <w:rPr>
          <w:sz w:val="20"/>
          <w:szCs w:val="20"/>
          <w:color w:val="auto"/>
        </w:rPr>
      </w:pPr>
      <w:r>
        <w:rPr>
          <w:rFonts w:ascii="Arial" w:cs="Arial" w:eastAsia="Arial" w:hAnsi="Arial"/>
          <w:sz w:val="14"/>
          <w:szCs w:val="14"/>
          <w:color w:val="auto"/>
        </w:rPr>
        <w:t>Portions of the registrant’s definitive proxy statement relating to the registrant’s 2021 annual meeting of stockholders (the “2021 Proxy Statement”), to be filed with the Securities and Exchange Commission within 120 days after the end of the fiscal year covered by this Annual Report on Form 10-K are incorporated by reference into Part III of this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RUNWAY GROWTH CREDIT FUND INC.</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7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1B.</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Unresolved Staff Comments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2.</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Properties</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Disclosures</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73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Market for Registrant’s Common Equity, Related Stockholder Matters and Issuer Purchases of Equity</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w:t>
              </w:r>
            </w:hyperlink>
          </w:p>
        </w:tc>
        <w:tc>
          <w:tcPr>
            <w:tcW w:w="8160" w:type="dxa"/>
            <w:vAlign w:val="bottom"/>
            <w:gridSpan w:val="3"/>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Securities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6.</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Selected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7.</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color w:val="0000EE"/>
              </w:rPr>
            </w:pPr>
            <w:hyperlink w:anchor="page76">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8.</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Financial Statements and Supplementary Data</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Changes in and Disagreements with Accountants on Accounting and Financial Disclosure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Controls and Procedures</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Item 9B.</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7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Directors, Executive Officers and Corporate Governance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11.</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Executive Compensation</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Security Ownership of Certain Beneficial Owners and Management and Related Stockholder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160" w:type="dxa"/>
            <w:vAlign w:val="bottom"/>
            <w:gridSpan w:val="3"/>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Relationships and Related Transactions, and Director Independence</w:t>
              </w:r>
            </w:hyperlink>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color w:val="0000EE"/>
              </w:rPr>
            </w:pPr>
            <w:hyperlink w:anchor="page124">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Principal Accounting Fees and Services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7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rFonts w:ascii="Arial" w:cs="Arial" w:eastAsia="Arial" w:hAnsi="Arial"/>
                <w:sz w:val="18"/>
                <w:szCs w:val="18"/>
                <w:color w:val="0000EE"/>
              </w:rPr>
            </w:pPr>
            <w:hyperlink w:anchor="page125">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160" w:type="dxa"/>
            <w:vAlign w:val="bottom"/>
            <w:gridSpan w:val="3"/>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Exhibits and Financial Statement Schedules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rFonts w:ascii="Arial" w:cs="Arial" w:eastAsia="Arial" w:hAnsi="Arial"/>
                <w:sz w:val="18"/>
                <w:szCs w:val="18"/>
                <w:u w:val="single" w:color="auto"/>
                <w:color w:val="0000EE"/>
                <w:w w:val="95"/>
              </w:rPr>
            </w:pPr>
            <w:hyperlink w:anchor="page128">
              <w:r>
                <w:rPr>
                  <w:rFonts w:ascii="Arial" w:cs="Arial" w:eastAsia="Arial" w:hAnsi="Arial"/>
                  <w:sz w:val="18"/>
                  <w:szCs w:val="18"/>
                  <w:u w:val="single" w:color="auto"/>
                  <w:color w:val="0000EE"/>
                  <w:w w:val="95"/>
                </w:rPr>
                <w:t>Signatures</w:t>
              </w:r>
            </w:hyperlink>
          </w:p>
        </w:tc>
        <w:tc>
          <w:tcPr>
            <w:tcW w:w="7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2"/>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Credit Fund Inc.</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Runway Growth Credit Fund Inc., a Maryland corporation formed on August 31, 2015 (“we,” “us,” “our,” or the “Company”), is structured as an externally managed, non-diversified closed-end management investment company. We are a specialty finance company focused on providing senior secured loans to rapidly growing companies in a variety of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Del Mar, California; and New York, New York.</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currently qualify, and intend to continue to qualify for treatment as a RIC. While we intend to qualify to be treated as a RIC annually, no assurance can be provided that we will be able to maintain our tax treatment as a RIC. If we fail to qualify for tax treatment as a RIC for any taxable year, we will be subject to corporate-level U.S. federal income tax on any net taxable income for such year. See “— Certain U.S. Federal Income Tax Considerations” and “Note 2 — Summary of Significant Accounting Policies” to our financial statements in Part II, Item 8 of this Form 10-K for more information.</w:t>
      </w:r>
    </w:p>
    <w:p>
      <w:pPr>
        <w:spacing w:after="0" w:line="178"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(the “Initial Closing”) in our first private offering of shares of common stock to investors (the “Initial Private Offering”) in reliance on exemptions from the registration requirements of the Securities Act of 1933, as amended (together with the rules and regulations promulgated thereunder, the “Securities Act”), and other applicable securities laws. The final closing of the Initial Private Offering occurred on December 1, 2017. In connection with the Initial Private Offering, we issued 18,241,157 shares of our common stock to stockholders for a total purchase price of $275,000,000. As of December 31, 2020, we had completed multiple closings under our second private offering (the “Second Private Offering”) and had accepted capital commitments of $174,673,500. As of December 31, 2020, in connection with the Second Private Offering, we have issued an aggregate of 8,352,251 shares for a total purchase price of $125,283,766. In March 2020, we issued 2,103 shares as an additional direct investment of $31,542 by Runway Growth Holdings LLC, an affiliate of RGC. As of December 31, 2020, we have issued 4,816,873 shares for a total purchase price of $70,757,547 in connection with our dividend reinvestment plan. We expect to operate as a “private” BDC while we continue to invest the proceeds of our private offerings and any future private offerings of our securities. During the fourth quarter of 2020, we made an alternative trading system (the “Trading Platform”) operated by The Nasdaq Private Market, LLC or its affiliates available to stockholders to offer a liquidity option pursuant to which stockholders were able to access the Trading Platform to identify available secondary trading opportunities. In addition, in the future, if market conditions are favorable and subject to any requisite SEC exemptive relief, we plan to seek out additional liquidity options for our stockholders, which may include the opportunity to elect to participate in a Spin-Off transaction, as further discussed in “— Investor Optionality; Potential Spin-Offs”.</w:t>
      </w:r>
    </w:p>
    <w:p>
      <w:pPr>
        <w:spacing w:after="0" w:line="3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From the commencement of investment operations on December 16, 2016, through December 31, 2020, we funded 41 portfolio companies and invested $769.5 million in debt and equity investments, excluding U.S. Treasury Bills. As of December 31, 2020, our debt investment portfolio consisted of 40 debt investments in 23 portfolio companies with an aggregate fair value of $502.3 million while our equity portfolio consisted of 34 warrant positions, three preferred stock positions and two common stock positions in 29 portfolio companies with an aggregate fair value of $49.1 million. As of December 31, 2020, 100%, or $502.0 million, of our debt investment portfolio at fair value consisted of senior term loans. As of December 31, 2020, our net assets were $466.2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referred to as “junk bonds” and have predominantly speculative characteristics with respect to the issuer’s capacity to pay interest and repay principal.</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For the year ended December 31, 2020, our debt investment portfolio had a dollar-weighted yield of 15.0% (excluding any yield from warrants). The warrants we receive from time to time when making loans to portfolio companies are excluded from the calculation of our dollar-weighted annualized yield because such warrants do not generate any yield since we do not receive dividends or other payments with respect to our outstanding warrants. We calculate the yield on dollar-weighted average debt investments for any period measured as (1) total investment income during the period divided by (2) the average of the fair value of debt investments outstanding on</w:t>
      </w:r>
    </w:p>
    <w:p>
      <w:pPr>
        <w:spacing w:after="0" w:line="2" w:lineRule="exact"/>
        <w:rPr>
          <w:sz w:val="20"/>
          <w:szCs w:val="20"/>
          <w:color w:val="auto"/>
        </w:rPr>
      </w:pPr>
    </w:p>
    <w:p>
      <w:pPr>
        <w:jc w:val="both"/>
        <w:ind w:firstLine="8"/>
        <w:spacing w:after="0" w:line="269"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last day of the calendar month immediately preceding the first day of the period and (b) the last day of each calendar month during the period. The dollar-weighted annualized yield represents the portfolio yield and will be higher than what investors will realize because it does not reflect our expenses or any sales load paid by investors. As of December 31, 2020, our debt investments had a dollar-weighted average outstanding term of 45 months and a dollar-weighted average remaining term of 32 months. As of December 31, 2020, substantially all of our debt investments had an original committed principal amount of between $4 million and $65 million, repayment terms of between 30 months and 60 months and pay cash interest at annual interest rates of between 9.05% and 12.05%. Our current dollar weighted average maturity for the portfolio is approximately 2.7 years.</w:t>
      </w:r>
    </w:p>
    <w:p>
      <w:pPr>
        <w:spacing w:after="0" w:line="18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(the “JOBS Act”). We could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2" w:lineRule="exact"/>
        <w:rPr>
          <w:sz w:val="20"/>
          <w:szCs w:val="20"/>
          <w:color w:val="auto"/>
        </w:rPr>
      </w:pPr>
    </w:p>
    <w:p>
      <w:pPr>
        <w:ind w:firstLine="8"/>
        <w:spacing w:after="0" w:line="323" w:lineRule="auto"/>
        <w:tabs>
          <w:tab w:leader="none" w:pos="31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RGC</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externally managed by Runway Growth Capital LLC (“RGC”), an investment adviser that has registered with the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RGC manages our day-to-day operations and provides us with investment advisory services pursuant to an investment advisory agreement, as amended and restated (the “Advisory Agreement”). Under the terms of the Advisory Agreement, RGC:</w:t>
      </w:r>
    </w:p>
    <w:p>
      <w:pPr>
        <w:spacing w:after="0" w:line="17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executes, closes and monitors the investments we make;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us with other such investment advisory, research and related services as we may, from time to time, reasonably require for the investment of our funds.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7 — Related Party Agreements and Transactions” to our financial statements in Part II, Item 8 of this Form 10-K for more information on the Advisory Agreement and the fee structure thereunder.</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1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with the Administrator (the “Administration Agreement”);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Committee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RGC’s investment committee (the “Investment Committee”) consists of R. David Spreng, who is its chairman and our President, Chief Executive Officer and Chairman of our Board of Directors, Thomas B. Raterman, our Chief Financial Officer, Treasurer and Secretary, Greg Greifeld, Managing Director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including a majority of the directors who were not “interested persons,” as defined in Section 2(a)(19) of the 1940 Act, of us or RGC, approved the Advisory Agreement at an in-person meeting on August 3, 2017 and recommended that our stockholders approve the Advisory Agreement. The Advisory Agreement became effective on September 12, 2017, upon approval by our stockholders at a special meeting of stockholders, and was most recently renewed by our Board of Directors at a virtual meeting on August 5, 2020. In reliance upon certain exemptive relief granted by the SEC in connection with the global COVID-19 pandemic, our Board of Directors undertook to ratify the Advisory Agreement at its next in-person meeting. In its consideration of the approval of the Advisory Agreement, our Board of Directors focused on information it had received relating to, among other things:</w:t>
      </w:r>
    </w:p>
    <w:p>
      <w:pPr>
        <w:spacing w:after="0" w:line="166"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provided to us by RGC under the terms of the Advisory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investment performance and the investment performance of RGC;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comparative data with respect to advisory fees or similar expenses paid by other BDCs with similar investment objectives;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about the services being performed and the personnel performing such services under the Advisory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RGC from its relationship with us and RGC’s profitability; and</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fee levels reflect these economies of scale for the benefit of our stockholders.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 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Administrator</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 Pursuant to the terms of the Administration Agreement, the amounts payable to the Administrator from us in any fiscal year will not exceed the greater of (i) 0.75% of the aggregate capital commitments as of the end of the most recently completed fiscal year and (ii) $1.0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Strategic Relationship</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mid-1980s in high yield bonds, convertible securities, distressed debt, real estate, control investments and listed equities. Oaktree is a leader among global investment managers specializing in alternative investments, with $148 billion in assets under management as of December 31, 2020. The firm emphasizes an opportunistic, value-oriented and risk-controlled approach to investments in credit, private equity, real assets and listed equities. The firm has over 1,000 employees and offices in 18 cities worldwide.</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strategic relationship, OCM Growth Holdings, LLC, a Delaware limited liability company (“OCM”) managed by Oaktree, made an initial $125 million capital commitment to us, which was subsequently increased to $139 million (the “Initial OCM Commitment”) in our Initial Private Offering. On June 14, 2019, in connection with our Second Private Offering, the Company accepted an additional capital commitment from OCM in the amount of $112.5 million (the “Subsequent OCM Commitment and, together with the Initial OCM Commitment, the “OCM Commitment”), for a total of capital commitment of $251.5 million. As of December 31, 2020, OCM owns 17,859,972 shares of our common stock or 57% of our total issued and outstanding shares. OCM has granted a proxy to us pursuant to which the shares held by OCM will be voted in the same proportion as our other stockholders vote their shares.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OCM Commitment, we entered into a stockholder agreement, dated December 15, 2016, with OCM pursuant to which OCM has a right to nominate a member of our Board of Directors for election. Brian Laibow was appointed to our Board of Directors, effective January 25, 2017, as OCM’s representative. OCM also holds an interest in RGC and has the right to appoint a member of RGC’s board of managers and a member of the Investment Committee. OCM’s appointee to RGC’s board of managers and Investment Committee is Brian Laibow. In connection with the Subsequent OCM Commitment, OCM also purchased additional equity in RGC.</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strategic relationship with Oaktree provides us with access to additional resources and investment opportunities by expanding our network of relationships with venture backed companies. RGC expects to continue to draw upon Oaktree’s over 20-year history in the investment management business and to continue to benefit from Oaktree’s investment professionals’ significant credit expertise developed through investments in different industries and over numerous companies in the United States. In addition, we expect to utilize Oaktree’s relationships to gain better access to leverage facilities with better terms and provisions than we would otherwise be able to obtain.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Liquidity Options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any time after December 2019, we intend to seek out liquidity options for our stockholders, which may include (a) the option to elect to either (i) retain their ownership of shares of our common stock, or (ii) exchange their shares of our common stock for shares of common stock in a newly formed entity (the “Public Fund”) that will elect to be regulated as a BDC under the 1940 Act and treated as a RIC under Subchapter M of the Code; (b) listing our common stock on a national securities exchange; (c) making the Trading Platform operated by The Nasdaq Private Market, LLC or its affiliates available to stockholders; or (d) offering to repurchase a portion of our shares of common stock outstanding from stockholders.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effectuate the spin-off of the Public Fund, we expect that we would need to, among other things, transfer to the Public Fund, in exchange for newly issued shares of the Public Fund, a pro rata portion of our assets and liabilities attributable to the investors that have elected to invest in the Public Fund (such transfer of assets and liabilities and the mechanics relating thereto are referred to herein as the “Spin-Off transaction”).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exclude any stockholder from participating in the Spin-Off transaction if, in our reasonable discretion, there is a substantial likelihood that such stockholder’s exchange of shares of our common stock at such time would cause us or the Public Fund to (i) be in violation of, or noncompliance with, any law or regulation to which such entity is or would be subject or (ii) be deemed to hold “plan assets” under the Employee Retirement Income Security Act of 1974, as amended (“ERISA”) or Section 4975 of the Code because the investments of “benefit plan investors” (within the meaning of Section 3(42) of ERISA and certain Department of Labor (“DOL”) regulations (such investors referred to herein as “Benefit Plan Investors”)) are deemed to be significant.</w:t>
      </w:r>
    </w:p>
    <w:p>
      <w:pPr>
        <w:spacing w:after="0" w:line="1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Because RGC would be managing both us and the Public Fund in connection with any Spin-Off transaction, and the 1940 Act prohibits entities under common control from engaging in certain transactions, we will be required to obtain exemptive and/or no-action relief from the SEC to permit us to transfer assets to a Public Fund, as well as with respect to other aspects relating to the Spin-Off transaction, including the calculation of incentive fee to be paid by us in connection with a Spin-Off transaction. We and RGC have applied for exemptive relief from the SEC to permit us to transfer assets to a Public Fund, as well as with respect to other aspects relating to the Spin-Off transaction, including the calculation of incentive fee to be paid by us in connection with a Spin-Off transaction, and we have received comments from the SEC. There can be no assurance that we will be able to obtain such exemptive and/or no-action relief from the SEC. If we are unable to do so, then we will continue our operations in the manner otherwise set forth in this annual report on Form 10-K and our public filings with the SEC.</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also offer to repurchase a portion of our shares of common stock outstanding from stockholders. If we elect to offer to repurchase a portion of our shares of common stock outstanding, we expect that only a limited number of shares will be eligible for repurchase from stockholders. In addition, any such repurchases will be subject to applicable restrictions and requirements under the federal securities laws and the 1940 Act, will be at a price equal to our most recently determined net asset value per share, which may be at a discount to the price at which a stockholder purchased shares of common stock, and will be subject to any applicable lock-up period.</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have made and may in the future make the Trading Platform operated by The Nasdaq Private Market, LLC or its affiliates available to stockholders. Stockholders will be able to access the Trading Platform to identify available secondary trading opportunities. Secondary trading on the Trading Platform will be subject to applicable law and will be restricted solely to accredited investors and subject to any applicable lock-up period. Stockholders who access the Trading Platform will be subject to certain transaction fees that will not be reimbursed by us or by RGC.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 and Approach</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Through our Sponsored Growth Lending and Non-Sponsored Growth Lending strategies, we invest in senior secured term loans and other senior debt obligations and may on occasion invest in second lien loans. We also expect to acquire equity securities in connection with our investments in secured loans. We expect to build a balanced portfolio with diversification among sponsored and non-sponsored transactions, diversification among sponsors within the sponsored segment, diversification among industry, geography, and stage of development, all contributing to a favorable risk adjusted return for the portfolio viewed as a whole. In addition yields will fluctuate during vary stages of the credit cycle, interest rate environments, and with changing competitive pressures. For instance, typically when interest rates are low and a credit cycle extended,</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new entrants will enter traditionally higher yielding markets creating additional competition and temporarily compressing yields. We believe the credit markets, and in particular the market for our lending strategies, are presently experiencing such pressures. We typically invest in what we believe to be high growth-potential, private companies. We primarily originate our own investments in the debt and, to a lesser extent, equity of our portfolio companies and utilize a disciplined approach to providing growth capital to these companies. The types of loans in which we typically invest are senior secured term loans and other senior debt obligations and, less frequently, second lien secured loans. These loans generally fall into two strategies: Sponsored Growth Lending and Non-Sponsored Growth Lending. In addition to our core strategy of providing sponsored growth lending and non-sponsored growth lending, we may also opportunistically participate in the secondary markets for sponsored growth lending and non-sponsored growth lending.</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Sponsored Growth Lending. </w:t>
      </w:r>
      <w:r>
        <w:rPr>
          <w:rFonts w:ascii="Arial" w:cs="Arial" w:eastAsia="Arial" w:hAnsi="Arial"/>
          <w:sz w:val="17"/>
          <w:szCs w:val="17"/>
          <w:color w:val="auto"/>
        </w:rPr>
        <w:t>Our Sponsored Growth Lending generally includes loans to companies that are already backed by</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venture capital and private equity firms. Our Sponsored Growth Lending typically includes the receipt of warrants and/or other equity from the venture-backed companies. We refer to these target borrowers as “venture-backed companies.” We target venture-backed companies at all stages of development, with a bias towards later-stage, including those that are pre-revenue. To a limited extent, we also selectively lend to publicly traded companies with venture capital ownership. We focus on lending to companies focused in technology, life sciences, healthcare information and services, business services and other high-growth industries. The technology sectors we focus on include communications, networking, data storage, software, cloud computing, semiconductor, power management, internet and media and consumer-related technologies. The life science sectors we focus on include biotechnology, drug discovery, drug delivery, bioinformatics and medical devices. The healthcare information and services sectors we focus on include diagnostics, medical-record services and software and other healthcare-related services and technologies that improve efficiency and quality of administered healthcare.</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Sponsored Growth Lending strategy we follow is particularly attractive because the loans have high yields and additional equity upside. Investors may receive significant current income while gaining access to equity upside in companies that are often backed by the nation’s top-tier and other respected venture capital investors. We believe our Sponsored Growth Lending strategy typically:</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us access to many high-quality companies backed by top-tier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delivers consistent returns through double-digit loan yields;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participates in equity upside via warrants.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Non-Sponsored Growth Lending</w:t>
      </w:r>
      <w:r>
        <w:rPr>
          <w:rFonts w:ascii="Arial" w:cs="Arial" w:eastAsia="Arial" w:hAnsi="Arial"/>
          <w:sz w:val="18"/>
          <w:szCs w:val="18"/>
          <w:color w:val="auto"/>
        </w:rPr>
        <w:t>. Our Non-Sponsored Growth Lending generally includes loans to fast-growing private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backed by a professional equity investor sponsor, a venture capital firm or a private equity firm or are funded by entrepreneurs themselves or no longer require institutional equity investment, including publicly traded small-cap companies. We refer to these target borrowers as “non-sponsored growth companies.” As opposed to Sponsored Growth Lending, in the case of Non-Sponsored Growth Lending, we generally target companies with annual revenue of at least $20 million per year. To a limited extent, we also selectively provide non-sponsored growth loans to publicly traded companies.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our lending approach significantly reduces the volatility inherent in financing emerging-growth companies.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the following attributes, which we expect to be included in most of the loans of our investment strategies, present an attractive risk profile:</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meaningful amortization over the life of each loan and short to medium loan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low ratio of leverage to enterprise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secured collateral position.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there are significant barriers to entry in providing sponsored growth lending and non-sponsored growth lending, which results generally, in an environment with a limited number of competitors. In particular, we believe we will be able to capitalize on the following crucial elements for success in the private growth company lending market:</w:t>
      </w:r>
    </w:p>
    <w:p>
      <w:pPr>
        <w:spacing w:after="0" w:line="184"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top-tier and other respected venture capital investors, growth company entrepreneurs, and other deal referral sources;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reputation as a reliable, supportive, and value-added partner;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accurately determine credit risk and gauge warrant potential;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in the unique aspects of growth company debt pricing, structure, portfolio construction and management.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above elements are not easily acquired and take years to establish. We believe RGC’s experienced, disciplined, and cohesive investment team possesses these necessary capabilities.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Typical terms of our Sponsored Growth Lending and Non-Sponsored Growth Lending are as follows: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loan-size ranges from $10 million to $50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total repayment periods: typically, 36 to 60 months or less;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provide for interest-only or moderate loan amortization in the initial period of the loan;</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unlevered yield-to-maturity (</w:t>
      </w:r>
      <w:r>
        <w:rPr>
          <w:rFonts w:ascii="Arial" w:cs="Arial" w:eastAsia="Arial" w:hAnsi="Arial"/>
          <w:sz w:val="18"/>
          <w:szCs w:val="18"/>
          <w:i w:val="1"/>
          <w:iCs w:val="1"/>
          <w:color w:val="auto"/>
        </w:rPr>
        <w:t>i.e</w:t>
      </w:r>
      <w:r>
        <w:rPr>
          <w:rFonts w:ascii="Arial" w:cs="Arial" w:eastAsia="Arial" w:hAnsi="Arial"/>
          <w:sz w:val="18"/>
          <w:szCs w:val="18"/>
          <w:color w:val="auto"/>
        </w:rPr>
        <w:t>., the total return anticipated on a debt investment if it is held until maturity) generally ranging from 10% to 14%, which may include current interest payments, revenue participation, upfront and facility fees, an end-of-term payment and/or a payment-in-kind (“PIK”) interest payment;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acquire preferred or common stock in the prospective borrower that allow us to participate in any equity appreciation and enhance our overall returns;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secured lien on the borrower’s assets, including a pledge on or a promise by the borrower to not pledge the borrower’s intellectual property to another individual or lender;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and/or flexible covenant structures and, with certain affirmative and negative covenants, default penalties, lien protection, investor abandonment provisions, material adverse change provisions, change-of-control provisions, restrictions on additional use of leverage, and reimbursement for upfront and regular internal and third-party expenses and prepayment penalties.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very low historically low interest rates, has reduced investment yields and resulted in more borrower friendly terms and conditions.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and/or its affiliates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target market consists of companies that combine experienced management and an emphasis on rapid growth in large markets.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Diversified high growth-potential industries: </w:t>
      </w:r>
      <w:r>
        <w:rPr>
          <w:rFonts w:ascii="Arial" w:cs="Arial" w:eastAsia="Arial" w:hAnsi="Arial"/>
          <w:sz w:val="17"/>
          <w:szCs w:val="17"/>
          <w:color w:val="auto"/>
        </w:rPr>
        <w:t>We target companies active in industries that support extremely rapid growth. Our</w:t>
      </w:r>
      <w:r>
        <w:rPr>
          <w:rFonts w:ascii="Arial" w:cs="Arial" w:eastAsia="Arial" w:hAnsi="Arial"/>
          <w:sz w:val="17"/>
          <w:szCs w:val="17"/>
          <w:i w:val="1"/>
          <w:iCs w:val="1"/>
          <w:color w:val="auto"/>
        </w:rPr>
        <w:t xml:space="preserve"> </w:t>
      </w:r>
      <w:r>
        <w:rPr>
          <w:rFonts w:ascii="Arial" w:cs="Arial" w:eastAsia="Arial" w:hAnsi="Arial"/>
          <w:sz w:val="17"/>
          <w:szCs w:val="17"/>
          <w:color w:val="auto"/>
        </w:rPr>
        <w:t>Sponsored Growth Lending strategy is focused on industry sectors where venture capital investors are active, primarily technology, life sciences, healthcare information and services, business services and other high-growth industries. High-potential companies in sectors such as technology, life sciences, healthcare information and services and business services represent a large and fast-growing sector of the U.S. economy. This sector’s continued growth is supported by ongoing innovation and performance improvements in specific products as well as the adoption of innovative technologies and services across virtually all industries in response to competitive pressures. Term debt has been used by many of the largest, most successful venture-backed companies. For example, both Google and Facebook utilized term debt in their capital structures. Our Non-Sponsored Growth Lending strategy is not targeted at any specific industry sector, although we do intend to avoid restaurants, retail and real estate.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An attractive market opportunity exists for a lender that invests in secured loans to high-potential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that have not yet achieved profitability as there are strong incentives for borrowers and lenders in this market to transact with one another. Sponsored growth lending provides an attractive source of funds for venture-backed companies, their management teams, and their equity capital investors, as it:</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typically less dilutive and complements equity financing from venture capital and private equity funds;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extends the time period during which a company can operate before seeking additional equity capital or pursuing a sale transaction or other liquidity event;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allows companies to better match cash sources with uses.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benefits to sponsored growth lenders include:</w:t>
      </w:r>
    </w:p>
    <w:p>
      <w:pPr>
        <w:spacing w:after="0" w:line="225"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support in the form of cash proceeds from equity capital invested by venture capital and private equity firms with the goal of building enterprise value;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that are usually higher than rates portfolio companies could secure if they could borrow from commercial financing institutions, which normally require asset coverage and operating cash flow covenants;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relatively rapid amortization of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loans to minimize potential loss of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Non-Sponsored Growth Lending: </w:t>
      </w:r>
      <w:r>
        <w:rPr>
          <w:rFonts w:ascii="Arial" w:cs="Arial" w:eastAsia="Arial" w:hAnsi="Arial"/>
          <w:sz w:val="18"/>
          <w:szCs w:val="18"/>
          <w:color w:val="auto"/>
        </w:rPr>
        <w:t>An attractive market opportunity exists for a lender that invests in secured loans to high-potential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that are growing rapidly, have reached profitability and need long-term growth capital but do not want the complications that come with selling equity to venture capital or private equity firms.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Non-sponsored growth lending provides an attractive alternative to equity capital as a source of funds for non-sponsored, high-potential, fast-growing companies, as it provides all or some of the following benefits:</w:t>
      </w:r>
    </w:p>
    <w:p>
      <w:pPr>
        <w:spacing w:after="0" w:line="17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growth capital without the requirement to take on institutional-size investments that may exceed the company’s capital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deductible interest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significant operational involvement;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personal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very modest dilution,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loss of managerial control or forced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Dynamics Creating More Opportunities for Sponsored Growth Lending</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i w:val="1"/>
          <w:iCs w:val="1"/>
          <w:color w:val="auto"/>
        </w:rPr>
        <w:t xml:space="preserve">Healthy, stable venture environment: </w:t>
      </w:r>
      <w:r>
        <w:rPr>
          <w:rFonts w:ascii="Arial" w:cs="Arial" w:eastAsia="Arial" w:hAnsi="Arial"/>
          <w:sz w:val="16"/>
          <w:szCs w:val="16"/>
          <w:color w:val="auto"/>
        </w:rPr>
        <w:t>The number of companies receiving venture capital financing in 2020 was 11,024, according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National Venture Capital Association (“NVCA”), and roughly 26.2% of these transactions were first-round financings. The number of financings has averaged over 10,100 for the past ten years, and during this period approximately one-third of these transactions were first time financings. The annual level of venture investment since 2002 has generally been in the $20- to $40- billion range with a significant increase to $73.4 billion in 2014. Venture investment has continued to trend upward since 2014. Venture investment totaled $87.1 billion in 2017, $142.7 billion in 2018, and $138.1 billion in 2019. The market saw a record high in 2020 with $156.2 billion in venture investment. Despite the challenges of 2020, there is evidence of a healthy, stable venture environment where venture capital investment is consistently flowing into high-potential, technology-related companies. The significant increase in investment amounts beginning in 2014 through 2020 is largely the result of growth investments in later-stage companies that are staying private longer. The sponsored growth lending market is estimated to be one-seventh of venture investment activity in any given year, translating to a market for loan origination of over $18 billion based on an average year of venture funding of approximately $130 billion.</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We believe that these statistics validate a substantial market opportunity and simultaneously support availability of capital for repayment. Based on our experience, many sponsored-growth loans are repaid from proceeds of new venture-equity financing.</w:t>
      </w:r>
    </w:p>
    <w:p>
      <w:pPr>
        <w:spacing w:after="0" w:line="18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i w:val="1"/>
          <w:iCs w:val="1"/>
          <w:color w:val="auto"/>
        </w:rPr>
        <w:t xml:space="preserve">Growing pool of target companies: </w:t>
      </w:r>
      <w:r>
        <w:rPr>
          <w:rFonts w:ascii="Arial" w:cs="Arial" w:eastAsia="Arial" w:hAnsi="Arial"/>
          <w:sz w:val="17"/>
          <w:szCs w:val="17"/>
          <w:color w:val="auto"/>
        </w:rPr>
        <w:t>The average time from initial venture capital investment to exit, either by an initial public</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(IPO) or merger and acquisition transaction, has lengthened considerably. According to the NVCA 2015 Yearbook, in 1998 the average number of years from initial venture investment to IPO of a U.S. venture capital-backed company was approximately three years; that number has steadily increased and has been approximately six years since 2012.</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According to the 2020 Pitchbook NVCA Q4 2020 Venture Monitor, the median time to exit is now 5.3 years. Exits are a small (10 – 15%) proportion of companies financed by venture capital each year. As a result, the pool of target companies has grown larger.</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Venture investment consistently outstripping venture commitments: </w:t>
      </w:r>
      <w:r>
        <w:rPr>
          <w:rFonts w:ascii="Arial" w:cs="Arial" w:eastAsia="Arial" w:hAnsi="Arial"/>
          <w:sz w:val="17"/>
          <w:szCs w:val="17"/>
          <w:color w:val="auto"/>
        </w:rPr>
        <w:t>According to the NVCA, in 2020, $73.6 billion was raised by</w:t>
      </w:r>
      <w:r>
        <w:rPr>
          <w:rFonts w:ascii="Arial" w:cs="Arial" w:eastAsia="Arial" w:hAnsi="Arial"/>
          <w:sz w:val="17"/>
          <w:szCs w:val="17"/>
          <w:i w:val="1"/>
          <w:iCs w:val="1"/>
          <w:color w:val="auto"/>
        </w:rPr>
        <w:t xml:space="preserve"> </w:t>
      </w:r>
      <w:r>
        <w:rPr>
          <w:rFonts w:ascii="Arial" w:cs="Arial" w:eastAsia="Arial" w:hAnsi="Arial"/>
          <w:sz w:val="17"/>
          <w:szCs w:val="17"/>
          <w:color w:val="auto"/>
        </w:rPr>
        <w:t>321 funds, compared to $156 billion invested in the same year. 2020 was the fifteenth year in which more money was invested by the industry than raised in new commitments. This dynamic has created strong interest in raising new venture funds; however, the fact that companies receiving venture equity investment have taken longer to achieve liquidity than similar companies a decade earlier has led to cautious investing, as traditional investors in limited partnership funds are hesitant to commit to new funds until older commitments are returned. As a result, venture capital firms continue to supplement portfolio company equity with sponsored growth lending. Sponsored growth lending is now a valued component in the capital structure of most venture-backed companies.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Limited competition: </w:t>
      </w:r>
      <w:r>
        <w:rPr>
          <w:rFonts w:ascii="Arial" w:cs="Arial" w:eastAsia="Arial" w:hAnsi="Arial"/>
          <w:sz w:val="16"/>
          <w:szCs w:val="16"/>
          <w:color w:val="auto"/>
        </w:rPr>
        <w:t>Many viable venture-backed companies have been unable to obtain sufficient growth financing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largely do not apply to these companies. We also believe that our relationship-based approach to investing, which leverages the expertise of the Investment Committee in developing strong relationships with venture capital investors and venture capital-backed companies, helps us to assess investment risks and determine appropriate pricing for our investments in portfolio companies. In addition, we expect that the relationships of RGC’s senior investment professionals will enable us to learn about, and compete effectively for, financing opportunities with attractive companies in the industries in which we seek to invest.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0" w:firstLine="8"/>
        <w:spacing w:after="0" w:line="207" w:lineRule="auto"/>
        <w:tabs>
          <w:tab w:leader="none" w:pos="15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 xml:space="preserve">Timo Fischer &amp; Gaétan de Rassenfosse, </w:t>
      </w:r>
      <w:r>
        <w:rPr>
          <w:rFonts w:ascii="Arial" w:cs="Arial" w:eastAsia="Arial" w:hAnsi="Arial"/>
          <w:sz w:val="18"/>
          <w:szCs w:val="18"/>
          <w:i w:val="1"/>
          <w:iCs w:val="1"/>
          <w:color w:val="auto"/>
        </w:rPr>
        <w:t>Venture Debt Financing: Determinants of the Lending Decision</w:t>
      </w:r>
      <w:r>
        <w:rPr>
          <w:rFonts w:ascii="Arial" w:cs="Arial" w:eastAsia="Arial" w:hAnsi="Arial"/>
          <w:sz w:val="18"/>
          <w:szCs w:val="18"/>
          <w:color w:val="auto"/>
        </w:rPr>
        <w:t>, at 8 (Oct. 12, 2012), available at http://ssrn.com/abstract=1909602.</w:t>
      </w:r>
    </w:p>
    <w:p>
      <w:pPr>
        <w:spacing w:after="0" w:line="12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Nat’l Venture Capital Association, 2015 National Venture Capital Association Yearbook.</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49" w:lineRule="exact"/>
        <w:rPr>
          <w:rFonts w:ascii="Arial" w:cs="Arial" w:eastAsia="Arial" w:hAnsi="Arial"/>
          <w:sz w:val="27"/>
          <w:szCs w:val="27"/>
          <w:color w:val="auto"/>
          <w:vertAlign w:val="superscript"/>
        </w:rPr>
      </w:pPr>
    </w:p>
    <w:p>
      <w:pPr>
        <w:ind w:left="4880"/>
        <w:spacing w:after="0"/>
        <w:rPr>
          <w:rFonts w:ascii="Arial" w:cs="Arial" w:eastAsia="Arial" w:hAnsi="Arial"/>
          <w:sz w:val="27"/>
          <w:szCs w:val="27"/>
          <w:color w:val="auto"/>
          <w:vertAlign w:val="superscript"/>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ten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currently have any employees. R. David Spreng, our President, Chief Executive Officer and Chairman of our Board of Directors, is also the founder, President, Chief Executive Officer and Chief Investment Officer of RGC. Thomas B. Raterman is our Chief Financial Officer, Treasurer, and Secretary, and serves as the Chief Financial Officer of RGC. Our Chief Financial Officer performs his functions for us under the terms of our Administration Agreement. We have also retained Carl M. Rizzo of Alaric Compliance Services LLC to serve as our Chief Compliance Officer pursuant to an agreement with Alaric Compliance Services LLC. Mr. Rizzo also serves as the Chief Compliance Officer for RGC.</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currently are, and expect to remain, an “emerging growth company,” as that term is used in the JOBS Act until the earliest of:</w:t>
      </w:r>
    </w:p>
    <w:p>
      <w:pPr>
        <w:spacing w:after="0" w:line="24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IPO,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are equal to or greater than $1,070,000,000;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date on which we have, during the preceding three-year period, issued more than $1.0 billion in non-convertible debt; and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any June 30.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10-K.</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 stockholder” is a beneficial owner of shares of our common stock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created or organized in or under the laws of the United States, any state therein or the District of Columbia;</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 a trust if a court within the United States can exercise primary jurisdiction over the administration of the trust and one or more U.S. persons have authority to control all substantial decisions of the trust.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“non-U.S. stockholder” means a beneficial owner of shares of our common stock that is for U.S. federal income tax purposes:</w:t>
      </w:r>
    </w:p>
    <w:p>
      <w:pPr>
        <w:spacing w:after="0" w:line="23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elected to be treated as a RIC under Subchapter M of the Code, currently qualify and intend to continue to qualify for treatment as a RIC. As a RIC, we generally will not pay corporate-level U.S. federal income taxes on any ordinary income or capital gains that we timely distribute to our stockholders as dividends.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qualify as a RIC, we must, among other things: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the annual distribution requirements;</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1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or the securities of one or more QPTPs, or the “Diversification Tests.”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a RIC, we (but not our stockholders)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w:t>
      </w:r>
    </w:p>
    <w:p>
      <w:pPr>
        <w:spacing w:after="0" w:line="2" w:lineRule="exact"/>
        <w:rPr>
          <w:sz w:val="20"/>
          <w:szCs w:val="20"/>
          <w:color w:val="auto"/>
        </w:rPr>
      </w:pPr>
    </w:p>
    <w:p>
      <w:pPr>
        <w:jc w:val="both"/>
        <w:ind w:firstLine="8"/>
        <w:spacing w:after="0" w:line="288" w:lineRule="auto"/>
        <w:tabs>
          <w:tab w:leader="none" w:pos="2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federal corporate income tax, including the 4% U.S. federal excise tax described below.</w:t>
      </w:r>
    </w:p>
    <w:p>
      <w:pPr>
        <w:spacing w:after="0" w:line="1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subject to a nondeductible 4% U.S. federal excise tax on certain of our undistributed income, unless we timely distribute each calendar year (or are deemed to have timely distributed each calendar year) an amount equal to the sum of:</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least 98.2% of the amount by which our capital gains exceed our capital losses (adjusted for certain ordinary losses) for a one-year period generally ending on October 31 of the calendar year (unless an election is made by us to use our taxable year); and</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net ordinary income and capital gain net income that we recognized in previous years but was not distributed during such years and on which we paid no corporate-level U.S. federal income tax.</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intend to distribute any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While we have elected, and expect to qualify, to be treated as a RIC for 2020 and intend to qualify to be treated as a RIC annually, no assurance can be provided that we will qualify for tax treatment as a RIC for any taxable year. For example, we may have difficulty satisfying the diversification requirements after the consummation of the initial Spin-Off transaction if we decide to liquidate our portfolio since we will not be making additional investments. While we generally will not lose our status as a RIC as long as we do not acquire any non-qualifying securities or other property, under certain circumstances we may be deemed to have made an acquisition of non-qualifying securities or other property. If we have previously qualified as a RIC, but were subsequently unable to qualify for treatment as a RIC, and certain amelioration provisions are not applicable, we would be subject to tax on all of our taxable income (including our net capital gains) at regular corporate rates. We would not be able to deduct distributions to stockholders, nor would we be required to make distributions.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regular corporate tax on any net built-in gains with respect to certain of our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remainder of this discussion assumes that we qualify as a RIC for each taxable year.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Investments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w:t>
      </w:r>
    </w:p>
    <w:p>
      <w:pPr>
        <w:jc w:val="both"/>
        <w:ind w:firstLine="8"/>
        <w:spacing w:after="0" w:line="269" w:lineRule="auto"/>
        <w:tabs>
          <w:tab w:leader="none" w:pos="2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Debt Instruments. </w:t>
      </w:r>
      <w:r>
        <w:rPr>
          <w:rFonts w:ascii="Arial" w:cs="Arial" w:eastAsia="Arial" w:hAnsi="Arial"/>
          <w:sz w:val="17"/>
          <w:szCs w:val="17"/>
          <w:color w:val="auto"/>
        </w:rPr>
        <w:t>In certain circumstances, we may be required to recognize taxable income prior to the time at which we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cash. For example, if we hold debt instruments that are treated under applicable tax rules as having original issue discount (such as debt instruments with an end-of-term payment and/or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Gain or loss realized by us from the sale or exchange of warrants acquired by us as well as any loss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lapse of such warrants generally are treated as capital gain or loss. The treatment of such gain or loss as long-term or short-term generally depends on how long we held a particular warrant and on the nature of the disposition transaction.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Investments. </w:t>
      </w:r>
      <w:r>
        <w:rPr>
          <w:rFonts w:ascii="Arial" w:cs="Arial" w:eastAsia="Arial" w:hAnsi="Arial"/>
          <w:sz w:val="18"/>
          <w:szCs w:val="18"/>
          <w:color w:val="auto"/>
        </w:rPr>
        <w:t>In the event we invest in foreign securities, we may be subject to withholding and other foreign taxes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those securities. We do not expect to satisfy the requirement to pass through to our stockholders their share of the foreign taxes paid by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Passive Foreign Investment Companies. </w:t>
      </w:r>
      <w:r>
        <w:rPr>
          <w:rFonts w:ascii="Arial" w:cs="Arial" w:eastAsia="Arial" w:hAnsi="Arial"/>
          <w:sz w:val="16"/>
          <w:szCs w:val="16"/>
          <w:color w:val="auto"/>
        </w:rPr>
        <w:t>We may invest in the stock of a foreign corporation which is classified as a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investment 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Under the Code, gains or losses attributable to fluctuations in exchange rates which occur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 Until an IPO, if any, we do not intend to list our common stock on a stock exchange, and it will not be publicly traded.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 — Risks Related to Our Business and Structure” in Part I, Item 1A of this Form 10-K for more information.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and/or its affiliates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Related to Our Business and Structure” in Part I,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84" w:lineRule="exact"/>
        <w:rPr>
          <w:sz w:val="20"/>
          <w:szCs w:val="20"/>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71" w:lineRule="exact"/>
        <w:rPr>
          <w:rFonts w:ascii="Arial" w:cs="Arial" w:eastAsia="Arial" w:hAnsi="Arial"/>
          <w:sz w:val="17"/>
          <w:szCs w:val="17"/>
          <w:color w:val="auto"/>
        </w:rPr>
      </w:pPr>
    </w:p>
    <w:p>
      <w:pPr>
        <w:ind w:left="1000" w:hanging="344"/>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25" w:lineRule="exact"/>
        <w:rPr>
          <w:rFonts w:ascii="Arial" w:cs="Arial" w:eastAsia="Arial" w:hAnsi="Arial"/>
          <w:sz w:val="18"/>
          <w:szCs w:val="18"/>
          <w:color w:val="auto"/>
        </w:rPr>
      </w:pPr>
    </w:p>
    <w:p>
      <w:pPr>
        <w:ind w:left="660" w:hanging="4"/>
        <w:spacing w:after="0" w:line="277" w:lineRule="auto"/>
        <w:tabs>
          <w:tab w:leader="none" w:pos="1021"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225" w:lineRule="exact"/>
        <w:rPr>
          <w:rFonts w:ascii="Arial" w:cs="Arial" w:eastAsia="Arial" w:hAnsi="Arial"/>
          <w:sz w:val="18"/>
          <w:szCs w:val="18"/>
          <w:color w:val="auto"/>
        </w:rPr>
      </w:pPr>
    </w:p>
    <w:p>
      <w:pPr>
        <w:ind w:left="780" w:firstLine="135"/>
        <w:spacing w:after="0" w:line="277" w:lineRule="auto"/>
        <w:tabs>
          <w:tab w:leader="none" w:pos="1334" w:val="left"/>
        </w:tabs>
        <w:numPr>
          <w:ilvl w:val="2"/>
          <w:numId w:val="26"/>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170" w:lineRule="exact"/>
        <w:rPr>
          <w:rFonts w:ascii="Arial" w:cs="Arial" w:eastAsia="Arial" w:hAnsi="Arial"/>
          <w:sz w:val="18"/>
          <w:szCs w:val="18"/>
          <w:color w:val="auto"/>
        </w:rPr>
      </w:pPr>
    </w:p>
    <w:p>
      <w:pPr>
        <w:ind w:left="780" w:right="20" w:firstLine="135"/>
        <w:spacing w:after="0" w:line="277" w:lineRule="auto"/>
        <w:tabs>
          <w:tab w:leader="none" w:pos="1377" w:val="left"/>
        </w:tabs>
        <w:numPr>
          <w:ilvl w:val="2"/>
          <w:numId w:val="2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 or</w:t>
      </w:r>
    </w:p>
    <w:p>
      <w:pPr>
        <w:spacing w:after="0" w:line="170" w:lineRule="exact"/>
        <w:rPr>
          <w:rFonts w:ascii="Arial" w:cs="Arial" w:eastAsia="Arial" w:hAnsi="Arial"/>
          <w:sz w:val="18"/>
          <w:szCs w:val="18"/>
          <w:color w:val="auto"/>
        </w:rPr>
      </w:pPr>
    </w:p>
    <w:p>
      <w:pPr>
        <w:ind w:left="780" w:firstLine="135"/>
        <w:spacing w:after="0" w:line="277" w:lineRule="auto"/>
        <w:tabs>
          <w:tab w:leader="none" w:pos="13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is a small and solvent company having gross assets of not more than $4.0 million and capital and surplus of not less than $2.0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 current gross assets were comprised of qualifying assets. We would not be required, however, to dispose of any non-qualifying assets in such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170"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delegated our proxy voting responsibility to RGC. The Proxy Voting Policies and Procedures of RGC are set forth below. The guidelines will be reviewed periodically by RGC and our non-interested directors, and, accordingly, are subject to change. For purposes of the Proxy Voting Policies and Procedures described below, “we,” “our” and “us” refers to RGC.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Policies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proxy-voting decisions will be made by the senior officers who are responsible for monitoring each of our clients’ investments. To ensure that our vote is not the product of a conflict of interest, we will require that: (1) anyone involved in the decision-making process disclose to our management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Runway Growth Capital LLC, 205 N. Michigan Ave., Suite 4200, Chicago, IL 60601.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as well as reports on Forms 3, 4 and 5 regarding directors, officers or 10% beneficial owners of us, filed or furnished pursuant to section 13(a), 15(d) or 16(a) of the Exchange Act, are available on our website free of charge (https://runwaygrowth.com/document-center/).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Stockholders and the public may also view any materials we file with the SEC on the SEC’s website (http://www.sec.gov).</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Structure</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operate in a highly competitive market for investment opportunities and we may not be able to compete effectively.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depends on the ability of RGC to attract and retain qualified personnel in a competitive environment.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significant potential conflicts of interest which could impact our investment returns, including with regard to our strategic relationship with Oaktree.</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management fee and incentive fee may induce RGC to purchase assets with borrowed funds and to use leverage when it may be unwise to do so, or to make speculative investments.</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the COVID-19 pandemic and other disruptions in the economy, the risk that our investors may default on capital drawdowns may be heightened.</w:t>
      </w: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failure on our part to maintain our status as a BDC or fail to qualify as a RIC would reduce our operating flexibility.</w:t>
      </w:r>
    </w:p>
    <w:p>
      <w:pPr>
        <w:spacing w:after="0" w:line="20"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borrow money, which would magnify the potential for gain or loss on amounts invested and may increase the risk of investing in us.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defaults under the Credit Agreement could adversely affect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rates may affect our cost of capital, the ability of our portfolio companies to service their debt obligations and our net investment income.</w:t>
      </w: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interest rates of our loans to our portfolio companies that extend beyond 2021 might be subject to change based on recent regulatory changes.</w:t>
      </w:r>
    </w:p>
    <w:p>
      <w:pPr>
        <w:jc w:val="both"/>
        <w:ind w:left="660" w:hanging="328"/>
        <w:spacing w:after="0" w:line="277"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Investments</w:t>
      </w:r>
    </w:p>
    <w:p>
      <w:pPr>
        <w:spacing w:after="0" w:line="225" w:lineRule="exact"/>
        <w:rPr>
          <w:sz w:val="20"/>
          <w:szCs w:val="20"/>
          <w:color w:val="auto"/>
        </w:rPr>
      </w:pPr>
    </w:p>
    <w:p>
      <w:pPr>
        <w:ind w:left="660" w:right="2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Investing in small, fast-growing companies involves a high degree of risk, and our financial results may be affected adversely if one or more of our significant portfolio investments defaults on its loans or fails to perform as we expect.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investment strategy focused primarily on privately held companies presents certain challenges, including the lack of available information about these companies and a greater vulnerability to economic downturns.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portfolio companies may incur debt that ranks equally with, or senior to, our investments in such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portfolio may lack diversification among portfolio companies, which subjects us to a risk of significant loss if one or more of these companies default on their obligations under any of their debt instruments.</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portfolio may be concentrated in a limited number of industries, which will subject us to a risk of significant loss if there is a downturn in a particular industry in which a number of our investments are concentrated.</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invest in sectors including technology, life sciences, healthcare information and services and other high-growth industries, which are subject to specific risks related to each.</w:t>
      </w: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portfolio companies are unable to commercialize their technologies, products, business concepts or services, the returns on our investments could be adversely affected.</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unrealized losses we experience on our loan portfolio may be an indication of future realized losses, which could reduce our income available for distribution.</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Prepayments of our debt investments by our portfolio companies could adversely impact our results of operations and reduce our return on equity.</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investments in leveraged portfolio companies may be risky, and you could lose all or part of your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realize gains from our equity investments.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Common Stock</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may be no future Spin-Off transactions, stock repurchase offers or other liquidity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Investors in our private offerings are subject to transfer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RIC Tax Treatment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subject to U.S. federal corporate-level income tax if we are unable to qualify as a RIC.</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the COVID-19 pandemic or other disruptions in the economy, we may not be able to increase our distributions and may reduce or defer our distributions and choose to incur U.S. federal excise tax in order preserve cash and maintain flexibility, and a portion of our distributions may be a return of capital.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225" w:lineRule="exact"/>
        <w:rPr>
          <w:sz w:val="20"/>
          <w:szCs w:val="20"/>
          <w:color w:val="auto"/>
        </w:rPr>
      </w:pPr>
    </w:p>
    <w:p>
      <w:pPr>
        <w:ind w:left="66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social and economic uncertainty, including uncertainty related to the COVID-19 pandemic, creates and exacerbates risks.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uncertainty surrounding potential legal, regulatory and policy changes by new presidential administrations in the United States that may directly affect financial institutions and the global economy.</w:t>
      </w:r>
    </w:p>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8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the COVID-19 pandemic, or any other outbreak of epidemic disease, may have a significant adverse impact on the fair value of our investments. 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effectively manage and deploy capital.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on their time may distract them or slow the rate of investment.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market for investment opportunities and we may not be able to compete effectively.</w:t>
      </w:r>
    </w:p>
    <w:p>
      <w:pPr>
        <w:spacing w:after="0" w:line="23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primary competitors for investments include both existing and newly formed equity and debt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very low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competitive pressures we face may have a material adverse effect on our financial condition, results of operations and cash flows. We do not compete primarily on the financing terms we offer and believe that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w:t>
      </w:r>
    </w:p>
    <w:p>
      <w:pPr>
        <w:spacing w:after="0" w:line="19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RGC’s key personnel for our future success.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depend on the diligence, skill and investment acumen of R. David Spreng, our President, Chief Executive Officer and the Chairman of our Board of Directors, along with the other investment professionals at RGC, including our Chief Financial Officer, Thomas Raterman. Mr. Spreng also serves as the President, Chief Executive Officer and Chief Investment Officer of RGC, and the Chairman of its Investment Committee.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and in part, with ours. Accordingly, RGC’s senior management may have obligations to investors in those entities, the fulfillment of which might not be in the best interests of us or our stockholders. For example, RGC’s senior</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may face conflicts of interest in the allocation of investment opportunities to us and such other existing and future funds and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ability of RGC to attract and retain qualified personnel in a competitive environment.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growth requires that RGC retains and attracts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and mezzanine funds) and traditional financial services companies, with which RGC competes for experienced personnel have greater resources than it has.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Spreng currently serves as Managing Partner of Crescendo Ventures IV, LLC, which he co-founded in 1998 as a venture capital firm focused on early-stage investments in the technology, digital media and technology-enabled service markets. In addition, 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RGC’s core investment team does not have a present intent to advise or manage another BDC with an investment strategy that is substantially similar to our investment strategy.</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course of our investing activities, we pay management and incentive fees to RGC and reimburse our Administrator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entered into a license agreement with RGC (the “License Agreement”) pursuant to which RGC has granted us a personal, non-exclusive, royalty-free right and license to use the name “Runway Growth Credit Fund”. Under the License Agreement, we have the right to use the “Runway Growth Credit Fund” name for so long as RGC or one of its affiliates remains our investment adviser. Other than with respect to this limited license, we have no legal right to the “Runway Growth Credit Fund” name.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compliance functions. These arrangements may create conflicts of interest that our Board of Directors must monitor.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relationship with Oaktree may create conflicts of interest.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OCM made the $139.0 million Initial OCM Commitment in connection with the Initial Private Offering and the $112.5 Subsequent OCM Commitment in connection with the Second Private Offering. As of March 11, 2021, OCM owned approximately 57% of our outstanding common stock. In addition, OCM holds an interest in RGC. In connection with our strategic relationship with Oaktree, OCM has a right to nominate an individual for election to our Board of Directors. If at any time, OCM has not nominated for election a member of our Board of Directors and/or a nominated director has not yet been elected, OCM will maintain board observation rights. OCM’s appointee to our Board of Directors is Brian Laibow. Mr. Laibow has also been appointed to the board of managers and Investment Committee of RGC. Mr. Laibow is an employee of Oaktree and we expect that he will continue to engage in investment advisory activities for Oaktree, which could result in a conflict of interest and may distract him from his responsibilities to us and RGC.</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relationship with Oaktree and OCM, we are presumed to be an affiliate of Oaktree and OCM under the 1940 Act. As a result, we are not able to invest in the same portfolio companies in which any funds managed by Oaktree or OCM invest without seeking exemptive relief from the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compensation we pay to RGC and our Administrator was not determined on an arm’s-length basis with an unaffiliated third party. As a result, the form and amount of such compensation may be less favorable to us than they might have been had the respective agreements been entered into through arm’s-length transactions with an unaffiliated third party. In addition, we may choose not to 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fee may induce RGC to purchase assets with borrowed funds and to use leverage when it may be unwise to do so.</w:t>
      </w:r>
    </w:p>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capital gains portion of our incentive fee may induce RGC to make speculative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RGC receives the incentive fee based, in part, upon net capital gains realized on our investments. Under the incentive fee structure, RGC may benefit when we recognize capital gains and, because RGC, in certain circumstances, will determine when to sell a holding,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and their lack of familiarity with our investment objective may result in additional costs and time delays that may adversely affect our financial condition, business, results of operations and cash flows.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1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the COVID-19 pandemic and other disruptions in the economy, the risk that our investors may default on capital drawdowns may be heightened.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offerings of our securities, we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Due to the COVID-19 pandemic, investors may not have ready access to liquid assets and may not be able to satisfy our capital drawdowns on a timely basis or at all.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 Moreover, the subscription agreements signed by our investors provide for significant adverse consequences in the event an investor defaults on its capital commitment or other payment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grow because we must distribute most of our income.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need additional capital to fund growth in our investments. We expect to continue to issue equity securities in connection with the Second Private Offering and expect to borrow from financial institutions.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200% of our total borrowings and preferred stock (or 150% if we satisfy certain conditions including board and/or stockholder approval,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on our part to maintain our status as a BDC or fail to qualify as a RIC would reduce our operating flexibility.</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 million at the time of such investment. In addition, as a RIC, the treatment for which we intend to qualify annually, we are required to satisfy certain source-of-income,</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diversification and distribution requirements. These constraints, among others, may hinder our ability to take advantage of attractive investment opportunities and to achieve our investment objective.</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2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200% of gross assets less all liabilities and indebtedness not represented by senior securities, after each issuance of senior securities. We are permitted, however, to increase our asset coverage ratio to at least 150%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Because our common stock is not listed on a national securities exchange, if we receive approval to increase the maximum amount of leverage we may incur to an asset coverage ratio of 150% from an asset coverage ratio of 200%, then we must offer to repurchase all of our common stock held by stockholders as of the date of such approval. In addition, we would be required to make certain disclosures on our website and in SEC filings regarding, among other things, the receipt of approval to increase our leverage, our leverage capacity and usage and risks related to leverage. If the value of our assets declines, we may be unable to satisfy this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borrow money, which would magnify the potential for gain or loss on amounts invested and may increase the risk of investing in us.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as a result of leverage.</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are permitted, however, to increase our asset coverage ratio to at least 150% if we satisfy certain conditions, including stockholder and/or board approval.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If this ratio declines below 200%,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defaults under the Credit Agreement could adversely affect our business.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May 31, 2019 (as subsequently amended), we entered into the Credit Agreement with KeyBank National Association, as administrative agent, syndication agent, and a lender, CIBC Bank USA, as documentation agent and a lender, and U.S. Bank National Association, as paying agent. In the event we default under our Credit Agreement,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want to obtain additional debt financing, or need to do so upon maturity of the Credit Facility, in order to obtain funds which may be made available for investments. The availability period under the Credit Agreement expires on May 31, 2022 and is followed by a two-year amortization period. The stated maturity date under the Credit Agreement is May 31, 2024.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interest rates may affect our cost of capital, the ability of our portfolio companies to service their debt obligations and our net investment income.</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LIBOR and the prime rate, so an increase in interest rates from their relatively low present levels may make it more difficult for our portfolio companies to service their obligations under the debt investments that we will hold.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Alternatively, a decrease in interest rates or interest rate benchmarks, including a reduction of LIBOR to zero, may negatively affect our net interest income if our interest-earning assets reprice sooner than our interest-bearing debt investments. In a low or falling interest rate environment, prepayments may be more likely. We would then be forced to invest unanticipated proceeds at lower interest or dividend rates, resulting in a decline in our net investment income.</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projections of our portfolio companies could prove inaccurate.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factors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could thus cause our performance to fall short of our expectations.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and its earnings, the markets in which the portfolio company does business, comparisons to publicly-traded companies, discounted cash flow, relevant credit market indices,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of Directors has the authority to modify or waive our investment objective, current operating policies, investment criteria and strategies without prior notice (except as required by the 1940 Act) and without stockholder approval by resolution.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investment by ERISA Plans.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use reasonable efforts to conduct our affairs so that our assets are not be deemed to be “plan assets” under the plan asset regulations promulgated by DOL, as amended by ERISA. The fiduciary of each prospective plan investor must independently determine that the Company is an appropriate investment for such plan, taking into account the fiduciary’s obligations under ERISA and the facts and circumstances of each investing plan.</w:t>
      </w:r>
    </w:p>
    <w:p>
      <w:pPr>
        <w:spacing w:after="0" w:line="187"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investments may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65" w:lineRule="exact"/>
        <w:rPr>
          <w:sz w:val="20"/>
          <w:szCs w:val="20"/>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and increased credit risk associated with these instruments, and original issue discount and PIK instruments generally represent a significantly higher credit risk than coupon loans.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8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157"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interest rates of our loans to our portfolio companies that extend beyond 2021 might be subject to change based on recent regulatory changes.</w:t>
      </w:r>
    </w:p>
    <w:p>
      <w:pPr>
        <w:spacing w:after="0" w:line="170"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8"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6"/>
          <w:szCs w:val="16"/>
          <w:color w:val="auto"/>
        </w:rPr>
        <w:t>On July 27, 2017, the United Kingdom’s Financial Conduct Authority, which regulates LIBOR, announced that it will not compel panel banks to contribute to LIBOR after 2021. It is unclear if at that time LIBOR will cease to exist or if new methods of calculating LIBOR will be established such that it continues to exist after 2021. Central banks and regulators in a number of major jurisdictions (for example, United States, United Kingdom, European Union, Switzerland and Japan) have convened working groups to find, and implement the transition to, suitable replacements for interbank offered rates (“IBORs”). The E.U. Benchmarks Regulation imposed conditions under which only compliant benchmarks may be used in new contracts after 2021.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In addition, on March 25, 2020, the U.K. Financial Conduct Authority (the “FCA”) stated that although the central assumption that firms cannot rely on LIBOR being published after the end of 2021 has not changed, the COVID-19 outbreak has impacted the timing of many firms’ transition planning. On March 5, 2021, the FCA and LIBOR’s administrator, the ICE Benchmark Administration (“IBA”) announced that all 35 LIBOR tenors (in the five LIBOR currencies, i.e., USD, GBP, EUR, JPY and CHF) will be discontinued or declared non-representative as of either: (a) immediately after December 31, 2021, or (b) immediately after June 30, 2023. Despite the announcement confirming that certain LIBOR tenors will not be phased out until June 2023, U.S. regulators continue to urge financial institutions to stop entering into new LIBOR transactions by the end of 2021. We continue to assess the potential impact of the COVID-19 outbreak on our transition plans.</w:t>
      </w:r>
    </w:p>
    <w:p>
      <w:pPr>
        <w:spacing w:after="0" w:line="174"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Although SOFR appears to be the preferred replacement rate for U.S. dollar LIBOR, at this time, it is not possible to predict the effect of any such changes, any establishment of alternative reference rates, whether the COVID-19 outbreak will have further effect on LIBOR transition timelines or plans, or other reforms to LIBOR that may be enacted in the United States, United Kingdom or elsewhere. 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Credit Agreement. If we are unable to do so, amounts drawn under the Credit Agreement may bear interest at a higher rate, which would increase the cost of our borrowings and, in turn, affect our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a risk that our stockholders may not receive any distributions or that our distributions may not grow over time.</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See “Business — Regulation as a Business Development Company” in Part I, Item 1 of this Form 10-K.</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and will continue to expend significant financial and other resources to comply with the requirements of being a public reporting entity.</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public reporting entity, we are subject to the reporting requirements of the Exchange Act and certain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 We expect to incur significant additional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an IPO, if any, although if the market value of our common stock that is held by non-affiliates exceeds $700 million as of any June 30 before that time, we would cease to be an emerging growth company as of the following December 31. See “Business — Implications of Being an Emerging Growth Company” in Part I, Item 1 of this Form 10-K.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obligated to maintain proper and effective internal control over financial reporting, including the internal control evaluation and certification requirements of Section 404 of the Sarbanes-Oxley Act (“Section 404”). We will not be required to comply with all of the requirements under Section 404 until the date we are no longer an emerging growth company under the JOBS Act. Accordingly, our internal controls over financial reporting do not currently meet all of the standards contemplated by Section 404 that we will eventually be required to meet. Specifically,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invest primarily in secured loans and select equity investments issued by fast-growing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u w:val="single" w:color="auto"/>
          <w:color w:val="auto"/>
        </w:rPr>
        <w:t>Senior Secured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a risk that the collateral securing our loans may decrease in value over time, may be difficult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u w:val="single" w:color="auto"/>
          <w:color w:val="auto"/>
        </w:rPr>
        <w:t>Second Lien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In structuring our loans, we may subordinate our security interest in certain assets of a borrower 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u w:val="single" w:color="auto"/>
          <w:color w:val="auto"/>
        </w:rPr>
        <w:t>Equity Investments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When we invest in secured loans, we may acquire equity securities as well, including warrants.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may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investing in small, fast-growing, private companies involves a number of significant risks, including the following:</w:t>
      </w:r>
    </w:p>
    <w:p>
      <w:pPr>
        <w:spacing w:after="0" w:line="237" w:lineRule="exact"/>
        <w:rPr>
          <w:sz w:val="20"/>
          <w:szCs w:val="20"/>
          <w:color w:val="auto"/>
        </w:rPr>
      </w:pPr>
    </w:p>
    <w:p>
      <w:pPr>
        <w:jc w:val="both"/>
        <w:ind w:left="660" w:right="20" w:hanging="328"/>
        <w:spacing w:after="0" w:line="31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companies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1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146"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8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18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debt upon maturity.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Investing in small, fast-growing companies involves a high degree of risk, and our financial results may be affected adversely if one or more of our significant portfolio investments defaults on its loans or fails to perform as we expect.</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expect that our portfolio will consist primarily of debt and equity investments in small privately-owned companies. Investing in these companies involves a number of significant risks. Typically, the debt in which we intend to invest will not be initially rated by any rating agency; however, we believe that if such investments were rated, they would be below investment grade. Securities rated below investment grade are often referred to as “high yield” securities and “junk bonds,” and are considered “high risk” and speculative in nature compared to debt instruments that are rated above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these companies cannot obtain financing from public capital markets or from traditional credit sources, such as commercial banks. Accordingly, loans made to these types of companies pose a higher default risk than loans made to companies that have access to traditional credit sources.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intend to invest primarily in privately held companies. Generally, little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invest primarily in senior secured loans issued by private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w:t>
      </w:r>
    </w:p>
    <w:p>
      <w:pPr>
        <w:spacing w:after="0" w:line="1" w:lineRule="exact"/>
        <w:rPr>
          <w:sz w:val="20"/>
          <w:szCs w:val="20"/>
          <w:color w:val="auto"/>
        </w:rPr>
      </w:pPr>
    </w:p>
    <w:p>
      <w:pPr>
        <w:jc w:val="both"/>
        <w:ind w:firstLine="8"/>
        <w:spacing w:after="0" w:line="302"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w:t>
      </w:r>
    </w:p>
    <w:p>
      <w:pPr>
        <w:sectPr>
          <w:pgSz w:w="11900" w:h="16838" w:orient="portrait"/>
          <w:cols w:equalWidth="0" w:num="1">
            <w:col w:w="9920"/>
          </w:cols>
          <w:pgMar w:left="980" w:top="517" w:right="99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lenders under intercreditor agreements we may enter, we may be unable to realize the proceeds of any collateral securing some of our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typically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intend to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and we may suffer losses as a result.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portfolio companies, which subjects us to a risk of significant loss if one or more of these companies default on their obligations under any of their debt instruments.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Similarly, the aggregate returns we realize may be significantly adversely affected if a small number of investments perform poorly or if we need to write down the value of any one investment.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portfolio may be concentrated in a limited number of industries. We invest primarily in companies focused in technology, life sciences, healthcare information and services, business services and other high growth industries. A downturn in any particular industry in which we are invested could significantly impact the aggregate returns we realize.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our Sponsored Growth Lending and Non-Sponsored Growth Lending strategies and among sponsors within the sponsored segment.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objective is to build a balanced portfolio with diversification among sponsored and non-sponsored transactions and among sponsors within the Sponsored Growth Lending strategy, which we believe will contribute to a favorable risk adjusted return for the portfolio viewed as a whole. As we build our portfolio to scale, the effects of our sponsored and non-sponsored diversification strategy on yield and other metrics may not be fully evident, and the impact of various weightings may be more pronounced from period to period until we achieve greater scale in our portfolio. As a result, we may not achieve favorable risk adjusted returns for the portfolio viewed as a whole when diversification is lacking.</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invest in sectors including technology, life sciences, healthcare information and services and other high-growth industries, which are subject to specific risks related to each.</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continue to invest the largest portions of our portfolio in technology, life sciences, healthcare information and services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life sciences-related companies.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intend to invest in life sciences-related companies. We anticipate that our life sciences portfolio will consist primarily of companies that commercialize and integrate products in life sciences-related industries, including biotechnology, pharmaceuticals, diagnostics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life sciences industry is dominated by large multinational corporations with substantial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part of our investment strategy, we plan to invest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semiconductor industry is subject to many risks, including intense competition, volatility, and increasing costs and complexity of research and development.</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number of the companies in which we invest operate in the semiconductor industry. The semiconductor industry is highly cyclical and is characterized by constant and rapid technological change, price erosion, evolving standards, short product life cycles and wide fluctuations in product supply and demand. Any future downturns may result in diminished product demand, production overcapacity, high inventory levels and accelerated erosion of average selling prices for our portfolio companies. Furthermore, any upturn in the semiconductor industry could result in increased competition for access to third-party foundry and assembly capacity for our portfolio companies. Our portfolio companies are dependent on the availability of this capacity to manufacture and assemble all of their products. These risks that our portfolio companies face could, in turn, materially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internet retail industry is subject to many risks and is highly competitive.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main industry sectors around which we intend to develop our investments are all capital intensive.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industry sectors in which we intend to make investments — technology, life sciences, health care information and services and business services — are each capital intensive. Currently, financing for capital-intensive companies remains difficult. In some successful companies, we believe we may need to invest more than we currently have planned to invest in these companies. There can be no assurance that we will have the capital necessary to make such investments. In addition, investing greater than planned amounts in our portfolio companies could limit our ability to pursue new investments and fund follow-on investments. Both of these situations could cause us to miss investment opportunities or limit our ability to protect existing investments from dilution or other actions or events that would decrease the value and potential return from these investments.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consumer services industry.</w:t>
      </w:r>
    </w:p>
    <w:p>
      <w:pPr>
        <w:spacing w:after="0" w:line="225"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6"/>
          <w:szCs w:val="16"/>
          <w:color w:val="auto"/>
        </w:rPr>
        <w:t>Portfolio companies in the consumer services sector are subject to many risks, including the negative impact of regulation, changing technology, a competitive marketplace, unpredictability in attracting new customers and difficulty in obtaining financing. Portfolio companies in the consumer services industry must respond quickly to technological changes and understand the impact of these changes on customers’ preferences. If a significant number of clients of our portfolio companies in the consumer services industry, or any one client to whom a portfolio company intends to provide a significant amount of services, were to terminate services, or reduce the amount of services purchased or fail to purchase additional services or delay payment of fees, the portfolio company’s results of operations may be negatively and materially affected. If the client retention rate of any our portfolio companies declines, the portfolio company’s revenue could decline unless it is able to obtain additional clients or alternate revenue sources. Additionally, adverse economic, business, or regulatory developments affecting the consumer services sector could have a negative impact on the value of our investments in portfolio companies operating in this industry, and therefore could negatively impact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software industry.</w:t>
      </w:r>
    </w:p>
    <w:p>
      <w:pPr>
        <w:spacing w:after="0" w:line="225"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6"/>
          <w:szCs w:val="16"/>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may do so in the future, we typically do not hold controlling equity positions in our portfolio companies. As a result, we are subject to the risk that a portfolio company or its equity sponsor may make business decisions with which we disagree, and that the management, equity sponsor and/or stockholders of a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life science, and energy</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technology-related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leveraged portfolio companies may be risky, and you could lose all or part of your investment.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Maryland General Corporation Law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no future Spin-Off transactions, stock repurchase offers or other liquidity event.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any time after December 2019, we intend to seek out liquidity options for our stockholders, which may include (a) the option to elect to either (i) retain their ownership of shares of our common stock, or (ii) exchange their shares of our common stock for shares of the Public Fund; (b) listing our common stock on a national securities exchange; (c) making the Trading Platform operated by The Nasdaq Private Market, LLC or its affiliates available to stockholders; or (d) offering to repurchase a portion of our shares of common stock outstanding from stockholders.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No assurances can be made that any Spin-Off transaction will occur, and investors should not rely on a future Spin-Off transaction as a liquidity option. Because RGC would be managing each of us and the Public Fund, if any, the 1940 Act prohibits entities under common control from engaging in certain transactions, we will likely be required to obtain exemptive and/or no-action relief from the SEC to permit us to transfer assets to the Public Fund, as well as with respect to other aspects relating to a Spin-Off transaction.</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and RGC have applied for exemptive relief from the SEC to engage in certain otherwise prohibited transactions in order to allow our stockholders to exchange their shares into shares of the Public Fund, subject to the Board of Directors’ determination that such exchange is in our best interest and the best interest of our stockholders. There can be no assurance that we will be able to obtain such exemptive and/or no-action relief from the SEC. If we are unable to do so, then we will continue our operations in the manner otherwise set forth in this annual report on Form 10-K and in the offering documents related to the Initial Private Offering. Alternatively, if we do obtain such exemptive and/or no-action relief, our Board of Directors would determine whether (and when) to effectuate any Spin-Off transaction, subject to the receipt of any required stockholder approvals.</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may exclude any investor from participating in the Spin-Off transaction if, in the reasonable discretion of the Company, there is a substantial likelihood that such investor’s exchange of shares of our common stock at such time would cause us or the Public Fund, to (i) be in violation of, or noncompliance with, any law or regulation to which such entity is or would be subject or</w:t>
      </w:r>
    </w:p>
    <w:p>
      <w:pPr>
        <w:spacing w:after="0" w:line="2" w:lineRule="exact"/>
        <w:rPr>
          <w:sz w:val="20"/>
          <w:szCs w:val="20"/>
          <w:color w:val="auto"/>
        </w:rPr>
      </w:pPr>
    </w:p>
    <w:p>
      <w:pPr>
        <w:jc w:val="both"/>
        <w:ind w:firstLine="8"/>
        <w:spacing w:after="0" w:line="268" w:lineRule="auto"/>
        <w:tabs>
          <w:tab w:leader="none" w:pos="281"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 deemed to hold “plan assets” under ERISA or Section 4975 of the Code because the investments of Benefit Plan Investors are deemed to be significant. If a Spin-Off transaction does occur, although it is expected that any incentive fee payable in connection with the Spin-Off transaction will be calculated using the methodology set forth in “Note 7 — Related Party Agreements and Transactions” to our financial statements in Part II, Item 8 of this Form 10-K (taking into account the pro rata portion of our assets and liabilities relating to shares of our common stock being exchanged on an as-liquidated basis), the final terms of a Spin-Off transaction will be determined at the time of any such Spin-Off transaction, and there is no guarantee that such terms will be favorable to investors. See “Business — Investor Optionality; Potential Spin-Offs” in Part I, Item 1 of this Form 10-K for more information. While we expect that a Spin-Off transaction would likely be taxable to a stockholder that chooses to participate in the Spin-Off transaction, we cannot at this time predict the specific tax consequences of any future Spin-Off transaction that may occur.</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we also have made and may continue to make the Trading Platform operated by The Nasdaq Private Market, LLC or its affiliates available to stockholders, there can be no guarantee that we will do so or that secondary trading opportunities will be available for all stockholders who wish to sell their shares. Secondary trading of shares of common stock on the Trading Platform, if available, would be subject to applicable law and will be restricted solely to accredited investors. Stockholders who access the Trading Platform will be subject to certain transaction fees that will not be reimbursed by the Company or by RGC. Any such secondary trading may result in shares being purchase or sold at a price above or below the Company’s last calculated net asset value, and if you sell shares at a price below your initial purchase price, you may lose money on your investment in the Company.</w:t>
      </w:r>
    </w:p>
    <w:p>
      <w:pPr>
        <w:spacing w:after="0" w:line="17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while we may from time to time offer to repurchase a portion of the shares of our common stock, we have no obligation to do so. We will only offer to repurchase shares on such terms as may be determined by our Board of Directors in its complete and absolute discretion. There is no assurance that our Board of Directors will exercise its discretion to offer to repurchase shares or that there will be sufficient funds available to accommodate all of our stockholders’ requests for repurchase. As a result, we may repurchase less than the full amount of shares that you request to have repurchased in connection with any repurchase offer. Any periodic repurchase offers will be subject in part to our available cash and compliance with the BDC and RIC qualification and diversification rules promulgated under the 1940 Act and the Code, respectively. If we do not repurchase the full amount of your shares that you have requested to be repurchased, or we determine not to make repurchases of our shares, there can be no guarantee that you will be able to dispose of your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 Additionally, until such time as the shares of our common stock are considered “publicly-offered securities” within the meaning of Section 3(42) of ERISA and certain DOL regulations (together, the “Plan Asset Provisions”), we intend to operate so that less than 25% of the value of any class of equity interest in the Company is held by “Benefit Plan Investors” (within the meaning of the Plan Asset Provisions), so that their investment will not be “significant” and the assets of the Company will not include “plan assets” under the Plan Asset Provisions (the “25% Test”). In order to meet the requirements of the 25% Test, we may prohibit certain investments or transfers of investments so as to avoid the Company holding “plan assets” within the meaning of ERISA. As a result, certain investors will be limited in their ability to make significant investments in us at a time that they might desire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be subject to filing requirements under the Exchange Act as a result of an investment in us.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our common stock is registered under the Exchange Act, ownership information for any person who beneficially owns 5% or more of our common stock must be disclosed in a Schedule 13D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us increased to more than 5%, thus triggering this filing requirement. Although we provide in our quarterly financial statements the amount of outstanding stock and the amount of the investor’s stock, the responsibility for determining the filing obligation and preparing the filing remains with the investor. In addition, owners of 10% or more of our common stock are subject to reporting obligations under Section 16(a)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may be subject to the short-swing profits rules under the Exchange Act as a result of an investment in us.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Exchange Act, which recaptures for the benefit of the issuer profits from the purchase and sale of registered stock within a six-month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our private offerings are subject to transfer restrictions.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than in connection with a Spin-Off transaction, investors who participated in our private offerings may not sell, assign, transfer or otherwise dispose of (in each case, a “Transfer”) any common stock unless (i) we give consent and (ii) the Transfer is made in accordance with applicable securities laws. No Transfer will be effectuated except by registration of the Transfer on our books.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RIC Tax Treatment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U.S. federal corporate-level income tax if we are unable to qualify as a RIC.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have elected to be treated as a RIC under Subchapter M of the Code, no assurance can be given that we will be able to qualify as and maintain our qualification as a RIC. To maintain our tax treatment as a RIC, we must meet the following source-of-income, asset diversification, and distribution requirements.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income source requirement will be satisfied if we obtain at least 90% of our gross income for each year from dividends, interest, foreign currency, payments with respect to loans of certain securities, gains from the sale of stock or other securities, net income from certain “qualified publicly traded partnerships,” or similar sources.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 We may have difficulty satisfying the diversification requirement during our ramp-up phase until we have a portfolio of investments. In addition, to</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that we call capital to meet the asset diversification requirements and are unable to deploy such capital into income-earning investments, we may not achieve our expected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Annual Distribution Requirement will be satisfied if we distribute to our stockholders on an annual basis at least 90% of our net ordinary income and realized net short-term capital gains in excess of realized net long-term capital losses, if any. Because we may use debt financing, we are subject to certain asset coverage ratio requirements under the 1940 Act and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If we fail to qualify as a RIC for any reason and therefore become subject to corporate-level federal U.S. income tax, the resulting corporate taxes could substantially reduce our net assets, the amount of income available for distribution and the amount of our distributions.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corporate-level income tax. For additional discussion regarding the tax implications of our election to be taxed as a RIC, please see “Business — Certain U.S. Federal Income Tax Considerations — Taxation of the Company” in Part I, Item 1 of this Form 10-K.</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24"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As a BDC, we are not required to make any distributions to stockholders other than in connection with our election to be taxed as a RIC under subchapter M of the Code. In order to maintain our tax treatment as a RIC, we must distribute to stockholders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5"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stockholders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59"/>
        <w:spacing w:after="0" w:line="291" w:lineRule="auto"/>
        <w:rPr>
          <w:sz w:val="20"/>
          <w:szCs w:val="20"/>
          <w:color w:val="auto"/>
        </w:rPr>
      </w:pPr>
      <w:r>
        <w:rPr>
          <w:rFonts w:ascii="Arial" w:cs="Arial" w:eastAsia="Arial" w:hAnsi="Arial"/>
          <w:sz w:val="16"/>
          <w:szCs w:val="16"/>
          <w:color w:val="auto"/>
        </w:rPr>
        <w:t>Due to the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pay distributions in our own stock, including in connection with our Dividend Reinvestment Plan, in which case you may be required to pay U.S. federal income tax in excess of the cash you receive.</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distribute taxable distributions that are payable in cash or shares of our common stock, including in connection with our Dividend Reinvestment Plan, at the election of each stockholder.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shares of our common stock). If we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For any period that we do not qualify as a “publicly offered regulated investment company,” as defined in the Code, U.S. stockholders that are individuals, trusts or estates will be taxed as though they received a distribution of some of our expenses.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 “publicly offered regulated investment company” is a RIC whose shares are either (i) continuously offered pursuant to a public offering, (ii) regularly traded on an established securities market or (iii) held by at least 500 persons at all times during the taxable year. We currently do not qualify as a publicly offered RIC; we may qualify as a publicly offered RIC for future taxable years. For any period that we are not a publicly offered RIC, a U.S. non-corporate stockholder’s allocable portion of our affected expenses, including our management fees, is treated as an additional distribution to the stockholder and will be deductible by such stockholder only to the extent permitted under the limitations described below. In particular, these expenses, which are “miscellaneous itemized deductions”, are not currently deductible by an individual or other non-corporate investor (and, beginning in 2026, will be deductible only to the extent they exceed 2% of such a stockholder’s adjusted gross income, and are not deductible for alternative minimum tax purposes).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the COVID-19 pandemic, have created significant disruption in supply chains and economic activity. The impact of the COVID-19 pandemic has led to significant volatility with significant periodic declines in the global public equity markets and it is uncertain how long this volatility will continue. As COVID-19 continues to spread, the potential impacts, including a global, regional or other economic recession, are increasingly uncertain and difficult to assess. This outbreak has led and for an unknown period of time will continue to lead to disruptions in local, regional, national and global markets and economies affected thereby, including a recession and steep increase in unemployment in the United States.</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General uncertainty surrounding the dangers and impact of COVID-19 (including the preventative measures taken in response thereto and additional uncertainty regarding new variants of COVID-19 that have emerged in the U.K., South Africa and Brazil) has to date created significant disruption in supply chains and economic activity. Disruptions in the capital markets have increased the spread between the yields realized on risk-free and higher risk securities, resulting in illiquidity in parts of the capital markets. These and future market disruptions and/or illiquidity have had and may continue to have an adverse effect on our business, financial condition, results of operations and cash flows. Unfavorable economic conditions also have and may continue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due to the outbreak in the United States, certain RGC personnel are currently working remotely, which may introduce additional operational risk to us. Staff members of certain of our other service providers may also work remotely during the COVID-19 outbreak. An extended period of remote working could lead to service limitations or failures that could impact us or our performance.</w:t>
      </w:r>
    </w:p>
    <w:p>
      <w:pPr>
        <w:spacing w:after="0" w:line="149"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Additionally, the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84"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185" w:lineRule="exact"/>
        <w:rPr>
          <w:sz w:val="20"/>
          <w:szCs w:val="20"/>
          <w:color w:val="auto"/>
        </w:rPr>
      </w:pPr>
    </w:p>
    <w:p>
      <w:pPr>
        <w:jc w:val="both"/>
        <w:ind w:firstLine="259"/>
        <w:spacing w:after="0" w:line="296" w:lineRule="auto"/>
        <w:rPr>
          <w:sz w:val="20"/>
          <w:szCs w:val="20"/>
          <w:color w:val="auto"/>
        </w:rPr>
      </w:pPr>
      <w:r>
        <w:rPr>
          <w:rFonts w:ascii="Arial" w:cs="Arial" w:eastAsia="Arial" w:hAnsi="Arial"/>
          <w:sz w:val="16"/>
          <w:szCs w:val="16"/>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Any public health emergency, including the COVID-19 pandemic or any outbreak of other existing or new epidemic diseases, or the threat thereof, and the resulting</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and economic market uncertainty could have a significant adverse impact on us and the fair value of our investments and our portfolio companies.</w:t>
      </w:r>
    </w:p>
    <w:p>
      <w:pPr>
        <w:spacing w:after="0" w:line="170"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In addition, due to the outbreak in the United States, certain RGC personnel are currently working remotely, which may introduce additional operational risk to us. Staff members of certain of our other service providers may also be working remotely during the COVID-19 outbreak. An extended period of remote working could lead to service limitations or failures that could impact us or our performance.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84"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Political, social and economic uncertainty, including uncertainty related to the COVID-19 pandemic, creates and exacerbates risks.</w:t>
      </w:r>
    </w:p>
    <w:p>
      <w:pPr>
        <w:spacing w:after="0" w:line="260"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7"/>
          <w:szCs w:val="17"/>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77"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6"/>
          <w:szCs w:val="16"/>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68"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6"/>
          <w:szCs w:val="16"/>
          <w:color w:val="auto"/>
        </w:rPr>
        <w:t>For example, in throughout much of 2020, the COVID-19 pandemic has delivered a shock to the global economy. This outbreak has led and for an unknown period of time will continue to lead to disruptions in local, regional, national and global markets and economies affected thereby, including a recession and a steep increase in unemployment in the U.S. With respect to the U.S. credit markets (in particular for middle-market loans), this outbreak has resulted in, and until fully resolved is likely to continue to result in, the following among other things: (i) government imposition of various forms of shelter in 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middle-market businesses. 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10-K while there are positive results with improved treatment strategies and a growing number of vaccines with significant efficacy, it is impossible to determine the scope and duration of this outbreak, and related mitigation measures or any future outbreaks, how long any such outbreak, market disruption or uncertainties may last, the effect any governmental actions will have or the full potential impact on us, RGC and our portfolio companies.</w:t>
      </w:r>
    </w:p>
    <w:p>
      <w:pPr>
        <w:spacing w:after="0" w:line="172"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Although it is impossible to predict the precise nature and consequences of these events, or of any political or policy decisions and regulatory changes occasioned by emerging events or uncertainty on applicable laws or regulations that impact us, our portfolio companies and our investments, it is clear that these types of events are impacting and will, for at least some time, continue to impact us and our portfolio companies and, in many instances, the impact will be adverse and profound. For example, middle-market companies in which we invest may be significantly impacted by these emerging events and the uncertainty caused by these events. The effects of a public health emergency may materially and adversely impact (i) the value and performance of us and our portfolio companies, (ii) the ability of our borrowers to continue to meet loan covenants or repay loans provided by us on a timely basis or at all, which may require us to restructure our investments or write down the value of our investments, (iii) our ability to repay debt obligations, on a timely basis or at all, or (iv) our ability to source, manage and divest investments and achieve our investment objectives, all of which could result in significant losses to us. We will also be negatively affected if the operations and effectiveness of RGC or a portfolio company (or any of the key personnel or service providers of the foregoing) is compromised or if necessary or beneficial systems and processes are disrupted.</w:t>
      </w:r>
    </w:p>
    <w:p>
      <w:pPr>
        <w:spacing w:after="0" w:line="179"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6"/>
          <w:szCs w:val="16"/>
          <w:color w:val="auto"/>
        </w:rPr>
        <w:t>While several countries, as well as certain states, counties and cities in the United States, have relaxed initial public health restrictions with the view to partially or fully reopening their economies, many cities have since experienced a surge in the reported number of cases, hospitalizations and deaths related to the COVID-19 pandemic. These surges have led to the re-introduction of such restrictions and business shutdowns in certain states in the United States and globally and could continue to lead to the re-introduction of such restrictions elsewhere.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Additionally, as of late December 2020, travelers from the United States are not allowed to visit Canada, Australia or the majority of countries in Europe, Asia, Africa and South America. These continued travel restrictions may prolong the global economic downturn. In addition, although the Federal Food and Drug Administration authorized vaccines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67"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that would have a material adverse effect on our business,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We cannot be certain as to the duration or magnitude of the continuing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various types of goods and services provided by U.S. middle market companies. Depending on the duration, magnitude and severity of these conditions and their related economic and market impacts, certain portfolio companies may suffer declines in earnings and could experience financial distress, which could cause them to default on their financial obligations to us and their other lenders.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recessions or downturns, including as a result of the COVID-19 pandemic, could impair our portfolio companies and harm our operating results.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Many of the portfolio companies in which we make investments may be susceptible to economic slowdowns or recessions and may be unable to repay the loans we made to them during these periods, including as a result of the COVID-19 pandemic.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70"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As a result of the November 2020 elections in the United States, the Democratic Party gained control of both the Presidency and the Senate from the Republican Party. Therefore, changes in federal policy, including tax policies, and at regulatory agencies are expected to occur over time through policy and personnel changes following elections,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 using custodians, administrators and other agents.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the MGCL and of our charter and bylaws could deter takeover attempts and have an adverse impact on the price of our common stock.</w:t>
      </w:r>
    </w:p>
    <w:p>
      <w:pPr>
        <w:spacing w:after="0" w:line="1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of Directors, including approval by a majority of our disinterested directors. If the resolution exempting business combinations is repealed or our Board of Directors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certain provisions of the Control Share Act would, if implemented, violate Section 18(i) of the 1940 Act. 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6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4"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86" w:lineRule="exact"/>
        <w:rPr>
          <w:sz w:val="20"/>
          <w:szCs w:val="20"/>
          <w:color w:val="auto"/>
        </w:rPr>
      </w:pPr>
    </w:p>
    <w:p>
      <w:pPr>
        <w:jc w:val="both"/>
        <w:ind w:firstLine="259"/>
        <w:spacing w:after="0" w:line="272"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7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and our service providers are currently impacted by quarantines and similar measures being enacted by governments in response to the COVID-19 pandemic, which are obstructing the regular functioning of business workforces (including requiring employees to work from external locations and their homes). Accordingly, the risks described above may be heightened under current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located at 205 N. Michigan Ave., Suite 4200, Chicago, IL 60601 and are provided by the Administrator in accordance with the terms of the Administration Agreement. We and RGC also have offices located in Woodside, California and New York, New York. We do not own any real estate. We believe that our office facilities are suitable and adequate for our business as it is contemplated to be conducted.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offer and sell shares of our common stock in transactions exempt from registration under the Securities Act under Section 4(a)(2) and Regulation D, as well as under Regulation S under the Securities Act. There will be no established public trading market for our common stock, nor can we give any assurance that a public trading market will develop until we conduct an IPO and list our shares of common stock on a national securities exchange.</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our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our common shares and to execute such other instruments or certifications as are reasonably required by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11, 2021, there were 171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subsequent to the Initial Closing.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2020, the Company declared and paid dividends in the amount of $39,709,233 of which $7,265,785 was distributed in cash and the remainder distributed in shares to stockholders pursuant to the Company’s dividend reinvestment program. For the year ended December 31, 2019, the Company declared and paid dividends in the amount of $40,651,334 of which $8,192,547 was distributed in cash and the remainder distributed in shares to stockholders pursuant to the Company’s dividend reinvestment program. Total distributions for the years ended December 31, 2020 and December 31, 2019 represented distributions from income and not return of capital. On March 4, 2021, the Board of Directors declared a dividend in the amount of $0.37 per share payable on March 19, 2021 to stockholders of record as of March 5, 2021.</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elected to be treated, currently qualify, and intend to continue to qualify, as a RIC under Subchapter M of the Code. While we intend to qualify to be treated as a RIC annually, we anticipate that we may have difficulty satisfying the asset diversification requirements as we deploy capital and build our investment portfolio. If we fail to qualify as a RIC for any taxable year, we will be subject to corporate-level U.S. federal income tax on any net taxable income for such year. See “Business — Certain U.S. Federal Income Tax Considerations” in Part I, Item 1 of this Form 10-K and “Note 2 — Summary of Significant Accounting Policies” to our financial statements in Part II, Item 8 of this Form 10-K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 year an amount at least equal to the sum of: (a) 98% of our ordinary income (not taking into account any capital gains or losses) for such calendar year; (b) 98.2% of the amount by which our capital gains exceed our capital losses (adjusted for certain ordinary losses) for a one-year period ending on October 31 of the calendar year; and (c) any net ordinary income and capital gain net income that we recognized in previous years but was not distributed during such years and on which we paid no U.S. federal income tax.</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10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plan is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previously reported by us on our current reports on Form 8-K or quarterly reports on Form 10-Q, we did not sell any securities during the period covered by this Form 10-K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following selected financial and other data for the years ended December 31, 2020, 2019, 2018, 2017 and 2016 is derived from our audited financial statements. The selected financial information and other data presented below should be read in conjunction with the information contained in “Management’s Discussion and Analysis of Financial Condition and Results of Operations” in Part II, Item 7 of this Form 10-K and with the audited financial statements and the notes thereto included in Part II, Item 8 of this Form 10-K.</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historical results are not necessarily indicative of future results. The selected financial data in this section is not intended to replace the financial statements and is qualified in its entirety by the financial statements and related notes included in this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12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96"/>
              </w:rPr>
              <w:t>2020</w:t>
            </w:r>
          </w:p>
        </w:tc>
        <w:tc>
          <w:tcPr>
            <w:tcW w:w="120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2016</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$ 57,626,303</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$ 55,139,136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20,756,054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3,189,839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19,556,586</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18,685,305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5,031,385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902,980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38,069,717</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36,453,831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11,706,417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(1,841,546)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(902,980)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609,031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5"/>
              </w:rPr>
              <w:t>Net change in unrealized appreciation (depreciation)</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on investments</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14,257,592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405,251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9"/>
              </w:rPr>
              <w:t>$ 46,979,900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9"/>
              </w:rPr>
              <w:t>$ 27,646,400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11,757,516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(1,436,295)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(903,041)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Per share data:</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Net investment income (loss)</w:t>
            </w:r>
            <w:r>
              <w:rPr>
                <w:rFonts w:ascii="Arial" w:cs="Arial" w:eastAsia="Arial" w:hAnsi="Arial"/>
                <w:sz w:val="25"/>
                <w:szCs w:val="25"/>
                <w:color w:val="auto"/>
                <w:vertAlign w:val="superscript"/>
              </w:rPr>
              <w:t>(1)</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1.38</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353"/>
        </w:trPr>
        <w:tc>
          <w:tcPr>
            <w:tcW w:w="4000" w:type="dxa"/>
            <w:vAlign w:val="bottom"/>
          </w:tcPr>
          <w:p>
            <w:pPr>
              <w:spacing w:after="0"/>
              <w:rPr>
                <w:sz w:val="20"/>
                <w:szCs w:val="20"/>
                <w:color w:val="auto"/>
              </w:rPr>
            </w:pPr>
            <w:r>
              <w:rPr>
                <w:rFonts w:ascii="Arial" w:cs="Arial" w:eastAsia="Arial" w:hAnsi="Arial"/>
                <w:sz w:val="18"/>
                <w:szCs w:val="18"/>
                <w:color w:val="auto"/>
                <w:w w:val="92"/>
              </w:rPr>
              <w:t>Net increase in net assets resulting from operations</w:t>
            </w:r>
            <w:r>
              <w:rPr>
                <w:rFonts w:ascii="Arial" w:cs="Arial" w:eastAsia="Arial" w:hAnsi="Arial"/>
                <w:sz w:val="26"/>
                <w:szCs w:val="26"/>
                <w:color w:val="auto"/>
                <w:w w:val="92"/>
                <w:vertAlign w:val="superscript"/>
              </w:rPr>
              <w:t>(1)</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1.70</w:t>
            </w:r>
          </w:p>
        </w:tc>
        <w:tc>
          <w:tcPr>
            <w:tcW w:w="1200" w:type="dxa"/>
            <w:vAlign w:val="bottom"/>
            <w:gridSpan w:val="2"/>
          </w:tcPr>
          <w:p>
            <w:pPr>
              <w:jc w:val="right"/>
              <w:ind w:right="2"/>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(83.82)</w:t>
            </w:r>
          </w:p>
        </w:tc>
      </w:tr>
      <w:tr>
        <w:trPr>
          <w:trHeight w:val="511"/>
        </w:trPr>
        <w:tc>
          <w:tcPr>
            <w:tcW w:w="4000" w:type="dxa"/>
            <w:vAlign w:val="bottom"/>
          </w:tcPr>
          <w:p>
            <w:pPr>
              <w:spacing w:after="0"/>
              <w:rPr>
                <w:sz w:val="24"/>
                <w:szCs w:val="24"/>
                <w:color w:val="auto"/>
              </w:rPr>
            </w:pP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4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2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4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r>
      <w:tr>
        <w:trPr>
          <w:trHeight w:val="21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Non-control/non-affiliate investments at fair value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541,978,736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368,016,276</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Control/affiliate investments at fair value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9,845,854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Investment in U.S. Treasury Bills at fair value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70,002,060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99,965,423</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45,799,672</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2,682,405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1,941,502</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403,566</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Prepaid expenses</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165,901</w:t>
            </w:r>
          </w:p>
        </w:tc>
        <w:tc>
          <w:tcPr>
            <w:tcW w:w="180" w:type="dxa"/>
            <w:vAlign w:val="bottom"/>
            <w:tcBorders>
              <w:bottom w:val="single" w:sz="8" w:color="CCEEFF"/>
            </w:tcBorders>
          </w:tcPr>
          <w:p>
            <w:pPr>
              <w:spacing w:after="0"/>
              <w:rPr>
                <w:sz w:val="18"/>
                <w:szCs w:val="18"/>
                <w:color w:val="auto"/>
              </w:rPr>
            </w:pPr>
          </w:p>
        </w:tc>
      </w:tr>
      <w:tr>
        <w:trPr>
          <w:trHeight w:val="209"/>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639,891,397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516,292,340</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Credit facilities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61,000,000</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credit facility fees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(978,907)</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Reverse repurchase agreement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74,593,802</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3,582,987</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Due to affiliate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81,537</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500,056</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962,348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1,199,644</w:t>
            </w:r>
          </w:p>
        </w:tc>
        <w:tc>
          <w:tcPr>
            <w:tcW w:w="180" w:type="dxa"/>
            <w:vAlign w:val="bottom"/>
            <w:tcBorders>
              <w:bottom w:val="single" w:sz="8" w:color="CCEEFF"/>
            </w:tcBorders>
          </w:tcPr>
          <w:p>
            <w:pPr>
              <w:spacing w:after="0"/>
              <w:rPr>
                <w:sz w:val="18"/>
                <w:szCs w:val="18"/>
                <w:color w:val="auto"/>
              </w:rPr>
            </w:pPr>
          </w:p>
        </w:tc>
      </w:tr>
      <w:tr>
        <w:trPr>
          <w:trHeight w:val="209"/>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173,647,712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139,979,119</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Total Net Assets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466,243,685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376,313,221</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line="216" w:lineRule="exact"/>
              <w:rPr>
                <w:sz w:val="20"/>
                <w:szCs w:val="20"/>
                <w:color w:val="auto"/>
              </w:rPr>
            </w:pPr>
            <w:r>
              <w:rPr>
                <w:rFonts w:ascii="Arial" w:cs="Arial" w:eastAsia="Arial" w:hAnsi="Arial"/>
                <w:sz w:val="17"/>
                <w:szCs w:val="17"/>
                <w:color w:val="auto"/>
              </w:rPr>
              <w:t>Total return based on Net Asset Value</w:t>
            </w:r>
            <w:r>
              <w:rPr>
                <w:rFonts w:ascii="Arial" w:cs="Arial" w:eastAsia="Arial" w:hAnsi="Arial"/>
                <w:sz w:val="25"/>
                <w:szCs w:val="25"/>
                <w:color w:val="auto"/>
                <w:vertAlign w:val="superscript"/>
              </w:rPr>
              <w:t>(2)</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216"/>
        </w:trPr>
        <w:tc>
          <w:tcPr>
            <w:tcW w:w="5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Net Asset Value per share</w:t>
            </w:r>
            <w:r>
              <w:rPr>
                <w:rFonts w:ascii="Arial" w:cs="Arial" w:eastAsia="Arial" w:hAnsi="Arial"/>
                <w:sz w:val="25"/>
                <w:szCs w:val="25"/>
                <w:color w:val="auto"/>
                <w:vertAlign w:val="superscript"/>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period, basic</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27,617,425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18,701,021</w:t>
            </w:r>
          </w:p>
        </w:tc>
        <w:tc>
          <w:tcPr>
            <w:tcW w:w="18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39,709,233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180" w:type="dxa"/>
            <w:vAlign w:val="bottom"/>
            <w:shd w:val="clear" w:color="auto" w:fill="CCEEFF"/>
          </w:tcPr>
          <w:p>
            <w:pPr>
              <w:spacing w:after="0"/>
              <w:rPr>
                <w:sz w:val="18"/>
                <w:szCs w:val="18"/>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67" w:lineRule="exact"/>
        <w:rPr>
          <w:sz w:val="20"/>
          <w:szCs w:val="20"/>
          <w:color w:val="auto"/>
        </w:rPr>
      </w:pPr>
    </w:p>
    <w:p>
      <w:pPr>
        <w:ind w:left="340" w:right="20" w:hanging="332"/>
        <w:spacing w:after="0" w:line="207" w:lineRule="auto"/>
        <w:tabs>
          <w:tab w:leader="none" w:pos="34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 except where such amounts need to be adjusted to be consistent with what is disclosed in the financial highlights of our audited financial statements.</w:t>
      </w:r>
    </w:p>
    <w:p>
      <w:pPr>
        <w:spacing w:after="0" w:line="201" w:lineRule="exact"/>
        <w:rPr>
          <w:rFonts w:ascii="Arial" w:cs="Arial" w:eastAsia="Arial" w:hAnsi="Arial"/>
          <w:sz w:val="27"/>
          <w:szCs w:val="27"/>
          <w:color w:val="auto"/>
          <w:vertAlign w:val="superscript"/>
        </w:rPr>
      </w:pPr>
    </w:p>
    <w:p>
      <w:pPr>
        <w:ind w:left="340" w:hanging="332"/>
        <w:spacing w:after="0" w:line="207" w:lineRule="auto"/>
        <w:tabs>
          <w:tab w:leader="none" w:pos="34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including as a result of the COVID-19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to the extent that we use leverage as part of our investment strategy;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external investment adviser, RGC, to locate suitable investments for us and to monitor and administer our investments, and the impacts of the COVID-19 pandemic thereon;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this Form 10-K and in our other filings with the SEC.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in Part I, Item 1A of this Form 10-K.</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based the forward-looking statements included in this Form 10-K on information available to us on the date of this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continue to qualify,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last day of our fiscal year following the fifth anniversary of an IPO, if any, or until the earliest of (i) the last day of the first fiscal year in which we have total annual gross revenue of $1,070,000,000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In connection with the Initial Private Offering, we issued 18,241,157 shares of our common stock to stockholders for a total purchase price of $275,000,000.</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2020, we had completed multiple closings under our second private offering (the “Second Private Offering”) and had accepted capital commitments of $174,673,500. As of December 31, 2020, in connection with the Second Private Offering, we have issued an aggregate of 8,352,251 shares for a total purchase price of $125,283,766. As of December 31, 2020, we have issued 4,816,873 shares for a total purchase price of $70,757,547 in connection with our dividend reinvestment plan.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10, 2020, we, RGC, and certain other funds and accounts sponsored or managed by RGC and/or its affiliates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we had investments in 31 portfolio companies, representing 22 companies where we held loan and warrant investments, eight companies where we held warrant interests only, and we held one U.S. Treasury Bill. The following table shows the fair value of our investments, by asset class,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1,237,196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521,940</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506,555,279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501,964,657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15,995,868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18,804,531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33,008,672</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546,587,551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551,824,590</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70,001,472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70,002,060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616,589,023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621,826,650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2019, we had investments in 25 portfolio companies, representing 21 companies where we held loan and warrant investments, four companies where we held warrant interests only, and held two U.S. Treasury Bills. The following table shows the fair value of our investments, by asset class, as of 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1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$ 358,385,089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$ 349,570,424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Warrants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18,383,811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18,008,337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377,018,900</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99,982,765</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99,965,423</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$ 477,001,665</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$ 467,981,699</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2020, the Company funded $249.5 million in eleven new portfolio companies and $46.0 million in seven existing portfolio companies. The Company also received $103.7 in loan repayments from ten portfolio companies and $2.9 million in proceeds from the termination of warrants.</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years ended December 31, 2020,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2020</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r>
      <w:tr>
        <w:trPr>
          <w:trHeight w:val="209"/>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467,981,699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304,208,317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140,721,508</w:t>
            </w:r>
          </w:p>
        </w:tc>
      </w:tr>
      <w:tr>
        <w:trPr>
          <w:trHeight w:val="216"/>
        </w:trPr>
        <w:tc>
          <w:tcPr>
            <w:tcW w:w="616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276,222,542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242,999,215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168,111,471</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276,000,012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315,836,640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270,444,962</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9,255,732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13,021,775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4,621,487</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(107,610,861)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(79,062,912)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(14,500,629)</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(2,948,902)</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(23,875,997)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(2,251,899)</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(305,983,755)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(295,955,273)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(262,989,682)</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(5,347,409)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226,396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59,792</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14,257,592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(9,416,462)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621,826,650</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467,981,699</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304,208,317</w:t>
            </w:r>
          </w:p>
        </w:tc>
      </w:tr>
      <w:tr>
        <w:trPr>
          <w:trHeight w:val="20"/>
        </w:trPr>
        <w:tc>
          <w:tcPr>
            <w:tcW w:w="2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229" w:lineRule="auto"/>
        <w:tabs>
          <w:tab w:leader="none" w:pos="32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Includes PIK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4"/>
                <w:szCs w:val="14"/>
                <w:color w:val="auto"/>
              </w:rPr>
            </w:pPr>
          </w:p>
        </w:tc>
        <w:tc>
          <w:tcPr>
            <w:tcW w:w="884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Rating Definition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40" w:type="dxa"/>
            <w:vAlign w:val="bottom"/>
          </w:tcPr>
          <w:p>
            <w:pPr>
              <w:spacing w:after="0"/>
              <w:rPr>
                <w:sz w:val="14"/>
                <w:szCs w:val="14"/>
                <w:color w:val="auto"/>
              </w:rPr>
            </w:pPr>
          </w:p>
        </w:tc>
        <w:tc>
          <w:tcPr>
            <w:tcW w:w="8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2"/>
              </w:rPr>
              <w:t>Performing above plan and/or strong enterprise profile, value, financial performance/coverage. Maintaining full covenant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ind w:left="1080" w:hanging="69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and payment compliance as agreed.</w:t>
      </w:r>
    </w:p>
    <w:p>
      <w:pPr>
        <w:spacing w:after="0" w:line="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Performing at or reasonably close to plan. Acceptable business prospects, enterprise value, financial coverage.</w:t>
      </w:r>
    </w:p>
    <w:p>
      <w:pPr>
        <w:spacing w:after="0" w:line="21" w:lineRule="exact"/>
        <w:rPr>
          <w:sz w:val="20"/>
          <w:szCs w:val="20"/>
          <w:color w:val="auto"/>
        </w:rPr>
      </w:pPr>
    </w:p>
    <w:p>
      <w:pPr>
        <w:ind w:left="1080" w:right="120" w:hanging="697"/>
        <w:spacing w:after="0" w:line="28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Maintaining key covenant and payment compliance as agreed. All new loans are initially graded Category 2. Performing below plan of record. Potential elements of concern over performance, trends and business outlook. Loan-to-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hanging="69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rFonts w:ascii="Arial" w:cs="Arial" w:eastAsia="Arial" w:hAnsi="Arial"/>
          <w:sz w:val="18"/>
          <w:szCs w:val="18"/>
          <w:color w:val="auto"/>
        </w:rPr>
      </w:pPr>
    </w:p>
    <w:p>
      <w:pPr>
        <w:ind w:left="1080" w:right="20"/>
        <w:spacing w:after="0" w:line="281" w:lineRule="auto"/>
        <w:rPr>
          <w:rFonts w:ascii="Arial" w:cs="Arial" w:eastAsia="Arial" w:hAnsi="Arial"/>
          <w:sz w:val="18"/>
          <w:szCs w:val="18"/>
          <w:color w:val="auto"/>
        </w:rPr>
      </w:pPr>
      <w:r>
        <w:rPr>
          <w:rFonts w:ascii="Arial" w:cs="Arial" w:eastAsia="Arial" w:hAnsi="Arial"/>
          <w:sz w:val="16"/>
          <w:szCs w:val="16"/>
          <w:color w:val="auto"/>
        </w:rPr>
        <w:t>Performing materially below plan. Non-compliant with material financial covenants. Payment default/deferral could result without corrective action. Requires close monitoring. Business prospects, enterprise value and collateral coverage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declining. These investments may be in workout, and there is a possibility of loss of return but no loss of principal is</w:t>
      </w:r>
    </w:p>
    <w:p>
      <w:pPr>
        <w:spacing w:after="0" w:line="21" w:lineRule="exact"/>
        <w:rPr>
          <w:sz w:val="20"/>
          <w:szCs w:val="20"/>
          <w:color w:val="auto"/>
        </w:rPr>
      </w:pPr>
    </w:p>
    <w:p>
      <w:pPr>
        <w:ind w:left="1080" w:hanging="69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Going concern nature in question. Substantial decline in enterprise value and all coverages. Covenant and payment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12" w:lineRule="exact"/>
        <w:rPr>
          <w:sz w:val="20"/>
          <w:szCs w:val="20"/>
          <w:color w:val="auto"/>
        </w:rPr>
      </w:pPr>
    </w:p>
    <w:p>
      <w:pPr>
        <w:ind w:left="1080" w:hanging="697"/>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imminent if not currently present. Investments are nearly always in workout. May experience partial and/or full loss.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4880"/>
        <w:spacing w:after="0"/>
        <w:rPr>
          <w:rFonts w:ascii="Arial" w:cs="Arial" w:eastAsia="Arial" w:hAnsi="Arial"/>
          <w:sz w:val="17"/>
          <w:szCs w:val="17"/>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investment ratings of our debt investments at fair value as of December 31, 2020 and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As of December 31, 2020</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rPr>
              <w:t>As of December 31, 2019</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217,278,446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119,109,762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8,870,625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4,311,591</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0.9 %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349,570,424</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259"/>
        <w:spacing w:after="0" w:line="263"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COVID-19 pandemic is uncertain and we can make no assurances that the pandemic will not have a negative impact on our investment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2020, we had six loans to Mojix, Inc. representing an aggregate principal funded of $11,000,000 at a fair market value of $8,961,080, on non-accrual status, which represents 1.92% of our net assets. As of December 31, 2019, we had two loans to Aginity, Inc. representing an aggregate principal funded of $9,000,000 at a fair market value of $4,311,589, on non-accrual status, which represents 1.15% of our net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 2019</w:t>
            </w:r>
          </w:p>
        </w:tc>
        <w:tc>
          <w:tcPr>
            <w:tcW w:w="19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120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$ 55,458,426</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8"/>
              </w:rPr>
              <w:t>$ 54,450,955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$ 19,565,467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688,181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9"/>
        </w:trPr>
        <w:tc>
          <w:tcPr>
            <w:tcW w:w="34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investment income</w:t>
            </w:r>
          </w:p>
        </w:tc>
        <w:tc>
          <w:tcPr>
            <w:tcW w:w="3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57,626,303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55,139,136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20,756,054</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6,831,566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5,105,009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4,812,500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7,260,656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8,349,449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1,064,150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1,186,466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532,732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975,688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677,958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855,889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515,891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735,674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478,731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Consulting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110,328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Insurance expense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96,296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20"/>
              <w:spacing w:after="0"/>
              <w:rPr>
                <w:sz w:val="20"/>
                <w:szCs w:val="20"/>
                <w:color w:val="auto"/>
              </w:rPr>
            </w:pPr>
            <w:r>
              <w:rPr>
                <w:rFonts w:ascii="Arial" w:cs="Arial" w:eastAsia="Arial" w:hAnsi="Arial"/>
                <w:sz w:val="18"/>
                <w:szCs w:val="18"/>
                <w:color w:val="auto"/>
              </w:rPr>
              <w:t>Other expenses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871,939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689,460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269,203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19,556,586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18,685,305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9,049,637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38,069,717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36,453,831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11,706,417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(5,347,409)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8"/>
        </w:trPr>
        <w:tc>
          <w:tcPr>
            <w:tcW w:w="34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change in unrealized appreciation</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(depreciation) on investments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14,257,592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(9,416,462)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(8,693)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8"/>
        </w:trPr>
        <w:tc>
          <w:tcPr>
            <w:tcW w:w="346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Net increase in net assets resulting from</w:t>
            </w:r>
          </w:p>
        </w:tc>
        <w:tc>
          <w:tcPr>
            <w:tcW w:w="380" w:type="dxa"/>
            <w:vAlign w:val="bottom"/>
            <w:tcBorders>
              <w:top w:val="single" w:sz="8" w:color="CCEEFF"/>
            </w:tcBorders>
            <w:vMerge w:val="restart"/>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b w:val="1"/>
                <w:bCs w:val="1"/>
                <w:color w:val="auto"/>
                <w:w w:val="89"/>
              </w:rPr>
              <w:t>46,979,900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vMerge w:val="restart"/>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27,646,400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b w:val="1"/>
                <w:bCs w:val="1"/>
                <w:color w:val="auto"/>
                <w:w w:val="89"/>
              </w:rPr>
              <w:t>11,757,516</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8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07" w:lineRule="auto"/>
        <w:tabs>
          <w:tab w:leader="none" w:pos="34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27,617,425, 18,701,021, and 9,300,960 shares outstanding for the years ended December 31, 2020, 2019, and 2018,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 income for the years ended December 31, 2020, 2019, and 2018 was $57,626,303, $55,139,136, and $20,756,054, respectively, due primarily to interest income earned on our portfolio investments. The increase in interest income for the year ended December 31, 2020 from the year ended December 31, 2019, and for the year ended December 31, 2019 from the year ended December 31, 2018 was driven by our deployment of capital, increased invested balance, prepayments, and end of term payments, partially offset by falling market interest rates. The United States Federal Reserve Bank has indicated it will maintain an accommodative monetary policy that is expected to maintain short-term interest rates at historically low levels for an extended period of time. Consequently, yields on our portfolio, as well as other investment strategies have declined relative to prior periods. We expect this trend may continue through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Operating expenses for the years ended December 31, 2020, 2019 and 2018 were $19,556,586, $18,685,305 and $9,049,637, respectively. Operating expenses increased for the year ended December 31, 2020 from the year ended December 31, 2019 primarily due to increased management fees paid to RGC, professional fees, credit facility fees, and other expenses. Operating expenses increased for the year ended December 31, 2019 from the year ended December 31, 2018 primarily due to increased management fees and incentive fees paid to RGC, overhead allocation expense, consulting fees, directors’ fees, interest expense, administration fees, and other expenses. Incentive fees for the years ended December 31, 2019 and December 31, 2018 increased primarily due to the increase in investment income, as discussed in more detail below. The increases in management fees were driven by our deployment of capital and increasing invested balance. The increase in interest expense was a result of an increase in borrowings under our Credit Facilities to fund investments. The increase in overhead allocation expense was driven by allocation of RGC personnel, time, and resources utilized on fund activity. Operating expenses per share for the years ended December 31, 2020, 2019 and 2018 were $0.71 per share, $1.00 per share and $0.97 per share,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Incentive fees for the years ended December 31, 2020, 2019, and 2018 were $7,260,656, $8,349,449, and $1,411,324, respectively. $1,748,171 of the incentive fees for the year ended December 31, 2020 were earned, payable in cash, and included in accrued incentive fees in the statement of assets and liabilities as of December 31, 2020. $1,853,351 of the incentive fees for the year ended December 31, 2020 were deferred and accrued, and included in accrued incentive fees in the statement of assets and liabilities as of December 31, 2020. $1,691,311 of the incentive fees for the year ended December 31, 2019 were earned, payable in cash, and included in accrued incentive fees in the statement of assets and liabilities as of December 31, 2019. $1,891,676 of the incentive fees for the year ended December 31, 2019 were deferred and accrued, and included in accrued incentive fees in the statement of assets and liabilities as of December 31, 2019. $711,868 of the incentive fees for the year ended December 31, 2018 were earned, payable in cash, and included in accrued incentive fees in the statement of assets and liabilities as of December 31, 2018. $359,698 of the incentive fees for the year ended December 31, 2018 were deferred and accrued, and included in accrued incentive fees in the statement of assets and liabilities as of December 31, 2018. Incentive fees related to paid-in-kind or deferred interest are accrued and payment is deferred until such interest is collected in cash. Incentive fees per share for the years ended December 31, 2020, 2019, and 2018 were $0.26 per share, $0.45 per share, and $0.15 per share,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investment income for the years ended December 31, 2020, 2019 and 2018 was $38,069,717, $36,453,831, and $11,706,417, respectively. Net investment income increased for the year ended December 31, 2020 from the year ended December 31, 2019 primarily due to increased interest income earned on our portfolio investments, partially offset by increased management fees and incentive fees and the other operating expenses discussed above. The decrease in early terminations, and accompanying decrease in prepayment fees and associated income, may have been negatively impacted by the COVID-19 pandemic and the associated disruption in the capital markets and merger and acquisition markets. Net investment income increased for the year ended December 31, 2019 from the year ended December 31, 2018 primarily due to increased interest income earned on our portfolio investments, partially offset by increased management fees and incentive fees and the other operating expenses discussed above. Net investment income per share for the years ended December 31, 2020, 2019 and 2018 were $1.38 per share, $1.95 per share and $1.26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net realized loss on investments of $5,347,409 for the year ended December 31, 2020 was primarily due to the loss on our senior secured loan to Aginity, Inc. The net realized gain on investments of $609,031 for the year ended December 31, 2019 was primarily due to the gain on the sale of preferred stock warrant in Drawbridge, Inc. and redemption of warrant for membership interest</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Mobius Imagine, LLC, partially offset by a loss our warrants for preferred stock on RedSeal, Inc. The net realized gain on investments of $59,792 for the year ended December 31, 2018 was primarily due to the gain on our warrants for preferred stock of Placecast,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Net change in unrealized appreciation on investments of $14,257,593 for the year ended December 31, 2020 was primarily due to increases in the fair value of our senior secured loans to Aria Systems, Inc. and our warrants for preferred stock or common stock of Ouster, Inc., MTBC, Inc., and Aspen Group Inc. This increase was offset by the decreases in the fair value of senior secured loans to Circadence Corporation and Pivot3, Inc., and our preferred stock in MTBC, Inc. Net change in unrealized depreciation on investments of $9,416,462 for the year ended December 31, 2019 was primarily due to increases in the fair value of our senior secured loans to eSilicon Corporation and Realwear, Inc., our preferred stock in Aria Systems, Inc. and our warrants for preferred stock of Aria Systems, Inc. and eSilicon Corporation. This increase was offset by the decreased in the fair value of senior secured loans to Aginity, Inc., CareCloud Corporation, and Mojix Inc., and our warrants for common or preferred stock of All Clear ID, Inc., Mojix Inc. and zSpace, Inc. The net change in unrealized depreciation on investments of $8,693 for the year ended December 31, 2018 was primarily due to increases in the fair value of our senior secured loans to AllClear ID, Inc. and eSilicon Corporation, our preferred stock in Aria Systems, Inc. and our warrants for preferred stock of Aria Systems, Inc., eSilicon Corporation, Mojix Inc. and ShareThis, Inc. This increase was partially offset by decreases in the fair value of our senior secured loans to Aginity, Inc., Aria Systems, Inc., CareCloud Corporation, and Mojix Inc., and our warrants for common or preferred stock of AllClear ID, Inc., Aspen Group Inc., Mojix Inc. and SendtoNews Video, Inc.</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COVID-19 pandemic and its resultant impact on economic activity and capital market volatility has impacted and may continue to have an impact on the fair market values of our investments. As of December 31, 2020, numerous variables used in the valuation process reflected the impact of the COVID-19 pandemic, such as market comparables, market volatility, discount rates and credit spreads; however, the dynamic nature of the COVID-19 pandemic and ability of portfolio companies to assess its impact on future performance may not be fully incorporated into our assumptions. As a result, the fair market values of our portfolio investments may be negatively impacted after December 31, 2020 by circumstances and events that are not yet known, including the complete or continuing impact of the COVID-19 pandemic and the resulting measures taken in response thereto. Our valuation process carefully considers the impact of the COVID-19 pandemic-related uncertainties in the various inputs utilized in the determination of the fair market value of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had a net increase in net assets resulting from operations of $46,979,900 for the year ended December 31, 2020, as compared to a net increase in net assets resulting from operations of $27,646,400 and $11,757,516 for the years ended December 31, 2019 and December 31, 2018, respectively. The net increase in net assets resulting from operations for the year ended December 31, 2020 from the year ended December 31, 2019 is attributable to increases in the fair value of our senior secured loans to Aria Systems, Inc. and our warrants for preferred stock or common stock of Ouster, Inc., MTBC, Inc., and Aspen Group Inc. The net increase in net assets resulting from operations for the year ended December 31, 2019 from the year ended December 31, 2018 is attributable to increased interest income earned on our portfolio investments and the gain on our warrants for preferred stock or units on Drawbridge, Inc. and Mobius Imagine, LLC. The net increase in net assets resulting from operations for the year ended December 31, 2018 from the year ended December 31, 2017 is attributable to increased interest income earned on our portfolio investments and the gain on our warrants for preferred stock of Placecast,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Agreement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year ended December 31, 2020, cash and cash equivalents decreased to $14,886,246, from $45,799,672 as of December 31, 2019. This decrease was primarily the result of the purchase of investments in portfolio companies for $272,532,493 and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U.S. Treasury Bills for $276,000,012 and was partially offset by sales of investments in portfolio companies, the maturity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the issuance of common stock, and borrowings under our Credit Facilities.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2019, cash and cash equivalents increased to $45,799,672, from $2,527,474 as of December 31, 2018. This increase was primarily the result of the purchase of investments in portfolio companies for $241,669,802 and U.S. Treasury Bills for $315,836,640 and was partially offset by sales of investments in portfolio companies, the maturity of U.S. Treasury Bills the issuance of common stock, and borrowings under our Credit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or pursuant to the dividend reinvestment program,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48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8,584,773</w:t>
            </w:r>
          </w:p>
        </w:tc>
        <w:tc>
          <w:tcPr>
            <w:tcW w:w="0" w:type="dxa"/>
            <w:vAlign w:val="bottom"/>
          </w:tcPr>
          <w:p>
            <w:pPr>
              <w:spacing w:after="0"/>
              <w:rPr>
                <w:sz w:val="1"/>
                <w:szCs w:val="1"/>
                <w:color w:val="auto"/>
              </w:rPr>
            </w:pPr>
          </w:p>
        </w:tc>
      </w:tr>
      <w:tr>
        <w:trPr>
          <w:trHeight w:val="210"/>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31,412,384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471,072,856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line="229" w:lineRule="auto"/>
        <w:tabs>
          <w:tab w:leader="none" w:pos="34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program.</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50" w:lineRule="exact"/>
        <w:rPr>
          <w:rFonts w:ascii="Arial" w:cs="Arial" w:eastAsia="Arial" w:hAnsi="Arial"/>
          <w:sz w:val="27"/>
          <w:szCs w:val="27"/>
          <w:color w:val="auto"/>
          <w:vertAlign w:val="superscript"/>
        </w:rPr>
      </w:pPr>
    </w:p>
    <w:p>
      <w:pPr>
        <w:ind w:left="4880"/>
        <w:spacing w:after="0"/>
        <w:rPr>
          <w:rFonts w:ascii="Arial" w:cs="Arial" w:eastAsia="Arial" w:hAnsi="Arial"/>
          <w:sz w:val="27"/>
          <w:szCs w:val="27"/>
          <w:color w:val="auto"/>
          <w:vertAlign w:val="superscript"/>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2020, the Company had $49,085,569 in unfunded loan commitments to provide debt financing to five portfolio companies. The Company’s management believes that its available cash balances, availability under the Credit Agreement and/or ability to drawdown capital from investors provides sufficient funds to cover its unfunded commitments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5"/>
              </w:rPr>
              <w:t>Payments Due By Period</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3–5 years</w:t>
            </w:r>
          </w:p>
        </w:tc>
        <w:tc>
          <w:tcPr>
            <w:tcW w:w="1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w w:val="95"/>
              </w:rPr>
              <w:t>Reverse repurchase agreement</w:t>
            </w:r>
            <w:r>
              <w:rPr>
                <w:rFonts w:ascii="Arial" w:cs="Arial" w:eastAsia="Arial" w:hAnsi="Arial"/>
                <w:sz w:val="24"/>
                <w:szCs w:val="24"/>
                <w:color w:val="auto"/>
                <w:w w:val="95"/>
                <w:vertAlign w:val="superscript"/>
              </w:rPr>
              <w:t>(1)</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69,650,000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168,650,000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168,650,000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07" w:lineRule="auto"/>
        <w:tabs>
          <w:tab w:leader="none" w:pos="3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January 2021.</w:t>
      </w:r>
    </w:p>
    <w:p>
      <w:pPr>
        <w:spacing w:after="0" w:line="121"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See “Note 10 — Credit Facilities.” to our financial statements in Part II of this Form 10-K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w:t>
      </w:r>
    </w:p>
    <w:p>
      <w:pPr>
        <w:spacing w:after="0" w:line="4" w:lineRule="exact"/>
        <w:rPr>
          <w:sz w:val="20"/>
          <w:szCs w:val="20"/>
          <w:color w:val="auto"/>
        </w:rPr>
      </w:pPr>
    </w:p>
    <w:p>
      <w:pPr>
        <w:jc w:val="both"/>
        <w:ind w:firstLine="8"/>
        <w:spacing w:after="0" w:line="267" w:lineRule="auto"/>
        <w:tabs>
          <w:tab w:leader="none" w:pos="2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fourth quarter of 2020, the Company amended the Credit Agreement and others to increase its size to $215 million, increase the accordion feature to $300 million, add additional lenders, modify certain pricing elements and other provisions. See “Note 10 — Credit Facilities” to our financial statements in Part II, Item 8 of this Form 10 K for more information on the Credit Agreement and Credit Facilities.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22, 2018, as amended on September 24, 2018, we entered into the Uncommitted Facility and the Committed Facility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On May 31, 2019, in conjunction with securing and entering into the new Credit Agreement, we terminated the Credit Facilities.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year ended December 31, 2020, the Company drew down $200,500,000 on the Credit Agreement and repaid $162,500,000 of which $99,000,000 remains outstanding. The Company anticipates continued usage of the Credit Agreement as well as other potential debt financing alternatives to fund future portfolio growth. At December 31, 2020, interest was accruing at a rate of 3.22%. During the year ended December 31, 2019, the Company drew down $162,250,000 on the Credit Agreement and Credit Facilities and repaid $160,750,000, of which $61,000,000 remained outstanding at December 31, 2019. At December 31, 2019 interest was accruing at a rate of 5.10% per annum. See “Note 10 — Credit Facilities” to our financial statements in Part II, Item 8 of this Form 10-K for more information on the Credit Agreement and Credit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and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year ended December 31, 2020, we declared and paid dividends in the amount of $39,709,233, of which $7,265,784 was distributed in cash and the remainder distributed in shares to stockholders pursuant to our dividend reinvestment program. During the year ended December 31, 2019, we declared and paid dividends in the amount of $40,651,334, of which $8,192,547 was distributed in cash and the remainder distributed in shares to stockholders pursuant to our dividend reinvestment program. During the year ended December 31, 2018, we declared and paid dividends in the amount of $7,283,810, of which $1,428,498 was distributed in cash and the remainder distributed in shares to stockholders pursuant to our dividend reinvestment program.</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17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15, 2018</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31, 2018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22, 2019</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7,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May 31, 2019</w:t>
            </w:r>
          </w:p>
        </w:tc>
        <w:tc>
          <w:tcPr>
            <w:tcW w:w="170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August 8,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September 30, 2019</w:t>
            </w:r>
          </w:p>
        </w:tc>
        <w:tc>
          <w:tcPr>
            <w:tcW w:w="1700" w:type="dxa"/>
            <w:vAlign w:val="bottom"/>
          </w:tcPr>
          <w:p>
            <w:pPr>
              <w:jc w:val="right"/>
              <w:spacing w:after="0"/>
              <w:rPr>
                <w:sz w:val="20"/>
                <w:szCs w:val="20"/>
                <w:color w:val="auto"/>
              </w:rPr>
            </w:pPr>
            <w:r>
              <w:rPr>
                <w:rFonts w:ascii="Arial" w:cs="Arial" w:eastAsia="Arial" w:hAnsi="Arial"/>
                <w:sz w:val="18"/>
                <w:szCs w:val="18"/>
                <w:color w:val="auto"/>
              </w:rPr>
              <w:t>November 12, 2019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December 10,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8,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20, 2020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1,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12, 2020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2020,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portfolio investments. As a result, the fair market values of our portfolio investments may be negatively impacted after December 31, 2020 by circumstances and events that are not yet known, 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our portfolio investments.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but a significantly higher or lower fair value measurement of any of the Company’s portfolio investments may occur regardless of whether there is a significant increase or decrease in these unobservable inputs.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The fair value of an equity investment in a privately held company is initially the face value of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December 31, 2020 and 2019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521,940</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501,964,657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536,309,597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551,824,590</w:t>
            </w: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536,309,597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r>
      <w:tr>
        <w:trPr>
          <w:trHeight w:val="20"/>
        </w:trPr>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4"/>
        </w:trPr>
        <w:tc>
          <w:tcPr>
            <w:tcW w:w="3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349,570,424</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349,570,424</w:t>
            </w: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r>
      <w:tr>
        <w:trPr>
          <w:trHeight w:val="216"/>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368,016,276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368,016,276</w:t>
            </w: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99,965,423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99,965,423</w:t>
            </w:r>
          </w:p>
        </w:tc>
      </w:tr>
      <w:tr>
        <w:trPr>
          <w:trHeight w:val="210"/>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99,965,423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368,016,276</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467,981,699</w:t>
            </w:r>
          </w:p>
        </w:tc>
      </w:tr>
      <w:tr>
        <w:trPr>
          <w:trHeight w:val="20"/>
        </w:trPr>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transfers into and out of the levels indicated above at the end of the reporting period. There were no transfers into or out of the levels during the years ended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warrants, or contractual success fees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prepayment of a loan or debt security, any prepayment penalties, unamortized loan origination fees, end of term payments and unamortized market discounts are recorded as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II, Item 8 of this Form 10-K for more information on the Advisory Agreement and the fee structure thereunder.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elected to be treated,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evaluated events subsequent to December 31, 2020, through March 11,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26, 2021, the Company funded an investment of $250,000 to The Kairn Corporation.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27, 2021, as part of an overall reorganization of Pivot3, Inc., Pivot3, Inc. changed its name to Pivot3 Holdings, Inc. and the Company: (i) funded a $1,000,000 investment of Series 1 Preferred Stock, and (ii) converted the $1,000,000 Convertible Bridge Loan into Series 1 Preferred Stock. Further, in conjunction with the reorganization, our Series D warrants were effectively canceled and as such we recorded a $216,610 realized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11, 2021, the Company funded an investment of $500,000 to Mojix,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23, 2021, the Company funded an investment of $2,000,000 to Massdrop, Inc.</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2, 2021, 3DNA Corp. prepaid its outstanding principal balance of $7,500,000. In addition, the Company received cash proceeds of $598,438 in conjunction with ETP, prepayment fees, and interest for total proceeds of $8,098,438.</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4, 2021, the Company declared a dividend of $0.37 per share payable on March 19, 2021 to shareholders of record as of March 5, 2021. The Company set December 31, 2020 as the valuation date for shares issued in connection with the dividend pursuant to the Company’s dividend reinvestment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COVID-19 outbreak has introduced significant volatility in the financial markets, and the effects of this volatility could materially</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our market risks. For additional information concerning the COVID-19 pandemic and its potential impact on our business and our operating results, see Part I, Item 1A.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has and may continue to exaggerate the inherent difficulty in determining the fair market value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December 31, 2020, 96.8%, or $490,502,019 (at cost), of our debt portfolio investments bore interest at variable rates, which are LIBOR-based and subject to certain floors, and $4,187,933 of our debt portfolio investments bore interest at fixed rates.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$2,847,546 and decrease our investment income by a maximum of $0, due to certain floors, on an annual basis.</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plus 3%.</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United Kingdom’s Financial Conduct Authority (the “FCA”), which regulates LIBOR, has announced that it will not compel panel banks to contribute to LIBOR after 2021. It is unclear if at that time whether LIBOR will cease to exist or if new methods of calculating LIBOR will be established such that it continues to exist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On March 5, 2021, FCA and LIBOR’s administrator, the ICE Benchmark Administration (“IBA”) announced that all 35 LIBOR tenors (in the five LIBOR currencies, i.e., USD, GBP, EUR, JPY and CHF) will be discontinued or declared non-representative as of either: (a) immediately after December 31, 2021, or (b) immediately after June 30, 2023. Despite the announcement confirming that certain LIBOR tenors will not be phased out until June 2023, regulators continue to emphasize the importance of LIBOR transition planning.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Because we currently borrow, and plan to borrow in the future, funds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9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922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 of Independent Registered Public Accounting Firm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Statements of Assets and Liabilities as of December 31, 2020 and 2019</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81</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Statements of Operations for the years ended December 31, 2020, 2019 and 2018</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82</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Statements of Changes in Net Assets for the years ended December 31, 2020, 2019 and 2018</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83</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Statements of Cash Flows for the years ended December 31, 2020, 2019 and 2018</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84</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Schedules of Investments as of December 31, 2020 and 2019</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85</w:t>
            </w:r>
          </w:p>
        </w:tc>
      </w:tr>
      <w:tr>
        <w:trPr>
          <w:trHeight w:val="405"/>
        </w:trPr>
        <w:tc>
          <w:tcPr>
            <w:tcW w:w="922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Notes to Financial Statements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Shareholders and the Board of Directors of Runway Growth Credit Fund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audited the accompanying statements of assets and liabilities, including the schedules of investments, of Runway Growth Credit Fund Inc. (the Company) as of December 31, 2020 and 2019, and the related statements of operations, changes in net assets and cash flows for each of the three years in the period ended December 31, 2020, and the related notes to the financial statements (collectively,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2020, by correspondence with the custodians and portfolio companies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Non-control/non-affiliate investments at fair value (cost of $532,676,057 and $377,018,900,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541,978,736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368,016,276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Control/affiliate investments at fair value (cost of $13,911,494 and $0, respectively)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9,845,854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$70,001,472 and $99,982,765,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Total investments at fair value (cost of $616,589,023 and $477,001,665, respectively)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621,826,650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467,981,699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2,682,405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639,891,397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516,292,340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00"/>
              <w:spacing w:after="0" w:line="201" w:lineRule="exact"/>
              <w:rPr>
                <w:sz w:val="20"/>
                <w:szCs w:val="20"/>
                <w:color w:val="auto"/>
              </w:rPr>
            </w:pPr>
            <w:r>
              <w:rPr>
                <w:rFonts w:ascii="Arial" w:cs="Arial" w:eastAsia="Arial" w:hAnsi="Arial"/>
                <w:sz w:val="18"/>
                <w:szCs w:val="18"/>
                <w:color w:val="auto"/>
                <w:w w:val="99"/>
              </w:rPr>
              <w:t>Deferred credit facility fees (net of accumulated amortization of $383,873 and $129,290,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(1,583,230)</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 less unamortized deferred financing costs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97,416,770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74,593,802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Due to affiliate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962,348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173,647,712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139,979,119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$0.01 par value; 100,000,000 shares authorized; 31,414,051 and 25,811,214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shares issued and outstanding, 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466,872,304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384,369,854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Distributable (losses) earnings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466,243,685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376,313,221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8"/>
                <w:szCs w:val="18"/>
                <w:color w:val="auto"/>
              </w:rPr>
              <w:t>See notes to financial statements.</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51,591,420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53,015,168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19,446,270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3,690,049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1,329,413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106,374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investment income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57,626,303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55,139,136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20,756,054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Management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6,831,566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5,105,009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Incentive fees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1,186,466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Professional fees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Overhead allocation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855,889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Administration fee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Facility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735,674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Directors’ fees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Consulting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Insurance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689,460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19,556,586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18,685,305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9,049,637</w:t>
            </w:r>
          </w:p>
        </w:tc>
        <w:tc>
          <w:tcPr>
            <w:tcW w:w="0" w:type="dxa"/>
            <w:vAlign w:val="bottom"/>
          </w:tcPr>
          <w:p>
            <w:pPr>
              <w:spacing w:after="0"/>
              <w:rPr>
                <w:sz w:val="1"/>
                <w:szCs w:val="1"/>
                <w:color w:val="auto"/>
              </w:rPr>
            </w:pPr>
          </w:p>
        </w:tc>
      </w:tr>
      <w:tr>
        <w:trPr>
          <w:trHeight w:val="209"/>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38,069,717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36,453,831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11,706,417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2"/>
              </w:rPr>
              <w:t>Realized gain (loss) on non-control/non-affiliate investments, including U.S. Treasury Bills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(5,347,409)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60" w:type="dxa"/>
            <w:vAlign w:val="bottom"/>
          </w:tcPr>
          <w:p>
            <w:pPr>
              <w:ind w:left="100"/>
              <w:spacing w:after="0" w:line="185" w:lineRule="exact"/>
              <w:rPr>
                <w:sz w:val="20"/>
                <w:szCs w:val="20"/>
                <w:color w:val="auto"/>
              </w:rPr>
            </w:pPr>
            <w:r>
              <w:rPr>
                <w:rFonts w:ascii="Arial" w:cs="Arial" w:eastAsia="Arial" w:hAnsi="Arial"/>
                <w:sz w:val="17"/>
                <w:szCs w:val="17"/>
                <w:color w:val="auto"/>
              </w:rPr>
              <w:t>Net change in unrealized appreciation (depreciation) on non-control/non-affiliate</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13,970,465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(9,416,462)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60" w:type="dxa"/>
            <w:vAlign w:val="bottom"/>
          </w:tcPr>
          <w:p>
            <w:pPr>
              <w:ind w:left="100"/>
              <w:spacing w:after="0"/>
              <w:rPr>
                <w:sz w:val="20"/>
                <w:szCs w:val="20"/>
                <w:color w:val="auto"/>
              </w:rPr>
            </w:pPr>
            <w:r>
              <w:rPr>
                <w:rFonts w:ascii="Arial" w:cs="Arial" w:eastAsia="Arial" w:hAnsi="Arial"/>
                <w:sz w:val="17"/>
                <w:szCs w:val="17"/>
                <w:color w:val="auto"/>
              </w:rPr>
              <w:t>investments, including U.S. Treasury Bills</w:t>
            </w: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 in unrealized appreciation on control/affiliate investments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380" w:type="dxa"/>
            <w:vAlign w:val="bottom"/>
            <w:gridSpan w:val="2"/>
          </w:tcPr>
          <w:p>
            <w:pPr>
              <w:spacing w:after="0"/>
              <w:rPr>
                <w:sz w:val="20"/>
                <w:szCs w:val="20"/>
                <w:color w:val="auto"/>
              </w:rPr>
            </w:pPr>
            <w:r>
              <w:rPr>
                <w:rFonts w:ascii="Arial" w:cs="Arial" w:eastAsia="Arial" w:hAnsi="Arial"/>
                <w:sz w:val="17"/>
                <w:szCs w:val="17"/>
                <w:b w:val="1"/>
                <w:bCs w:val="1"/>
                <w:color w:val="auto"/>
              </w:rPr>
              <w:t>Net realized and unrealized gain (loss) on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8,910,183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(8,807,431)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46,979,900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27,646,400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11,757,516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resulting from operations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27,617,425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18,701,021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9,300,960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26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6"/>
              </w:rPr>
              <w:t>2019</w:t>
            </w:r>
          </w:p>
        </w:tc>
        <w:tc>
          <w:tcPr>
            <w:tcW w:w="12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  38,069,717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36,453,831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11,706,417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Realized gain (loss) on non-control/non-affiliate investments, including U.S. Treasury</w:t>
            </w: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Bills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spacing w:after="0" w:line="201" w:lineRule="exact"/>
              <w:rPr>
                <w:sz w:val="20"/>
                <w:szCs w:val="20"/>
                <w:color w:val="auto"/>
              </w:rPr>
            </w:pPr>
            <w:r>
              <w:rPr>
                <w:rFonts w:ascii="Arial" w:cs="Arial" w:eastAsia="Arial" w:hAnsi="Arial"/>
                <w:sz w:val="18"/>
                <w:szCs w:val="18"/>
                <w:color w:val="auto"/>
                <w:w w:val="97"/>
              </w:rPr>
              <w:t>Net change in unrealized appreciation (depreciation) on non-control/non-affiliate</w:t>
            </w: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investments, including U.S. Treasury Bills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13,970,465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on control/affiliate investments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46,979,900</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27,646,400</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11,757,516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(7,283,810)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(39,709,233)</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(40,651,334)</w:t>
            </w:r>
          </w:p>
        </w:tc>
        <w:tc>
          <w:tcPr>
            <w:tcW w:w="1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(7,283,810)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50,315,308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32,443,448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32,458,787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5,855,312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(510,027)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82,659,797</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221,948,760</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35,855,312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assets at beginning of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89,930,464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208,943,826</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40,329,018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376,313,221</w:t>
            </w:r>
          </w:p>
        </w:tc>
        <w:tc>
          <w:tcPr>
            <w:tcW w:w="1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167,369,395</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127,040,377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$ 466,243,685</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$ 376,313,221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$ 167,369,395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-325120</wp:posOffset>
            </wp:positionV>
            <wp:extent cx="629221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40" w:space="720"/>
            <w:col w:w="366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5,602,837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14,754,619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2,388,261</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11,056,595</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8,668,334</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31,414,051</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25,811,214</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11,056,595</w:t>
            </w: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3"/>
                <w:szCs w:val="13"/>
                <w:b w:val="1"/>
                <w:bCs w:val="1"/>
                <w:color w:val="auto"/>
                <w:w w:val="97"/>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2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60"/>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Net increase in net assets resulting from operations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46,979,900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27,646,400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11,757,516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Adjustments to reconcile net increase in net assets resulting from operations to net cash</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provided by (used in) operating activities: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(272,532,493)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(241,669,802)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(168,111,471)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U.S. Treasury Bills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(276,000,012)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(315,836,640)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(270,444,962)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Payment in-kind interest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(3,690,049)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(1,329,413)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or repayments of investments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110,559,763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102,938,909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16,752,528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Sales or maturities of U.S. Treasury Bills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279,984,131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295,955,273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262,989,682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U.S. Treasury Bills sold short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25,999,624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Realized (gain) loss on investments, including U.S. Treasury Bills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5,347,409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(609,031)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2"/>
              </w:rPr>
              <w:t>Net change in unrealized (appreciation) depreciation on investments, including U.S. Treasury</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Bills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9,416,462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Amortization of fixed income premiums or accretion of discounts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(9,255,732)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(13,021,775)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(4,621,487)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credit facility fees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interest receivable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(740,903)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Other accounts receivable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Payable for securities purchased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(80,699)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(18,915,011)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Accrued incentive fees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1,424,078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2,511,421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1,071,566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Due to portfolio company</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Due to affiliate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61,978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payable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(237,299)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810,976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(106,090,579)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(133,575,637)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(172,930,555)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Deferred offering costs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credit facility fees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Borrowings under credit facilities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200,500,000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162,250,000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credit facilities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(162,500,000)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(160,750,000)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Proceeds from reverse repurchase agreements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248,749,477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289,385,422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79,560,129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reverse repurchase agreements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(253,693,279)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(294,351,749)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Dividends paid to stockholders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(7,265,785)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(8,192,547)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(1,428,498)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Offering costs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cash received from common stock issued</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50,315,308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190,000,000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75,177,153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176,847,835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167,316,359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(30,913,426)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43,272,198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Cash and cash equivalents at beginning of period</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45,799,672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2,527,474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8,141,670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Cash and cash equivalents at end of period</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14,886,246</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45,799,672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Taxes paid</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99,549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183,510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1,096,192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rPr>
                <w:sz w:val="20"/>
                <w:szCs w:val="20"/>
                <w:color w:val="auto"/>
              </w:rPr>
            </w:pPr>
            <w:r>
              <w:rPr>
                <w:rFonts w:ascii="Arial" w:cs="Arial" w:eastAsia="Arial" w:hAnsi="Arial"/>
                <w:sz w:val="16"/>
                <w:szCs w:val="16"/>
                <w:color w:val="auto"/>
              </w:rPr>
              <w:t>Non-cash portfolio purchases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23,959,450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dividend reinvestments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32,443,448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32,458,787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5,855,312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10"/>
                <w:szCs w:val="10"/>
                <w:b w:val="1"/>
                <w:bCs w:val="1"/>
                <w:color w:val="auto"/>
                <w:w w:val="99"/>
              </w:rPr>
              <w:t>(2),(9)</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6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34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8"/>
              </w:rPr>
              <w:t>Senior Secured Term Loans</w:t>
            </w:r>
            <w:r>
              <w:rPr>
                <w:rFonts w:ascii="Arial" w:cs="Arial" w:eastAsia="Arial" w:hAnsi="Arial"/>
                <w:sz w:val="10"/>
                <w:szCs w:val="10"/>
                <w:b w:val="1"/>
                <w:bCs w:val="1"/>
                <w:color w:val="auto"/>
                <w:w w:val="98"/>
              </w:rPr>
              <w:t>(14)</w:t>
            </w: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I: LIBOR+12.00%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12.00% floor, 5% ETP, due 5/15/2021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6,502,036</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4,913,150</w:t>
            </w:r>
          </w:p>
        </w:tc>
        <w:tc>
          <w:tcPr>
            <w:tcW w:w="6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Tranche II: LIBOR+12.00%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12.00% floor, 5% ETP, due 5/15/2021</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8/3/2017</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2,173,080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2,170,069</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1,637,717</w:t>
            </w:r>
          </w:p>
        </w:tc>
        <w:tc>
          <w:tcPr>
            <w:tcW w:w="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4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III: LIBOR+12.00%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12.00% floor, 5% ETP, due 5/15/2021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409,016</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Tranche IV: LIBOR+12.00%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Arial" w:cs="Arial" w:eastAsia="Arial" w:hAnsi="Arial"/>
                <w:sz w:val="14"/>
                <w:szCs w:val="14"/>
                <w:color w:val="auto"/>
                <w:w w:val="95"/>
              </w:rPr>
              <w:t xml:space="preserve">12.00% floor, 5% ETP, due 5/15/2021 </w:t>
            </w:r>
            <w:r>
              <w:rPr>
                <w:rFonts w:ascii="Arial" w:cs="Arial" w:eastAsia="Arial" w:hAnsi="Arial"/>
                <w:sz w:val="10"/>
                <w:szCs w:val="10"/>
                <w:color w:val="auto"/>
                <w:w w:val="95"/>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9/5/2018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541,964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542,215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408,445</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V: LIBOR+12.00%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rPr>
              <w:t>12.00% floor, 5% ETP, due 5/15/2021</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813,382</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Tranche VI: LIBOR+12.00%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12.00% floor, 5% ETP, due 9/30/2020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1"/>
              </w:rPr>
              <w:t>12/18/2019</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779,370</w:t>
            </w:r>
          </w:p>
        </w:tc>
        <w:tc>
          <w:tcPr>
            <w:tcW w:w="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40"/>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CCEEFF"/>
            </w:tcBorders>
            <w:gridSpan w:val="6"/>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6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3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11,865,327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8,961,080</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22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tcPr>
          <w:p>
            <w:pPr>
              <w:spacing w:after="0"/>
              <w:rPr>
                <w:sz w:val="11"/>
                <w:szCs w:val="11"/>
                <w:color w:val="auto"/>
              </w:rPr>
            </w:pPr>
          </w:p>
        </w:tc>
        <w:tc>
          <w:tcPr>
            <w:tcW w:w="24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1"/>
              </w:rPr>
              <w:t>12/14/2020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Software</w:t>
            </w:r>
          </w:p>
        </w:tc>
        <w:tc>
          <w:tcPr>
            <w:tcW w:w="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67,114,092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884,774</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12/14/2020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8"/>
              </w:rPr>
              <w:t>price $1.286/share, expires 12/13/2030</w:t>
            </w:r>
          </w:p>
        </w:tc>
        <w:tc>
          <w:tcPr>
            <w:tcW w:w="7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119,320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1"/>
              </w:rPr>
              <w:t>12/14/2020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Arial" w:cs="Arial" w:eastAsia="Arial" w:hAnsi="Arial"/>
                <w:sz w:val="14"/>
                <w:szCs w:val="14"/>
                <w:color w:val="auto"/>
                <w:w w:val="95"/>
              </w:rPr>
              <w:t>price $2.1286/share, expires 12/13/2030</w:t>
            </w:r>
          </w:p>
        </w:tc>
        <w:tc>
          <w:tcPr>
            <w:tcW w:w="7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298,325</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12/14/2020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price $5.57338/share, expires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12/13/2030</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394,733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828,522</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Borders>
              <w:bottom w:val="single" w:sz="8" w:color="CCEEFF"/>
            </w:tcBorders>
            <w:gridSpan w:val="6"/>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6"/>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13,911,494</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9,845,854</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3"/>
              </w:rPr>
              <w:t>investments</w:t>
            </w: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98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gridSpan w:val="6"/>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800" w:type="dxa"/>
            <w:vAlign w:val="bottom"/>
            <w:tcBorders>
              <w:top w:val="single" w:sz="8" w:color="auto"/>
            </w:tcBorders>
            <w:gridSpan w:val="2"/>
          </w:tcPr>
          <w:p>
            <w:pPr>
              <w:spacing w:after="0"/>
              <w:rPr>
                <w:sz w:val="11"/>
                <w:szCs w:val="11"/>
                <w:color w:val="auto"/>
              </w:rPr>
            </w:pPr>
          </w:p>
        </w:tc>
        <w:tc>
          <w:tcPr>
            <w:tcW w:w="5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Corporate Bond</w:t>
            </w: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w w:val="98"/>
              </w:rPr>
              <w:t>TriplePoint Venture Growth BDC</w:t>
            </w:r>
          </w:p>
        </w:tc>
        <w:tc>
          <w:tcPr>
            <w:tcW w:w="122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Specialty Finance</w:t>
            </w: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Bonds, 5.75% Interest rate, due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8"/>
          </w:tcPr>
          <w:p>
            <w:pPr>
              <w:spacing w:after="0"/>
              <w:rPr>
                <w:sz w:val="20"/>
                <w:szCs w:val="20"/>
                <w:color w:val="auto"/>
              </w:rPr>
            </w:pPr>
            <w:r>
              <w:rPr>
                <w:rFonts w:ascii="Arial" w:cs="Arial" w:eastAsia="Arial" w:hAnsi="Arial"/>
                <w:sz w:val="14"/>
                <w:szCs w:val="14"/>
                <w:color w:val="auto"/>
              </w:rPr>
              <w:t>Corp.</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3/23/2020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253,095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333,453</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8"/>
              </w:rPr>
              <w:t>Senior Secured Term Loans</w:t>
            </w:r>
            <w:r>
              <w:rPr>
                <w:rFonts w:ascii="Arial" w:cs="Arial" w:eastAsia="Arial" w:hAnsi="Arial"/>
                <w:sz w:val="10"/>
                <w:szCs w:val="10"/>
                <w:b w:val="1"/>
                <w:bCs w:val="1"/>
                <w:color w:val="auto"/>
                <w:w w:val="98"/>
              </w:rPr>
              <w:t>(14)</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I: LIBOR+9.00%, 11.35%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floor, 4.50% ETP, due 12/15/2021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25,573,394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26,487,949</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Tranche II: LIBOR+9.00%, 11.35%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Arial" w:cs="Arial" w:eastAsia="Arial" w:hAnsi="Arial"/>
                <w:sz w:val="14"/>
                <w:szCs w:val="14"/>
                <w:color w:val="auto"/>
              </w:rPr>
              <w:t>floor, 4.50% ETP, due 12/15/2021</w:t>
            </w:r>
          </w:p>
        </w:tc>
        <w:tc>
          <w:tcPr>
            <w:tcW w:w="700" w:type="dxa"/>
            <w:vAlign w:val="bottom"/>
          </w:tcPr>
          <w:p>
            <w:pPr>
              <w:jc w:val="right"/>
              <w:spacing w:after="0"/>
              <w:rPr>
                <w:sz w:val="20"/>
                <w:szCs w:val="20"/>
                <w:color w:val="auto"/>
              </w:rPr>
            </w:pPr>
            <w:r>
              <w:rPr>
                <w:rFonts w:ascii="Arial" w:cs="Arial" w:eastAsia="Arial" w:hAnsi="Arial"/>
                <w:sz w:val="14"/>
                <w:szCs w:val="14"/>
                <w:color w:val="auto"/>
              </w:rPr>
              <w:t>3/31/2020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2,546,484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2,648,795</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Internet Retail</w:t>
            </w:r>
          </w:p>
        </w:tc>
        <w:tc>
          <w:tcPr>
            <w:tcW w:w="2460" w:type="dxa"/>
            <w:vAlign w:val="bottom"/>
            <w:gridSpan w:val="3"/>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I: LIBOR+8.25%, 9.25% floor,</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4.50% ETP, due 10/15/2023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34,722,601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34,722,601</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3"/>
          </w:tcPr>
          <w:p>
            <w:pPr>
              <w:ind w:left="40"/>
              <w:spacing w:after="0" w:line="130" w:lineRule="exact"/>
              <w:rPr>
                <w:sz w:val="20"/>
                <w:szCs w:val="20"/>
                <w:color w:val="auto"/>
              </w:rPr>
            </w:pPr>
            <w:r>
              <w:rPr>
                <w:rFonts w:ascii="Arial" w:cs="Arial" w:eastAsia="Arial" w:hAnsi="Arial"/>
                <w:sz w:val="14"/>
                <w:szCs w:val="14"/>
                <w:color w:val="auto"/>
                <w:w w:val="98"/>
              </w:rPr>
              <w:t>Tranche II: LIBOR+8.25%, 9.25% floor,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3"/>
          </w:tcPr>
          <w:p>
            <w:pPr>
              <w:ind w:left="40"/>
              <w:spacing w:after="0"/>
              <w:rPr>
                <w:sz w:val="20"/>
                <w:szCs w:val="20"/>
                <w:color w:val="auto"/>
              </w:rPr>
            </w:pPr>
            <w:r>
              <w:rPr>
                <w:rFonts w:ascii="Arial" w:cs="Arial" w:eastAsia="Arial" w:hAnsi="Arial"/>
                <w:sz w:val="14"/>
                <w:szCs w:val="14"/>
                <w:color w:val="auto"/>
              </w:rPr>
              <w:t>0.75% ETP, due 10/15/2023</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29,733,181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29,758,229</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2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LIBOR+9.50%, 12.00% floor, 7.50%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ETP, due 12/15/2022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15,598,546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(2),(9)</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(14)</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1.00% PIK, 10.00%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xml:space="preserve">floor, 2.75% ETP, due 6/13/2023 </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7,615,625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7,540,959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7,447,536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1.60 %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1.25% PIK, 11.25%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7"/>
              </w:rPr>
              <w:t xml:space="preserve">floor, 3.00% ETP, due 12/15/2023 </w:t>
            </w:r>
            <w:r>
              <w:rPr>
                <w:rFonts w:ascii="Arial" w:cs="Arial" w:eastAsia="Arial" w:hAnsi="Arial"/>
                <w:sz w:val="10"/>
                <w:szCs w:val="10"/>
                <w:color w:val="auto"/>
                <w:w w:val="97"/>
              </w:rPr>
              <w:t>(3),(4),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24,772,553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34,531,361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II: LIBOR+8.35% , 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on overadvance, 10.25% floor,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 xml:space="preserve">5/15/2023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9,362,671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 5.13%</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6,180,487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14,078,320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14,324,161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12.05%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3,069,463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 5.00%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44,330,193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 3.50%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29,156,536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19,899,836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19,817,189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LIBOR+8.00%, 10.50%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9,908,594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 3.00%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6/15/2023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30,054,163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30,270,499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 4.00%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Electronics Retail</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18,405,948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 10.00%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4,683,180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4,646,930</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LIBOR+9.00%, 11.50%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5.50% ETP, due 4/15/2023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7,079,561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LIBOR+9.00%, 11.50%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5.50% ETP, due 4/15/2023</w:t>
            </w:r>
          </w:p>
        </w:tc>
        <w:tc>
          <w:tcPr>
            <w:tcW w:w="720" w:type="dxa"/>
            <w:vAlign w:val="bottom"/>
          </w:tcPr>
          <w:p>
            <w:pPr>
              <w:jc w:val="right"/>
              <w:spacing w:after="0"/>
              <w:rPr>
                <w:sz w:val="20"/>
                <w:szCs w:val="20"/>
                <w:color w:val="auto"/>
              </w:rPr>
            </w:pPr>
            <w:r>
              <w:rPr>
                <w:rFonts w:ascii="Arial" w:cs="Arial" w:eastAsia="Arial" w:hAnsi="Arial"/>
                <w:sz w:val="14"/>
                <w:szCs w:val="14"/>
                <w:color w:val="auto"/>
              </w:rPr>
              <w:t>6/12/2019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512,117</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505,683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LIBOR+8.50%, 10.75% floor, 5% ETP,</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Hardware, Storage</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due 11/15/2021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11/27/2018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7,234,515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 LIBOR+8.50% PIK, 11.00%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 xml:space="preserve">floor, 4.00% ETP, due 11/15/2022 </w:t>
            </w:r>
            <w:r>
              <w:rPr>
                <w:rFonts w:ascii="Arial" w:cs="Arial" w:eastAsia="Arial" w:hAnsi="Arial"/>
                <w:sz w:val="10"/>
                <w:szCs w:val="10"/>
                <w:color w:val="auto"/>
              </w:rPr>
              <w:t>(4)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21,609,825</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19,864,282</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LIBOR+8.50%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951,822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LIBOR+8.50%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10/2/2020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930,629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 9.05%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floor, 3.50% ETP, due 7/22/2024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40,206,479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(2),(9)</w:t>
            </w: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(14)</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floor, 3.00% ETP, due 12/31/2022</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$ 19,250,000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18,850,776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18,850,776</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Arial" w:cs="Arial" w:eastAsia="Arial" w:hAnsi="Arial"/>
                <w:sz w:val="14"/>
                <w:szCs w:val="14"/>
                <w:color w:val="auto"/>
              </w:rPr>
              <w:t>floor, 3.00% ETP, due 12/31/2022</w:t>
            </w:r>
          </w:p>
        </w:tc>
        <w:tc>
          <w:tcPr>
            <w:tcW w:w="740" w:type="dxa"/>
            <w:vAlign w:val="bottom"/>
          </w:tcPr>
          <w:p>
            <w:pPr>
              <w:jc w:val="right"/>
              <w:spacing w:after="0"/>
              <w:rPr>
                <w:sz w:val="20"/>
                <w:szCs w:val="20"/>
                <w:color w:val="auto"/>
              </w:rPr>
            </w:pPr>
            <w:r>
              <w:rPr>
                <w:rFonts w:ascii="Arial" w:cs="Arial" w:eastAsia="Arial" w:hAnsi="Arial"/>
                <w:sz w:val="14"/>
                <w:szCs w:val="14"/>
                <w:color w:val="auto"/>
              </w:rPr>
              <w:t>1/7/2019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730,458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730,457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12/31/2022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965,131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965,131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IV: LIBOR+8.25%, 10.60%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Arial" w:cs="Arial" w:eastAsia="Arial" w:hAnsi="Arial"/>
                <w:sz w:val="14"/>
                <w:szCs w:val="14"/>
                <w:color w:val="auto"/>
              </w:rPr>
              <w:t>floor, 3.00% ETP, due 12/31/2022</w:t>
            </w:r>
          </w:p>
        </w:tc>
        <w:tc>
          <w:tcPr>
            <w:tcW w:w="740" w:type="dxa"/>
            <w:vAlign w:val="bottom"/>
          </w:tcPr>
          <w:p>
            <w:pPr>
              <w:jc w:val="right"/>
              <w:spacing w:after="0"/>
              <w:rPr>
                <w:sz w:val="20"/>
                <w:szCs w:val="20"/>
                <w:color w:val="auto"/>
              </w:rPr>
            </w:pPr>
            <w:r>
              <w:rPr>
                <w:rFonts w:ascii="Arial" w:cs="Arial" w:eastAsia="Arial" w:hAnsi="Arial"/>
                <w:sz w:val="14"/>
                <w:szCs w:val="14"/>
                <w:color w:val="auto"/>
              </w:rPr>
              <w:t>8/18/2020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997,975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997,975</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The Kairn Corporation</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LIBOR+9.50% PIK,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Fixed 6.50% PIK, due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4,187,932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4,187,932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4,187,933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LIBOR+9.05%, 9.55% floor, 3.00%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12/29/2020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24,269,950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24,269,950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2"/>
              </w:rPr>
              <w:t>494,689,952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493,003,577</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105.74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(8)</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451,494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MTBC,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3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Technology</w:t>
            </w:r>
          </w:p>
        </w:tc>
        <w:tc>
          <w:tcPr>
            <w:tcW w:w="242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4"/>
              </w:rPr>
              <w:t>Redeemable Perpetual Preferred Stock</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1/8/2020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760,000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18,687,450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14,659,600</w:t>
            </w: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340" w:type="dxa"/>
            <w:vAlign w:val="bottom"/>
            <w:gridSpan w:val="2"/>
          </w:tcPr>
          <w:p>
            <w:pPr>
              <w:ind w:left="80"/>
              <w:spacing w:after="0"/>
              <w:rPr>
                <w:sz w:val="20"/>
                <w:szCs w:val="20"/>
                <w:color w:val="auto"/>
              </w:rPr>
            </w:pPr>
            <w:r>
              <w:rPr>
                <w:rFonts w:ascii="Arial" w:cs="Arial" w:eastAsia="Arial" w:hAnsi="Arial"/>
                <w:sz w:val="11"/>
                <w:szCs w:val="11"/>
                <w:color w:val="auto"/>
              </w:rPr>
              <w:t>(16),(17)</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18,937,450</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15,111,094</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(8)</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3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(16)</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w w:val="96"/>
              </w:rPr>
              <w:t>12/23/2020</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38,079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118,100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521,940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12/31/2020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Hardware, Storage</w:t>
            </w: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1,237,196</w:t>
            </w: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521,940</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Warrant for Common Stock,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Consumer</w:t>
            </w:r>
          </w:p>
        </w:tc>
        <w:tc>
          <w:tcPr>
            <w:tcW w:w="24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price $0.01/share, expires 9/1/2027</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980,199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34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G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42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9"/>
              </w:rPr>
              <w:t>exercise price $0.8638/share,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6/29/2028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6/29/2018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2,170,641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770,578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2,772,147</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Aspen Group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Education</w:t>
            </w: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Warrant for Common Stock,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$6.87/share, expires 7/25/2022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224,174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1,217,000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80" w:type="dxa"/>
            <w:vAlign w:val="bottom"/>
          </w:tcPr>
          <w:p>
            <w:pPr>
              <w:spacing w:after="0"/>
              <w:rPr>
                <w:sz w:val="11"/>
                <w:szCs w:val="11"/>
                <w:color w:val="auto"/>
              </w:rPr>
            </w:pPr>
          </w:p>
        </w:tc>
        <w:tc>
          <w:tcPr>
            <w:tcW w:w="23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3"/>
          </w:tcPr>
          <w:p>
            <w:pPr>
              <w:ind w:left="80"/>
              <w:spacing w:after="0"/>
              <w:rPr>
                <w:sz w:val="20"/>
                <w:szCs w:val="20"/>
                <w:color w:val="auto"/>
              </w:rPr>
            </w:pPr>
            <w:r>
              <w:rPr>
                <w:rFonts w:ascii="Arial" w:cs="Arial" w:eastAsia="Arial" w:hAnsi="Arial"/>
                <w:sz w:val="14"/>
                <w:szCs w:val="14"/>
                <w:color w:val="auto"/>
              </w:rPr>
              <w:t>price $5.25/share, expires 9/30/2029</w:t>
            </w:r>
          </w:p>
        </w:tc>
        <w:tc>
          <w:tcPr>
            <w:tcW w:w="740" w:type="dxa"/>
            <w:vAlign w:val="bottom"/>
          </w:tcPr>
          <w:p>
            <w:pPr>
              <w:jc w:val="right"/>
              <w:spacing w:after="0"/>
              <w:rPr>
                <w:sz w:val="20"/>
                <w:szCs w:val="20"/>
                <w:color w:val="auto"/>
              </w:rPr>
            </w:pPr>
            <w:r>
              <w:rPr>
                <w:rFonts w:ascii="Arial" w:cs="Arial" w:eastAsia="Arial" w:hAnsi="Arial"/>
                <w:sz w:val="14"/>
                <w:szCs w:val="14"/>
                <w:color w:val="auto"/>
              </w:rPr>
              <w:t>9/30/2019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333,333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973,000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1,380,000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5"/>
              </w:rPr>
              <w:t>price $10.00/share, expires 12/17/2030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12/17/2020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(2),(9)</w:t>
            </w: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Warrant for Series A-6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$1.17/share,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12/20/2028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12/20/2018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$ 3,630,000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A-6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$1.17/share,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10/31/2029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10/31/2019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384,615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845,540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770,926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Warrant for Series D-1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$1.60/share,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6/13/2029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B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$66.53/share,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 xml:space="preserve">6/30/2030 </w:t>
            </w:r>
            <w:r>
              <w:rPr>
                <w:rFonts w:ascii="Arial" w:cs="Arial" w:eastAsia="Arial" w:hAnsi="Arial"/>
                <w:sz w:val="10"/>
                <w:szCs w:val="10"/>
                <w:color w:val="auto"/>
              </w:rPr>
              <w:t>(3),(12)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6/30/2020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217,500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298,697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$0.01/share, expires 1/7/2030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2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8"/>
              </w:rPr>
              <w:t xml:space="preserve">price $0.01/share, expires 5/31/2029 </w:t>
            </w:r>
            <w:r>
              <w:rPr>
                <w:rFonts w:ascii="Arial" w:cs="Arial" w:eastAsia="Arial" w:hAnsi="Arial"/>
                <w:sz w:val="10"/>
                <w:szCs w:val="10"/>
                <w:color w:val="auto"/>
                <w:w w:val="98"/>
              </w:rPr>
              <w:t>(3),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5/31/2019</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192,499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264,160</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40" w:type="dxa"/>
            <w:vAlign w:val="bottom"/>
            <w:gridSpan w:val="2"/>
          </w:tcPr>
          <w:p>
            <w:pPr>
              <w:ind w:left="8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expires 6/1/2025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expires 7/11/2026</w:t>
            </w:r>
          </w:p>
        </w:tc>
        <w:tc>
          <w:tcPr>
            <w:tcW w:w="740" w:type="dxa"/>
            <w:vAlign w:val="bottom"/>
          </w:tcPr>
          <w:p>
            <w:pPr>
              <w:jc w:val="right"/>
              <w:spacing w:after="0"/>
              <w:rPr>
                <w:sz w:val="20"/>
                <w:szCs w:val="20"/>
                <w:color w:val="auto"/>
              </w:rPr>
            </w:pPr>
            <w:r>
              <w:rPr>
                <w:rFonts w:ascii="Arial" w:cs="Arial" w:eastAsia="Arial" w:hAnsi="Arial"/>
                <w:sz w:val="14"/>
                <w:szCs w:val="14"/>
                <w:color w:val="auto"/>
              </w:rPr>
              <w:t>7/11/2019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114,719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495,226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$1.5963/share,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5/3/2029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$0.01/share, expires 10/19/2030</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10/19/2020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194,673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438,014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409,996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12/1/2027 </w:t>
            </w:r>
            <w:r>
              <w:rPr>
                <w:rFonts w:ascii="Arial" w:cs="Arial" w:eastAsia="Arial" w:hAnsi="Arial"/>
                <w:sz w:val="10"/>
                <w:szCs w:val="10"/>
                <w:color w:val="auto"/>
              </w:rPr>
              <w:t>(13)</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498,900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506,293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$9.29/share, expires 7/26/2029</w:t>
            </w:r>
          </w:p>
        </w:tc>
        <w:tc>
          <w:tcPr>
            <w:tcW w:w="740" w:type="dxa"/>
            <w:vAlign w:val="bottom"/>
          </w:tcPr>
          <w:p>
            <w:pPr>
              <w:jc w:val="right"/>
              <w:spacing w:after="0"/>
              <w:rPr>
                <w:sz w:val="20"/>
                <w:szCs w:val="20"/>
                <w:color w:val="auto"/>
              </w:rPr>
            </w:pPr>
            <w:r>
              <w:rPr>
                <w:rFonts w:ascii="Arial" w:cs="Arial" w:eastAsia="Arial" w:hAnsi="Arial"/>
                <w:sz w:val="14"/>
                <w:szCs w:val="14"/>
                <w:color w:val="auto"/>
              </w:rPr>
              <w:t>7/26/2019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150,804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522,083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504,439</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$1.49/share, expires 12/12/2029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12/12/2019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304,264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Massdrop,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Computer &amp;</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Electronics Retail</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$1.1938/share,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7/22/2019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7/22/2019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848,093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183,188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276,478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Mingle Healthcare Solutions,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8"/>
              </w:rPr>
              <w:t>Warrant for Series AA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$0.24/share,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8/15/2028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492,375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MTBC,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$7.50/share, expires 1/8/2022</w:t>
            </w:r>
          </w:p>
        </w:tc>
        <w:tc>
          <w:tcPr>
            <w:tcW w:w="740" w:type="dxa"/>
            <w:vAlign w:val="bottom"/>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$10.00/share, expires 1/8/2023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C-1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$1.4643/share,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12/28/2018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273,164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104,138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66,341</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Hardware, Storage</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$0.3323/share,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11/27/2028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11/27/2018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1,805,597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9,901,935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80" w:type="dxa"/>
            <w:vAlign w:val="bottom"/>
          </w:tcPr>
          <w:p>
            <w:pPr>
              <w:spacing w:after="0"/>
              <w:rPr>
                <w:sz w:val="11"/>
                <w:szCs w:val="11"/>
                <w:color w:val="auto"/>
              </w:rPr>
            </w:pPr>
          </w:p>
        </w:tc>
        <w:tc>
          <w:tcPr>
            <w:tcW w:w="244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D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$0.59/share,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5/13/2029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5/13/2019</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2,033,898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216,610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Principal/</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8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(2),(9)</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(13)</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RealWear, Inc.</w:t>
            </w:r>
          </w:p>
        </w:tc>
        <w:tc>
          <w:tcPr>
            <w:tcW w:w="1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3"/>
              </w:rPr>
              <w:t>Hardware, Storage</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&amp; Peripherals</w:t>
            </w: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10/5/2028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10/5/2018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112,451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135,841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$6.78/share, expires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6/27/2029</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6/27/2019</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123,894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7"/>
              </w:rPr>
              <w:t>price $0.8031/share, expires 3/29/2029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9,665,667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SendtoNews Video, Inc.</w:t>
            </w:r>
          </w:p>
        </w:tc>
        <w:tc>
          <w:tcPr>
            <w:tcW w:w="1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Advertising</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8"/>
              </w:rPr>
              <w:t>Warrant for Class B Non-Voting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$0.67/share, expires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 xml:space="preserve">6/30/2027 </w:t>
            </w:r>
            <w:r>
              <w:rPr>
                <w:rFonts w:ascii="Arial" w:cs="Arial" w:eastAsia="Arial" w:hAnsi="Arial"/>
                <w:sz w:val="10"/>
                <w:szCs w:val="10"/>
                <w:color w:val="auto"/>
              </w:rPr>
              <w:t>(3),(7)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6/30/2017</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246,461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Data Processing &amp;</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D-3 Preferred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Stock, exercise price $2.4320/share,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expires 12/3/2028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price $0.01/share, expires 3/9/2030</w:t>
            </w:r>
          </w:p>
        </w:tc>
        <w:tc>
          <w:tcPr>
            <w:tcW w:w="700" w:type="dxa"/>
            <w:vAlign w:val="bottom"/>
          </w:tcPr>
          <w:p>
            <w:pPr>
              <w:jc w:val="right"/>
              <w:spacing w:after="0"/>
              <w:rPr>
                <w:sz w:val="20"/>
                <w:szCs w:val="20"/>
                <w:color w:val="auto"/>
              </w:rPr>
            </w:pPr>
            <w:r>
              <w:rPr>
                <w:rFonts w:ascii="Arial" w:cs="Arial" w:eastAsia="Arial" w:hAnsi="Arial"/>
                <w:sz w:val="14"/>
                <w:szCs w:val="14"/>
                <w:color w:val="auto"/>
              </w:rPr>
              <w:t>3/9/2020</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12/29/2025 </w:t>
            </w:r>
            <w:r>
              <w:rPr>
                <w:rFonts w:ascii="Arial" w:cs="Arial" w:eastAsia="Arial" w:hAnsi="Arial"/>
                <w:sz w:val="10"/>
                <w:szCs w:val="10"/>
                <w:color w:val="auto"/>
              </w:rPr>
              <w:t>(13)</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8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532,676,057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541,978,736</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116.24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60" w:type="dxa"/>
            <w:vAlign w:val="bottom"/>
            <w:gridSpan w:val="3"/>
          </w:tcPr>
          <w:p>
            <w:pPr>
              <w:ind w:left="80"/>
              <w:spacing w:after="0" w:line="103" w:lineRule="exact"/>
              <w:rPr>
                <w:sz w:val="20"/>
                <w:szCs w:val="20"/>
                <w:color w:val="auto"/>
              </w:rPr>
            </w:pPr>
            <w:r>
              <w:rPr>
                <w:rFonts w:ascii="Arial" w:cs="Arial" w:eastAsia="Arial" w:hAnsi="Arial"/>
                <w:sz w:val="11"/>
                <w:szCs w:val="11"/>
                <w:color w:val="auto"/>
              </w:rPr>
              <w:t>U.S. Treasury Bill, 0.40%, due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(10)</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12/30/2020</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616,589,023</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621,826,650</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133.37 %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38" w:lineRule="auto"/>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 w:lineRule="exact"/>
        <w:rPr>
          <w:rFonts w:ascii="Arial" w:cs="Arial" w:eastAsia="Arial" w:hAnsi="Arial"/>
          <w:sz w:val="11"/>
          <w:szCs w:val="11"/>
          <w:color w:val="auto"/>
        </w:rPr>
      </w:pPr>
    </w:p>
    <w:p>
      <w:pPr>
        <w:ind w:left="660" w:right="20" w:hanging="328"/>
        <w:spacing w:after="0" w:line="251" w:lineRule="auto"/>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jc w:val="both"/>
        <w:ind w:left="660" w:right="20" w:hanging="328"/>
        <w:spacing w:after="0" w:line="254" w:lineRule="auto"/>
        <w:tabs>
          <w:tab w:leader="none" w:pos="660" w:val="left"/>
        </w:tabs>
        <w:numPr>
          <w:ilvl w:val="0"/>
          <w:numId w:val="55"/>
        </w:numPr>
        <w:rPr>
          <w:rFonts w:ascii="Arial" w:cs="Arial" w:eastAsia="Arial" w:hAnsi="Arial"/>
          <w:sz w:val="10"/>
          <w:szCs w:val="10"/>
          <w:color w:val="auto"/>
        </w:rPr>
      </w:pPr>
      <w:r>
        <w:rPr>
          <w:rFonts w:ascii="Arial" w:cs="Arial" w:eastAsia="Arial" w:hAnsi="Arial"/>
          <w:sz w:val="13"/>
          <w:szCs w:val="13"/>
          <w:color w:val="auto"/>
        </w:rPr>
        <w:t>Investment is not a qualifying investment as defined under Section 55(a) of the Investment Company Act of 1940, as amended.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 w:lineRule="exact"/>
        <w:rPr>
          <w:rFonts w:ascii="Arial" w:cs="Arial" w:eastAsia="Arial" w:hAnsi="Arial"/>
          <w:sz w:val="10"/>
          <w:szCs w:val="10"/>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Represents a PIK security. PIK interest will be accrued and paid at maturity.</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All investments are valued using unobservable inputs, except Corporate Bonds and U.S. Treasury Bills, which are valued using observable inputs.</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5"/>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6" w:lineRule="exact"/>
        <w:rPr>
          <w:sz w:val="20"/>
          <w:szCs w:val="20"/>
          <w:color w:val="auto"/>
        </w:rPr>
      </w:pPr>
    </w:p>
    <w:p>
      <w:pPr>
        <w:jc w:val="both"/>
        <w:ind w:left="660" w:hanging="301"/>
        <w:spacing w:after="0" w:line="238" w:lineRule="auto"/>
        <w:tabs>
          <w:tab w:leader="none" w:pos="660" w:val="left"/>
        </w:tabs>
        <w:numPr>
          <w:ilvl w:val="1"/>
          <w:numId w:val="56"/>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 w:lineRule="exact"/>
        <w:rPr>
          <w:rFonts w:ascii="Arial" w:cs="Arial" w:eastAsia="Arial" w:hAnsi="Arial"/>
          <w:sz w:val="11"/>
          <w:szCs w:val="11"/>
          <w:color w:val="auto"/>
        </w:rPr>
      </w:pPr>
    </w:p>
    <w:p>
      <w:pPr>
        <w:ind w:left="660" w:hanging="328"/>
        <w:spacing w:after="0"/>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28" w:lineRule="exact"/>
        <w:rPr>
          <w:rFonts w:ascii="Arial" w:cs="Arial" w:eastAsia="Arial" w:hAnsi="Arial"/>
          <w:sz w:val="11"/>
          <w:szCs w:val="11"/>
          <w:color w:val="auto"/>
        </w:rPr>
      </w:pPr>
    </w:p>
    <w:p>
      <w:pPr>
        <w:ind w:left="660" w:right="20" w:hanging="328"/>
        <w:spacing w:after="0" w:line="251" w:lineRule="auto"/>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ind w:left="660" w:hanging="328"/>
        <w:spacing w:after="0" w:line="251" w:lineRule="auto"/>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ind w:left="660" w:hanging="328"/>
        <w:spacing w:after="0"/>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28"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7"/>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Education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System 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48"/>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Senior Secured Term Loans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Aginity,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LIBOR+10.5% PIK, 11.50%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2/15/2020</w:t>
            </w:r>
            <w:r>
              <w:rPr>
                <w:rFonts w:ascii="Arial" w:cs="Arial" w:eastAsia="Arial" w:hAnsi="Arial"/>
                <w:sz w:val="10"/>
                <w:szCs w:val="10"/>
                <w:color w:val="auto"/>
              </w:rPr>
              <w:t>(4),(8),(12)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7,386,026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7,232,349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2,511,589</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1"/>
              </w:rPr>
              <w:t>0.67 %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LIBOR+10.5%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11.50% floor, Extension line,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gridSpan w:val="2"/>
          </w:tcPr>
          <w:p>
            <w:pPr>
              <w:ind w:left="80"/>
              <w:spacing w:after="0" w:line="167" w:lineRule="exact"/>
              <w:rPr>
                <w:sz w:val="20"/>
                <w:szCs w:val="20"/>
                <w:color w:val="auto"/>
              </w:rPr>
            </w:pPr>
            <w:r>
              <w:rPr>
                <w:rFonts w:ascii="Arial" w:cs="Arial" w:eastAsia="Arial" w:hAnsi="Arial"/>
                <w:sz w:val="19"/>
                <w:szCs w:val="19"/>
                <w:color w:val="auto"/>
                <w:vertAlign w:val="subscript"/>
              </w:rPr>
              <w:t>2/15/2020</w:t>
            </w:r>
            <w:r>
              <w:rPr>
                <w:rFonts w:ascii="Arial" w:cs="Arial" w:eastAsia="Arial" w:hAnsi="Arial"/>
                <w:sz w:val="9"/>
                <w:szCs w:val="9"/>
                <w:color w:val="auto"/>
              </w:rPr>
              <w:t>(4),(8),(12)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1,800,000</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LIBOR+9.0%, 11.35% floor, 4.5% ETP,</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12/15/2021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25,016,698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24,863,442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LIBOR+8.25%, 10.40% floor, 4.5%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ETP, due 4/15/2023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33,795,605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33,795,605</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Corporation</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Prime+7.0%, 11.75% floor, 3.5% ETP,</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6/15/2022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24,994,734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23,320,627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12.0% floor, 6% ETP,</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due 12/15/2022</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15,038,641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15,485,065</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 PIK, 10.00%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5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2.75% ETP, due 6/13/2023</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7,538,624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7,280,486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7,280,486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LIBOR+9.25%, 11.75% floor, 4.5%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5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ETP, due 5/31/2023</w:t>
            </w:r>
            <w:r>
              <w:rPr>
                <w:rFonts w:ascii="Arial" w:cs="Arial" w:eastAsia="Arial" w:hAnsi="Arial"/>
                <w:sz w:val="10"/>
                <w:szCs w:val="10"/>
                <w:color w:val="auto"/>
              </w:rPr>
              <w:t>(3),(7)</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10,797,612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10,797,612</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LIBOR+10.65% PIK, 13%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4.875% 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8,130,147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8,233,588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8,436,559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floor, 4.0%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13,773,561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13,773,561</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12.05%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 ETP, due 5/3/2023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2,973,193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2,970,709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eSilicon Corporation</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Semiconductors</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LIBOR+10.50%, 13% floor,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5% ETP, due 7/15/2020</w:t>
            </w:r>
          </w:p>
        </w:tc>
        <w:tc>
          <w:tcPr>
            <w:tcW w:w="720" w:type="dxa"/>
            <w:vAlign w:val="bottom"/>
          </w:tcPr>
          <w:p>
            <w:pPr>
              <w:jc w:val="right"/>
              <w:spacing w:after="0"/>
              <w:rPr>
                <w:sz w:val="20"/>
                <w:szCs w:val="20"/>
                <w:color w:val="auto"/>
              </w:rPr>
            </w:pPr>
            <w:r>
              <w:rPr>
                <w:rFonts w:ascii="Arial" w:cs="Arial" w:eastAsia="Arial" w:hAnsi="Arial"/>
                <w:sz w:val="14"/>
                <w:szCs w:val="14"/>
                <w:color w:val="auto"/>
              </w:rPr>
              <w:t>7/31/2017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2,916,667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3,323,305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3,442,998</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LIBOR+10.50%, 13%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5% ETP, due 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2,708,333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2,886,855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2,982,784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LIBOR+10.50%, 13%</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floor, 5% ETP, due 6/15/2020</w:t>
            </w:r>
          </w:p>
        </w:tc>
        <w:tc>
          <w:tcPr>
            <w:tcW w:w="720" w:type="dxa"/>
            <w:vAlign w:val="bottom"/>
          </w:tcPr>
          <w:p>
            <w:pPr>
              <w:jc w:val="right"/>
              <w:spacing w:after="0"/>
              <w:rPr>
                <w:sz w:val="20"/>
                <w:szCs w:val="20"/>
                <w:color w:val="auto"/>
              </w:rPr>
            </w:pPr>
            <w:r>
              <w:rPr>
                <w:rFonts w:ascii="Arial" w:cs="Arial" w:eastAsia="Arial" w:hAnsi="Arial"/>
                <w:sz w:val="14"/>
                <w:szCs w:val="14"/>
                <w:color w:val="auto"/>
              </w:rPr>
              <w:t>6/21/2019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10,177,163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11,063,021</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IV: Prime+2.75%, Revolving</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line, due 6/15/2020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10,590,278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LIBOR+8.0%, 10.5% floor,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2.5%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19,600,991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19,600,991</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LIBOR+8.0%, 10.5%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2.5%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4,703,249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4,703,249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8"/>
              </w:rPr>
              <w:t>LIBOR+8.75%. 10.75% Floor, 3% ETP,</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6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due 6/15/2023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24,655,194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24,655,194</w:t>
            </w: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LIBOR+8.25%, 10.65% floor, 4% ETP,</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Electronics Retail</w:t>
            </w:r>
          </w:p>
        </w:tc>
        <w:tc>
          <w:tcPr>
            <w:tcW w:w="25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due 1/15/2023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17,220,865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17,220,865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MingleHealth Care Solutions,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Healthcare</w:t>
            </w: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 11.75% floor, 4% ETP,</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500" w:type="dxa"/>
            <w:vAlign w:val="bottom"/>
            <w:gridSpan w:val="3"/>
          </w:tcPr>
          <w:p>
            <w:pPr>
              <w:ind w:left="80"/>
              <w:spacing w:after="0"/>
              <w:rPr>
                <w:sz w:val="20"/>
                <w:szCs w:val="20"/>
                <w:color w:val="auto"/>
              </w:rPr>
            </w:pPr>
            <w:r>
              <w:rPr>
                <w:rFonts w:ascii="Arial" w:cs="Arial" w:eastAsia="Arial" w:hAnsi="Arial"/>
                <w:sz w:val="14"/>
                <w:szCs w:val="14"/>
                <w:color w:val="auto"/>
              </w:rPr>
              <w:t>due 8/15/2022</w:t>
            </w:r>
            <w:r>
              <w:rPr>
                <w:rFonts w:ascii="Arial" w:cs="Arial" w:eastAsia="Arial" w:hAnsi="Arial"/>
                <w:sz w:val="10"/>
                <w:szCs w:val="10"/>
                <w:color w:val="auto"/>
              </w:rPr>
              <w:t>(12)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5,783,543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5,417,339</w:t>
            </w:r>
          </w:p>
        </w:tc>
        <w:tc>
          <w:tcPr>
            <w:tcW w:w="100" w:type="dxa"/>
            <w:vAlign w:val="bottom"/>
          </w:tcPr>
          <w:p>
            <w:pPr>
              <w:spacing w:after="0"/>
              <w:rPr>
                <w:sz w:val="15"/>
                <w:szCs w:val="15"/>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w:t>
            </w:r>
          </w:p>
        </w:tc>
        <w:tc>
          <w:tcPr>
            <w:tcW w:w="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LIBOR+12% PIK, 11.00%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5/15/2021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6,296,833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6,191,982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4,726,334</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LIBOR+12% PIK, 11.00%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5% ETP, due 5/15/2021</w:t>
            </w:r>
          </w:p>
        </w:tc>
        <w:tc>
          <w:tcPr>
            <w:tcW w:w="740" w:type="dxa"/>
            <w:vAlign w:val="bottom"/>
          </w:tcPr>
          <w:p>
            <w:pPr>
              <w:jc w:val="right"/>
              <w:spacing w:after="0"/>
              <w:rPr>
                <w:sz w:val="20"/>
                <w:szCs w:val="20"/>
                <w:color w:val="auto"/>
              </w:rPr>
            </w:pPr>
            <w:r>
              <w:rPr>
                <w:rFonts w:ascii="Arial" w:cs="Arial" w:eastAsia="Arial" w:hAnsi="Arial"/>
                <w:sz w:val="14"/>
                <w:szCs w:val="14"/>
                <w:color w:val="auto"/>
              </w:rPr>
              <w:t>8/3/2017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2,098,944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2,067,505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1,575,445</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III: LIBOR+12% PIK, 11.00%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5/15/2021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524,206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393,914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IV: LIBOR+12% PIK, 11.00%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5% ETP, due 5/15/2021</w:t>
            </w:r>
          </w:p>
        </w:tc>
        <w:tc>
          <w:tcPr>
            <w:tcW w:w="740" w:type="dxa"/>
            <w:vAlign w:val="bottom"/>
          </w:tcPr>
          <w:p>
            <w:pPr>
              <w:jc w:val="right"/>
              <w:spacing w:after="0"/>
              <w:rPr>
                <w:sz w:val="20"/>
                <w:szCs w:val="20"/>
                <w:color w:val="auto"/>
              </w:rPr>
            </w:pPr>
            <w:r>
              <w:rPr>
                <w:rFonts w:ascii="Arial" w:cs="Arial" w:eastAsia="Arial" w:hAnsi="Arial"/>
                <w:sz w:val="14"/>
                <w:szCs w:val="14"/>
                <w:color w:val="auto"/>
              </w:rPr>
              <w:t>9/5/2018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523,474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516,902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392,469</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V: LIBOR+12% PIK, 11.00%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5/15/2021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1,042,472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1,020,642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782,463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VI: LIBOR+12% PIK, 11.00%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due 1/31/2020</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12/18/2019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Corp.(dba NationBuilder)</w:t>
            </w: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LIBOR+9.00%, 11.50%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4/28/2022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12/28/2018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7,016,888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6,942,703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LIBOR+9.00%, 11.50%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5% ETP, due 4/28/2022</w:t>
            </w:r>
          </w:p>
        </w:tc>
        <w:tc>
          <w:tcPr>
            <w:tcW w:w="740" w:type="dxa"/>
            <w:vAlign w:val="bottom"/>
          </w:tcPr>
          <w:p>
            <w:pPr>
              <w:jc w:val="right"/>
              <w:spacing w:after="0"/>
              <w:rPr>
                <w:sz w:val="20"/>
                <w:szCs w:val="20"/>
                <w:color w:val="auto"/>
              </w:rPr>
            </w:pPr>
            <w:r>
              <w:rPr>
                <w:rFonts w:ascii="Arial" w:cs="Arial" w:eastAsia="Arial" w:hAnsi="Arial"/>
                <w:sz w:val="14"/>
                <w:szCs w:val="14"/>
                <w:color w:val="auto"/>
              </w:rPr>
              <w:t>6/12/2019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502,374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497,063</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LIBOR+8.50%, 10.75% floor, 3.50%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Hardware, Storage</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ETP, due 5/15/2021</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11/27/2018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10,007,056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10,007,056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6"/>
              </w:rPr>
              <w:t>Data Processing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LIBOR+8.50%, 11.00% floor, 4% ETP,</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due 11/15/2022</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19,863,175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19,728,122</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LIBOR+8%, 10.35% floor, 5% ETP,</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Hardware, Storage</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due 6/28/2023</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24,653,512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24,653,512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LIBOR+9.25%, 11.75% floor, 4.5%</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9/15/2022</w:t>
            </w:r>
          </w:p>
        </w:tc>
        <w:tc>
          <w:tcPr>
            <w:tcW w:w="740" w:type="dxa"/>
            <w:vAlign w:val="bottom"/>
          </w:tcPr>
          <w:p>
            <w:pPr>
              <w:jc w:val="right"/>
              <w:spacing w:after="0"/>
              <w:rPr>
                <w:sz w:val="20"/>
                <w:szCs w:val="20"/>
                <w:color w:val="auto"/>
              </w:rPr>
            </w:pPr>
            <w:r>
              <w:rPr>
                <w:rFonts w:ascii="Arial" w:cs="Arial" w:eastAsia="Arial" w:hAnsi="Arial"/>
                <w:sz w:val="14"/>
                <w:szCs w:val="14"/>
                <w:color w:val="auto"/>
              </w:rPr>
              <w:t>3/29/2019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14,798,210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14,418,842</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floor, 5% ETP, due 6/15/2022</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18,123,758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18,123,758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5% ETP, due 6/15/2022</w:t>
            </w:r>
          </w:p>
        </w:tc>
        <w:tc>
          <w:tcPr>
            <w:tcW w:w="740" w:type="dxa"/>
            <w:vAlign w:val="bottom"/>
          </w:tcPr>
          <w:p>
            <w:pPr>
              <w:jc w:val="right"/>
              <w:spacing w:after="0"/>
              <w:rPr>
                <w:sz w:val="20"/>
                <w:szCs w:val="20"/>
                <w:color w:val="auto"/>
              </w:rPr>
            </w:pPr>
            <w:r>
              <w:rPr>
                <w:rFonts w:ascii="Arial" w:cs="Arial" w:eastAsia="Arial" w:hAnsi="Arial"/>
                <w:sz w:val="14"/>
                <w:szCs w:val="14"/>
                <w:color w:val="auto"/>
              </w:rPr>
              <w:t>1/17/2019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699,312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699,312</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 ETP, due 6/15/2022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917,457</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917,457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5"/>
              </w:rPr>
              <w:t>358,385,089</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349,570,424</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96"/>
              </w:rPr>
              <w:t>92.89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Preferred Stock</w:t>
            </w:r>
            <w:r>
              <w:rPr>
                <w:rFonts w:ascii="Arial" w:cs="Arial" w:eastAsia="Arial" w:hAnsi="Arial"/>
                <w:sz w:val="10"/>
                <w:szCs w:val="10"/>
                <w:b w:val="1"/>
                <w:bCs w:val="1"/>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Series G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7/10/2018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437,515</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Aginity, Inc.</w:t>
            </w:r>
          </w:p>
        </w:tc>
        <w:tc>
          <w:tcPr>
            <w:tcW w:w="1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$1.949/share, expires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5/25/2028</w:t>
            </w:r>
            <w:r>
              <w:rPr>
                <w:rFonts w:ascii="Arial" w:cs="Arial" w:eastAsia="Arial" w:hAnsi="Arial"/>
                <w:sz w:val="10"/>
                <w:szCs w:val="10"/>
                <w:color w:val="auto"/>
              </w:rPr>
              <w:t>(12)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359,158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167,727</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Warrant for Series A-1 Preferred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$0.01/share, expires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2/25/2029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205,234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151,873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0"/>
                <w:szCs w:val="10"/>
                <w:b w:val="1"/>
                <w:bCs w:val="1"/>
                <w:color w:val="auto"/>
                <w:w w:val="96"/>
              </w:rPr>
              <w:t>(2)</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4"/>
              </w:rPr>
              <w:t>Consumer Services</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$0.01/share, expires 9/1/2027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870,514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$ 1,749,733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906,205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G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$0.8638/share,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6/29/2028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2,170,641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770,578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2,633,681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Aspen Group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Education Services</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$6.87/share, expires 7/25/2022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583,301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631,000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6"/>
              </w:rPr>
              <w:t>Warrant for Class P Units, exercise 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$5.25/share, expires 9/30/2029</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973,000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955,667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Corporation</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Warrant for Series A-1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w:t>
            </w: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$0.8287/share,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6/16/2025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2,262,579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394,163</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Warrant for Series A-5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$1.08/share,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12/20/2028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1,666,667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3,630,000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3,393,522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0.90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Warrant for Series A-5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$1.08/share,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10/31/2029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10/31/2019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416,667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848,380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CloudPassage,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Warrant for Series D-1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Outsourced Services</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$1.60/share,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6/13/2029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210,938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273,798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266,626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w w:val="89"/>
              </w:rPr>
              <w:t>Outsourced Services</w:t>
            </w:r>
          </w:p>
        </w:tc>
        <w:tc>
          <w:tcPr>
            <w:tcW w:w="254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price $0.01/share, expires 5/31/2029</w:t>
            </w:r>
            <w:r>
              <w:rPr>
                <w:rFonts w:ascii="Arial" w:cs="Arial" w:eastAsia="Arial" w:hAnsi="Arial"/>
                <w:sz w:val="10"/>
                <w:szCs w:val="10"/>
                <w:color w:val="auto"/>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5/31/2019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192,499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198,664</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Dtex Systems,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C-Prime Preferred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expires 6/1/2025</w:t>
            </w:r>
          </w:p>
        </w:tc>
        <w:tc>
          <w:tcPr>
            <w:tcW w:w="720" w:type="dxa"/>
            <w:vAlign w:val="bottom"/>
          </w:tcPr>
          <w:p>
            <w:pPr>
              <w:jc w:val="right"/>
              <w:spacing w:after="0"/>
              <w:rPr>
                <w:sz w:val="20"/>
                <w:szCs w:val="20"/>
                <w:color w:val="auto"/>
              </w:rPr>
            </w:pPr>
            <w:r>
              <w:rPr>
                <w:rFonts w:ascii="Arial" w:cs="Arial" w:eastAsia="Arial" w:hAnsi="Arial"/>
                <w:sz w:val="14"/>
                <w:szCs w:val="14"/>
                <w:color w:val="auto"/>
              </w:rPr>
              <w:t>6/1/2018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59,000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57,500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C-Prime Preferred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expires 7/11/2026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114,719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6"/>
              </w:rPr>
              <w:t>Education Services</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E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$1.5963/share,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5/3/2029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1,066,767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299,762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318,963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eSilicon Corporation</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Semiconductors</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H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$1.01/share,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7/31/2027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1,485,149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543,564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2,249,999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H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$1.01/share,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6/21/2029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6/21/2019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990,099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312,871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$9.29/share, expires 7/26/2029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475,485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8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price $1.49/share, expires 12/12/2029</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332,997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38,800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38,800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0"/>
                <w:szCs w:val="10"/>
                <w:b w:val="1"/>
                <w:bCs w:val="1"/>
                <w:color w:val="auto"/>
                <w:w w:val="96"/>
              </w:rPr>
              <w:t>(2)</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B Series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 Retail</w:t>
            </w: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$1.1938/share,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7/22/2019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848,093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183,188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190,821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w w:val="98"/>
              </w:rPr>
              <w:t>MingleHealth Care Solutions,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Healthcare</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Technology</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$0.24/share,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8/15/2028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1,625,000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492,375</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5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$10.64/share, expires 5/16/2027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164,427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417,645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1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$0.28/share,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12/20/2028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7,176,973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806,991</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$0.28/share,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5/30/2029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358,849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21,531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1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$0.28/share,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12/17/2029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358,849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Corp.(dba NationBuilder)</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Warrant for Series C-1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$1.4643/share,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87,959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Technology</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Hardware, Storage</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$11.3158/share,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&amp; Peripherals</w:t>
            </w: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11/27/2028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11/27/2018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53,023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103,010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134,837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D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Outsourced Services</w:t>
            </w: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$0.59/share,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5/13/2029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141,966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RealWear,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Technology</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Hardware, Storage</w:t>
            </w: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&amp; Peripherals</w:t>
            </w: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10/5/2028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10/5/2018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112,451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135,841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393,129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22,491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78,628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$6.78/share,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6/27/2029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6/27/2019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123,894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380,850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336,372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F-1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$0.8031/share,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3/29/2029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2,147,926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345,816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317,893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SendtoNews Video,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Advertising</w:t>
            </w:r>
          </w:p>
        </w:tc>
        <w:tc>
          <w:tcPr>
            <w:tcW w:w="25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Class B Non-Voting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$0.67/share,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Arial" w:cs="Arial" w:eastAsia="Arial" w:hAnsi="Arial"/>
                <w:sz w:val="14"/>
                <w:szCs w:val="14"/>
                <w:color w:val="auto"/>
              </w:rPr>
              <w:t>6/30/2027</w:t>
            </w:r>
            <w:r>
              <w:rPr>
                <w:rFonts w:ascii="Arial" w:cs="Arial" w:eastAsia="Arial" w:hAnsi="Arial"/>
                <w:sz w:val="10"/>
                <w:szCs w:val="10"/>
                <w:color w:val="auto"/>
              </w:rPr>
              <w:t>(3),(7)</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191,500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246,461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58,000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54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Warrant for Series D-3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9"/>
              </w:rPr>
              <w:t>Outsourced Services</w:t>
            </w:r>
          </w:p>
        </w:tc>
        <w:tc>
          <w:tcPr>
            <w:tcW w:w="25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$2.4320/share,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12/3/2028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(1),(5),(6),(11)</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0"/>
                <w:szCs w:val="10"/>
                <w:b w:val="1"/>
                <w:bCs w:val="1"/>
                <w:color w:val="auto"/>
                <w:w w:val="96"/>
              </w:rPr>
              <w:t>(2)</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2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25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E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Hardware, Storage</w:t>
            </w:r>
          </w:p>
        </w:tc>
        <w:tc>
          <w:tcPr>
            <w:tcW w:w="25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$0.90/share,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12/29/2027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$ 1,896,966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707,568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208,595</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E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$0.90/share,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2/11/2029</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2/11/2019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2,806,830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411,528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308,645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18,383,811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18,008,337</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377,018,900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2"/>
              </w:rPr>
              <w:t>368,016,276</w:t>
            </w: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97.80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tcBorders>
            <w:gridSpan w:val="3"/>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tcBorders>
              <w:top w:val="single" w:sz="8" w:color="CCEEFF"/>
            </w:tcBorders>
            <w:gridSpan w:val="5"/>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CCEEFF"/>
            </w:tcBorders>
            <w:gridSpan w:val="3"/>
            <w:shd w:val="clear" w:color="auto" w:fill="CCEEFF"/>
          </w:tcPr>
          <w:p>
            <w:pPr>
              <w:ind w:left="80"/>
              <w:spacing w:after="0" w:line="103" w:lineRule="exact"/>
              <w:rPr>
                <w:sz w:val="20"/>
                <w:szCs w:val="20"/>
                <w:color w:val="auto"/>
              </w:rPr>
            </w:pPr>
            <w:r>
              <w:rPr>
                <w:rFonts w:ascii="Arial" w:cs="Arial" w:eastAsia="Arial" w:hAnsi="Arial"/>
                <w:sz w:val="11"/>
                <w:szCs w:val="11"/>
                <w:color w:val="auto"/>
              </w:rPr>
              <w:t>U.S. Treasury Bill, 1.33%, due</w:t>
            </w: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1/7/2020</w:t>
            </w:r>
            <w:r>
              <w:rPr>
                <w:rFonts w:ascii="Arial" w:cs="Arial" w:eastAsia="Arial" w:hAnsi="Arial"/>
                <w:sz w:val="10"/>
                <w:szCs w:val="10"/>
                <w:color w:val="auto"/>
              </w:rPr>
              <w:t>(10)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74,983,437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74,966,770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gridSpan w:val="3"/>
          </w:tcPr>
          <w:p>
            <w:pPr>
              <w:ind w:left="80"/>
              <w:spacing w:after="0" w:line="149" w:lineRule="exact"/>
              <w:rPr>
                <w:sz w:val="20"/>
                <w:szCs w:val="20"/>
                <w:color w:val="auto"/>
              </w:rPr>
            </w:pPr>
            <w:r>
              <w:rPr>
                <w:rFonts w:ascii="Arial" w:cs="Arial" w:eastAsia="Arial" w:hAnsi="Arial"/>
                <w:sz w:val="14"/>
                <w:szCs w:val="14"/>
                <w:color w:val="auto"/>
                <w:w w:val="97"/>
              </w:rPr>
              <w:t>U.S. Treasury Bill, 0.97%, due 1/2/2020</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24,999,328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24,998,653</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U.S. Treasury</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99,982,765</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99,965,423</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477,001,665</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2"/>
              </w:rPr>
              <w:t>467,981,699</w:t>
            </w:r>
          </w:p>
        </w:tc>
        <w:tc>
          <w:tcPr>
            <w:tcW w:w="8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124.36 %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38" w:lineRule="auto"/>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1.91% and the U.S. Prime Rate was 4.75%.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97.80%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58"/>
        </w:numPr>
        <w:rPr>
          <w:rFonts w:ascii="Arial" w:cs="Arial" w:eastAsia="Arial" w:hAnsi="Arial"/>
          <w:sz w:val="10"/>
          <w:szCs w:val="10"/>
          <w:color w:val="auto"/>
        </w:rPr>
      </w:pPr>
      <w:r>
        <w:rPr>
          <w:rFonts w:ascii="Arial" w:cs="Arial" w:eastAsia="Arial" w:hAnsi="Arial"/>
          <w:sz w:val="13"/>
          <w:szCs w:val="13"/>
          <w:color w:val="auto"/>
        </w:rPr>
        <w:t>Investment is not a qualifying investment as defined under Section 55(a) of the Investment Company Act of 1940, as amended. Non-qualifying assets represent 4.25%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Represents a PIK security. PIK interest will be accrued and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All investments are valued using unobservable inputs, except Corporate Bonds and U.S. Treasury Bills, which are valued using observable inputs.</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Treasury bills with $75,000,000 in aggregate of par value were purchased pursuant to a 5.00% reverse repurchase agreement with Goldman Sachs, dated December 27, 2020 and due to the Company on January 3, 2021, with a repurchase price to the Company of $75,000,000, collateralized by a 1.45% U.S. Treasury Bill due January 7, 2021 with an aggregate par value of $75,000,000 and fair value of $74,966,771.</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58"/>
        </w:numPr>
        <w:rPr>
          <w:rFonts w:ascii="Arial" w:cs="Arial" w:eastAsia="Arial" w:hAnsi="Arial"/>
          <w:sz w:val="10"/>
          <w:szCs w:val="10"/>
          <w:color w:val="auto"/>
        </w:rPr>
      </w:pPr>
      <w:r>
        <w:rPr>
          <w:rFonts w:ascii="Arial" w:cs="Arial" w:eastAsia="Arial" w:hAnsi="Arial"/>
          <w:sz w:val="13"/>
          <w:szCs w:val="13"/>
          <w:color w:val="auto"/>
        </w:rPr>
        <w:t>In the occurrence of a sale by the borrower, Aginity, Inc. will satisfy the repayment of the Extension line first from the proceeds available to the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226,473,356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50,241,366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23,320,627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20,776,293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19,048,324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17,102,034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11,054,276</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368,016,276</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101,674,597</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60,316,003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36,120,776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Retail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34,751,272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30,829,079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28,737,966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24,779,724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Education Services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17,694,233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17,411,686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231F20"/>
              </w:rPr>
              <w:t>System Software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14,736,735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906,205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368,016,276</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Runway Administrator Services LLC (the “Administrator”) is a wholly owned subsidiary of RGC and provides administrative services necessary for the Company to operate.</w:t>
      </w:r>
    </w:p>
    <w:p>
      <w:pPr>
        <w:spacing w:after="0" w:line="1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In connection with the Initial Private Offering, the Company issued 18,241,157 shares of its common stock for a total purchase price of $275,000,000. The Company has issued an additional 4,816,873 shares as part of the dividend reinvestment program. Refer to Note 6 for further detail.</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completed multiple closings under its second private offering (the “Second Private Offering”) and had accepted capital commitments of $174,673,500. The Company has issued 8,352,251 shares of its common stock for a total purchase price of $125,283,766 in connection with the Second Private Offering. In March 2020, the Company issued 2,103 shares as an additional direct investment by Runway Growth Holdings LLC, an affiliate of RGC, at a per-share price of $15.00 for total proceeds of $31,542.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accompanying financial statements of the Company are prepared on the accrual basis of accounting in conformity with U.S. Generally Accepted Accounting Principles (“U.S.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 Certain items in the December 31, 2019 and December 31, 2018 financial statements have been reclassified to conform to the December 31, 2020 presentation with no effect on net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fees and expenses associated with opening the KeyBank loan facilities or Credit Agreement (as defined below) and CIBC USA Credit Facilities (as defined below) are being deferred and amortized as part of interest expense using the effective interest method over the term of the Credit Agreement and the Credit Facilities in accordance with ASC 470, Debt. Debt issuance costs associated with the Credit Agreement and the Credit Facilities are classified as a direct reduction of the carrying amount of borrowings with the Credit Agreement and the Credit Facilities, unless there are no outstanding borrowings, in which case the debt issuance costs are presented as an asset.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 reverse repurchase agreement with Goldman Sachs, which expired on January 6, 2021, the Company purchased a U.S. Treasury Bill, due January 12, 2021. The fair value of the related collateral that the Company received for this agreement was $70,002,060 at December 31, 2020. Pursuant to a reverse repurchase agreement with Goldman Sachs which expired on January 3, 2020, the Company purchased a U.S. Treasury Bill, due January 7, 2020. The value of the related collateral that the Company received for this agreement was $74,593,802 at December 31, 2019. At December 31, 2020 and December 31, 2019, the repurchase liability is $69,650,000 and $74,593,802, respectively, which is reflected as Reverse Repurchase Agreement on the Statement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76" w:lineRule="exact"/>
        <w:rPr>
          <w:sz w:val="20"/>
          <w:szCs w:val="20"/>
          <w:color w:val="auto"/>
        </w:rPr>
      </w:pPr>
    </w:p>
    <w:p>
      <w:pPr>
        <w:ind w:right="20" w:firstLine="259"/>
        <w:spacing w:after="0" w:line="284"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As of December 31, 2020, and December 31, 2019, the Company has not written off any accrued and uncollected PIK interest and dividends. As of December 31, 2020, the Company had six loans to Mojix, Inc. representing an aggregate principal funded of $11,000,000 at a fair market value of $8,961,080, on non-accrual status, which represents 1.92% of the Company’s net assets. The non-accrual status loans as of December 31, 2020 had total interest of $1,627,725 that would have been accrued into income. Had the loan not been on non-accrual status, $1,213,861 would be payable, and $413,864 would be original issue discount. For the year ended December 31, 2020, approximately 6.4% of the Company’s total investment income was attributable to non-cash PIK interest. As of December 31, 2019, the Company had two loans to Aginity, Inc. representing an aggregate principal funded of $9,000,000 at a fair market value of $4,311,589, on non-accrual status, which represented 1.15% of the Company’s net assets. The non-accrual status loans as of December 31, 2019, had total interest of $1,033,827 that would have been accrued into income. Had the loan not been on non-accrual status, $576,314 would be payable, and $457,513 would be original issue discount. For the year ended December 31, 2019, approximately 2.4% of the Company’s total investment income was attributable to non-cash PIK interest. The Company did not have non-cash PIK interest and dividend income for the year ended December 31, 2018.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 The COVID-19 pandemic and its resultant impact on economic activity and capital market volatility has impacted and may continue to have an impact on the fair market values of the Company’s portfolio investments. As a result, the fair market values of the Company’s portfolio investments may be negatively impacted after December 31, 2020 by circumstances and events that are not yet known, including the complete or continuing impact of the COVID-19 pandemic and the resulting measures taken in response thereto. The Company’s valuation process carefully considers the impact of COVID-19-related uncertainties in the various inputs utilized in the determination of the fair market value of its portfolio investments.</w:t>
      </w:r>
    </w:p>
    <w:p>
      <w:pPr>
        <w:spacing w:after="0" w:line="19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Board of Directors makes this fair value determination on a quarterly basis and any other time when a decision regarding the fair value of the portfolio investments is required. A determination of fair value involves subjective judgments and</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unless the net asset value and other aspects of such investments in the aggregate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301"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federal income taxes in the future.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2020, 2019, and 2018, we recorded an expense of $1,319, $99,549, and $183,510,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the years ended December 31, 2020, 2019, and 2018, the Company reclassified for book purposes amounts arising from permanent book/tax differences related to non-deductible excise taxes paid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4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12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(183,510)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undistributed earnings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183,510</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U.S. federal income tax purposes, distributions paid to stockholders are reported as ordinary income, return of capital, long term capital gains or a combination thereof. The tax character of distributions paid for the years ended December 31, 2020, 2019, and 2018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3400" w:type="dxa"/>
            <w:vAlign w:val="bottom"/>
            <w:gridSpan w:val="2"/>
          </w:tcPr>
          <w:p>
            <w:pPr>
              <w:jc w:val="center"/>
              <w:ind w:left="2279"/>
              <w:spacing w:after="0"/>
              <w:rPr>
                <w:sz w:val="20"/>
                <w:szCs w:val="20"/>
                <w:color w:val="auto"/>
              </w:rPr>
            </w:pPr>
            <w:r>
              <w:rPr>
                <w:rFonts w:ascii="Arial" w:cs="Arial" w:eastAsia="Arial" w:hAnsi="Arial"/>
                <w:sz w:val="14"/>
                <w:szCs w:val="14"/>
                <w:b w:val="1"/>
                <w:bCs w:val="1"/>
                <w:color w:val="auto"/>
                <w:w w:val="89"/>
              </w:rPr>
              <w:t>2020</w:t>
            </w:r>
          </w:p>
        </w:tc>
        <w:tc>
          <w:tcPr>
            <w:tcW w:w="12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6"/>
              </w:rPr>
              <w:t>2019</w:t>
            </w:r>
          </w:p>
        </w:tc>
        <w:tc>
          <w:tcPr>
            <w:tcW w:w="124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2018</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$ 39,518,000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$ 40,651,335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7,283,810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capital gain</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191,233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stockholders who are deemed “Affected Investors” as a result of the Company not being a publicly traded Regulated Investment Company may have additional taxable income.</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For U.S. federal income tax purposes, the tax cost of investments as of December 31, 2020, 2019 and 2018 was $619,496,230, $480,118,372, and $304,063,822, respectively. The net unrealized appreciation (depreciation) on investments owned at December 31, 2020, 2019 and 2018 was $2,330,420, $(12,136,672), and $277,495, respectively. For the year ended December 31, 2020, gross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unrealized appreciation and depreciation was $21,395,985 and $(19,065,565), respectively. For the year ended December 31, 2019, gross unrealized appreciation and depreciation was $6,121,374 and $(18,258,046), respectively.</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At December 31, 2020, 2019 and 2018, the components of distributable earnings on a tax basis detailed below differ from the amounts reflected in the Company’s Statements of Assets and Liabilities by temporary and other book/tax differences, primarily relating to the tax treatment of debt modifications,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46,979,900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27,646,400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11,757,516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(14,257,592)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9,416,462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book to tax differences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2,940,608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Taxable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32,490,479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40,003,470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12,113,725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the year</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35,527,183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35,821,420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7,283,810</w:t>
            </w: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Accumulated undistributed earnings on a tax basis</w:t>
            </w: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(3,036,704)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4,829,915</w:t>
            </w:r>
          </w:p>
        </w:tc>
      </w:tr>
      <w:tr>
        <w:trPr>
          <w:trHeight w:val="20"/>
        </w:trPr>
        <w:tc>
          <w:tcPr>
            <w:tcW w:w="5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For the years ended December 31, 2020 and 2019, the Company had a long-term capital loss carryforward of $4,358,511 and $0, respectively. The Company had no long-term capital loss carryforward for the year ended December 31, 2018.</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December 31, 2020, December 31, 2019 or December 31, 2018. Although we file federal and state tax returns, our major tax jurisdiction is federal. The previous three year-ends and the interim tax period since then remain subject to examination by the Internal Revenue Service.</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and diluted earnings/(loss) per common share is calculated using the weighted-average number of common shares outstanding for the period presented. For the years ended December 31, 2020, 2019 and 2018, basic and diluted earnings/(loss) per share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year ended December 31, 2020, the Company declared and paid dividends in the amount of $39,709,233 of which $7,265,785 was distributed in cash and the remainder distributed in shares to stockholders pursuant to the Company’s dividend reinvestment program. For the year ended December 31, 2019, the Company declared and paid dividends in the amount of $40,651,334 of which $8,192,547 was distributed in cash and the remainder distributed in shares to stockholders pursuant to the Company’s dividend reinvestment program. For the year ended December 31, 2018, the Company declared and paid dividends in the amount of $7,283,810 of which $1,428,498 was distributed in cash and the remainder distributed in shares to stockholders pursuant to the Company’s dividend reinvestment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As a result, for the years ended December 31, 2020, December 31, 2019 and December 31, 2018, the Company did not incur any organization or offering expenses in connection with the Initial Private Offering.</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Offering costs related to new or follow on offerings will be accumulated and charged to additional paid in capital at the time of closing beginning in 2019. These offering costs are subject to a cap of $600,000, excluding placement agent fees which have no cap, of which the Company will bear the cost. As of December 31, 2020, the Company had accumulated and recorded $608,989 of deferred offering costs. As of December 31, 2020, $154,738 in placement agent fees had been incurred. As of December 31, 2019, the Company had accumulated and recorded $510,027 of deferred offering costs. As of December 31, 2019, $123,009 in placement agent fees had been incurred. Under the terms of the Second Private Offering, offering costs in excess of $600,000, excluding placement agent fees, will be reimbursed by RGC.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to replace the incurred loss model for loans and other financial assets with an expected loss model,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the current expected credit loss (CECL) model. The CECL model is applicable to the measurement of credit losses on financial assets measured at amortized cost, including loan receivables and held-to maturity debt securities. It also applies to off-balance sheet credit exposures not accounted for as insurance (loan commitments, stand-by letters of credit, financial guarantees, and other similar instruments) and net investments in certain leases recognized by a lessor. Effective January 1, 2020, the Company adopted ASU 2016-13 under a modified retrospective approach for all financial assets measured at amortized cost. There was no adjustment recorded to distributable losses for the cumulative effect of adopting ASU 2016-13 as amortized cost has approximated fair value.</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Requirements for Fair Value Measurement</w:t>
      </w:r>
      <w:r>
        <w:rPr>
          <w:rFonts w:ascii="Arial" w:cs="Arial" w:eastAsia="Arial" w:hAnsi="Arial"/>
          <w:sz w:val="16"/>
          <w:szCs w:val="16"/>
          <w:color w:val="auto"/>
        </w:rPr>
        <w:t>, which changes the fair value measurement disclosure requirements of ASC 820.</w:t>
      </w:r>
      <w:r>
        <w:rPr>
          <w:rFonts w:ascii="Arial" w:cs="Arial" w:eastAsia="Arial" w:hAnsi="Arial"/>
          <w:sz w:val="16"/>
          <w:szCs w:val="16"/>
          <w:i w:val="1"/>
          <w:iCs w:val="1"/>
          <w:color w:val="auto"/>
        </w:rPr>
        <w:t xml:space="preserve"> </w:t>
      </w:r>
      <w:r>
        <w:rPr>
          <w:rFonts w:ascii="Arial" w:cs="Arial" w:eastAsia="Arial" w:hAnsi="Arial"/>
          <w:sz w:val="16"/>
          <w:szCs w:val="16"/>
          <w:color w:val="auto"/>
        </w:rPr>
        <w:t>The key provisions include new, eliminated and modified disclosure requirements. The new guidance is effective for fiscal years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beginning after December 15, 2019, including interim periods therein. Early application is permitted. The Company adopted ASU 2018-13 effective January 1, 2020. The adoption of this accounting standard had no material effect on the Company’s financial statements.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also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The new guidance is effective as of March 12, 2020 through December 21, 2022. The Company is currently evaluating its effective date for adoption and the impact the adoption of this new accounting standard will have on its financial statements, however the impact of the adoption is not expected to be material.</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the Company had $40,000,000 in unfunded loan commitments to provide debt financing to its portfolio companies. The balance of unfunded commitments to extend financing as of December 31, 2019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3200" w:type="dxa"/>
            <w:vAlign w:val="bottom"/>
            <w:gridSpan w:val="4"/>
          </w:tcPr>
          <w:p>
            <w:pPr>
              <w:ind w:left="840"/>
              <w:spacing w:after="0"/>
              <w:rPr>
                <w:sz w:val="20"/>
                <w:szCs w:val="20"/>
                <w:color w:val="auto"/>
              </w:rPr>
            </w:pPr>
            <w:r>
              <w:rPr>
                <w:rFonts w:ascii="Arial" w:cs="Arial" w:eastAsia="Arial" w:hAnsi="Arial"/>
                <w:sz w:val="14"/>
                <w:szCs w:val="14"/>
                <w:b w:val="1"/>
                <w:bCs w:val="1"/>
                <w:color w:val="auto"/>
              </w:rPr>
              <w:t>Investment Type</w:t>
            </w: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December 31, 2019</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Aria Systems,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Brilliant Earth, LLC</w:t>
            </w:r>
          </w:p>
        </w:tc>
        <w:tc>
          <w:tcPr>
            <w:tcW w:w="3200" w:type="dxa"/>
            <w:vAlign w:val="bottom"/>
            <w:gridSpan w:val="4"/>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Dejero Labs Inc.</w:t>
            </w:r>
          </w:p>
        </w:tc>
        <w:tc>
          <w:tcPr>
            <w:tcW w:w="3200" w:type="dxa"/>
            <w:vAlign w:val="bottom"/>
            <w:gridSpan w:val="4"/>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tcPr>
          <w:p>
            <w:pPr>
              <w:jc w:val="right"/>
              <w:spacing w:after="0"/>
              <w:rPr>
                <w:sz w:val="20"/>
                <w:szCs w:val="20"/>
                <w:color w:val="auto"/>
              </w:rPr>
            </w:pPr>
            <w:r>
              <w:rPr>
                <w:rFonts w:ascii="Arial" w:cs="Arial" w:eastAsia="Arial" w:hAnsi="Arial"/>
                <w:sz w:val="18"/>
                <w:szCs w:val="18"/>
                <w:color w:val="auto"/>
              </w:rPr>
              <w:t>4,000,000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eSilicon Corporation</w:t>
            </w:r>
          </w:p>
        </w:tc>
        <w:tc>
          <w:tcPr>
            <w:tcW w:w="3200" w:type="dxa"/>
            <w:vAlign w:val="bottom"/>
            <w:gridSpan w:val="4"/>
          </w:tcPr>
          <w:p>
            <w:pPr>
              <w:spacing w:after="0"/>
              <w:rPr>
                <w:sz w:val="20"/>
                <w:szCs w:val="20"/>
                <w:color w:val="auto"/>
              </w:rPr>
            </w:pPr>
            <w:r>
              <w:rPr>
                <w:rFonts w:ascii="Arial" w:cs="Arial" w:eastAsia="Arial" w:hAnsi="Arial"/>
                <w:sz w:val="18"/>
                <w:szCs w:val="18"/>
                <w:color w:val="auto"/>
              </w:rPr>
              <w:t>Revolving Line</w:t>
            </w: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INRIX, Inc.</w:t>
            </w: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Longtail Ad Solutions, Inc. (dba JW Player)</w:t>
            </w:r>
          </w:p>
        </w:tc>
        <w:tc>
          <w:tcPr>
            <w:tcW w:w="3200" w:type="dxa"/>
            <w:vAlign w:val="bottom"/>
            <w:gridSpan w:val="4"/>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Massdrop Inc.</w:t>
            </w: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7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40,000,000</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December 31, 2020. The Company has evaluated the expected net future cash flows related to unfunded commitments and determined the fair value to be zero as of December 31, 2020 and December 31, 2019.</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proceedings cannot be predicted with certainty, the Company does not expect that these proceedings will have a material effect upon its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Increase/(Decrease) in Net Assets Resulting from Operations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years ended December 31, 2020,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2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48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r>
      <w:tr>
        <w:trPr>
          <w:trHeight w:val="209"/>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46,979,900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27,646,400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11,757,516</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Weighted-average shares outstanding for the period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27,617,425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18,701,021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9,300,960</w:t>
            </w: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27,617,425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18,701,021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9,300,960</w:t>
            </w:r>
          </w:p>
        </w:tc>
      </w:tr>
      <w:tr>
        <w:trPr>
          <w:trHeight w:val="216"/>
        </w:trPr>
        <w:tc>
          <w:tcPr>
            <w:tcW w:w="51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Basic and diluted income per common share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ind w:left="660" w:hanging="328"/>
        <w:spacing w:after="0" w:line="229" w:lineRule="auto"/>
        <w:tabs>
          <w:tab w:leader="none" w:pos="66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year ended December 31, 2020, the Company issued 2,248,483 shares for $32,443,448 in connection with the reinvestment of dividends. The following table summarizes capital activity during the year ended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Distributable</w:t>
            </w: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3"/>
              </w:rPr>
              <w:t>(Losses)</w:t>
            </w:r>
          </w:p>
        </w:tc>
        <w:tc>
          <w:tcPr>
            <w:tcW w:w="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$ 258,112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$ 384,369,854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$ 376,313,221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3,354,354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33,544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50,281,764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Reinvestment of dividends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2,248,483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32,420,964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Offering costs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(98,959)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38,069,717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Net realized gain (loss) on 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(5,347,409)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(5,347,409)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unrealized appreciation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(depreciation) on 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14,257,592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declared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(39,709,233)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Tax reconciliation of stockholders'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in accordance with U.S. GAAP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31,414,051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$ 314,140</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$ 466,872,304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$ 466,243,685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year ended December 31, 2019, the Company issued 2,177,466 shares for $32,458,787 in connection with the reinvestment of dividends. The following table summarizes capital activity during the year ended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Distributable</w:t>
            </w: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3"/>
              </w:rPr>
              <w:t>(Losses)</w:t>
            </w:r>
          </w:p>
        </w:tc>
        <w:tc>
          <w:tcPr>
            <w:tcW w:w="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11,056,595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$ 110,566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$ 162,568,188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4,690,641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$ 167,369,395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12,577,153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125,771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189,874,229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32,437,012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(510,027)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36,453,831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609,031</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(9,416,462)</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(40,651,334)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25,811,214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$ 258,112</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$ 384,369,854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(8,314,745)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$ 376,313,221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During the year ended December 31, 2018, the Company issued 390,924 shares for $5,855,312 in connection with the reinvestment of dividends. The following table summarizes capital activity during the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5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Distributable</w:t>
            </w: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191"/>
        </w:trPr>
        <w:tc>
          <w:tcPr>
            <w:tcW w:w="3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3"/>
              </w:rPr>
              <w:t>(Losses)</w:t>
            </w:r>
          </w:p>
        </w:tc>
        <w:tc>
          <w:tcPr>
            <w:tcW w:w="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34"/>
        </w:trPr>
        <w:tc>
          <w:tcPr>
            <w:tcW w:w="39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5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$ 126,920,269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$ 127,040,377</w:t>
            </w: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19,973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29,980,027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30,000,000</w:t>
            </w: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5,851,402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5,855,312</w:t>
            </w: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11,706,417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11,706,417</w:t>
            </w: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59,792</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59,792</w:t>
            </w: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(8,693)</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(8,693)</w:t>
            </w: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(7,283,810)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(7,283,810)</w:t>
            </w: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Balance,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11,056,595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110,566</w:t>
            </w:r>
          </w:p>
        </w:tc>
        <w:tc>
          <w:tcPr>
            <w:tcW w:w="5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$ 162,568,188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4,690,641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$ 167,369,395</w:t>
            </w:r>
          </w:p>
        </w:tc>
      </w:tr>
      <w:tr>
        <w:trPr>
          <w:trHeight w:val="20"/>
        </w:trPr>
        <w:tc>
          <w:tcPr>
            <w:tcW w:w="3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7" w:right="9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common shares issued, the price per share and the proceeds raised, since inception, are detailed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31,414,051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471,097,855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Shares were issued as part of the dividend reinvestment program.</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Initial Private Offering, the Company issued 18,241,157 shares of our common stock to stockholders for a total purchase price of $275,000,000. Between June 14, 2019 and December 31, 2020, the Company accepted $174,673,500 in capital commitments under its Second Private Offering. As of December 31, 2020 and December 31, 2019, respectively, the Company issued 8,352,251 and 5,000,000 shares of common stock for aggregate proceeds of $125,283,766 and $75,000,000 under the Second Private Offering, respectively. In March 2020, the Company issued 2,103 shares as an additional direct investment at $15.00 per share for total proceeds of $31,542 by Runway Growth Holdings LLC, an affiliate of RGC.</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Advisory Agreement, and/or maintaining a reserve account for the payment of future expenses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(the “Prior Agreement”). On August 3, 2017, the Board of Directors approved the Advisory Agreement and recommended that the Company’s stockholders approve the Advisory Agreement. The Advisory</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Agreement became effective on September 12, 2017 upon approval by the stockholders at a special meeting of stockholders of the Company and was most recently renewed by the Company's Board of Directors at a virtual meeting on August 5, 2020. In reliance upon certain exemptive relief granted by the SEC in connection with the global COVID-19 pandemic, the Board of Directors undertook to ratify the Advisory Agreement at its next in-person meeting. Under the terms of the Advisory Agreement, RGC:</w:t>
      </w:r>
    </w:p>
    <w:p>
      <w:pPr>
        <w:spacing w:after="0" w:line="171"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Advisory Agreement, “Capital Commitments” is defined as the aggregate amount of capital committed to the Company by investors as of the end of the most recently completed calendar quarter. On September 12, 2017, without changing the base management fee percentage, the Prior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1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6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purposes of the Advisory Agreement, a “Spin-Off transaction” includes a transaction whereby the Company offers its stockholders the option to elect to either (i) retain their ownership of shares of the Company’s common stock; (ii) exchange their shares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RGC earned base management fees of $6,831,566, $5,105,009 and $4,812,500 for the years ended December 31, 2020, 2019 and 2018, respectively. There were no excess fees paid during any of these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39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w:t>
      </w:r>
    </w:p>
    <w:p>
      <w:pPr>
        <w:spacing w:after="0" w:line="2" w:lineRule="exact"/>
        <w:rPr>
          <w:sz w:val="20"/>
          <w:szCs w:val="20"/>
          <w:color w:val="auto"/>
        </w:rPr>
      </w:pPr>
    </w:p>
    <w:p>
      <w:pPr>
        <w:jc w:val="both"/>
        <w:ind w:firstLine="8"/>
        <w:spacing w:after="0" w:line="252" w:lineRule="auto"/>
        <w:tabs>
          <w:tab w:leader="none" w:pos="2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8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w:t>
      </w:r>
    </w:p>
    <w:p>
      <w:pPr>
        <w:spacing w:after="0" w:line="6" w:lineRule="exact"/>
        <w:rPr>
          <w:sz w:val="20"/>
          <w:szCs w:val="20"/>
          <w:color w:val="auto"/>
        </w:rPr>
      </w:pPr>
    </w:p>
    <w:p>
      <w:pPr>
        <w:jc w:val="both"/>
        <w:ind w:firstLine="8"/>
        <w:spacing w:after="0" w:line="270" w:lineRule="auto"/>
        <w:tabs>
          <w:tab w:leader="none" w:pos="27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RGC earned incentive fees for the year ended December 31, 2020 of $7,260,656. $5,407,305 of the incentive fees for the year ended December 31, 2020 were earned, payable in cash, and $1,853,351 of the incentive fees for the year ended December 31, 2020 were accrued and generated from deferred interest (i.e., PIK and certain discount accretion) and are not payable pending receipt of cash by the Company. RGC earned incentive fees for the year ended December 31, 2019 of $8,349,449. $6,500,502 of the incentive fees for the year ended December 31, 2019 were earned, payable in cash, and $1,848,947 of the incentive fees for the year ended December 31, 2019 were accrued and generated from deferred interest (i.e., PIK and certain discount accretion) and are not payable pending receipt of cash by the Company. RGC earned incentive fees for the year ended December 31, 2018 of $1,411,324. $711,868 of the incentive fees for the year ended December 31, 2018 were earned, payable in cash, and $359,698 of the incentive fees for the year ended December 31, 2018 were accrued and deferred (i.e., PIK and certain discount accretion) and are not payable pending receipt of cash by the Company. Both currently payable in cash, $1,892,430 and $1,691,311, and deferred incentive fees, $3,114,635 and $1,891,676, are included in accrued incentive fees on the Statements of Assets and Liabilities as of December 31, 2020 and December 31, 2019, respectively.</w:t>
      </w:r>
    </w:p>
    <w:p>
      <w:pPr>
        <w:spacing w:after="0" w:line="1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December 31, 2020 and December 31, 2019, there was no capital gains incentive fee accrued, earned or payable to RGC under the Advisory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reimbursed the Administrator $546,073 during the year ended December 31, 2020. As of December 31, 2020, the Company had accrued a net payable to the Administrator of $143,515. Of the total amount reimbursed to the Administrator, $532,879 was related to overhead allocation expense for the year ended December 31, 2020. The Company reimbursed the Administrator $1,168,188 during the year ended December 31, 2019. As of December 31, 2019, the Company had accrued a net payable to the Administrator of $81,537. Of the total amount reimbursed to the Administrator, $827,464 was related to overhead allocation expense for the year ended December 31, 2019. The Company reimbursed the Administrator $614,405 during the year ended December 31, 2018. As of December 31, 2018, the Company had accrued a net payable to the Administrator of $116,697. Of the total amount reimbursed to the Administrator, $380,064 was related to overhead allocation expense for the year ended December 31, 2018. Administration fees, which include fees payable by the Administrator to third-party service providers who provide additional administration services for the Company, were $515,891, $490,022 and $209,761 for the years ended December 31, 2020, 2019 and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initial appointee to RGC’s board of managers and investment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December 31, 2020 and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521,940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551,824,590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70,002,060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349,570,424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349,570,424</w:t>
            </w: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437,515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437,515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18,008,337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18,008,337</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368,016,276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368,016,276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99,965,423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99,965,423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368,016,276</w:t>
            </w:r>
          </w:p>
        </w:tc>
        <w:tc>
          <w:tcPr>
            <w:tcW w:w="2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467,981,699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transfers into and out of the levels indicated above at the end of the reporting period. There were no transfers into or out of the levels during the years ended December 31, 2020 and 2019. The following table presents a rollforward of Level 3 assets measured at fair value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349,570,424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368,016,276</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Amortization of fixed income premiums or accretion of discounts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9,238,509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9,238,509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250,483,677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253,371,695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(103,716,096)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(2,874,028)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(106,590,124)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(6,629,169)</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14,579,615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18,902,410</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1,336,268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501,964,657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60" w:type="dxa"/>
            <w:vAlign w:val="bottom"/>
            <w:gridSpan w:val="2"/>
            <w:vMerge w:val="continue"/>
          </w:tcPr>
          <w:p>
            <w:pPr>
              <w:spacing w:after="0"/>
              <w:rPr>
                <w:sz w:val="13"/>
                <w:szCs w:val="1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4,526,472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9,932,673</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14,473,124</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investments still held as of December 31, 2020</w:t>
            </w: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Includes PIK interest, and is net of reorganization and restructuring of investments.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rollforward of Level 3 assets measured at fair value as of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461,826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208,539,353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15,247,210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224,248,389</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w w:val="97"/>
              </w:rPr>
              <w:t>Amortization of fixed income premiums or accretion of discounts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12,878,530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12,878,530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236,997,789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6,001,426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242,999,215</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(100,079,608)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(2,859,301)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(102,938,909)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(8,765,640)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(609,169)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(9,399,120)</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437,515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349,570,424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368,016,276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20" w:type="dxa"/>
            <w:vAlign w:val="bottom"/>
            <w:gridSpan w:val="2"/>
            <w:vMerge w:val="continue"/>
          </w:tcPr>
          <w:p>
            <w:pPr>
              <w:spacing w:after="0"/>
              <w:rPr>
                <w:sz w:val="13"/>
                <w:szCs w:val="13"/>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8"/>
              </w:rPr>
              <w:t>(24,311)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(8,519,560)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728,460</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(7,815,411)</w:t>
            </w:r>
          </w:p>
        </w:tc>
        <w:tc>
          <w:tcPr>
            <w:tcW w:w="0" w:type="dxa"/>
            <w:vAlign w:val="bottom"/>
          </w:tcPr>
          <w:p>
            <w:pPr>
              <w:spacing w:after="0"/>
              <w:rPr>
                <w:sz w:val="1"/>
                <w:szCs w:val="1"/>
                <w:color w:val="auto"/>
              </w:rPr>
            </w:pP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color w:val="auto"/>
              </w:rPr>
              <w:t>investments still held as of December 31, 2019</w:t>
            </w:r>
          </w:p>
        </w:tc>
        <w:tc>
          <w:tcPr>
            <w:tcW w:w="40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Includes PIK interest, and is net of reorganization and restructuring of investments.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0.1%-0.8% (0.1%)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0.3-9.2 (1.5)</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Revenue Multiples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Revenue Multiples</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2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22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95"/>
        </w:trPr>
        <w:tc>
          <w:tcPr>
            <w:tcW w:w="2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w:t>
            </w:r>
          </w:p>
        </w:tc>
        <w:tc>
          <w:tcPr>
            <w:tcW w:w="16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and merger and</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acquisition transaction</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3"/>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437,515</w:t>
            </w: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prices</w:t>
            </w: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N/A</w:t>
            </w:r>
          </w:p>
        </w:tc>
        <w:tc>
          <w:tcPr>
            <w:tcW w:w="2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2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center"/>
              <w:ind w:right="200"/>
              <w:spacing w:after="0" w:line="198" w:lineRule="exact"/>
              <w:rPr>
                <w:sz w:val="20"/>
                <w:szCs w:val="20"/>
                <w:color w:val="auto"/>
              </w:rPr>
            </w:pPr>
            <w:r>
              <w:rPr>
                <w:rFonts w:ascii="Arial" w:cs="Arial" w:eastAsia="Arial" w:hAnsi="Arial"/>
                <w:sz w:val="18"/>
                <w:szCs w:val="18"/>
                <w:color w:val="auto"/>
                <w:w w:val="91"/>
              </w:rPr>
              <w:t>Discounted Cash Flow</w:t>
            </w: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336,388,211</w:t>
            </w:r>
          </w:p>
        </w:tc>
        <w:tc>
          <w:tcPr>
            <w:tcW w:w="160" w:type="dxa"/>
            <w:vAlign w:val="bottom"/>
          </w:tcPr>
          <w:p>
            <w:pPr>
              <w:spacing w:after="0"/>
              <w:rPr>
                <w:sz w:val="20"/>
                <w:szCs w:val="20"/>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analysis</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12.3%–28.0% (16.8%)</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Market approach</w:t>
            </w: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Origination yield</w:t>
            </w:r>
          </w:p>
        </w:tc>
        <w:tc>
          <w:tcPr>
            <w:tcW w:w="2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12.3%–26.0% (14.5%)</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13,182,213</w:t>
            </w:r>
          </w:p>
        </w:tc>
        <w:tc>
          <w:tcPr>
            <w:tcW w:w="160" w:type="dxa"/>
            <w:vAlign w:val="bottom"/>
          </w:tcPr>
          <w:p>
            <w:pPr>
              <w:spacing w:after="0"/>
              <w:rPr>
                <w:sz w:val="18"/>
                <w:szCs w:val="18"/>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PWERM</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30.5%–36.2% (32.6%)</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12,695,414</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Option pricing model</w:t>
            </w: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Risk-free interest rate</w:t>
            </w:r>
          </w:p>
        </w:tc>
        <w:tc>
          <w:tcPr>
            <w:tcW w:w="2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1.6%–1.8% (1.6%)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Average industry volatility</w:t>
            </w: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30.0%–60.0% (41.2%)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0.5 years–5.9 years (3.1 years)</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Revenue Multiples</w:t>
            </w:r>
          </w:p>
        </w:tc>
        <w:tc>
          <w:tcPr>
            <w:tcW w:w="23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1.18x-7.57x (2.05x)</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5,312,923</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PWERM</w:t>
            </w:r>
          </w:p>
        </w:tc>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20.7% - 45.0% (32.6%)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Revenue Multiples</w:t>
            </w:r>
          </w:p>
        </w:tc>
        <w:tc>
          <w:tcPr>
            <w:tcW w:w="232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8"/>
                <w:szCs w:val="18"/>
                <w:color w:val="auto"/>
                <w:w w:val="92"/>
              </w:rPr>
              <w:t>4.33x-4.79x (4.13x)</w:t>
            </w: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368,016,276</w:t>
            </w:r>
          </w:p>
        </w:tc>
        <w:tc>
          <w:tcPr>
            <w:tcW w:w="1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60" w:hanging="328"/>
        <w:spacing w:after="0" w:line="237" w:lineRule="auto"/>
        <w:tabs>
          <w:tab w:leader="none" w:pos="66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06" w:lineRule="exact"/>
        <w:rPr>
          <w:rFonts w:ascii="Arial" w:cs="Arial" w:eastAsia="Arial" w:hAnsi="Arial"/>
          <w:sz w:val="27"/>
          <w:szCs w:val="27"/>
          <w:color w:val="auto"/>
          <w:vertAlign w:val="superscript"/>
        </w:rPr>
      </w:pPr>
    </w:p>
    <w:p>
      <w:pPr>
        <w:jc w:val="both"/>
        <w:ind w:left="660" w:hanging="328"/>
        <w:spacing w:after="0" w:line="237" w:lineRule="auto"/>
        <w:tabs>
          <w:tab w:leader="none" w:pos="66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The significant unobservable inputs used in the fair value measurement of the Company’s warrant and equity-related securities are inputs used in the option pricing model (“OPM”) which include industry volatility, risk free interest rate and estimated time to exit. The Equity Allocation model and the Black Scholes model were the main OPM’s used.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year ended</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2020, the Company had realized gains of $1,175,229 and a net change in unrealized appreciation of $14,161,969 from its investments in warrants. For the year ended December 31, 2019, the Company had realized gains of $228,171 and a net change in unrealized (depreciation) of $(609,169) from its investments in warrants. For the year ended December 31, 2018, the Company had realized gains of $59,792 and a net change in unrealized (depreciation) of $(171,493) from its investments in warrants. Realized gains from warrants is included in Realized gain (loss) on non-control/non-affiliate investments, including U.S. Treasury Bills on the Statement of Operations. The net change in unrealized appreciation (depreciation) from warrants is included in Net change in unrealized appreciation (depreciation) on non-control/non-affiliate investments, including U.S. Treasury Bills, except for $358,682, $0 and $0, respectively for the years ended December 31, 2020, December 31, 2019 and December 31, 2018, included in Net change in unrealized appreciation on control/affiliate investments.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November 10, 2020, Company entered into an amendment (the “Credit Facility Amendment”) to the Credit Agreement.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 Borrowing under the Credit Facility remains subject to the leverage restrictions contained in the 1940 Act.</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414"/>
        <w:spacing w:after="0" w:line="277" w:lineRule="auto"/>
        <w:rPr>
          <w:sz w:val="20"/>
          <w:szCs w:val="20"/>
          <w:color w:val="auto"/>
        </w:rPr>
      </w:pPr>
      <w:r>
        <w:rPr>
          <w:rFonts w:ascii="Arial" w:cs="Arial" w:eastAsia="Arial" w:hAnsi="Arial"/>
          <w:sz w:val="18"/>
          <w:szCs w:val="18"/>
          <w:color w:val="auto"/>
        </w:rPr>
        <w:t>On December 2, 2020, the Company entered into an amendment (the “Credit Facility Amendment”) to the Credit Agreement. The Credit Facility Amendment is effective as of December 2, 2020.</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Investment Company Act of 1940, as amended.</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termination on May 31, 2019, the current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was based on unused capital commitments. Borrowings under the Credit Facilities bore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and December 31, 2019, the weighted average outstanding debt balance was $27,449,454 and $12,355,311, respectively, and the weighted average effective interest rate under the Credit Agreement and Credit Facilities was 3.43% and 4.66%,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$99,000,000 outstanding under the Credit Agreement and the Credit Facilities with maturities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Due Date</w:t>
            </w:r>
          </w:p>
        </w:tc>
        <w:tc>
          <w:tcPr>
            <w:tcW w:w="20" w:type="dxa"/>
            <w:vAlign w:val="bottom"/>
          </w:tcPr>
          <w:p>
            <w:pPr>
              <w:spacing w:after="0"/>
              <w:rPr>
                <w:sz w:val="14"/>
                <w:szCs w:val="14"/>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$ 99,000,000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$ 99,000,000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the Company had $61,000,000 outstanding under the Credit Facilities with maturities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Due Date</w:t>
            </w: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9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5/31/2022</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$ 61,000,000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5.10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$ 61,000,000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Senior Securities</w:t>
      </w:r>
    </w:p>
    <w:p>
      <w:pPr>
        <w:spacing w:after="0" w:line="2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Information about the Company’s senior securities is shown in the following table for the fiscal years ended December 31, 2018 through 2020. No senior securities were outstanding for the fiscal years ended December 31, 2016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Total 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Involuntary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Liquidating</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Exclusive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Coverage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Preference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Class and Year</w:t>
            </w:r>
          </w:p>
        </w:tc>
        <w:tc>
          <w:tcPr>
            <w:tcW w:w="280" w:type="dxa"/>
            <w:vAlign w:val="bottom"/>
          </w:tcPr>
          <w:p>
            <w:pPr>
              <w:spacing w:after="0"/>
              <w:rPr>
                <w:sz w:val="20"/>
                <w:szCs w:val="20"/>
                <w:color w:val="auto"/>
              </w:rPr>
            </w:pPr>
          </w:p>
        </w:tc>
        <w:tc>
          <w:tcPr>
            <w:tcW w:w="1660" w:type="dxa"/>
            <w:vAlign w:val="bottom"/>
          </w:tcPr>
          <w:p>
            <w:pPr>
              <w:jc w:val="right"/>
              <w:spacing w:after="0" w:line="235" w:lineRule="exact"/>
              <w:rPr>
                <w:sz w:val="20"/>
                <w:szCs w:val="20"/>
                <w:color w:val="auto"/>
              </w:rPr>
            </w:pPr>
            <w:r>
              <w:rPr>
                <w:rFonts w:ascii="Arial" w:cs="Arial" w:eastAsia="Arial" w:hAnsi="Arial"/>
                <w:sz w:val="18"/>
                <w:szCs w:val="18"/>
                <w:b w:val="1"/>
                <w:bCs w:val="1"/>
                <w:color w:val="auto"/>
                <w:w w:val="87"/>
              </w:rPr>
              <w:t>Treasury Securities</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0"/>
                <w:szCs w:val="20"/>
                <w:color w:val="auto"/>
              </w:rPr>
            </w:pPr>
          </w:p>
        </w:tc>
        <w:tc>
          <w:tcPr>
            <w:tcW w:w="1160" w:type="dxa"/>
            <w:vAlign w:val="bottom"/>
            <w:gridSpan w:val="3"/>
          </w:tcPr>
          <w:p>
            <w:pPr>
              <w:jc w:val="center"/>
              <w:ind w:right="200"/>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(2)</w:t>
            </w:r>
          </w:p>
        </w:tc>
        <w:tc>
          <w:tcPr>
            <w:tcW w:w="1180" w:type="dxa"/>
            <w:vAlign w:val="bottom"/>
            <w:gridSpan w:val="2"/>
          </w:tcPr>
          <w:p>
            <w:pPr>
              <w:jc w:val="center"/>
              <w:ind w:right="200"/>
              <w:spacing w:after="0" w:line="235" w:lineRule="exact"/>
              <w:rPr>
                <w:sz w:val="20"/>
                <w:szCs w:val="20"/>
                <w:color w:val="auto"/>
              </w:rPr>
            </w:pPr>
            <w:r>
              <w:rPr>
                <w:rFonts w:ascii="Arial" w:cs="Arial" w:eastAsia="Arial" w:hAnsi="Arial"/>
                <w:sz w:val="18"/>
                <w:szCs w:val="18"/>
                <w:b w:val="1"/>
                <w:bCs w:val="1"/>
                <w:color w:val="auto"/>
                <w:w w:val="91"/>
              </w:rPr>
              <w:t>per Unit</w:t>
            </w:r>
            <w:r>
              <w:rPr>
                <w:rFonts w:ascii="Arial" w:cs="Arial" w:eastAsia="Arial" w:hAnsi="Arial"/>
                <w:sz w:val="26"/>
                <w:szCs w:val="26"/>
                <w:b w:val="1"/>
                <w:bCs w:val="1"/>
                <w:color w:val="auto"/>
                <w:w w:val="91"/>
                <w:vertAlign w:val="superscript"/>
              </w:rPr>
              <w:t>(3)</w:t>
            </w:r>
          </w:p>
        </w:tc>
        <w:tc>
          <w:tcPr>
            <w:tcW w:w="980" w:type="dxa"/>
            <w:vAlign w:val="bottom"/>
          </w:tcPr>
          <w:p>
            <w:pPr>
              <w:jc w:val="center"/>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(4)</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Agreement</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12/31/2019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12/31/2019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 Ended 12/31/2019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Year Ended 12/31/2018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Total amount of each class of senior securities outstanding at the end of the period presented.</w:t>
      </w:r>
    </w:p>
    <w:p>
      <w:pPr>
        <w:spacing w:after="0" w:line="201" w:lineRule="exact"/>
        <w:rPr>
          <w:rFonts w:ascii="Arial" w:cs="Arial" w:eastAsia="Arial" w:hAnsi="Arial"/>
          <w:sz w:val="27"/>
          <w:szCs w:val="27"/>
          <w:color w:val="auto"/>
          <w:vertAlign w:val="superscript"/>
        </w:rPr>
      </w:pPr>
    </w:p>
    <w:p>
      <w:pPr>
        <w:jc w:val="both"/>
        <w:ind w:left="660" w:hanging="328"/>
        <w:spacing w:after="0" w:line="249" w:lineRule="auto"/>
        <w:tabs>
          <w:tab w:leader="none" w:pos="66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Asset coverage per unit is the ratio of the carrying value of total assets, less all liabilities excluding indebtedness represented by senior securities in this table to the aggregate amount of senior securities representing indebtedness. Asset coverage per unit is express in terms of dollar amounts per $1,000 of indebtedness and is calculated on a consolidated basis.</w:t>
      </w:r>
    </w:p>
    <w:p>
      <w:pPr>
        <w:spacing w:after="0" w:line="195" w:lineRule="exact"/>
        <w:rPr>
          <w:rFonts w:ascii="Arial" w:cs="Arial" w:eastAsia="Arial" w:hAnsi="Arial"/>
          <w:sz w:val="24"/>
          <w:szCs w:val="24"/>
          <w:color w:val="auto"/>
          <w:vertAlign w:val="superscript"/>
        </w:rPr>
      </w:pPr>
    </w:p>
    <w:p>
      <w:pPr>
        <w:jc w:val="both"/>
        <w:ind w:left="660" w:right="20" w:hanging="328"/>
        <w:spacing w:after="0" w:line="219" w:lineRule="auto"/>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spacing w:after="0" w:line="122" w:lineRule="exact"/>
        <w:rPr>
          <w:rFonts w:ascii="Arial" w:cs="Arial" w:eastAsia="Arial" w:hAnsi="Arial"/>
          <w:sz w:val="27"/>
          <w:szCs w:val="27"/>
          <w:color w:val="auto"/>
          <w:vertAlign w:val="superscript"/>
        </w:rPr>
      </w:pPr>
    </w:p>
    <w:p>
      <w:pPr>
        <w:ind w:left="660" w:hanging="328"/>
        <w:spacing w:after="0"/>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Not applicable because the senior securities are not registered for public trading.</w:t>
      </w:r>
    </w:p>
    <w:p>
      <w:pPr>
        <w:spacing w:after="0" w:line="201" w:lineRule="exact"/>
        <w:rPr>
          <w:rFonts w:ascii="Arial" w:cs="Arial" w:eastAsia="Arial" w:hAnsi="Arial"/>
          <w:sz w:val="27"/>
          <w:szCs w:val="27"/>
          <w:color w:val="auto"/>
          <w:vertAlign w:val="superscript"/>
        </w:rPr>
      </w:pPr>
    </w:p>
    <w:p>
      <w:pPr>
        <w:ind w:left="660" w:right="20" w:hanging="328"/>
        <w:spacing w:after="0" w:line="207" w:lineRule="auto"/>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On June 22, 2018, the Company entered into the Credit Facilities with CIBC. On May 31, 2019, in conjunction with securing and entering into the new Credit Agreement, the Company terminated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95"/>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95"/>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1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5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96"/>
        </w:trPr>
        <w:tc>
          <w:tcPr>
            <w:tcW w:w="3520" w:type="dxa"/>
            <w:vAlign w:val="bottom"/>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7"/>
                <w:szCs w:val="17"/>
                <w:color w:val="auto"/>
              </w:rPr>
              <w:t>Net asset value at beginning of period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14.58</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15.14</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14.66</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10.38</w:t>
            </w:r>
          </w:p>
        </w:tc>
        <w:tc>
          <w:tcPr>
            <w:tcW w:w="18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(83.81)</w:t>
            </w:r>
          </w:p>
        </w:tc>
        <w:tc>
          <w:tcPr>
            <w:tcW w:w="1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7"/>
                <w:szCs w:val="17"/>
                <w:color w:val="auto"/>
              </w:rPr>
              <w:t>Realized gain (loss)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5"/>
              </w:rPr>
              <w:t>Change in unrealized appreciation (depreciation)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7"/>
                <w:szCs w:val="17"/>
                <w:color w:val="auto"/>
              </w:rPr>
              <w:t>Issuance of common shares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79.20</w:t>
            </w:r>
          </w:p>
        </w:tc>
        <w:tc>
          <w:tcPr>
            <w:tcW w:w="1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Dividends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3520" w:type="dxa"/>
            <w:vAlign w:val="bottom"/>
          </w:tcPr>
          <w:p>
            <w:pPr>
              <w:spacing w:after="0"/>
              <w:rPr>
                <w:sz w:val="20"/>
                <w:szCs w:val="20"/>
                <w:color w:val="auto"/>
              </w:rPr>
            </w:pPr>
            <w:r>
              <w:rPr>
                <w:rFonts w:ascii="Arial" w:cs="Arial" w:eastAsia="Arial" w:hAnsi="Arial"/>
                <w:sz w:val="17"/>
                <w:szCs w:val="17"/>
                <w:color w:val="auto"/>
              </w:rPr>
              <w:t>Offering costs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36"/>
        </w:trPr>
        <w:tc>
          <w:tcPr>
            <w:tcW w:w="3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asset value at end of period</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14.66</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w:t>
            </w:r>
          </w:p>
        </w:tc>
        <w:tc>
          <w:tcPr>
            <w:tcW w:w="160" w:type="dxa"/>
            <w:vAlign w:val="bottom"/>
            <w:tcBorders>
              <w:bottom w:val="single" w:sz="8" w:color="CCEEFF"/>
            </w:tcBorders>
          </w:tcPr>
          <w:p>
            <w:pPr>
              <w:spacing w:after="0"/>
              <w:rPr>
                <w:sz w:val="20"/>
                <w:szCs w:val="20"/>
                <w:color w:val="auto"/>
              </w:rPr>
            </w:pPr>
          </w:p>
        </w:tc>
      </w:tr>
      <w:tr>
        <w:trPr>
          <w:trHeight w:val="183"/>
        </w:trPr>
        <w:tc>
          <w:tcPr>
            <w:tcW w:w="352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Total return based on net asset value</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1.79</w:t>
            </w:r>
          </w:p>
        </w:tc>
        <w:tc>
          <w:tcPr>
            <w:tcW w:w="18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w w:val="7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(3.70)%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3.27</w:t>
            </w:r>
          </w:p>
        </w:tc>
        <w:tc>
          <w:tcPr>
            <w:tcW w:w="18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w w:val="7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41.23</w:t>
            </w:r>
          </w:p>
        </w:tc>
        <w:tc>
          <w:tcPr>
            <w:tcW w:w="18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w w:val="7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(30.80)%</w:t>
            </w:r>
          </w:p>
        </w:tc>
      </w:tr>
      <w:tr>
        <w:trPr>
          <w:trHeight w:val="185"/>
        </w:trPr>
        <w:tc>
          <w:tcPr>
            <w:tcW w:w="3520" w:type="dxa"/>
            <w:vAlign w:val="bottom"/>
          </w:tcPr>
          <w:p>
            <w:pPr>
              <w:spacing w:after="0" w:line="185" w:lineRule="exact"/>
              <w:rPr>
                <w:sz w:val="20"/>
                <w:szCs w:val="20"/>
                <w:color w:val="auto"/>
              </w:rPr>
            </w:pPr>
            <w:r>
              <w:rPr>
                <w:rFonts w:ascii="Arial" w:cs="Arial" w:eastAsia="Arial" w:hAnsi="Arial"/>
                <w:sz w:val="17"/>
                <w:szCs w:val="17"/>
                <w:color w:val="auto"/>
                <w:w w:val="94"/>
              </w:rPr>
              <w:t>Weighted-average shares outstanding for period,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27,617,425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18,701,021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9,300,960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2,795,274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10,774</w:t>
            </w:r>
          </w:p>
        </w:tc>
        <w:tc>
          <w:tcPr>
            <w:tcW w:w="160" w:type="dxa"/>
            <w:vAlign w:val="bottom"/>
          </w:tcPr>
          <w:p>
            <w:pPr>
              <w:spacing w:after="0"/>
              <w:rPr>
                <w:sz w:val="18"/>
                <w:szCs w:val="18"/>
                <w:color w:val="auto"/>
              </w:rPr>
            </w:pPr>
          </w:p>
        </w:tc>
      </w:tr>
      <w:tr>
        <w:trPr>
          <w:trHeight w:val="206"/>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Ratio/Supplemental Data: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7"/>
                <w:szCs w:val="17"/>
                <w:color w:val="auto"/>
              </w:rPr>
              <w:t>Net assets at end of period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3"/>
              </w:rPr>
              <w:t>466,243,685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3"/>
              </w:rPr>
              <w:t>376,313,221</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5"/>
              </w:rPr>
              <w:t>167,369,395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5"/>
              </w:rPr>
              <w:t>127,040,377</w:t>
            </w:r>
          </w:p>
        </w:tc>
        <w:tc>
          <w:tcPr>
            <w:tcW w:w="18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3,476,672</w:t>
            </w:r>
          </w:p>
        </w:tc>
        <w:tc>
          <w:tcPr>
            <w:tcW w:w="160" w:type="dxa"/>
            <w:vAlign w:val="bottom"/>
          </w:tcPr>
          <w:p>
            <w:pPr>
              <w:spacing w:after="0"/>
              <w:rPr>
                <w:sz w:val="17"/>
                <w:szCs w:val="17"/>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403,188,386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283,773,605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141,046,177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40,388,772</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151,520</w:t>
            </w:r>
          </w:p>
        </w:tc>
        <w:tc>
          <w:tcPr>
            <w:tcW w:w="160" w:type="dxa"/>
            <w:vAlign w:val="bottom"/>
            <w:shd w:val="clear" w:color="auto" w:fill="CCEEFF"/>
          </w:tcPr>
          <w:p>
            <w:pPr>
              <w:spacing w:after="0"/>
              <w:rPr>
                <w:sz w:val="17"/>
                <w:szCs w:val="17"/>
                <w:color w:val="auto"/>
              </w:rPr>
            </w:pPr>
          </w:p>
        </w:tc>
      </w:tr>
      <w:tr>
        <w:trPr>
          <w:trHeight w:val="185"/>
        </w:trPr>
        <w:tc>
          <w:tcPr>
            <w:tcW w:w="3520" w:type="dxa"/>
            <w:vAlign w:val="bottom"/>
          </w:tcPr>
          <w:p>
            <w:pPr>
              <w:spacing w:after="0" w:line="185" w:lineRule="exact"/>
              <w:rPr>
                <w:sz w:val="20"/>
                <w:szCs w:val="20"/>
                <w:color w:val="auto"/>
              </w:rPr>
            </w:pPr>
            <w:r>
              <w:rPr>
                <w:rFonts w:ascii="Arial" w:cs="Arial" w:eastAsia="Arial" w:hAnsi="Arial"/>
                <w:sz w:val="17"/>
                <w:szCs w:val="17"/>
                <w:color w:val="auto"/>
                <w:w w:val="99"/>
              </w:rPr>
              <w:t>Ratio of net operating expenses to average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3520" w:type="dxa"/>
            <w:vAlign w:val="bottom"/>
          </w:tcPr>
          <w:p>
            <w:pPr>
              <w:spacing w:after="0" w:line="220" w:lineRule="exact"/>
              <w:rPr>
                <w:sz w:val="20"/>
                <w:szCs w:val="20"/>
                <w:color w:val="auto"/>
              </w:rPr>
            </w:pPr>
            <w:r>
              <w:rPr>
                <w:rFonts w:ascii="Arial" w:cs="Arial" w:eastAsia="Arial" w:hAnsi="Arial"/>
                <w:sz w:val="17"/>
                <w:szCs w:val="17"/>
                <w:color w:val="auto"/>
              </w:rPr>
              <w:t>assets</w:t>
            </w:r>
            <w:r>
              <w:rPr>
                <w:rFonts w:ascii="Arial" w:cs="Arial" w:eastAsia="Arial" w:hAnsi="Arial"/>
                <w:sz w:val="25"/>
                <w:szCs w:val="25"/>
                <w:color w:val="auto"/>
                <w:vertAlign w:val="superscript"/>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4.84 %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6.58 %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6.42 %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12.46 %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595.90 %</w:t>
            </w:r>
          </w:p>
        </w:tc>
      </w:tr>
      <w:tr>
        <w:trPr>
          <w:trHeight w:val="185"/>
        </w:trPr>
        <w:tc>
          <w:tcPr>
            <w:tcW w:w="35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Ratio of net increase (decrease) in net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0"/>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8"/>
              </w:rPr>
              <w:t>resulting from operations to average net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11.62 %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9.74 %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8.34 %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1568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7"/>
          <w:szCs w:val="27"/>
          <w:color w:val="auto"/>
          <w:vertAlign w:val="superscript"/>
        </w:rPr>
      </w:pPr>
      <w:r>
        <w:rPr>
          <w:rFonts w:ascii="Arial" w:cs="Arial" w:eastAsia="Arial" w:hAnsi="Arial"/>
          <w:sz w:val="17"/>
          <w:szCs w:val="17"/>
          <w:color w:val="auto"/>
        </w:rPr>
        <w:t>Financial highlights are based on weighted-average shares outstanding.</w:t>
      </w:r>
    </w:p>
    <w:p>
      <w:pPr>
        <w:spacing w:after="0" w:line="108" w:lineRule="exact"/>
        <w:rPr>
          <w:rFonts w:ascii="Arial" w:cs="Arial" w:eastAsia="Arial" w:hAnsi="Arial"/>
          <w:sz w:val="27"/>
          <w:szCs w:val="27"/>
          <w:color w:val="auto"/>
          <w:vertAlign w:val="superscript"/>
        </w:rPr>
      </w:pPr>
    </w:p>
    <w:p>
      <w:pPr>
        <w:ind w:left="660" w:right="20" w:hanging="328"/>
        <w:spacing w:after="0" w:line="196" w:lineRule="auto"/>
        <w:tabs>
          <w:tab w:leader="none" w:pos="66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Total return based on net asset value is based upon the change in net asset value per share between the opening and ending net asset values per share in the year.</w:t>
      </w:r>
    </w:p>
    <w:p>
      <w:pPr>
        <w:spacing w:after="0" w:line="95" w:lineRule="exact"/>
        <w:rPr>
          <w:rFonts w:ascii="Arial" w:cs="Arial" w:eastAsia="Arial" w:hAnsi="Arial"/>
          <w:sz w:val="26"/>
          <w:szCs w:val="26"/>
          <w:color w:val="auto"/>
          <w:vertAlign w:val="superscript"/>
        </w:rPr>
      </w:pPr>
    </w:p>
    <w:p>
      <w:pPr>
        <w:ind w:left="660" w:hanging="328"/>
        <w:spacing w:after="0" w:line="236" w:lineRule="auto"/>
        <w:tabs>
          <w:tab w:leader="none" w:pos="660" w:val="left"/>
        </w:tabs>
        <w:numPr>
          <w:ilvl w:val="0"/>
          <w:numId w:val="72"/>
        </w:numPr>
        <w:rPr>
          <w:rFonts w:ascii="Arial" w:cs="Arial" w:eastAsia="Arial" w:hAnsi="Arial"/>
          <w:sz w:val="22"/>
          <w:szCs w:val="22"/>
          <w:color w:val="auto"/>
          <w:vertAlign w:val="superscript"/>
        </w:rPr>
      </w:pPr>
      <w:r>
        <w:rPr>
          <w:rFonts w:ascii="Arial" w:cs="Arial" w:eastAsia="Arial" w:hAnsi="Arial"/>
          <w:sz w:val="15"/>
          <w:szCs w:val="15"/>
          <w:color w:val="auto"/>
        </w:rPr>
        <w:t>Return from investment operations was 9.47%, 12.88%, 8.59%, (6.36)% and (30.80)% for the years ended December 31, 2020, 2019, 2018, 2017, and 2016, respectively. Return from investment operations represents returns on net investment income from operations.</w:t>
      </w:r>
    </w:p>
    <w:p>
      <w:pPr>
        <w:spacing w:after="0" w:line="94" w:lineRule="exact"/>
        <w:rPr>
          <w:rFonts w:ascii="Arial" w:cs="Arial" w:eastAsia="Arial" w:hAnsi="Arial"/>
          <w:sz w:val="22"/>
          <w:szCs w:val="22"/>
          <w:color w:val="auto"/>
          <w:vertAlign w:val="superscript"/>
        </w:rPr>
      </w:pPr>
    </w:p>
    <w:p>
      <w:pPr>
        <w:ind w:left="660" w:right="20" w:hanging="328"/>
        <w:spacing w:after="0" w:line="203" w:lineRule="auto"/>
        <w:tabs>
          <w:tab w:leader="none" w:pos="66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Return from accretion (dilution) was (0.06)%, 0.88%, (0.07)%, 46.24% and 0.00% for the years ended December 31, 2020, 2019, 2018, 2017, and 2016, respectively.</w:t>
      </w:r>
    </w:p>
    <w:p>
      <w:pPr>
        <w:spacing w:after="0" w:line="94"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Ratio of net investment income to average net assets was 9.47%, 12.88%, 8.30%, (4.56)% and (595.90)% for the years ended December 31, 2020, 2019, 2018, 2017, and 2016, respectively.</w:t>
      </w:r>
    </w:p>
    <w:p>
      <w:pPr>
        <w:spacing w:after="0" w:line="94" w:lineRule="exact"/>
        <w:rPr>
          <w:rFonts w:ascii="Arial" w:cs="Arial" w:eastAsia="Arial" w:hAnsi="Arial"/>
          <w:sz w:val="26"/>
          <w:szCs w:val="26"/>
          <w:color w:val="auto"/>
          <w:vertAlign w:val="superscript"/>
        </w:rPr>
      </w:pPr>
    </w:p>
    <w:p>
      <w:pPr>
        <w:ind w:left="660" w:hanging="328"/>
        <w:spacing w:after="0" w:line="203" w:lineRule="auto"/>
        <w:tabs>
          <w:tab w:leader="none" w:pos="66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Ratio of net operating expenses excluding incentive fees, to average net assets was 3.04%, 3.64%, 5.42%, 12.46% and 595.95% for the years ended December 31, 2020, 2019,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Selected Quarterly Financial Data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14,820,857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11,801,054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14,215,723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16,788,669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5,177,270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3,927,213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4,693,143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5,758,960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9,643,587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7,873,841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9,522,580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11,029,709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(6,717,262)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203,854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1,142,706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23,293</w:t>
            </w: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(1,179,081)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5,496,594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9,696,337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1,747,244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13,574,289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10,909,028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20,749,339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 per share</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w:t>
            </w:r>
          </w:p>
        </w:tc>
        <w:tc>
          <w:tcPr>
            <w:tcW w:w="60" w:type="dxa"/>
            <w:vAlign w:val="bottom"/>
          </w:tcPr>
          <w:p>
            <w:pPr>
              <w:spacing w:after="0"/>
              <w:rPr>
                <w:sz w:val="20"/>
                <w:szCs w:val="20"/>
                <w:color w:val="auto"/>
              </w:rPr>
            </w:pPr>
          </w:p>
        </w:tc>
        <w:tc>
          <w:tcPr>
            <w:tcW w:w="34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0"/>
                <w:szCs w:val="20"/>
                <w:color w:val="auto"/>
              </w:rPr>
            </w:pP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341"/>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12,150,329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16,395,990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11,834,485</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14,758,332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4,076,305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5,025,981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4,329,742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5,253,277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8,074,024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11,370,009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9,505,055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493,308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116,689</w:t>
            </w: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(2,240,510)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(3,247,119)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(2,782,423)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(1,146,410)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9"/>
              </w:rPr>
              <w:t>Increase (decrease) in net assets resulting from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5,833,514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8,616,198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4,721,354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8,475,334</w:t>
            </w: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Increase (decrease) in net assets resulting from operations per</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15.13</w:t>
            </w:r>
          </w:p>
        </w:tc>
        <w:tc>
          <w:tcPr>
            <w:tcW w:w="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14.58</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evaluated events subsequent to December 31, 2020 through March 11, 2021, the date the financial statements were issued.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26, 2021, the Company funded an investment of $250,000 to The Kairn Corporation.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27, 2021, as part of an overall reorganization of Pivot3, Inc., Pivot3, Inc. changed its name to Pivot3 Holdings, Inc. and the Company: (i) funded a $1,000,000 investment of Series 1 Preferred Stock, and (ii) converted the $1,000,000 Convertible Bridge Loan into Series 1 Preferred Stock. Further, in conjunction with the reorganization, our Series D warrants were effectively canceled and as such we recorded a $216,610 realized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11, 2021, the Company funded an investment of $500,000 to Mojix,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23, 2021, the Company funded an investment of $2,000,000 to Massdrop, Inc.</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2, 2021, 3DNA Corp. prepaid its outstanding principal balance of $7,500,000. In addition, the Company received cash proceeds of $598,438 in conjunction with ETP, prepayment fees, and interest for total proceeds of $8,098,438.</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4, 2021, the Company declared a dividend of $0.37 per share payable on March 19, 2021 to shareholders of record as of March 5, 2021. The Company set December 31, 2020 as the valuation date for shares issued in connection with the dividend pursuant to the Company’s dividend reinvestment plan.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Management conducted an evaluation of the effectiveness of the Company’s internal control over financial reporting as of December 31, 2020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concluded that the Company’s internal control over financial reporting as of December 31, 2020 was effective.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an exemption for emerging growth companies under the JOBS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2021 Proxy Statement. The 2021 Proxy Statement will be filed with the SEC within 120 days after the end of the fiscal period covered by this Form 10-K pursuant to Regulation 14A under the Exchange Act.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https://runwaygrowth.com/wp-content/uploads/2020/02/Runway-Growth-Credit-Fund-SOX-Code-of-Business-Conduct-and-Ethics-March-2018.pdf.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2021 Proxy Statement. The 2021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2021 Proxy Statement. The 2021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2021 Proxy Statement. The 2021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2021 Proxy Statement. The 2021 Proxy Statement will be filed with the SEC within 120 days after the end of the fiscal period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4" w:name="page125"/>
    <w:bookmarkEnd w:id="124"/>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(a)Financial Statements</w:t>
      </w:r>
    </w:p>
    <w:p>
      <w:pPr>
        <w:spacing w:after="0" w:line="229" w:lineRule="exact"/>
        <w:rPr>
          <w:sz w:val="20"/>
          <w:szCs w:val="20"/>
          <w:color w:val="auto"/>
        </w:rPr>
      </w:pPr>
    </w:p>
    <w:p>
      <w:pPr>
        <w:ind w:left="800" w:hanging="448"/>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Statements — Refer to Part II, Item 8 of this Form 10-K, which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9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Report of Independent Registered Public Accounting Firm</w:t>
              </w:r>
            </w:hyperlink>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84"/>
        </w:trPr>
        <w:tc>
          <w:tcPr>
            <w:tcW w:w="9040" w:type="dxa"/>
            <w:vAlign w:val="bottom"/>
          </w:tcPr>
          <w:p>
            <w:pPr>
              <w:ind w:left="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Statements of Assets and Liabilities as of December 31, 2020 and 2019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w:t>
            </w:r>
          </w:p>
        </w:tc>
      </w:tr>
      <w:tr>
        <w:trPr>
          <w:trHeight w:val="27"/>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1"/>
        </w:trPr>
        <w:tc>
          <w:tcPr>
            <w:tcW w:w="9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Statements of Operations for the years ended December 31, 2020, 2019 and 2018</w:t>
              </w:r>
            </w:hyperlink>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w:t>
            </w:r>
          </w:p>
        </w:tc>
      </w:tr>
      <w:tr>
        <w:trPr>
          <w:trHeight w:val="263"/>
        </w:trPr>
        <w:tc>
          <w:tcPr>
            <w:tcW w:w="9040" w:type="dxa"/>
            <w:vAlign w:val="bottom"/>
          </w:tcPr>
          <w:p>
            <w:pPr>
              <w:ind w:left="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Statements of Changes in Net Assets for the years ended December 31, 2020, 2019 and 2018</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83</w:t>
            </w:r>
          </w:p>
        </w:tc>
      </w:tr>
      <w:tr>
        <w:trPr>
          <w:trHeight w:val="297"/>
        </w:trPr>
        <w:tc>
          <w:tcPr>
            <w:tcW w:w="90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Statements of Cash Flows for the years ended December 31, 2020, 2019 and 2018</w:t>
              </w:r>
            </w:hyperlink>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84</w:t>
            </w:r>
          </w:p>
        </w:tc>
      </w:tr>
      <w:tr>
        <w:trPr>
          <w:trHeight w:val="284"/>
        </w:trPr>
        <w:tc>
          <w:tcPr>
            <w:tcW w:w="9040" w:type="dxa"/>
            <w:vAlign w:val="bottom"/>
          </w:tcPr>
          <w:p>
            <w:pPr>
              <w:ind w:left="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Schedules of Investments as of December 31, 2020 and 2019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85</w:t>
            </w:r>
          </w:p>
        </w:tc>
      </w:tr>
      <w:tr>
        <w:trPr>
          <w:trHeight w:val="27"/>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3"/>
        </w:trPr>
        <w:tc>
          <w:tcPr>
            <w:tcW w:w="9040" w:type="dxa"/>
            <w:vAlign w:val="bottom"/>
            <w:shd w:val="clear" w:color="auto" w:fill="CCEEFF"/>
          </w:tcPr>
          <w:p>
            <w:pPr>
              <w:ind w:left="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Notes to Financial Statements</w:t>
              </w:r>
            </w:hyperlink>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7"/>
        </w:trPr>
        <w:tc>
          <w:tcPr>
            <w:tcW w:w="9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60" w:right="20" w:firstLine="316"/>
        <w:spacing w:after="0" w:line="342" w:lineRule="auto"/>
        <w:tabs>
          <w:tab w:leader="none" w:pos="10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Financial Statement Schedules — None. We have omitted financial statement schedules because they are not required or are not applicable, or the required information is shown in the financial statements or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357505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60" w:top="517" w:right="9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60" w:type="dxa"/>
            <w:vAlign w:val="bottom"/>
            <w:gridSpan w:val="8"/>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7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20" w:type="dxa"/>
            <w:vAlign w:val="bottom"/>
            <w:tcBorders>
              <w:top w:val="single" w:sz="8" w:color="auto"/>
            </w:tcBorders>
            <w:gridSpan w:val="13"/>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Articles of Amendment and Restatement(1)</w:t>
              </w:r>
            </w:hyperlink>
          </w:p>
        </w:tc>
      </w:tr>
      <w:tr>
        <w:trPr>
          <w:trHeight w:val="269"/>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3"/>
                <w:szCs w:val="23"/>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Articles of Amendment(2)</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Amended and Restated Bylaws(2)</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Form of Subscription Agreement(3)</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Description of Securities(11)</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Voting Proxy of OCM Growth Holdings, LLC in favor of Runway Growth Credit Fund Inc.(4)</w:t>
              </w:r>
            </w:hyperlink>
          </w:p>
        </w:tc>
      </w:tr>
      <w:tr>
        <w:trPr>
          <w:trHeight w:val="229"/>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8740" w:type="dxa"/>
            <w:vAlign w:val="bottom"/>
            <w:tcBorders>
              <w:bottom w:val="single" w:sz="8" w:color="0000EE"/>
            </w:tcBorders>
            <w:gridSpan w:val="12"/>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Amended and Restated Investment Advisory Agreement between Runway Growth Credit Fund Inc. and Runway Growth</w:t>
              </w:r>
            </w:hyperlink>
          </w:p>
        </w:tc>
        <w:tc>
          <w:tcPr>
            <w:tcW w:w="100" w:type="dxa"/>
            <w:vAlign w:val="bottom"/>
            <w:gridSpan w:val="2"/>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Capital LLC, as the investment adviser(5)</w:t>
              </w:r>
            </w:hyperlink>
          </w:p>
        </w:tc>
      </w:tr>
      <w:tr>
        <w:trPr>
          <w:trHeight w:val="20"/>
        </w:trPr>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0"/>
                <w:szCs w:val="20"/>
                <w:color w:val="auto"/>
              </w:rPr>
            </w:pPr>
          </w:p>
        </w:tc>
        <w:tc>
          <w:tcPr>
            <w:tcW w:w="8520" w:type="dxa"/>
            <w:vAlign w:val="bottom"/>
            <w:tcBorders>
              <w:bottom w:val="single" w:sz="8" w:color="0000EE"/>
            </w:tcBorders>
            <w:gridSpan w:val="1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Administration Agreement between Runway Growth Credit Fund Inc. and GSV Credit Service Company, LLC, as the</w:t>
              </w:r>
            </w:hyperlink>
          </w:p>
        </w:tc>
        <w:tc>
          <w:tcPr>
            <w:tcW w:w="320" w:type="dxa"/>
            <w:vAlign w:val="bottom"/>
            <w:gridSpan w:val="4"/>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administrator(1)</w:t>
              </w:r>
            </w:hyperlink>
          </w:p>
        </w:tc>
        <w:tc>
          <w:tcPr>
            <w:tcW w:w="7660" w:type="dxa"/>
            <w:vAlign w:val="bottom"/>
            <w:gridSpan w:val="11"/>
          </w:tcPr>
          <w:p>
            <w:pPr>
              <w:spacing w:after="0"/>
              <w:rPr>
                <w:sz w:val="17"/>
                <w:szCs w:val="17"/>
                <w:color w:val="auto"/>
              </w:rPr>
            </w:pPr>
          </w:p>
        </w:tc>
      </w:tr>
      <w:tr>
        <w:trPr>
          <w:trHeight w:val="27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Stockholder Agreement between Runway Growth Credit Fund Inc. and OCM Growth Holdings, LLC(1)</w:t>
              </w:r>
            </w:hyperlink>
          </w:p>
        </w:tc>
      </w:tr>
      <w:tr>
        <w:trPr>
          <w:trHeight w:val="25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2"/>
                <w:szCs w:val="22"/>
                <w:color w:val="auto"/>
              </w:rPr>
            </w:pPr>
          </w:p>
        </w:tc>
        <w:tc>
          <w:tcPr>
            <w:tcW w:w="8840" w:type="dxa"/>
            <w:vAlign w:val="bottom"/>
            <w:gridSpan w:val="14"/>
          </w:tcPr>
          <w:p>
            <w:pPr>
              <w:spacing w:after="0"/>
              <w:rPr>
                <w:rFonts w:ascii="Arial" w:cs="Arial" w:eastAsia="Arial" w:hAnsi="Arial"/>
                <w:sz w:val="18"/>
                <w:szCs w:val="18"/>
                <w:u w:val="single" w:color="auto"/>
                <w:color w:val="0000EE"/>
                <w:w w:val="92"/>
              </w:rPr>
            </w:pPr>
            <w:hyperlink r:id="rId157">
              <w:r>
                <w:rPr>
                  <w:rFonts w:ascii="Arial" w:cs="Arial" w:eastAsia="Arial" w:hAnsi="Arial"/>
                  <w:sz w:val="18"/>
                  <w:szCs w:val="18"/>
                  <w:u w:val="single" w:color="auto"/>
                  <w:color w:val="0000EE"/>
                  <w:w w:val="92"/>
                </w:rPr>
                <w:t>Custody Agreement between Runway Growth Credit Fund Inc. and U.S. Bank National Association, as the custodian(1)</w:t>
              </w:r>
            </w:hyperlink>
          </w:p>
        </w:tc>
      </w:tr>
      <w:tr>
        <w:trPr>
          <w:trHeight w:val="283"/>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Dividend Reinvestment Plan(6)</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Form of Indemnification Agreement(6)</w:t>
              </w:r>
            </w:hyperlink>
          </w:p>
        </w:tc>
      </w:tr>
      <w:tr>
        <w:trPr>
          <w:trHeight w:val="29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Trademark License Agreement by and between Runway Growth Capital LLC and the Registrant(7)</w:t>
              </w:r>
            </w:hyperlink>
          </w:p>
        </w:tc>
      </w:tr>
      <w:tr>
        <w:trPr>
          <w:trHeight w:val="243"/>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8840" w:type="dxa"/>
            <w:vAlign w:val="bottom"/>
            <w:gridSpan w:val="14"/>
          </w:tcPr>
          <w:p>
            <w:pPr>
              <w:spacing w:after="0"/>
              <w:rPr>
                <w:rFonts w:ascii="Arial" w:cs="Arial" w:eastAsia="Arial" w:hAnsi="Arial"/>
                <w:sz w:val="18"/>
                <w:szCs w:val="18"/>
                <w:u w:val="single" w:color="auto"/>
                <w:color w:val="0000EE"/>
                <w:w w:val="96"/>
              </w:rPr>
            </w:pPr>
            <w:hyperlink r:id="rId161">
              <w:r>
                <w:rPr>
                  <w:rFonts w:ascii="Arial" w:cs="Arial" w:eastAsia="Arial" w:hAnsi="Arial"/>
                  <w:sz w:val="18"/>
                  <w:szCs w:val="18"/>
                  <w:u w:val="single" w:color="auto"/>
                  <w:color w:val="0000EE"/>
                  <w:w w:val="96"/>
                </w:rPr>
                <w:t>Transfer Agent Agreement by and between American Stock Transfer &amp; Trust Company, LLC and the Registrant(8)</w:t>
              </w:r>
            </w:hyperlink>
          </w:p>
        </w:tc>
      </w:tr>
      <w:tr>
        <w:trPr>
          <w:trHeight w:val="203"/>
        </w:trPr>
        <w:tc>
          <w:tcPr>
            <w:tcW w:w="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10.9</w:t>
            </w:r>
          </w:p>
        </w:tc>
        <w:tc>
          <w:tcPr>
            <w:tcW w:w="28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202"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Marketing and Consulting Agreement by and between Pickwick Capital Partners, LLC, Runway Growth Capital LLC and</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4"/>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the Registrant(9)</w:t>
              </w:r>
            </w:hyperlink>
          </w:p>
        </w:tc>
      </w:tr>
      <w:tr>
        <w:trPr>
          <w:trHeight w:val="20"/>
        </w:trPr>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0"/>
                <w:szCs w:val="20"/>
                <w:color w:val="auto"/>
              </w:rPr>
            </w:pPr>
          </w:p>
        </w:tc>
        <w:tc>
          <w:tcPr>
            <w:tcW w:w="8300" w:type="dxa"/>
            <w:vAlign w:val="bottom"/>
            <w:tcBorders>
              <w:bottom w:val="single" w:sz="8" w:color="0000EE"/>
            </w:tcBorders>
            <w:gridSpan w:val="8"/>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Marketing and Consulting Agreement by and between Peak Capital Limited, Runway Growth Capital LLC and the</w:t>
              </w:r>
            </w:hyperlink>
          </w:p>
        </w:tc>
        <w:tc>
          <w:tcPr>
            <w:tcW w:w="540" w:type="dxa"/>
            <w:vAlign w:val="bottom"/>
            <w:gridSpan w:val="6"/>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Registrant(9)</w:t>
              </w:r>
            </w:hyperlink>
          </w:p>
        </w:tc>
        <w:tc>
          <w:tcPr>
            <w:tcW w:w="7880" w:type="dxa"/>
            <w:vAlign w:val="bottom"/>
            <w:gridSpan w:val="12"/>
          </w:tcPr>
          <w:p>
            <w:pPr>
              <w:spacing w:after="0"/>
              <w:rPr>
                <w:sz w:val="17"/>
                <w:szCs w:val="17"/>
                <w:color w:val="auto"/>
              </w:rPr>
            </w:pPr>
          </w:p>
        </w:tc>
      </w:tr>
      <w:tr>
        <w:trPr>
          <w:trHeight w:val="23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0"/>
                <w:szCs w:val="20"/>
                <w:color w:val="auto"/>
              </w:rPr>
            </w:pPr>
          </w:p>
        </w:tc>
        <w:tc>
          <w:tcPr>
            <w:tcW w:w="8840" w:type="dxa"/>
            <w:vAlign w:val="bottom"/>
            <w:tcBorders>
              <w:bottom w:val="single" w:sz="8" w:color="0000EE"/>
            </w:tcBorders>
            <w:gridSpan w:val="14"/>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Credit Agreement, dated as of May 31, 2019, by and among the Company, as borrower, KeyBank National Association, as</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administrative agent and syndication agent, CIBC Bank USA, as documentation agent, U.S. Bank National Association,</w:t>
              </w:r>
            </w:hyperlink>
          </w:p>
        </w:tc>
        <w:tc>
          <w:tcPr>
            <w:tcW w:w="180" w:type="dxa"/>
            <w:vAlign w:val="bottom"/>
            <w:gridSpan w:val="3"/>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40" w:type="dxa"/>
            <w:vAlign w:val="bottom"/>
            <w:gridSpan w:val="14"/>
          </w:tcPr>
          <w:p>
            <w:pPr>
              <w:spacing w:after="0"/>
              <w:rPr>
                <w:rFonts w:ascii="Arial" w:cs="Arial" w:eastAsia="Arial" w:hAnsi="Arial"/>
                <w:sz w:val="18"/>
                <w:szCs w:val="18"/>
                <w:u w:val="single" w:color="auto"/>
                <w:color w:val="0000EE"/>
                <w:w w:val="96"/>
              </w:rPr>
            </w:pPr>
            <w:hyperlink r:id="rId164">
              <w:r>
                <w:rPr>
                  <w:rFonts w:ascii="Arial" w:cs="Arial" w:eastAsia="Arial" w:hAnsi="Arial"/>
                  <w:sz w:val="18"/>
                  <w:szCs w:val="18"/>
                  <w:u w:val="single" w:color="auto"/>
                  <w:color w:val="0000EE"/>
                  <w:w w:val="96"/>
                </w:rPr>
                <w:t>as paying agent, the guarantors from time to time party thereto, and the lenders from time to time party thereto.(10)</w:t>
              </w:r>
            </w:hyperlink>
          </w:p>
        </w:tc>
      </w:tr>
      <w:tr>
        <w:trPr>
          <w:trHeight w:val="21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8660" w:type="dxa"/>
            <w:vAlign w:val="bottom"/>
            <w:tcBorders>
              <w:bottom w:val="single" w:sz="8" w:color="0000EE"/>
            </w:tcBorders>
            <w:gridSpan w:val="11"/>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First Amendment to Credit Agreement, dated as of November 10, 2020, among the Company, as borrower; the financial</w:t>
              </w:r>
            </w:hyperlink>
          </w:p>
        </w:tc>
        <w:tc>
          <w:tcPr>
            <w:tcW w:w="180" w:type="dxa"/>
            <w:vAlign w:val="bottom"/>
            <w:gridSpan w:val="3"/>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as documentation agent and lender; and U.S. Bank National Association, as paying agent.(12)</w:t>
              </w:r>
            </w:hyperlink>
          </w:p>
        </w:tc>
      </w:tr>
      <w:tr>
        <w:trPr>
          <w:trHeight w:val="20"/>
        </w:trPr>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0"/>
                <w:szCs w:val="20"/>
                <w:color w:val="auto"/>
              </w:rPr>
            </w:pPr>
          </w:p>
        </w:tc>
        <w:tc>
          <w:tcPr>
            <w:tcW w:w="8840" w:type="dxa"/>
            <w:vAlign w:val="bottom"/>
            <w:gridSpan w:val="14"/>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Second Amendment to Credit Agreement, dated as of December 2, 2020, among the Company, as borrower; the financial</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53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40" w:type="dxa"/>
            <w:vAlign w:val="bottom"/>
            <w:gridSpan w:val="14"/>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as documentation agent and lender; MUFG Union Bank, N.A., as co-documentation agent and lender; and U.S. Bank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National Association, as paying agent.(13)</w:t>
              </w:r>
            </w:hyperlink>
          </w:p>
        </w:tc>
        <w:tc>
          <w:tcPr>
            <w:tcW w:w="5360" w:type="dxa"/>
            <w:vAlign w:val="bottom"/>
            <w:tcBorders>
              <w:top w:val="single" w:sz="8" w:color="0000EE"/>
            </w:tcBorders>
            <w:gridSpan w:val="3"/>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27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Arial" w:cs="Arial" w:eastAsia="Arial" w:hAnsi="Arial"/>
                <w:sz w:val="18"/>
                <w:szCs w:val="18"/>
                <w:color w:val="auto"/>
              </w:rPr>
              <w:t>Computation of Per Share Earnings (Included in the notes to the financial statements contained in this report)*</w:t>
            </w:r>
          </w:p>
        </w:tc>
      </w:tr>
      <w:tr>
        <w:trPr>
          <w:trHeight w:val="283"/>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8840" w:type="dxa"/>
            <w:vAlign w:val="bottom"/>
            <w:gridSpan w:val="14"/>
          </w:tcPr>
          <w:p>
            <w:pPr>
              <w:spacing w:after="0"/>
              <w:rPr>
                <w:sz w:val="20"/>
                <w:szCs w:val="20"/>
                <w:color w:val="auto"/>
              </w:rPr>
            </w:pPr>
            <w:r>
              <w:rPr>
                <w:rFonts w:ascii="Arial" w:cs="Arial" w:eastAsia="Arial" w:hAnsi="Arial"/>
                <w:sz w:val="18"/>
                <w:szCs w:val="18"/>
                <w:color w:val="auto"/>
              </w:rPr>
              <w:t>List of Subsidiaries — None</w:t>
            </w:r>
          </w:p>
        </w:tc>
      </w:tr>
      <w:tr>
        <w:trPr>
          <w:trHeight w:val="270"/>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3"/>
                <w:szCs w:val="23"/>
                <w:color w:val="auto"/>
              </w:rPr>
            </w:pPr>
          </w:p>
        </w:tc>
        <w:tc>
          <w:tcPr>
            <w:tcW w:w="8840" w:type="dxa"/>
            <w:vAlign w:val="bottom"/>
            <w:gridSpan w:val="14"/>
          </w:tcPr>
          <w:p>
            <w:pPr>
              <w:spacing w:after="0"/>
              <w:rPr>
                <w:rFonts w:ascii="Arial" w:cs="Arial" w:eastAsia="Arial" w:hAnsi="Arial"/>
                <w:sz w:val="18"/>
                <w:szCs w:val="18"/>
                <w:u w:val="single" w:color="auto"/>
                <w:color w:val="0000EE"/>
                <w:w w:val="94"/>
              </w:rPr>
            </w:pPr>
            <w:hyperlink w:anchor="page129">
              <w:r>
                <w:rPr>
                  <w:rFonts w:ascii="Arial" w:cs="Arial" w:eastAsia="Arial" w:hAnsi="Arial"/>
                  <w:sz w:val="18"/>
                  <w:szCs w:val="18"/>
                  <w:u w:val="single" w:color="auto"/>
                  <w:color w:val="0000EE"/>
                  <w:w w:val="94"/>
                </w:rPr>
                <w:t>Certification of Chief Executive Officer pursuant to Rule 13a-14 of the Securities Exchange Act of 1934, as amended*</w:t>
              </w:r>
            </w:hyperlink>
          </w:p>
        </w:tc>
      </w:tr>
      <w:tr>
        <w:trPr>
          <w:trHeight w:val="25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2"/>
                <w:szCs w:val="22"/>
                <w:color w:val="auto"/>
              </w:rPr>
            </w:pPr>
          </w:p>
        </w:tc>
        <w:tc>
          <w:tcPr>
            <w:tcW w:w="8840" w:type="dxa"/>
            <w:vAlign w:val="bottom"/>
            <w:gridSpan w:val="14"/>
          </w:tcPr>
          <w:p>
            <w:pPr>
              <w:spacing w:after="0"/>
              <w:rPr>
                <w:rFonts w:ascii="Arial" w:cs="Arial" w:eastAsia="Arial" w:hAnsi="Arial"/>
                <w:sz w:val="18"/>
                <w:szCs w:val="18"/>
                <w:u w:val="single" w:color="auto"/>
                <w:color w:val="0000EE"/>
                <w:w w:val="95"/>
              </w:rPr>
            </w:pPr>
            <w:hyperlink w:anchor="page130">
              <w:r>
                <w:rPr>
                  <w:rFonts w:ascii="Arial" w:cs="Arial" w:eastAsia="Arial" w:hAnsi="Arial"/>
                  <w:sz w:val="18"/>
                  <w:szCs w:val="18"/>
                  <w:u w:val="single" w:color="auto"/>
                  <w:color w:val="0000EE"/>
                  <w:w w:val="95"/>
                </w:rPr>
                <w:t>Certification of Chief Financial Officer pursuant to Rule 13a-14 of the Securities Exchange Act of 1934, as amended*</w:t>
              </w:r>
            </w:hyperlink>
          </w:p>
        </w:tc>
      </w:tr>
      <w:tr>
        <w:trPr>
          <w:trHeight w:val="257"/>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2"/>
                <w:szCs w:val="22"/>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Certification of Chief Executive Officer pursuant to Section 906 of the Sarbanes-Oxley Act of 2002*</w:t>
              </w:r>
            </w:hyperlink>
          </w:p>
        </w:tc>
      </w:tr>
      <w:tr>
        <w:trPr>
          <w:trHeight w:val="256"/>
        </w:trPr>
        <w:tc>
          <w:tcPr>
            <w:tcW w:w="80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2"/>
                <w:szCs w:val="22"/>
                <w:color w:val="auto"/>
              </w:rPr>
            </w:pPr>
          </w:p>
        </w:tc>
        <w:tc>
          <w:tcPr>
            <w:tcW w:w="8840" w:type="dxa"/>
            <w:vAlign w:val="bottom"/>
            <w:gridSpan w:val="14"/>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Certification of Chief Financial Officer pursuant to Section 906 of the Sarbanes-Oxley Act of 2002*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5684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9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29,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September 13, 2017.</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Registration Statement on Form 10 (File No. 000-55544) filed with the SEC on February 12, 2016.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Previously filed as an exhibit to the Registrant’s Quarterly Report on Form 10-Q filed with the SEC on November 9, 2017.</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28,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28,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6,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Annual Report on Form 10-K filed with the SEC on March 20, 2020.</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Previously filed as an exhibit to the Registrant’s Quarterly Report on Form 10-Q filed with the SEC on November 12, 2020.</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CREDIT FUND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2021</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Gary Kovacs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Brian Laibow</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Julie Persily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Lewis W. Solimene,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Lewis W. Solimene, Jr.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231F20"/>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231F20"/>
        </w:rPr>
        <w:t>Certification of Chief Executive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I, R. David Spreng, as Chief Executive Officer, certify that:</w:t>
      </w:r>
    </w:p>
    <w:p>
      <w:pPr>
        <w:spacing w:after="0" w:line="18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Runway Growth Credit Fund Inc.;</w:t>
      </w:r>
    </w:p>
    <w:p>
      <w:pPr>
        <w:spacing w:after="0" w:line="184"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78"/>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78"/>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78"/>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78"/>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78"/>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78"/>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78"/>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231F20"/>
        </w:rPr>
        <w:t>Exhibit 31.2</w:t>
      </w:r>
    </w:p>
    <w:p>
      <w:pPr>
        <w:spacing w:after="0" w:line="225" w:lineRule="exact"/>
        <w:rPr>
          <w:sz w:val="20"/>
          <w:szCs w:val="20"/>
          <w:color w:val="auto"/>
        </w:rPr>
      </w:pPr>
    </w:p>
    <w:p>
      <w:pPr>
        <w:jc w:val="center"/>
        <w:ind w:left="1000" w:right="2020"/>
        <w:spacing w:after="0" w:line="266" w:lineRule="auto"/>
        <w:rPr>
          <w:sz w:val="20"/>
          <w:szCs w:val="20"/>
          <w:color w:val="auto"/>
        </w:rPr>
      </w:pPr>
      <w:r>
        <w:rPr>
          <w:rFonts w:ascii="Arial" w:cs="Arial" w:eastAsia="Arial" w:hAnsi="Arial"/>
          <w:sz w:val="18"/>
          <w:szCs w:val="18"/>
          <w:b w:val="1"/>
          <w:bCs w:val="1"/>
          <w:color w:val="231F20"/>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I, Thomas B. Raterman, as Financial Officer, certify that:</w:t>
      </w:r>
    </w:p>
    <w:p>
      <w:pPr>
        <w:spacing w:after="0" w:line="18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Runway Growth Credit Fund Inc.;</w:t>
      </w:r>
    </w:p>
    <w:p>
      <w:pPr>
        <w:spacing w:after="0" w:line="184"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79"/>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79"/>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79"/>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79"/>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231F20"/>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2020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80"/>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80"/>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 David Spreng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231F20"/>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2020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81"/>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231F20"/>
        </w:rPr>
        <w:t>Thomas B. Raterman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Roman"/>
      <w:start w:val="3"/>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bullet"/>
      <w:start w:val="1"/>
    </w:lvl>
  </w:abstractNum>
  <w:abstractNum w:abstractNumId="15">
    <w:nsid w:val="32FFF902"/>
    <w:multiLevelType w:val="hybridMultilevel"/>
    <w:lvl w:ilvl="0">
      <w:lvlJc w:val="left"/>
      <w:lvlText w:val="2"/>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Roman"/>
      <w:start w:val="2"/>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lowerRoman"/>
      <w:start w:val="2"/>
    </w:lvl>
  </w:abstractNum>
  <w:abstractNum w:abstractNumId="25">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374A3FE6"/>
    <w:multiLevelType w:val="hybridMultilevel"/>
    <w:lvl w:ilvl="0">
      <w:lvlJc w:val="left"/>
      <w:lvlText w:val="(%1)"/>
      <w:numFmt w:val="decimal"/>
      <w:start w:val="4"/>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lowerRoman"/>
      <w:start w:val="2"/>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bullet"/>
      <w:start w:val="1"/>
    </w:lvl>
  </w:abstractNum>
  <w:abstractNum w:abstractNumId="41">
    <w:nsid w:val="3F6AB60F"/>
    <w:multiLevelType w:val="hybridMultilevel"/>
    <w:lvl w:ilvl="0">
      <w:lvlJc w:val="left"/>
      <w:lvlText w:val="2"/>
      <w:numFmt w:val="bullet"/>
      <w:start w:val="1"/>
    </w:lvl>
  </w:abstractNum>
  <w:abstractNum w:abstractNumId="42">
    <w:nsid w:val="61574095"/>
    <w:multiLevelType w:val="hybridMultilevel"/>
    <w:lvl w:ilvl="0">
      <w:lvlJc w:val="left"/>
      <w:lvlText w:val="3"/>
      <w:numFmt w:val="bullet"/>
      <w:start w:val="1"/>
    </w:lvl>
  </w:abstractNum>
  <w:abstractNum w:abstractNumId="43">
    <w:nsid w:val="7E0C57B1"/>
    <w:multiLevelType w:val="hybridMultilevel"/>
    <w:lvl w:ilvl="0">
      <w:lvlJc w:val="left"/>
      <w:lvlText w:val="4"/>
      <w:numFmt w:val="bullet"/>
      <w:start w:val="1"/>
    </w:lvl>
  </w:abstractNum>
  <w:abstractNum w:abstractNumId="44">
    <w:nsid w:val="77AE35EB"/>
    <w:multiLevelType w:val="hybridMultilevel"/>
    <w:lvl w:ilvl="0">
      <w:lvlJc w:val="left"/>
      <w:lvlText w:val="5"/>
      <w:numFmt w:val="bullet"/>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lowerRoman"/>
      <w:start w:val="2"/>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lvl w:ilvl="1">
      <w:lvlJc w:val="left"/>
      <w:lvlText w:val="(%2)"/>
      <w:numFmt w:val="decimal"/>
      <w:start w:val="10"/>
    </w:lvl>
  </w:abstractNum>
  <w:abstractNum w:abstractNumId="56">
    <w:nsid w:val="6590700B"/>
    <w:multiLevelType w:val="hybridMultilevel"/>
    <w:lvl w:ilvl="0">
      <w:lvlJc w:val="left"/>
      <w:lvlText w:val="(%1)"/>
      <w:numFmt w:val="decimal"/>
      <w:start w:val="11"/>
    </w:lvl>
    <w:lvl w:ilvl="1">
      <w:lvlJc w:val="left"/>
      <w:lvlText w:val="%2"/>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lowerRoman"/>
      <w:start w:val="10"/>
    </w:lvl>
  </w:abstractNum>
  <w:abstractNum w:abstractNumId="66">
    <w:nsid w:val="5DC79EA8"/>
    <w:multiLevelType w:val="hybridMultilevel"/>
    <w:lvl w:ilvl="0">
      <w:lvlJc w:val="left"/>
      <w:lvlText w:val="(%1)"/>
      <w:numFmt w:val="decimal"/>
      <w:start w:val="2"/>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48" Type="http://schemas.openxmlformats.org/officeDocument/2006/relationships/hyperlink" Target="https://www.sec.gov/Archives/edgar/data/1653384/000114420416140270/v454968_ex3-1.htm" TargetMode="External"/><Relationship Id="rId149" Type="http://schemas.openxmlformats.org/officeDocument/2006/relationships/hyperlink" Target="https://www.sec.gov/Archives/edgar/data/1653384/000114420417032477/v468943_ex3-1.htm" TargetMode="External"/><Relationship Id="rId150" Type="http://schemas.openxmlformats.org/officeDocument/2006/relationships/hyperlink" Target="https://www.sec.gov/Archives/edgar/data/1653384/000114420417032477/v468943_ex3-2.htm" TargetMode="External"/><Relationship Id="rId151" Type="http://schemas.openxmlformats.org/officeDocument/2006/relationships/hyperlink" Target="https://www.sec.gov/Archives/edgar/data/1653384/000114420417042059/v472784_ex4-1.htm" TargetMode="External"/><Relationship Id="rId152" Type="http://schemas.openxmlformats.org/officeDocument/2006/relationships/hyperlink" Target="https://www.sec.gov/Archives/edgar/data/1653384/000110465920036153/tm2013025-2_ex4x2.htm" TargetMode="External"/><Relationship Id="rId153" Type="http://schemas.openxmlformats.org/officeDocument/2006/relationships/hyperlink" Target="https://www.sec.gov/Archives/edgar/data/1653384/000114420417017282/v462699_ex9-1.htm" TargetMode="External"/><Relationship Id="rId154" Type="http://schemas.openxmlformats.org/officeDocument/2006/relationships/hyperlink" Target="https://www.sec.gov/Archives/edgar/data/1653384/000114420417047817/v474047_ex10-1.htm" TargetMode="External"/><Relationship Id="rId155" Type="http://schemas.openxmlformats.org/officeDocument/2006/relationships/hyperlink" Target="https://www.sec.gov/Archives/edgar/data/1653384/000114420416140270/v454968_ex10-2.htm" TargetMode="External"/><Relationship Id="rId156" Type="http://schemas.openxmlformats.org/officeDocument/2006/relationships/hyperlink" Target="https://www.sec.gov/Archives/edgar/data/1653384/000114420416140270/v454968_ex10-3.htm" TargetMode="External"/><Relationship Id="rId157" Type="http://schemas.openxmlformats.org/officeDocument/2006/relationships/hyperlink" Target="https://www.sec.gov/Archives/edgar/data/1653384/000114420416140270/v454968_ex10-4.htm" TargetMode="External"/><Relationship Id="rId158" Type="http://schemas.openxmlformats.org/officeDocument/2006/relationships/hyperlink" Target="https://www.sec.gov/Archives/edgar/data/1653384/000114420416081404/v428811_ex10-4.htm" TargetMode="External"/><Relationship Id="rId159" Type="http://schemas.openxmlformats.org/officeDocument/2006/relationships/hyperlink" Target="https://www.sec.gov/Archives/edgar/data/1653384/000114420416081404/v428811_ex10-5.htm" TargetMode="External"/><Relationship Id="rId160" Type="http://schemas.openxmlformats.org/officeDocument/2006/relationships/hyperlink" Target="https://www.sec.gov/Archives/edgar/data/1653384/000114420417057747/tv478830_ex10-2.htm" TargetMode="External"/><Relationship Id="rId161" Type="http://schemas.openxmlformats.org/officeDocument/2006/relationships/hyperlink" Target="https://www.sec.gov/Archives/edgar/data/1653384/000114420418066500/tv509942_ex10-1.htm" TargetMode="External"/><Relationship Id="rId162" Type="http://schemas.openxmlformats.org/officeDocument/2006/relationships/hyperlink" Target="https://www.sec.gov/Archives/edgar/data/1653384/000114420419016757/tv517233_ex10x9.htm" TargetMode="External"/><Relationship Id="rId163" Type="http://schemas.openxmlformats.org/officeDocument/2006/relationships/hyperlink" Target="https://www.sec.gov/Archives/edgar/data/1653384/000114420419016757/tv517233_ex10x10.htm" TargetMode="External"/><Relationship Id="rId164" Type="http://schemas.openxmlformats.org/officeDocument/2006/relationships/hyperlink" Target="https://www.sec.gov/Archives/edgar/data/1653384/000114420419030106/tv523088_ex10-1.htm" TargetMode="External"/><Relationship Id="rId165" Type="http://schemas.openxmlformats.org/officeDocument/2006/relationships/hyperlink" Target="https://www.sec.gov/Archives/edgar/data/1653384/000155837020013679/rgc-20200930xex10d1.htm" TargetMode="External"/><Relationship Id="rId166" Type="http://schemas.openxmlformats.org/officeDocument/2006/relationships/hyperlink" Target="https://www.sec.gov/Archives/edgar/data/1653384/000165338420000004/rgc-20201202ex1019c880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2021-03-12T05:23:31Z</dcterms:created>
  <dcterms:modified xsi:type="dcterms:W3CDTF">2021-03-12T05:23:31Z</dcterms:modified>
</cp:coreProperties>
</file>