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jc w:val="left"/>
        <w:rPr/>
      </w:pPr>
      <w:hyperlink w:anchor="toc">
        <w:bookmarkStart w:id="0" w:name="rway-20240630.htm"/>
        <w:bookmarkStart w:id="1" w:name="ksrway20240630"/>
        <w:bookmarkEnd w:id="0"/>
        <w:bookmarkEnd w:id="1"/>
        <w:r>
          <w:rPr>
            <w:rStyle w:val="InternetLink"/>
            <w:rFonts w:ascii="Times New Roman" w:hAnsi="Times New Roman"/>
            <w:color w:val="0563C1"/>
            <w:sz w:val="20"/>
          </w:rPr>
          <w:t>Table of Contents</w:t>
        </w:r>
      </w:hyperlink>
    </w:p>
    <w:p>
      <w:pPr>
        <w:pStyle w:val="TextBody"/>
        <w:pBdr>
          <w:top w:val="single" w:sz="24" w:space="1" w:color="000000"/>
          <w:bottom w:val="single" w:sz="8"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63"/>
        <w:gridCol w:w="9142"/>
      </w:tblGrid>
      <w:tr>
        <w:trPr/>
        <w:tc>
          <w:tcPr>
            <w:tcW w:w="1063" w:type="dxa"/>
            <w:tcBorders/>
            <w:vAlign w:val="center"/>
          </w:tcPr>
          <w:p>
            <w:pPr>
              <w:pStyle w:val="TableContents"/>
              <w:bidi w:val="0"/>
              <w:spacing w:before="0" w:after="283"/>
              <w:jc w:val="left"/>
              <w:rPr>
                <w:sz w:val="4"/>
                <w:szCs w:val="4"/>
              </w:rPr>
            </w:pPr>
            <w:r>
              <w:rPr>
                <w:sz w:val="4"/>
                <w:szCs w:val="4"/>
              </w:rPr>
            </w:r>
          </w:p>
        </w:tc>
        <w:tc>
          <w:tcPr>
            <w:tcW w:w="9142" w:type="dxa"/>
            <w:tcBorders/>
            <w:vAlign w:val="center"/>
          </w:tcPr>
          <w:p>
            <w:pPr>
              <w:pStyle w:val="TableContents"/>
              <w:bidi w:val="0"/>
              <w:spacing w:before="0" w:after="283"/>
              <w:jc w:val="left"/>
              <w:rPr>
                <w:sz w:val="4"/>
                <w:szCs w:val="4"/>
              </w:rPr>
            </w:pPr>
            <w:r>
              <w:rPr>
                <w:sz w:val="4"/>
                <w:szCs w:val="4"/>
              </w:rPr>
            </w:r>
          </w:p>
        </w:tc>
      </w:tr>
      <w:tr>
        <w:trPr/>
        <w:tc>
          <w:tcPr>
            <w:tcW w:w="1063"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 One)</w:t>
            </w:r>
          </w:p>
        </w:tc>
        <w:tc>
          <w:tcPr>
            <w:tcW w:w="9142" w:type="dxa"/>
            <w:tcBorders/>
            <w:vAlign w:val="center"/>
          </w:tcPr>
          <w:p>
            <w:pPr>
              <w:pStyle w:val="TableContents"/>
              <w:bidi w:val="0"/>
              <w:spacing w:before="0" w:after="283"/>
              <w:jc w:val="left"/>
              <w:rPr>
                <w:sz w:val="4"/>
                <w:szCs w:val="4"/>
              </w:rPr>
            </w:pPr>
            <w:r>
              <w:rPr>
                <w:sz w:val="4"/>
                <w:szCs w:val="4"/>
              </w:rPr>
            </w:r>
          </w:p>
        </w:tc>
      </w:tr>
      <w:tr>
        <w:trPr/>
        <w:tc>
          <w:tcPr>
            <w:tcW w:w="1063" w:type="dxa"/>
            <w:tcBorders/>
            <w:vAlign w:val="center"/>
          </w:tcPr>
          <w:p>
            <w:pPr>
              <w:pStyle w:val="TableContents"/>
              <w:bidi w:val="0"/>
              <w:spacing w:before="0" w:after="283"/>
              <w:jc w:val="center"/>
              <w:rPr>
                <w:color w:val="000000"/>
              </w:rPr>
            </w:pPr>
            <w:r>
              <w:rPr>
                <w:color w:val="000000"/>
              </w:rPr>
              <w:t>☒</w:t>
            </w:r>
          </w:p>
        </w:tc>
        <w:tc>
          <w:tcPr>
            <w:tcW w:w="9142"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center"/>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814-01180</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left"/>
        <w:rPr/>
      </w:pPr>
      <w:r>
        <w:rPr/>
        <w:t> </w:t>
      </w:r>
    </w:p>
    <w:tbl>
      <w:tblPr>
        <w:tblW w:w="5042" w:type="dxa"/>
        <w:jc w:val="left"/>
        <w:tblInd w:w="0" w:type="dxa"/>
        <w:tblLayout w:type="fixed"/>
        <w:tblCellMar>
          <w:top w:w="28" w:type="dxa"/>
          <w:left w:w="28" w:type="dxa"/>
          <w:bottom w:w="28" w:type="dxa"/>
          <w:right w:w="28" w:type="dxa"/>
        </w:tblCellMar>
      </w:tblPr>
      <w:tblGrid>
        <w:gridCol w:w="2011"/>
        <w:gridCol w:w="3031"/>
      </w:tblGrid>
      <w:tr>
        <w:trPr/>
        <w:tc>
          <w:tcPr>
            <w:tcW w:w="2011"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30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47-5049745</w:t>
            </w:r>
          </w:p>
        </w:tc>
      </w:tr>
      <w:tr>
        <w:trPr/>
        <w:tc>
          <w:tcPr>
            <w:tcW w:w="20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of incorporation)</w:t>
            </w:r>
          </w:p>
        </w:tc>
        <w:tc>
          <w:tcPr>
            <w:tcW w:w="30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jc w:val="left"/>
        <w:rPr/>
      </w:pPr>
      <w:r>
        <w:rPr/>
        <w:t> </w:t>
      </w:r>
    </w:p>
    <w:tbl>
      <w:tblPr>
        <w:tblW w:w="4337" w:type="dxa"/>
        <w:jc w:val="left"/>
        <w:tblInd w:w="0" w:type="dxa"/>
        <w:tblLayout w:type="fixed"/>
        <w:tblCellMar>
          <w:top w:w="28" w:type="dxa"/>
          <w:left w:w="28" w:type="dxa"/>
          <w:bottom w:w="28" w:type="dxa"/>
          <w:right w:w="28" w:type="dxa"/>
        </w:tblCellMar>
      </w:tblPr>
      <w:tblGrid>
        <w:gridCol w:w="3301"/>
        <w:gridCol w:w="1036"/>
      </w:tblGrid>
      <w:tr>
        <w:trPr/>
        <w:tc>
          <w:tcPr>
            <w:tcW w:w="330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 N. Michigan Ave., Suite 4200</w:t>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w:t>
            </w:r>
          </w:p>
        </w:tc>
        <w:tc>
          <w:tcPr>
            <w:tcW w:w="103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60601</w:t>
            </w:r>
          </w:p>
        </w:tc>
      </w:tr>
      <w:tr>
        <w:trPr/>
        <w:tc>
          <w:tcPr>
            <w:tcW w:w="33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(312) 698-6902</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018" w:type="dxa"/>
        <w:jc w:val="left"/>
        <w:tblInd w:w="0" w:type="dxa"/>
        <w:tblLayout w:type="fixed"/>
        <w:tblCellMar>
          <w:top w:w="28" w:type="dxa"/>
          <w:left w:w="28" w:type="dxa"/>
          <w:bottom w:w="28" w:type="dxa"/>
          <w:right w:w="28" w:type="dxa"/>
        </w:tblCellMar>
      </w:tblPr>
      <w:tblGrid>
        <w:gridCol w:w="3496"/>
        <w:gridCol w:w="169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49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Common Stock, par value $0.01 per share</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 Notes due 2027</w:t>
            </w:r>
          </w:p>
        </w:tc>
        <w:tc>
          <w:tcPr>
            <w:tcW w:w="169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RWAY</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RWAYL</w:t>
            </w:r>
          </w:p>
        </w:tc>
        <w:tc>
          <w:tcPr>
            <w:tcW w:w="382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Nasdaq Global Select Market LLC</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 LLC</w:t>
            </w:r>
          </w:p>
        </w:tc>
      </w:tr>
      <w:tr>
        <w:trPr/>
        <w:tc>
          <w:tcPr>
            <w:tcW w:w="34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8.00% Notes due 2027</w:t>
            </w:r>
          </w:p>
        </w:tc>
        <w:tc>
          <w:tcPr>
            <w:tcW w:w="16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RWAYZ</w:t>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 LLC</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Refer to the definitions of “large accelerated filer,” “accelerated filer,” “smaller reporting company,” and “emerging growth company” in Rule 12b</w:t>
        <w:noBreakHyphen/>
        <w:t>2 of the Exchange Act.</w:t>
      </w:r>
    </w:p>
    <w:p>
      <w:pPr>
        <w:pStyle w:val="TextBody"/>
        <w:bidi w:val="0"/>
        <w:jc w:val="left"/>
        <w:rPr/>
      </w:pPr>
      <w:r>
        <w:rPr/>
        <w:t> </w:t>
      </w:r>
    </w:p>
    <w:tbl>
      <w:tblPr>
        <w:tblW w:w="5132" w:type="dxa"/>
        <w:jc w:val="left"/>
        <w:tblInd w:w="0" w:type="dxa"/>
        <w:tblLayout w:type="fixed"/>
        <w:tblCellMar>
          <w:top w:w="28" w:type="dxa"/>
          <w:left w:w="28" w:type="dxa"/>
          <w:bottom w:w="28" w:type="dxa"/>
          <w:right w:w="28" w:type="dxa"/>
        </w:tblCellMar>
      </w:tblPr>
      <w:tblGrid>
        <w:gridCol w:w="2551"/>
        <w:gridCol w:w="2581"/>
      </w:tblGrid>
      <w:tr>
        <w:trPr/>
        <w:tc>
          <w:tcPr>
            <w:tcW w:w="255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Large accelerated filer ☐</w:t>
            </w:r>
          </w:p>
        </w:tc>
        <w:tc>
          <w:tcPr>
            <w:tcW w:w="25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 ☐</w:t>
            </w:r>
          </w:p>
        </w:tc>
      </w:tr>
      <w:tr>
        <w:trPr/>
        <w:tc>
          <w:tcPr>
            <w:tcW w:w="255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Non-accelerated filer ☒</w:t>
            </w:r>
          </w:p>
        </w:tc>
        <w:tc>
          <w:tcPr>
            <w:tcW w:w="25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 ☐</w:t>
            </w:r>
          </w:p>
        </w:tc>
      </w:tr>
      <w:tr>
        <w:trPr/>
        <w:tc>
          <w:tcPr>
            <w:tcW w:w="255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Emerging growth company ☒</w:t>
            </w:r>
          </w:p>
        </w:tc>
        <w:tc>
          <w:tcPr>
            <w:tcW w:w="258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w:t>
        <w:noBreakHyphen/>
        <w:t>2 of the Exchange Act). Yes ☐ No ☒</w:t>
      </w:r>
    </w:p>
    <w:p>
      <w:pPr>
        <w:pStyle w:val="TextBody"/>
        <w:bidi w:val="0"/>
        <w:jc w:val="left"/>
        <w:rPr>
          <w:rFonts w:ascii="Times New Roman" w:hAnsi="Times New Roman"/>
          <w:color w:val="000000"/>
          <w:sz w:val="20"/>
        </w:rPr>
      </w:pPr>
      <w:r>
        <w:rPr>
          <w:rFonts w:ascii="Times New Roman" w:hAnsi="Times New Roman"/>
          <w:color w:val="000000"/>
          <w:sz w:val="20"/>
        </w:rPr>
        <w:t>The issuer had 38,547,295 shares of common stock, $0.01 par value per share, outstanding as of August 8, 2024.</w:t>
      </w:r>
    </w:p>
    <w:p>
      <w:pPr>
        <w:pStyle w:val="TextBody"/>
        <w:bidi w:val="0"/>
        <w:jc w:val="left"/>
        <w:rPr/>
      </w:pPr>
      <w:r>
        <w:rPr/>
        <w:t> </w:t>
      </w:r>
    </w:p>
    <w:p>
      <w:pPr>
        <w:pStyle w:val="TextBody"/>
        <w:pBdr>
          <w:top w:val="single" w:sz="8" w:space="1" w:color="000000"/>
          <w:bottom w:val="single" w:sz="24"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sz w:val="20"/>
        </w:rPr>
      </w:pPr>
      <w:r>
        <w:rPr>
          <w:rFonts w:ascii="Times New Roman" w:hAnsi="Times New Roman"/>
          <w:b/>
          <w:color w:val="000000"/>
          <w:sz w:val="20"/>
        </w:rPr>
        <w:t>RUNWAY GROWTH FINANCE CORP.</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FORM 10</w:t>
        <w:noBreakHyphen/>
        <w:t>Q FOR THE QUARTER ENDED June 30, 2024</w:t>
      </w:r>
    </w:p>
    <w:p>
      <w:pPr>
        <w:pStyle w:val="TextBody"/>
        <w:bidi w:val="0"/>
        <w:spacing w:before="0" w:after="240"/>
        <w:jc w:val="center"/>
        <w:rPr>
          <w:rFonts w:ascii="Times New Roman" w:hAnsi="Times New Roman"/>
          <w:b/>
          <w:color w:val="000000"/>
          <w:sz w:val="20"/>
        </w:rPr>
      </w:pPr>
      <w:bookmarkStart w:id="2" w:name="toc"/>
      <w:bookmarkEnd w:id="2"/>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42"/>
        <w:gridCol w:w="146"/>
        <w:gridCol w:w="8454"/>
        <w:gridCol w:w="146"/>
        <w:gridCol w:w="617"/>
      </w:tblGrid>
      <w:tr>
        <w:trPr/>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84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845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INDEX</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br/>
            </w:r>
            <w:r>
              <w:rPr>
                <w:rFonts w:ascii="Times New Roman" w:hAnsi="Times New Roman"/>
                <w:b/>
                <w:color w:val="000000"/>
                <w:sz w:val="16"/>
              </w:rPr>
              <w:t>NO.</w:t>
            </w:r>
          </w:p>
        </w:tc>
      </w:tr>
      <w:tr>
        <w:trPr/>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42" w:type="dxa"/>
            <w:tcBorders/>
            <w:shd w:fill="CCEEFF" w:val="clear"/>
            <w:vAlign w:val="center"/>
          </w:tcPr>
          <w:p>
            <w:pPr>
              <w:pStyle w:val="TableContents"/>
              <w:bidi w:val="0"/>
              <w:spacing w:before="0" w:after="283"/>
              <w:jc w:val="left"/>
              <w:rPr/>
            </w:pPr>
            <w:hyperlink w:anchor="partifinancialinformation_110173">
              <w:r>
                <w:rPr>
                  <w:rStyle w:val="InternetLink"/>
                  <w:rFonts w:ascii="Times New Roman" w:hAnsi="Times New Roman"/>
                  <w:b/>
                  <w:color w:val="000000"/>
                  <w:sz w:val="20"/>
                </w:rPr>
                <w:t>PART I.</w:t>
              </w:r>
            </w:hyperlink>
          </w:p>
        </w:tc>
        <w:tc>
          <w:tcPr>
            <w:tcW w:w="146" w:type="dxa"/>
            <w:tcBorders/>
            <w:shd w:fill="CCEEFF" w:val="clear"/>
            <w:vAlign w:val="center"/>
          </w:tcPr>
          <w:p>
            <w:pPr>
              <w:pStyle w:val="TableContents"/>
              <w:bidi w:val="0"/>
              <w:spacing w:before="0" w:after="283"/>
              <w:jc w:val="left"/>
              <w:rPr/>
            </w:pPr>
            <w:r>
              <w:rPr/>
              <w:t> </w:t>
            </w:r>
          </w:p>
        </w:tc>
        <w:tc>
          <w:tcPr>
            <w:tcW w:w="8454" w:type="dxa"/>
            <w:tcBorders/>
            <w:shd w:fill="CCEEFF" w:val="clear"/>
            <w:vAlign w:val="center"/>
          </w:tcPr>
          <w:p>
            <w:pPr>
              <w:pStyle w:val="TableContents"/>
              <w:bidi w:val="0"/>
              <w:spacing w:before="0" w:after="283"/>
              <w:jc w:val="left"/>
              <w:rPr/>
            </w:pPr>
            <w:hyperlink w:anchor="partifinancialinformation_110173">
              <w:r>
                <w:rPr>
                  <w:rStyle w:val="InternetLink"/>
                  <w:rFonts w:ascii="Times New Roman" w:hAnsi="Times New Roman"/>
                  <w:b/>
                  <w:color w:val="000000"/>
                  <w:sz w:val="20"/>
                </w:rPr>
                <w:t>FINANCIAL INFORMATION</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pPr>
            <w:r>
              <w:rPr/>
              <w:t> </w:t>
            </w:r>
          </w:p>
        </w:tc>
      </w:tr>
      <w:tr>
        <w:trPr/>
        <w:tc>
          <w:tcPr>
            <w:tcW w:w="8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42" w:type="dxa"/>
            <w:tcBorders/>
            <w:shd w:fill="CCEEFF" w:val="clear"/>
            <w:vAlign w:val="center"/>
          </w:tcPr>
          <w:p>
            <w:pPr>
              <w:pStyle w:val="TableContents"/>
              <w:bidi w:val="0"/>
              <w:spacing w:before="0" w:after="283"/>
              <w:jc w:val="right"/>
              <w:rPr/>
            </w:pPr>
            <w:hyperlink w:anchor="item1financialstatements_531063">
              <w:r>
                <w:rPr>
                  <w:rStyle w:val="InternetLink"/>
                  <w:rFonts w:ascii="Times New Roman" w:hAnsi="Times New Roman"/>
                  <w:color w:val="000000"/>
                  <w:sz w:val="20"/>
                </w:rPr>
                <w:t>Item 1.</w:t>
              </w:r>
            </w:hyperlink>
          </w:p>
        </w:tc>
        <w:tc>
          <w:tcPr>
            <w:tcW w:w="146" w:type="dxa"/>
            <w:tcBorders/>
            <w:shd w:fill="CCEEFF" w:val="clear"/>
            <w:vAlign w:val="center"/>
          </w:tcPr>
          <w:p>
            <w:pPr>
              <w:pStyle w:val="TableContents"/>
              <w:bidi w:val="0"/>
              <w:spacing w:before="0" w:after="283"/>
              <w:jc w:val="left"/>
              <w:rPr/>
            </w:pPr>
            <w:r>
              <w:rPr/>
              <w:t> </w:t>
            </w:r>
          </w:p>
        </w:tc>
        <w:tc>
          <w:tcPr>
            <w:tcW w:w="8454" w:type="dxa"/>
            <w:tcBorders/>
            <w:shd w:fill="CCEEFF" w:val="clear"/>
            <w:vAlign w:val="center"/>
          </w:tcPr>
          <w:p>
            <w:pPr>
              <w:pStyle w:val="TableContents"/>
              <w:bidi w:val="0"/>
              <w:spacing w:before="0" w:after="283"/>
              <w:jc w:val="left"/>
              <w:rPr/>
            </w:pPr>
            <w:hyperlink w:anchor="item1financialstatements_531063">
              <w:r>
                <w:rPr>
                  <w:rStyle w:val="InternetLink"/>
                  <w:rFonts w:ascii="Times New Roman" w:hAnsi="Times New Roman"/>
                  <w:color w:val="0000FF"/>
                  <w:sz w:val="20"/>
                  <w:u w:val="single"/>
                </w:rPr>
                <w:t>Consolidated Financial Statements</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4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42"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8454" w:type="dxa"/>
            <w:tcBorders/>
            <w:shd w:fill="CCEEFF" w:val="cle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 Statements of Assets and Liabilities as of June 30, 2024 (unaudited) and December 31, 2023</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4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42"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8454" w:type="dxa"/>
            <w:tcBorders/>
            <w:shd w:fill="CCEEFF" w:val="cle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w:t>
              </w:r>
            </w:hyperlink>
            <w:hyperlink w:anchor="statementsofassetsandliabilities_107261">
              <w:r>
                <w:rPr>
                  <w:rStyle w:val="InternetLink"/>
                  <w:rFonts w:ascii="Times New Roman" w:hAnsi="Times New Roman"/>
                  <w:color w:val="0000FF"/>
                  <w:sz w:val="20"/>
                </w:rPr>
                <w:t xml:space="preserve"> </w:t>
              </w:r>
            </w:hyperlink>
            <w:hyperlink w:anchor="statementsofoperations">
              <w:r>
                <w:rPr>
                  <w:rStyle w:val="InternetLink"/>
                  <w:rFonts w:ascii="Times New Roman" w:hAnsi="Times New Roman"/>
                  <w:color w:val="0000FF"/>
                  <w:sz w:val="20"/>
                  <w:u w:val="single"/>
                </w:rPr>
                <w:t>Statements of Operations for the three and six months ended June 30, 2024 and 2023 (unaudited)</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4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42"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8454" w:type="dxa"/>
            <w:tcBorders/>
            <w:shd w:fill="CCEEFF" w:val="cle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w:t>
              </w:r>
            </w:hyperlink>
            <w:hyperlink w:anchor="statementsofassetsandliabilities_107261">
              <w:r>
                <w:rPr>
                  <w:rStyle w:val="InternetLink"/>
                  <w:rFonts w:ascii="Times New Roman" w:hAnsi="Times New Roman"/>
                  <w:color w:val="0000FF"/>
                  <w:sz w:val="20"/>
                </w:rPr>
                <w:t xml:space="preserve"> </w:t>
              </w:r>
            </w:hyperlink>
            <w:hyperlink w:anchor="statementsofchangesinnetassets_914180">
              <w:r>
                <w:rPr>
                  <w:rStyle w:val="InternetLink"/>
                  <w:rFonts w:ascii="Times New Roman" w:hAnsi="Times New Roman"/>
                  <w:color w:val="0000FF"/>
                  <w:sz w:val="20"/>
                  <w:u w:val="single"/>
                </w:rPr>
                <w:t>Statements of Changes in Net Assets for the three and six months ended June 30, 2024 and 2023 (unaudited)</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4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42"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8454" w:type="dxa"/>
            <w:tcBorders/>
            <w:shd w:fill="CCEEFF" w:val="cle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w:t>
              </w:r>
            </w:hyperlink>
            <w:hyperlink w:anchor="statementsofassetsandliabilities_107261">
              <w:r>
                <w:rPr>
                  <w:rStyle w:val="InternetLink"/>
                  <w:rFonts w:ascii="Times New Roman" w:hAnsi="Times New Roman"/>
                  <w:color w:val="0000FF"/>
                  <w:sz w:val="20"/>
                </w:rPr>
                <w:t xml:space="preserve"> </w:t>
              </w:r>
            </w:hyperlink>
            <w:hyperlink w:anchor="statementsofcashflows">
              <w:r>
                <w:rPr>
                  <w:rStyle w:val="InternetLink"/>
                  <w:rFonts w:ascii="Times New Roman" w:hAnsi="Times New Roman"/>
                  <w:color w:val="0000FF"/>
                  <w:sz w:val="20"/>
                  <w:u w:val="single"/>
                </w:rPr>
                <w:t>Statements of Cash Flows for the six months ended June 30, 2024 and 2023 (unaudited)</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4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42"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8454" w:type="dxa"/>
            <w:tcBorders/>
            <w:shd w:fill="CCEEFF" w:val="cle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w:t>
              </w:r>
            </w:hyperlink>
            <w:hyperlink w:anchor="statementsofassetsandliabilities_107261">
              <w:r>
                <w:rPr>
                  <w:rStyle w:val="InternetLink"/>
                  <w:rFonts w:ascii="Times New Roman" w:hAnsi="Times New Roman"/>
                  <w:color w:val="0000FF"/>
                  <w:sz w:val="20"/>
                </w:rPr>
                <w:t xml:space="preserve"> </w:t>
              </w:r>
            </w:hyperlink>
            <w:hyperlink w:anchor="scheduleofinvestments_460338">
              <w:r>
                <w:rPr>
                  <w:rStyle w:val="InternetLink"/>
                  <w:rFonts w:ascii="Times New Roman" w:hAnsi="Times New Roman"/>
                  <w:color w:val="0000FF"/>
                  <w:sz w:val="20"/>
                  <w:u w:val="single"/>
                </w:rPr>
                <w:t>Schedule of Investments as of June 30, 2024 (unaudited)</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4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42"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8454" w:type="dxa"/>
            <w:tcBorders/>
            <w:shd w:fill="CCEEFF" w:val="cle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w:t>
              </w:r>
            </w:hyperlink>
            <w:hyperlink w:anchor="statementsofassetsandliabilities_107261">
              <w:r>
                <w:rPr>
                  <w:rStyle w:val="InternetLink"/>
                  <w:rFonts w:ascii="Times New Roman" w:hAnsi="Times New Roman"/>
                  <w:color w:val="0000FF"/>
                  <w:sz w:val="20"/>
                </w:rPr>
                <w:t xml:space="preserve"> </w:t>
              </w:r>
            </w:hyperlink>
            <w:hyperlink w:anchor="scheduleofinvestments_pp">
              <w:r>
                <w:rPr>
                  <w:rStyle w:val="InternetLink"/>
                  <w:rFonts w:ascii="Times New Roman" w:hAnsi="Times New Roman"/>
                  <w:color w:val="0000FF"/>
                  <w:sz w:val="20"/>
                  <w:u w:val="single"/>
                </w:rPr>
                <w:t>Schedule of Investments as of December 31, 2023</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84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42"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8454" w:type="dxa"/>
            <w:tcBorders/>
            <w:shd w:fill="CCEEFF" w:val="clear"/>
            <w:vAlign w:val="center"/>
          </w:tcPr>
          <w:p>
            <w:pPr>
              <w:pStyle w:val="TableContents"/>
              <w:bidi w:val="0"/>
              <w:spacing w:before="0" w:after="283"/>
              <w:jc w:val="left"/>
              <w:rPr/>
            </w:pPr>
            <w:hyperlink w:anchor="notestofinancialstatements_777521">
              <w:r>
                <w:rPr>
                  <w:rStyle w:val="InternetLink"/>
                  <w:rFonts w:ascii="Times New Roman" w:hAnsi="Times New Roman"/>
                  <w:color w:val="0000FF"/>
                  <w:sz w:val="20"/>
                  <w:u w:val="single"/>
                </w:rPr>
                <w:t>Notes to Consolidated Financial Statements (unaudited)</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4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42" w:type="dxa"/>
            <w:tcBorders/>
            <w:shd w:fill="CCEEFF" w:val="clear"/>
            <w:vAlign w:val="center"/>
          </w:tcPr>
          <w:p>
            <w:pPr>
              <w:pStyle w:val="TableContents"/>
              <w:bidi w:val="0"/>
              <w:spacing w:before="0" w:after="283"/>
              <w:jc w:val="right"/>
              <w:rPr/>
            </w:pPr>
            <w:hyperlink w:anchor="item2managementsdiscussionandanalysisoff">
              <w:r>
                <w:rPr>
                  <w:rStyle w:val="InternetLink"/>
                  <w:rFonts w:ascii="Times New Roman" w:hAnsi="Times New Roman"/>
                  <w:color w:val="000000"/>
                  <w:sz w:val="20"/>
                </w:rPr>
                <w:t>Item 2.</w:t>
              </w:r>
            </w:hyperlink>
          </w:p>
        </w:tc>
        <w:tc>
          <w:tcPr>
            <w:tcW w:w="146" w:type="dxa"/>
            <w:tcBorders/>
            <w:shd w:fill="CCEEFF" w:val="clear"/>
            <w:vAlign w:val="center"/>
          </w:tcPr>
          <w:p>
            <w:pPr>
              <w:pStyle w:val="TableContents"/>
              <w:bidi w:val="0"/>
              <w:spacing w:before="0" w:after="283"/>
              <w:jc w:val="left"/>
              <w:rPr/>
            </w:pPr>
            <w:r>
              <w:rPr/>
              <w:t> </w:t>
            </w:r>
          </w:p>
        </w:tc>
        <w:tc>
          <w:tcPr>
            <w:tcW w:w="8454" w:type="dxa"/>
            <w:tcBorders/>
            <w:shd w:fill="CCEEFF" w:val="clear"/>
            <w:vAlign w:val="center"/>
          </w:tcPr>
          <w:p>
            <w:pPr>
              <w:pStyle w:val="TableContents"/>
              <w:bidi w:val="0"/>
              <w:spacing w:before="0" w:after="283"/>
              <w:jc w:val="left"/>
              <w:rPr/>
            </w:pPr>
            <w:hyperlink w:anchor="item2managementsdiscussionandanalysisof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4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42" w:type="dxa"/>
            <w:tcBorders/>
            <w:shd w:fill="CCEEFF" w:val="clear"/>
            <w:vAlign w:val="center"/>
          </w:tcPr>
          <w:p>
            <w:pPr>
              <w:pStyle w:val="TableContents"/>
              <w:bidi w:val="0"/>
              <w:spacing w:before="0" w:after="283"/>
              <w:jc w:val="right"/>
              <w:rPr/>
            </w:pPr>
            <w:hyperlink w:anchor="item3quantitativeandqualitativedisclosur">
              <w:r>
                <w:rPr>
                  <w:rStyle w:val="InternetLink"/>
                  <w:rFonts w:ascii="Times New Roman" w:hAnsi="Times New Roman"/>
                  <w:color w:val="000000"/>
                  <w:sz w:val="20"/>
                </w:rPr>
                <w:t>Item 3.</w:t>
              </w:r>
            </w:hyperlink>
          </w:p>
        </w:tc>
        <w:tc>
          <w:tcPr>
            <w:tcW w:w="146" w:type="dxa"/>
            <w:tcBorders/>
            <w:shd w:fill="CCEEFF" w:val="clear"/>
            <w:vAlign w:val="center"/>
          </w:tcPr>
          <w:p>
            <w:pPr>
              <w:pStyle w:val="TableContents"/>
              <w:bidi w:val="0"/>
              <w:spacing w:before="0" w:after="283"/>
              <w:jc w:val="left"/>
              <w:rPr/>
            </w:pPr>
            <w:r>
              <w:rPr/>
              <w:t> </w:t>
            </w:r>
          </w:p>
        </w:tc>
        <w:tc>
          <w:tcPr>
            <w:tcW w:w="8454" w:type="dxa"/>
            <w:tcBorders/>
            <w:shd w:fill="CCEEFF" w:val="clear"/>
            <w:vAlign w:val="center"/>
          </w:tcPr>
          <w:p>
            <w:pPr>
              <w:pStyle w:val="TableContents"/>
              <w:bidi w:val="0"/>
              <w:spacing w:before="0" w:after="283"/>
              <w:jc w:val="left"/>
              <w:rPr/>
            </w:pPr>
            <w:hyperlink w:anchor="item3quantitativeandqualitativedisclosur">
              <w:r>
                <w:rPr>
                  <w:rStyle w:val="InternetLink"/>
                  <w:rFonts w:ascii="Times New Roman" w:hAnsi="Times New Roman"/>
                  <w:color w:val="0000FF"/>
                  <w:sz w:val="20"/>
                  <w:u w:val="single"/>
                </w:rPr>
                <w:t>Quantitative and Qualitative Disclosures About Market Risk</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84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42" w:type="dxa"/>
            <w:tcBorders/>
            <w:shd w:fill="CCEEFF" w:val="clear"/>
            <w:vAlign w:val="center"/>
          </w:tcPr>
          <w:p>
            <w:pPr>
              <w:pStyle w:val="TableContents"/>
              <w:bidi w:val="0"/>
              <w:spacing w:before="0" w:after="283"/>
              <w:jc w:val="right"/>
              <w:rPr/>
            </w:pPr>
            <w:hyperlink w:anchor="item4controlsandprocedures_691536">
              <w:r>
                <w:rPr>
                  <w:rStyle w:val="InternetLink"/>
                  <w:rFonts w:ascii="Times New Roman" w:hAnsi="Times New Roman"/>
                  <w:color w:val="000000"/>
                  <w:sz w:val="20"/>
                </w:rPr>
                <w:t>Item 4.</w:t>
              </w:r>
            </w:hyperlink>
          </w:p>
        </w:tc>
        <w:tc>
          <w:tcPr>
            <w:tcW w:w="146" w:type="dxa"/>
            <w:tcBorders/>
            <w:shd w:fill="CCEEFF" w:val="clear"/>
            <w:vAlign w:val="center"/>
          </w:tcPr>
          <w:p>
            <w:pPr>
              <w:pStyle w:val="TableContents"/>
              <w:bidi w:val="0"/>
              <w:spacing w:before="0" w:after="283"/>
              <w:jc w:val="left"/>
              <w:rPr/>
            </w:pPr>
            <w:r>
              <w:rPr/>
              <w:t> </w:t>
            </w:r>
          </w:p>
        </w:tc>
        <w:tc>
          <w:tcPr>
            <w:tcW w:w="8454" w:type="dxa"/>
            <w:tcBorders/>
            <w:shd w:fill="CCEEFF" w:val="clear"/>
            <w:vAlign w:val="center"/>
          </w:tcPr>
          <w:p>
            <w:pPr>
              <w:pStyle w:val="TableContents"/>
              <w:bidi w:val="0"/>
              <w:spacing w:before="0" w:after="283"/>
              <w:jc w:val="left"/>
              <w:rPr/>
            </w:pPr>
            <w:hyperlink w:anchor="item4controlsandprocedures_691536">
              <w:r>
                <w:rPr>
                  <w:rStyle w:val="InternetLink"/>
                  <w:rFonts w:ascii="Times New Roman" w:hAnsi="Times New Roman"/>
                  <w:color w:val="0000FF"/>
                  <w:sz w:val="20"/>
                  <w:u w:val="single"/>
                </w:rPr>
                <w:t>Controls and Procedures</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42" w:type="dxa"/>
            <w:tcBorders/>
            <w:shd w:fill="CCEEFF" w:val="clear"/>
            <w:vAlign w:val="center"/>
          </w:tcPr>
          <w:p>
            <w:pPr>
              <w:pStyle w:val="TableContents"/>
              <w:bidi w:val="0"/>
              <w:spacing w:before="0" w:after="283"/>
              <w:jc w:val="left"/>
              <w:rPr/>
            </w:pPr>
            <w:hyperlink w:anchor="partiiotherinformation_686450">
              <w:r>
                <w:rPr>
                  <w:rStyle w:val="InternetLink"/>
                  <w:rFonts w:ascii="Times New Roman" w:hAnsi="Times New Roman"/>
                  <w:b/>
                  <w:color w:val="000000"/>
                  <w:sz w:val="20"/>
                </w:rPr>
                <w:t>PART II.</w:t>
              </w:r>
            </w:hyperlink>
          </w:p>
        </w:tc>
        <w:tc>
          <w:tcPr>
            <w:tcW w:w="146" w:type="dxa"/>
            <w:tcBorders/>
            <w:shd w:fill="CCEEFF" w:val="clear"/>
            <w:vAlign w:val="center"/>
          </w:tcPr>
          <w:p>
            <w:pPr>
              <w:pStyle w:val="TableContents"/>
              <w:bidi w:val="0"/>
              <w:spacing w:before="0" w:after="283"/>
              <w:jc w:val="left"/>
              <w:rPr/>
            </w:pPr>
            <w:r>
              <w:rPr/>
              <w:t> </w:t>
            </w:r>
          </w:p>
        </w:tc>
        <w:tc>
          <w:tcPr>
            <w:tcW w:w="8454" w:type="dxa"/>
            <w:tcBorders/>
            <w:shd w:fill="CCEEFF" w:val="clear"/>
            <w:vAlign w:val="center"/>
          </w:tcPr>
          <w:p>
            <w:pPr>
              <w:pStyle w:val="TableContents"/>
              <w:bidi w:val="0"/>
              <w:spacing w:before="0" w:after="283"/>
              <w:jc w:val="left"/>
              <w:rPr/>
            </w:pPr>
            <w:hyperlink w:anchor="partiiotherinformation_686450">
              <w:r>
                <w:rPr>
                  <w:rStyle w:val="InternetLink"/>
                  <w:rFonts w:ascii="Times New Roman" w:hAnsi="Times New Roman"/>
                  <w:b/>
                  <w:color w:val="000000"/>
                  <w:sz w:val="20"/>
                </w:rPr>
                <w:t>OTHER INFORMATION</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8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42" w:type="dxa"/>
            <w:tcBorders/>
            <w:shd w:fill="CCEEFF" w:val="clear"/>
            <w:vAlign w:val="center"/>
          </w:tcPr>
          <w:p>
            <w:pPr>
              <w:pStyle w:val="TableContents"/>
              <w:bidi w:val="0"/>
              <w:spacing w:before="0" w:after="283"/>
              <w:jc w:val="right"/>
              <w:rPr/>
            </w:pPr>
            <w:hyperlink w:anchor="item1legalproceedings_844818">
              <w:r>
                <w:rPr>
                  <w:rStyle w:val="InternetLink"/>
                  <w:rFonts w:ascii="Times New Roman" w:hAnsi="Times New Roman"/>
                  <w:color w:val="000000"/>
                  <w:sz w:val="20"/>
                </w:rPr>
                <w:t>Item 1.</w:t>
              </w:r>
            </w:hyperlink>
          </w:p>
        </w:tc>
        <w:tc>
          <w:tcPr>
            <w:tcW w:w="146" w:type="dxa"/>
            <w:tcBorders/>
            <w:shd w:fill="CCEEFF" w:val="clear"/>
            <w:vAlign w:val="center"/>
          </w:tcPr>
          <w:p>
            <w:pPr>
              <w:pStyle w:val="TableContents"/>
              <w:bidi w:val="0"/>
              <w:spacing w:before="0" w:after="283"/>
              <w:jc w:val="left"/>
              <w:rPr/>
            </w:pPr>
            <w:r>
              <w:rPr/>
              <w:t> </w:t>
            </w:r>
          </w:p>
        </w:tc>
        <w:tc>
          <w:tcPr>
            <w:tcW w:w="8454" w:type="dxa"/>
            <w:tcBorders/>
            <w:shd w:fill="CCEEFF" w:val="clear"/>
            <w:vAlign w:val="center"/>
          </w:tcPr>
          <w:p>
            <w:pPr>
              <w:pStyle w:val="TableContents"/>
              <w:bidi w:val="0"/>
              <w:spacing w:before="0" w:after="283"/>
              <w:jc w:val="left"/>
              <w:rPr/>
            </w:pPr>
            <w:hyperlink w:anchor="item1legalproceedings_844818">
              <w:r>
                <w:rPr>
                  <w:rStyle w:val="InternetLink"/>
                  <w:rFonts w:ascii="Times New Roman" w:hAnsi="Times New Roman"/>
                  <w:color w:val="0000FF"/>
                  <w:sz w:val="20"/>
                  <w:u w:val="single"/>
                </w:rPr>
                <w:t>Legal Proceedings</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84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42" w:type="dxa"/>
            <w:tcBorders/>
            <w:shd w:fill="CCEEFF" w:val="clear"/>
            <w:vAlign w:val="center"/>
          </w:tcPr>
          <w:p>
            <w:pPr>
              <w:pStyle w:val="TableContents"/>
              <w:bidi w:val="0"/>
              <w:spacing w:before="0" w:after="283"/>
              <w:jc w:val="right"/>
              <w:rPr/>
            </w:pPr>
            <w:hyperlink w:anchor="item1ariskfactors_996118">
              <w:r>
                <w:rPr>
                  <w:rStyle w:val="InternetLink"/>
                  <w:rFonts w:ascii="Times New Roman" w:hAnsi="Times New Roman"/>
                  <w:color w:val="000000"/>
                  <w:sz w:val="20"/>
                </w:rPr>
                <w:t>Item 1A.</w:t>
              </w:r>
            </w:hyperlink>
          </w:p>
        </w:tc>
        <w:tc>
          <w:tcPr>
            <w:tcW w:w="146" w:type="dxa"/>
            <w:tcBorders/>
            <w:shd w:fill="CCEEFF" w:val="clear"/>
            <w:vAlign w:val="center"/>
          </w:tcPr>
          <w:p>
            <w:pPr>
              <w:pStyle w:val="TableContents"/>
              <w:bidi w:val="0"/>
              <w:spacing w:before="0" w:after="283"/>
              <w:jc w:val="left"/>
              <w:rPr/>
            </w:pPr>
            <w:r>
              <w:rPr/>
              <w:t> </w:t>
            </w:r>
          </w:p>
        </w:tc>
        <w:tc>
          <w:tcPr>
            <w:tcW w:w="8454" w:type="dxa"/>
            <w:tcBorders/>
            <w:shd w:fill="CCEEFF" w:val="clear"/>
            <w:vAlign w:val="center"/>
          </w:tcPr>
          <w:p>
            <w:pPr>
              <w:pStyle w:val="TableContents"/>
              <w:bidi w:val="0"/>
              <w:spacing w:before="0" w:after="283"/>
              <w:jc w:val="left"/>
              <w:rPr/>
            </w:pPr>
            <w:hyperlink w:anchor="item1ariskfactors_996118">
              <w:r>
                <w:rPr>
                  <w:rStyle w:val="InternetLink"/>
                  <w:rFonts w:ascii="Times New Roman" w:hAnsi="Times New Roman"/>
                  <w:color w:val="0000FF"/>
                  <w:sz w:val="20"/>
                  <w:u w:val="single"/>
                </w:rPr>
                <w:t>Risk Factors</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84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42" w:type="dxa"/>
            <w:tcBorders/>
            <w:shd w:fill="CCEEFF" w:val="clear"/>
            <w:vAlign w:val="center"/>
          </w:tcPr>
          <w:p>
            <w:pPr>
              <w:pStyle w:val="TableContents"/>
              <w:bidi w:val="0"/>
              <w:spacing w:before="0" w:after="283"/>
              <w:jc w:val="right"/>
              <w:rPr/>
            </w:pPr>
            <w:hyperlink w:anchor="item2unregisteredsalesofequitysecurities">
              <w:r>
                <w:rPr>
                  <w:rStyle w:val="InternetLink"/>
                  <w:rFonts w:ascii="Times New Roman" w:hAnsi="Times New Roman"/>
                  <w:color w:val="000000"/>
                  <w:sz w:val="20"/>
                </w:rPr>
                <w:t>Item 2.</w:t>
              </w:r>
            </w:hyperlink>
          </w:p>
        </w:tc>
        <w:tc>
          <w:tcPr>
            <w:tcW w:w="146" w:type="dxa"/>
            <w:tcBorders/>
            <w:shd w:fill="CCEEFF" w:val="clear"/>
            <w:vAlign w:val="center"/>
          </w:tcPr>
          <w:p>
            <w:pPr>
              <w:pStyle w:val="TableContents"/>
              <w:bidi w:val="0"/>
              <w:spacing w:before="0" w:after="283"/>
              <w:jc w:val="left"/>
              <w:rPr/>
            </w:pPr>
            <w:r>
              <w:rPr/>
              <w:t> </w:t>
            </w:r>
          </w:p>
        </w:tc>
        <w:tc>
          <w:tcPr>
            <w:tcW w:w="8454" w:type="dxa"/>
            <w:tcBorders/>
            <w:shd w:fill="CCEEFF" w:val="clear"/>
            <w:vAlign w:val="center"/>
          </w:tcPr>
          <w:p>
            <w:pPr>
              <w:pStyle w:val="TableContents"/>
              <w:bidi w:val="0"/>
              <w:spacing w:before="0" w:after="283"/>
              <w:jc w:val="left"/>
              <w:rPr/>
            </w:pPr>
            <w:hyperlink w:anchor="item2unregisteredsalesofequitysecurities">
              <w:r>
                <w:rPr>
                  <w:rStyle w:val="InternetLink"/>
                  <w:rFonts w:ascii="Times New Roman" w:hAnsi="Times New Roman"/>
                  <w:color w:val="0000FF"/>
                  <w:sz w:val="20"/>
                  <w:u w:val="single"/>
                </w:rPr>
                <w:t>Unregistered Sales of Equity Securities and Use of Proceeds</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84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42" w:type="dxa"/>
            <w:tcBorders/>
            <w:shd w:fill="CCEEFF" w:val="clear"/>
            <w:vAlign w:val="center"/>
          </w:tcPr>
          <w:p>
            <w:pPr>
              <w:pStyle w:val="TableContents"/>
              <w:bidi w:val="0"/>
              <w:spacing w:before="0" w:after="283"/>
              <w:jc w:val="right"/>
              <w:rPr/>
            </w:pPr>
            <w:hyperlink w:anchor="item3defaultsuponseniorsecurities_59067">
              <w:r>
                <w:rPr>
                  <w:rStyle w:val="InternetLink"/>
                  <w:rFonts w:ascii="Times New Roman" w:hAnsi="Times New Roman"/>
                  <w:color w:val="000000"/>
                  <w:sz w:val="20"/>
                </w:rPr>
                <w:t>Item 3.</w:t>
              </w:r>
            </w:hyperlink>
          </w:p>
        </w:tc>
        <w:tc>
          <w:tcPr>
            <w:tcW w:w="146" w:type="dxa"/>
            <w:tcBorders/>
            <w:shd w:fill="CCEEFF" w:val="clear"/>
            <w:vAlign w:val="center"/>
          </w:tcPr>
          <w:p>
            <w:pPr>
              <w:pStyle w:val="TableContents"/>
              <w:bidi w:val="0"/>
              <w:spacing w:before="0" w:after="283"/>
              <w:jc w:val="left"/>
              <w:rPr/>
            </w:pPr>
            <w:r>
              <w:rPr/>
              <w:t> </w:t>
            </w:r>
          </w:p>
        </w:tc>
        <w:tc>
          <w:tcPr>
            <w:tcW w:w="8454" w:type="dxa"/>
            <w:tcBorders/>
            <w:shd w:fill="CCEEFF" w:val="clear"/>
            <w:vAlign w:val="center"/>
          </w:tcPr>
          <w:p>
            <w:pPr>
              <w:pStyle w:val="TableContents"/>
              <w:bidi w:val="0"/>
              <w:spacing w:before="0" w:after="283"/>
              <w:jc w:val="left"/>
              <w:rPr/>
            </w:pPr>
            <w:hyperlink w:anchor="item3defaultsuponseniorsecurities_59067">
              <w:r>
                <w:rPr>
                  <w:rStyle w:val="InternetLink"/>
                  <w:rFonts w:ascii="Times New Roman" w:hAnsi="Times New Roman"/>
                  <w:color w:val="0000FF"/>
                  <w:sz w:val="20"/>
                  <w:u w:val="single"/>
                </w:rPr>
                <w:t>Defaults Upon Senior Securities</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84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42" w:type="dxa"/>
            <w:tcBorders/>
            <w:shd w:fill="CCEEFF" w:val="clear"/>
            <w:vAlign w:val="center"/>
          </w:tcPr>
          <w:p>
            <w:pPr>
              <w:pStyle w:val="TableContents"/>
              <w:bidi w:val="0"/>
              <w:spacing w:before="0" w:after="283"/>
              <w:jc w:val="right"/>
              <w:rPr/>
            </w:pPr>
            <w:hyperlink w:anchor="item4minesafetydisclosures_325402">
              <w:r>
                <w:rPr>
                  <w:rStyle w:val="InternetLink"/>
                  <w:rFonts w:ascii="Times New Roman" w:hAnsi="Times New Roman"/>
                  <w:color w:val="000000"/>
                  <w:sz w:val="20"/>
                </w:rPr>
                <w:t>Item 4.</w:t>
              </w:r>
            </w:hyperlink>
          </w:p>
        </w:tc>
        <w:tc>
          <w:tcPr>
            <w:tcW w:w="146" w:type="dxa"/>
            <w:tcBorders/>
            <w:shd w:fill="CCEEFF" w:val="clear"/>
            <w:vAlign w:val="center"/>
          </w:tcPr>
          <w:p>
            <w:pPr>
              <w:pStyle w:val="TableContents"/>
              <w:bidi w:val="0"/>
              <w:spacing w:before="0" w:after="283"/>
              <w:jc w:val="left"/>
              <w:rPr/>
            </w:pPr>
            <w:r>
              <w:rPr/>
              <w:t> </w:t>
            </w:r>
          </w:p>
        </w:tc>
        <w:tc>
          <w:tcPr>
            <w:tcW w:w="8454" w:type="dxa"/>
            <w:tcBorders/>
            <w:shd w:fill="CCEEFF" w:val="clear"/>
            <w:vAlign w:val="center"/>
          </w:tcPr>
          <w:p>
            <w:pPr>
              <w:pStyle w:val="TableContents"/>
              <w:bidi w:val="0"/>
              <w:spacing w:before="0" w:after="283"/>
              <w:jc w:val="left"/>
              <w:rPr/>
            </w:pPr>
            <w:hyperlink w:anchor="item4minesafetydisclosures_325402">
              <w:r>
                <w:rPr>
                  <w:rStyle w:val="InternetLink"/>
                  <w:rFonts w:ascii="Times New Roman" w:hAnsi="Times New Roman"/>
                  <w:color w:val="0000FF"/>
                  <w:sz w:val="20"/>
                  <w:u w:val="single"/>
                </w:rPr>
                <w:t>Mine Safety Disclosures</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84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42" w:type="dxa"/>
            <w:tcBorders/>
            <w:shd w:fill="CCEEFF" w:val="clear"/>
            <w:vAlign w:val="center"/>
          </w:tcPr>
          <w:p>
            <w:pPr>
              <w:pStyle w:val="TableContents"/>
              <w:bidi w:val="0"/>
              <w:spacing w:before="0" w:after="283"/>
              <w:jc w:val="right"/>
              <w:rPr/>
            </w:pPr>
            <w:hyperlink w:anchor="item5otherinformation_981141">
              <w:r>
                <w:rPr>
                  <w:rStyle w:val="InternetLink"/>
                  <w:rFonts w:ascii="Times New Roman" w:hAnsi="Times New Roman"/>
                  <w:color w:val="000000"/>
                  <w:sz w:val="20"/>
                </w:rPr>
                <w:t>Item 5.</w:t>
              </w:r>
            </w:hyperlink>
          </w:p>
        </w:tc>
        <w:tc>
          <w:tcPr>
            <w:tcW w:w="146" w:type="dxa"/>
            <w:tcBorders/>
            <w:shd w:fill="CCEEFF" w:val="clear"/>
            <w:vAlign w:val="center"/>
          </w:tcPr>
          <w:p>
            <w:pPr>
              <w:pStyle w:val="TableContents"/>
              <w:bidi w:val="0"/>
              <w:spacing w:before="0" w:after="283"/>
              <w:jc w:val="left"/>
              <w:rPr/>
            </w:pPr>
            <w:r>
              <w:rPr/>
              <w:t> </w:t>
            </w:r>
          </w:p>
        </w:tc>
        <w:tc>
          <w:tcPr>
            <w:tcW w:w="8454" w:type="dxa"/>
            <w:tcBorders/>
            <w:shd w:fill="CCEEFF" w:val="clear"/>
            <w:vAlign w:val="center"/>
          </w:tcPr>
          <w:p>
            <w:pPr>
              <w:pStyle w:val="TableContents"/>
              <w:bidi w:val="0"/>
              <w:spacing w:before="0" w:after="283"/>
              <w:jc w:val="left"/>
              <w:rPr/>
            </w:pPr>
            <w:hyperlink w:anchor="item5otherinformation_981141">
              <w:r>
                <w:rPr>
                  <w:rStyle w:val="InternetLink"/>
                  <w:rFonts w:ascii="Times New Roman" w:hAnsi="Times New Roman"/>
                  <w:color w:val="0000FF"/>
                  <w:sz w:val="20"/>
                  <w:u w:val="single"/>
                </w:rPr>
                <w:t>Other Information</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84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42" w:type="dxa"/>
            <w:tcBorders/>
            <w:shd w:fill="CCEEFF" w:val="clear"/>
            <w:vAlign w:val="center"/>
          </w:tcPr>
          <w:p>
            <w:pPr>
              <w:pStyle w:val="TableContents"/>
              <w:bidi w:val="0"/>
              <w:spacing w:before="0" w:after="283"/>
              <w:jc w:val="right"/>
              <w:rPr/>
            </w:pPr>
            <w:hyperlink w:anchor="item6exhibits_524452">
              <w:r>
                <w:rPr>
                  <w:rStyle w:val="InternetLink"/>
                  <w:rFonts w:ascii="Times New Roman" w:hAnsi="Times New Roman"/>
                  <w:color w:val="000000"/>
                  <w:sz w:val="20"/>
                </w:rPr>
                <w:t>Item 6.</w:t>
              </w:r>
            </w:hyperlink>
          </w:p>
        </w:tc>
        <w:tc>
          <w:tcPr>
            <w:tcW w:w="146" w:type="dxa"/>
            <w:tcBorders/>
            <w:shd w:fill="CCEEFF" w:val="clear"/>
            <w:vAlign w:val="center"/>
          </w:tcPr>
          <w:p>
            <w:pPr>
              <w:pStyle w:val="TableContents"/>
              <w:bidi w:val="0"/>
              <w:spacing w:before="0" w:after="283"/>
              <w:jc w:val="left"/>
              <w:rPr/>
            </w:pPr>
            <w:r>
              <w:rPr/>
              <w:t> </w:t>
            </w:r>
          </w:p>
        </w:tc>
        <w:tc>
          <w:tcPr>
            <w:tcW w:w="8454" w:type="dxa"/>
            <w:tcBorders/>
            <w:shd w:fill="CCEEFF" w:val="clear"/>
            <w:vAlign w:val="center"/>
          </w:tcPr>
          <w:p>
            <w:pPr>
              <w:pStyle w:val="TableContents"/>
              <w:bidi w:val="0"/>
              <w:spacing w:before="0" w:after="283"/>
              <w:jc w:val="left"/>
              <w:rPr/>
            </w:pPr>
            <w:hyperlink w:anchor="item6exhibits_524452">
              <w:r>
                <w:rPr>
                  <w:rStyle w:val="InternetLink"/>
                  <w:rFonts w:ascii="Times New Roman" w:hAnsi="Times New Roman"/>
                  <w:color w:val="0000FF"/>
                  <w:sz w:val="20"/>
                  <w:u w:val="single"/>
                </w:rPr>
                <w:t>Exhibits</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9442" w:type="dxa"/>
            <w:gridSpan w:val="3"/>
            <w:tcBorders/>
            <w:shd w:fill="CCEEFF" w:val="clear"/>
            <w:vAlign w:val="center"/>
          </w:tcPr>
          <w:p>
            <w:pPr>
              <w:pStyle w:val="TableContents"/>
              <w:bidi w:val="0"/>
              <w:spacing w:before="0" w:after="283"/>
              <w:jc w:val="left"/>
              <w:rPr/>
            </w:pPr>
            <w:hyperlink w:anchor="signatures_230440">
              <w:r>
                <w:rPr>
                  <w:rStyle w:val="InternetLink"/>
                  <w:rFonts w:ascii="Times New Roman" w:hAnsi="Times New Roman"/>
                  <w:b/>
                  <w:color w:val="000000"/>
                  <w:sz w:val="20"/>
                </w:rPr>
                <w:t>SIGNATURES</w:t>
              </w:r>
            </w:hyperlink>
            <w:hyperlink w:anchor="signatures_230440">
              <w:r>
                <w:rPr>
                  <w:rStyle w:val="InternetLink"/>
                  <w:rFonts w:ascii="Times New Roman" w:hAnsi="Times New Roman"/>
                  <w:color w:val="000000"/>
                  <w:sz w:val="20"/>
                </w:rPr>
                <w:t xml:space="preserve"> </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left"/>
        <w:rPr>
          <w:rFonts w:ascii="Times New Roman" w:hAnsi="Times New Roman"/>
          <w:b/>
          <w:color w:val="000000"/>
          <w:sz w:val="20"/>
        </w:rPr>
      </w:pPr>
      <w:bookmarkStart w:id="3" w:name="partifinancialinformation_110173"/>
      <w:bookmarkEnd w:id="3"/>
      <w:r>
        <w:rPr>
          <w:rFonts w:ascii="Times New Roman" w:hAnsi="Times New Roman"/>
          <w:b/>
          <w:color w:val="000000"/>
          <w:sz w:val="20"/>
        </w:rPr>
        <w:t>PART I. FINANCIAL INFORMATION</w:t>
      </w:r>
    </w:p>
    <w:p>
      <w:pPr>
        <w:pStyle w:val="TextBody"/>
        <w:bidi w:val="0"/>
        <w:spacing w:before="0" w:after="240"/>
        <w:jc w:val="left"/>
        <w:rPr>
          <w:rFonts w:ascii="Times New Roman" w:hAnsi="Times New Roman"/>
          <w:b/>
          <w:color w:val="000000"/>
          <w:sz w:val="20"/>
        </w:rPr>
      </w:pPr>
      <w:bookmarkStart w:id="4" w:name="item1financialstatements_531063"/>
      <w:bookmarkEnd w:id="4"/>
      <w:r>
        <w:rPr>
          <w:rFonts w:ascii="Times New Roman" w:hAnsi="Times New Roman"/>
          <w:b/>
          <w:color w:val="000000"/>
          <w:sz w:val="20"/>
        </w:rPr>
        <w:t>Item 1.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Assets and Liabilities</w:t>
      </w:r>
    </w:p>
    <w:p>
      <w:pPr>
        <w:pStyle w:val="TextBody"/>
        <w:bidi w:val="0"/>
        <w:spacing w:before="0" w:after="240"/>
        <w:jc w:val="center"/>
        <w:rPr>
          <w:rFonts w:ascii="Times New Roman" w:hAnsi="Times New Roman"/>
          <w:b/>
          <w:color w:val="000000"/>
          <w:sz w:val="20"/>
        </w:rPr>
      </w:pPr>
      <w:bookmarkStart w:id="5" w:name="statementsofassetsandliabilities_107261"/>
      <w:bookmarkEnd w:id="5"/>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6605"/>
        <w:gridCol w:w="146"/>
        <w:gridCol w:w="196"/>
        <w:gridCol w:w="146"/>
        <w:gridCol w:w="916"/>
        <w:gridCol w:w="166"/>
        <w:gridCol w:w="146"/>
        <w:gridCol w:w="228"/>
        <w:gridCol w:w="170"/>
        <w:gridCol w:w="1072"/>
        <w:gridCol w:w="414"/>
      </w:tblGrid>
      <w:tr>
        <w:trPr/>
        <w:tc>
          <w:tcPr>
            <w:tcW w:w="6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6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70"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414" w:type="dxa"/>
            <w:tcBorders/>
            <w:shd w:fill="FFFFFF" w:val="clear"/>
            <w:vAlign w:val="center"/>
          </w:tcPr>
          <w:p>
            <w:pPr>
              <w:pStyle w:val="TableContents"/>
              <w:bidi w:val="0"/>
              <w:spacing w:before="0" w:after="283"/>
              <w:jc w:val="center"/>
              <w:rPr/>
            </w:pPr>
            <w:r>
              <w:rPr/>
              <w:t> </w:t>
            </w:r>
          </w:p>
        </w:tc>
      </w:tr>
      <w:tr>
        <w:trPr/>
        <w:tc>
          <w:tcPr>
            <w:tcW w:w="66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242"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ind w:left="0" w:right="0" w:firstLine="100"/>
              <w:jc w:val="left"/>
              <w:rPr/>
            </w:pPr>
            <w:r>
              <w:rPr/>
              <w:t> </w:t>
            </w:r>
          </w:p>
        </w:tc>
      </w:tr>
      <w:tr>
        <w:trPr/>
        <w:tc>
          <w:tcPr>
            <w:tcW w:w="6605"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6"/>
              </w:rPr>
              <w:t>Non-control/non-affiliate investments at fair value (cost of $1,055,456</w:t>
            </w:r>
            <w:r>
              <w:rPr>
                <w:rFonts w:ascii="Times New Roman" w:hAnsi="Times New Roman"/>
                <w:color w:val="000000"/>
                <w:sz w:val="20"/>
              </w:rPr>
              <w:t> </w:t>
            </w:r>
            <w:r>
              <w:rPr>
                <w:rFonts w:ascii="Times New Roman" w:hAnsi="Times New Roman"/>
                <w:color w:val="000000"/>
                <w:sz w:val="16"/>
              </w:rPr>
              <w:t>and $1,005,024, respectively)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1,011,472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CFF0FC" w:val="clear"/>
            <w:vAlign w:val="center"/>
          </w:tcPr>
          <w:p>
            <w:pPr>
              <w:pStyle w:val="TableContents"/>
              <w:bidi w:val="0"/>
              <w:spacing w:before="0" w:after="283"/>
              <w:jc w:val="left"/>
              <w:rPr/>
            </w:pPr>
            <w:r>
              <w:rPr/>
              <w:t> </w:t>
            </w:r>
          </w:p>
        </w:tc>
        <w:tc>
          <w:tcPr>
            <w:tcW w:w="10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972,604</w:t>
            </w:r>
          </w:p>
        </w:tc>
        <w:tc>
          <w:tcPr>
            <w:tcW w:w="414" w:type="dxa"/>
            <w:tcBorders/>
            <w:shd w:fill="CFF0FC" w:val="clear"/>
            <w:vAlign w:val="center"/>
          </w:tcPr>
          <w:p>
            <w:pPr>
              <w:pStyle w:val="TableContents"/>
              <w:bidi w:val="0"/>
              <w:spacing w:before="0" w:after="283"/>
              <w:ind w:left="0" w:right="0" w:firstLine="100"/>
              <w:jc w:val="left"/>
              <w:rPr/>
            </w:pPr>
            <w:r>
              <w:rPr/>
              <w:t> </w:t>
            </w:r>
          </w:p>
        </w:tc>
      </w:tr>
      <w:tr>
        <w:trPr/>
        <w:tc>
          <w:tcPr>
            <w:tcW w:w="6605"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6"/>
              </w:rPr>
              <w:t>Affiliate investments at fair value (cost of $59,025</w:t>
            </w:r>
            <w:r>
              <w:rPr>
                <w:rFonts w:ascii="Times New Roman" w:hAnsi="Times New Roman"/>
                <w:color w:val="000000"/>
                <w:sz w:val="20"/>
              </w:rPr>
              <w:t> </w:t>
            </w:r>
            <w:r>
              <w:rPr>
                <w:rFonts w:ascii="Times New Roman" w:hAnsi="Times New Roman"/>
                <w:color w:val="000000"/>
                <w:sz w:val="16"/>
              </w:rPr>
              <w:t>and $58,861, respectively)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51,456</w:t>
            </w:r>
          </w:p>
        </w:tc>
        <w:tc>
          <w:tcPr>
            <w:tcW w:w="414" w:type="dxa"/>
            <w:tcBorders/>
            <w:shd w:fill="FFFFFF" w:val="clear"/>
            <w:vAlign w:val="center"/>
          </w:tcPr>
          <w:p>
            <w:pPr>
              <w:pStyle w:val="TableContents"/>
              <w:bidi w:val="0"/>
              <w:spacing w:before="0" w:after="283"/>
              <w:ind w:left="0" w:right="0" w:firstLine="100"/>
              <w:jc w:val="left"/>
              <w:rPr/>
            </w:pPr>
            <w:r>
              <w:rPr/>
              <w:t> </w:t>
            </w:r>
          </w:p>
        </w:tc>
      </w:tr>
      <w:tr>
        <w:trPr/>
        <w:tc>
          <w:tcPr>
            <w:tcW w:w="6605"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6"/>
              </w:rPr>
              <w:t>Control investments at fair value (cost of $1,600</w:t>
            </w:r>
            <w:r>
              <w:rPr>
                <w:rFonts w:ascii="Times New Roman" w:hAnsi="Times New Roman"/>
                <w:color w:val="000000"/>
                <w:sz w:val="20"/>
              </w:rPr>
              <w:t> </w:t>
            </w:r>
            <w:r>
              <w:rPr>
                <w:rFonts w:ascii="Times New Roman" w:hAnsi="Times New Roman"/>
                <w:color w:val="000000"/>
                <w:sz w:val="16"/>
              </w:rPr>
              <w:t>and $950, respectively)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0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414" w:type="dxa"/>
            <w:tcBorders/>
            <w:shd w:fill="CFF0FC" w:val="clear"/>
            <w:vAlign w:val="center"/>
          </w:tcPr>
          <w:p>
            <w:pPr>
              <w:pStyle w:val="TableContents"/>
              <w:bidi w:val="0"/>
              <w:spacing w:before="0" w:after="283"/>
              <w:ind w:left="0" w:right="0" w:firstLine="100"/>
              <w:jc w:val="left"/>
              <w:rPr/>
            </w:pPr>
            <w:r>
              <w:rPr/>
              <w:t> </w:t>
            </w:r>
          </w:p>
        </w:tc>
      </w:tr>
      <w:tr>
        <w:trPr/>
        <w:tc>
          <w:tcPr>
            <w:tcW w:w="6605"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6"/>
              </w:rPr>
              <w:t>Investment in U.S. Treasury Bills at fair value (cost of $0</w:t>
            </w:r>
            <w:r>
              <w:rPr>
                <w:rFonts w:ascii="Times New Roman" w:hAnsi="Times New Roman"/>
                <w:color w:val="000000"/>
                <w:sz w:val="20"/>
              </w:rPr>
              <w:t> </w:t>
            </w:r>
            <w:r>
              <w:rPr>
                <w:rFonts w:ascii="Times New Roman" w:hAnsi="Times New Roman"/>
                <w:color w:val="000000"/>
                <w:sz w:val="16"/>
              </w:rPr>
              <w:t>and $42,014, respectively)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41,999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05"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Total investments at fair value (cost of $1,116,081</w:t>
            </w:r>
            <w:r>
              <w:rPr>
                <w:rFonts w:ascii="Times New Roman" w:hAnsi="Times New Roman"/>
                <w:color w:val="000000"/>
                <w:sz w:val="20"/>
              </w:rPr>
              <w:t> </w:t>
            </w:r>
            <w:r>
              <w:rPr>
                <w:rFonts w:ascii="Times New Roman" w:hAnsi="Times New Roman"/>
                <w:color w:val="000000"/>
                <w:sz w:val="16"/>
              </w:rPr>
              <w:t>and $1,106,849, respectively)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1,063,324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0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1,067,009</w:t>
            </w:r>
          </w:p>
        </w:tc>
        <w:tc>
          <w:tcPr>
            <w:tcW w:w="414" w:type="dxa"/>
            <w:tcBorders/>
            <w:shd w:fill="CFF0FC" w:val="cle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2,970</w:t>
            </w:r>
          </w:p>
        </w:tc>
        <w:tc>
          <w:tcPr>
            <w:tcW w:w="414" w:type="dxa"/>
            <w:tcBorders/>
            <w:shd w:fill="FFFFFF" w:val="clear"/>
            <w:vAlign w:val="center"/>
          </w:tcPr>
          <w:p>
            <w:pPr>
              <w:pStyle w:val="TableContents"/>
              <w:bidi w:val="0"/>
              <w:spacing w:before="0" w:after="283"/>
              <w:jc w:val="left"/>
              <w:rPr/>
            </w:pPr>
            <w:r>
              <w:rPr/>
              <w:t> </w:t>
            </w:r>
          </w:p>
        </w:tc>
      </w:tr>
      <w:tr>
        <w:trPr/>
        <w:tc>
          <w:tcPr>
            <w:tcW w:w="660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fees receivable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0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8,269</w:t>
            </w:r>
          </w:p>
        </w:tc>
        <w:tc>
          <w:tcPr>
            <w:tcW w:w="414" w:type="dxa"/>
            <w:tcBorders/>
            <w:shd w:fill="CFF0FC" w:val="cle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05"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1,078,236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1,079,153</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660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Debt: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242"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ind w:left="0" w:right="0" w:firstLine="100"/>
              <w:jc w:val="left"/>
              <w:rPr/>
            </w:pPr>
            <w:r>
              <w:rPr/>
              <w:t> </w:t>
            </w:r>
          </w:p>
        </w:tc>
      </w:tr>
      <w:tr>
        <w:trPr/>
        <w:tc>
          <w:tcPr>
            <w:tcW w:w="660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272,000</w:t>
            </w:r>
          </w:p>
        </w:tc>
        <w:tc>
          <w:tcPr>
            <w:tcW w:w="414" w:type="dxa"/>
            <w:tcBorders/>
            <w:shd w:fill="FFFFFF" w:val="clear"/>
            <w:vAlign w:val="center"/>
          </w:tcPr>
          <w:p>
            <w:pPr>
              <w:pStyle w:val="TableContents"/>
              <w:bidi w:val="0"/>
              <w:spacing w:before="0" w:after="283"/>
              <w:ind w:left="0" w:right="0" w:firstLine="100"/>
              <w:jc w:val="left"/>
              <w:rPr/>
            </w:pPr>
            <w:r>
              <w:rPr/>
              <w:t> </w:t>
            </w:r>
          </w:p>
        </w:tc>
      </w:tr>
      <w:tr>
        <w:trPr/>
        <w:tc>
          <w:tcPr>
            <w:tcW w:w="660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0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w:t>
            </w:r>
          </w:p>
        </w:tc>
        <w:tc>
          <w:tcPr>
            <w:tcW w:w="414" w:type="dxa"/>
            <w:tcBorders/>
            <w:shd w:fill="CFF0FC" w:val="clear"/>
            <w:vAlign w:val="center"/>
          </w:tcPr>
          <w:p>
            <w:pPr>
              <w:pStyle w:val="TableContents"/>
              <w:bidi w:val="0"/>
              <w:spacing w:before="0" w:after="283"/>
              <w:ind w:left="0" w:right="0" w:firstLine="100"/>
              <w:jc w:val="left"/>
              <w:rPr/>
            </w:pPr>
            <w:r>
              <w:rPr/>
              <w:t> </w:t>
            </w:r>
          </w:p>
        </w:tc>
      </w:tr>
      <w:tr>
        <w:trPr/>
        <w:tc>
          <w:tcPr>
            <w:tcW w:w="660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2027 Notes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414" w:type="dxa"/>
            <w:tcBorders/>
            <w:shd w:fill="FFFFFF" w:val="clear"/>
            <w:vAlign w:val="center"/>
          </w:tcPr>
          <w:p>
            <w:pPr>
              <w:pStyle w:val="TableContents"/>
              <w:bidi w:val="0"/>
              <w:spacing w:before="0" w:after="283"/>
              <w:ind w:left="0" w:right="0" w:firstLine="100"/>
              <w:jc w:val="left"/>
              <w:rPr/>
            </w:pPr>
            <w:r>
              <w:rPr/>
              <w:t> </w:t>
            </w:r>
          </w:p>
        </w:tc>
      </w:tr>
      <w:tr>
        <w:trPr/>
        <w:tc>
          <w:tcPr>
            <w:tcW w:w="660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Unamortized deferred debt costs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60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debt, less unamortized deferred debt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548,688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510,078</w:t>
            </w:r>
          </w:p>
        </w:tc>
        <w:tc>
          <w:tcPr>
            <w:tcW w:w="414" w:type="dxa"/>
            <w:tcBorders/>
            <w:shd w:fill="FFFFFF" w:val="clear"/>
            <w:vAlign w:val="center"/>
          </w:tcPr>
          <w:p>
            <w:pPr>
              <w:pStyle w:val="TableContents"/>
              <w:bidi w:val="0"/>
              <w:spacing w:before="0" w:after="283"/>
              <w:jc w:val="left"/>
              <w:rPr/>
            </w:pPr>
            <w:r>
              <w:rPr/>
              <w:t> </w:t>
            </w:r>
          </w:p>
        </w:tc>
      </w:tr>
      <w:tr>
        <w:trPr/>
        <w:tc>
          <w:tcPr>
            <w:tcW w:w="660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0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w:t>
            </w:r>
          </w:p>
        </w:tc>
        <w:tc>
          <w:tcPr>
            <w:tcW w:w="414" w:type="dxa"/>
            <w:tcBorders/>
            <w:shd w:fill="CFF0FC" w:val="cle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6,764</w:t>
            </w:r>
          </w:p>
        </w:tc>
        <w:tc>
          <w:tcPr>
            <w:tcW w:w="414" w:type="dxa"/>
            <w:tcBorders/>
            <w:shd w:fill="FFFFFF" w:val="clear"/>
            <w:vAlign w:val="center"/>
          </w:tcPr>
          <w:p>
            <w:pPr>
              <w:pStyle w:val="TableContents"/>
              <w:bidi w:val="0"/>
              <w:spacing w:before="0" w:after="283"/>
              <w:jc w:val="left"/>
              <w:rPr/>
            </w:pPr>
            <w:r>
              <w:rPr/>
              <w:t> </w:t>
            </w:r>
          </w:p>
        </w:tc>
      </w:tr>
      <w:tr>
        <w:trPr/>
        <w:tc>
          <w:tcPr>
            <w:tcW w:w="660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05"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571,852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532,082</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8)</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242"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ind w:left="0" w:right="0" w:firstLine="100"/>
              <w:jc w:val="left"/>
              <w:rPr/>
            </w:pPr>
            <w:r>
              <w:rPr/>
              <w:t> </w:t>
            </w:r>
          </w:p>
        </w:tc>
      </w:tr>
      <w:tr>
        <w:trPr/>
        <w:tc>
          <w:tcPr>
            <w:tcW w:w="660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Common stock, par value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0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414" w:type="dxa"/>
            <w:tcBorders/>
            <w:shd w:fill="CFF0FC" w:val="clear"/>
            <w:vAlign w:val="center"/>
          </w:tcPr>
          <w:p>
            <w:pPr>
              <w:pStyle w:val="TableContents"/>
              <w:bidi w:val="0"/>
              <w:spacing w:before="0" w:after="283"/>
              <w:ind w:left="0" w:right="0" w:firstLine="100"/>
              <w:jc w:val="left"/>
              <w:rPr/>
            </w:pPr>
            <w:r>
              <w:rPr/>
              <w:t> </w:t>
            </w:r>
          </w:p>
        </w:tc>
      </w:tr>
      <w:tr>
        <w:trPr/>
        <w:tc>
          <w:tcPr>
            <w:tcW w:w="660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605,108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605,110</w:t>
            </w:r>
          </w:p>
        </w:tc>
        <w:tc>
          <w:tcPr>
            <w:tcW w:w="414" w:type="dxa"/>
            <w:tcBorders/>
            <w:shd w:fill="FFFFFF" w:val="clear"/>
            <w:vAlign w:val="center"/>
          </w:tcPr>
          <w:p>
            <w:pPr>
              <w:pStyle w:val="TableContents"/>
              <w:bidi w:val="0"/>
              <w:spacing w:before="0" w:after="283"/>
              <w:ind w:left="0" w:right="0" w:firstLine="100"/>
              <w:jc w:val="left"/>
              <w:rPr/>
            </w:pPr>
            <w:r>
              <w:rPr/>
              <w:t> </w:t>
            </w:r>
          </w:p>
        </w:tc>
      </w:tr>
      <w:tr>
        <w:trPr/>
        <w:tc>
          <w:tcPr>
            <w:tcW w:w="660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Distributable earnings (losses)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(64,872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0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(47,637</w:t>
            </w:r>
          </w:p>
        </w:tc>
        <w:tc>
          <w:tcPr>
            <w:tcW w:w="414"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60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Treasury stock</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605"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506,384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547,071</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66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Shares of common stock outstanding ($0.01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38,547,295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0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40,509,269</w:t>
            </w:r>
          </w:p>
        </w:tc>
        <w:tc>
          <w:tcPr>
            <w:tcW w:w="414" w:type="dxa"/>
            <w:tcBorders/>
            <w:shd w:fill="CFF0FC" w:val="cle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per share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w:t>
            </w:r>
          </w:p>
        </w:tc>
        <w:tc>
          <w:tcPr>
            <w:tcW w:w="414"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6" w:name="statementsofoperations"/>
      <w:bookmarkEnd w:id="6"/>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3600"/>
        <w:gridCol w:w="146"/>
        <w:gridCol w:w="196"/>
        <w:gridCol w:w="146"/>
        <w:gridCol w:w="916"/>
        <w:gridCol w:w="166"/>
        <w:gridCol w:w="146"/>
        <w:gridCol w:w="196"/>
        <w:gridCol w:w="146"/>
        <w:gridCol w:w="916"/>
        <w:gridCol w:w="166"/>
        <w:gridCol w:w="146"/>
        <w:gridCol w:w="196"/>
        <w:gridCol w:w="146"/>
        <w:gridCol w:w="916"/>
        <w:gridCol w:w="166"/>
        <w:gridCol w:w="146"/>
        <w:gridCol w:w="196"/>
        <w:gridCol w:w="146"/>
        <w:gridCol w:w="916"/>
        <w:gridCol w:w="491"/>
      </w:tblGrid>
      <w:tr>
        <w:trPr/>
        <w:tc>
          <w:tcPr>
            <w:tcW w:w="3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60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8"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28"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91" w:type="dxa"/>
            <w:tcBorders/>
            <w:shd w:fill="FFFFFF" w:val="clear"/>
            <w:vAlign w:val="center"/>
          </w:tcPr>
          <w:p>
            <w:pPr>
              <w:pStyle w:val="TableContents"/>
              <w:bidi w:val="0"/>
              <w:spacing w:before="0" w:after="283"/>
              <w:jc w:val="center"/>
              <w:rPr/>
            </w:pPr>
            <w:r>
              <w:rPr/>
              <w:t> </w:t>
            </w:r>
          </w:p>
        </w:tc>
      </w:tr>
      <w:tr>
        <w:trPr/>
        <w:tc>
          <w:tcPr>
            <w:tcW w:w="360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360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From non-control/non-affiliate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60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68,671</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60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10,221</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60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60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Fee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360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From affiliate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60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360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00"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81,205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360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8,296</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360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Incentive fees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9,483</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360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Interest and other debt financing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22,330</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360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360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Administration agreement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360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Insurance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360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Tax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360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Other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00"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43,283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37,922</w:t>
            </w:r>
          </w:p>
        </w:tc>
        <w:tc>
          <w:tcPr>
            <w:tcW w:w="491" w:type="dxa"/>
            <w:tcBorders/>
            <w:shd w:fill="CFF0FC" w:val="clear"/>
            <w:vAlign w:val="center"/>
          </w:tcPr>
          <w:p>
            <w:pPr>
              <w:pStyle w:val="TableContents"/>
              <w:bidi w:val="0"/>
              <w:spacing w:before="0" w:after="283"/>
              <w:jc w:val="left"/>
              <w:rPr/>
            </w:pPr>
            <w:r>
              <w:rPr/>
              <w:t> </w:t>
            </w:r>
          </w:p>
        </w:tc>
      </w:tr>
      <w:tr>
        <w:trPr/>
        <w:tc>
          <w:tcPr>
            <w:tcW w:w="360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net change in unrealized gain (loss)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360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realized gain (loss) on non-control/non-affiliate investments, including U.S. Treasury Bills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w:t>
            </w:r>
          </w:p>
        </w:tc>
        <w:tc>
          <w:tcPr>
            <w:tcW w:w="49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60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realized gain (loss) on investments, including U.S. Treasury Bills</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60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change in unrealized gain (loss) on non-control/non-affiliate investments, including U.S. Treasury Bills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360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change in unrealized gain (loss) on 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(6,089</w:t>
            </w:r>
          </w:p>
        </w:tc>
        <w:tc>
          <w:tcPr>
            <w:tcW w:w="49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60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change in unrealized gain (loss) on control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unrealized gain (loss) on investments, including U.S. Treasury Bills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60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 (loss)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60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34,304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per common share (basic and diluted)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0.94</w:t>
            </w:r>
          </w:p>
        </w:tc>
        <w:tc>
          <w:tcPr>
            <w:tcW w:w="491" w:type="dxa"/>
            <w:tcBorders/>
            <w:shd w:fill="CFF0FC" w:val="clear"/>
            <w:vAlign w:val="center"/>
          </w:tcPr>
          <w:p>
            <w:pPr>
              <w:pStyle w:val="TableContents"/>
              <w:bidi w:val="0"/>
              <w:spacing w:before="0" w:after="283"/>
              <w:jc w:val="left"/>
              <w:rPr/>
            </w:pPr>
            <w:r>
              <w:rPr/>
              <w:t> </w:t>
            </w:r>
          </w:p>
        </w:tc>
      </w:tr>
      <w:tr>
        <w:trPr/>
        <w:tc>
          <w:tcPr>
            <w:tcW w:w="360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 per common share (basic and diluted)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0.85</w:t>
            </w:r>
          </w:p>
        </w:tc>
        <w:tc>
          <w:tcPr>
            <w:tcW w:w="491" w:type="dxa"/>
            <w:tcBorders/>
            <w:shd w:fill="FFFFFF" w:val="clear"/>
            <w:vAlign w:val="center"/>
          </w:tcPr>
          <w:p>
            <w:pPr>
              <w:pStyle w:val="TableContents"/>
              <w:bidi w:val="0"/>
              <w:spacing w:before="0" w:after="283"/>
              <w:jc w:val="left"/>
              <w:rPr/>
            </w:pPr>
            <w:r>
              <w:rPr/>
              <w:t> </w:t>
            </w:r>
          </w:p>
        </w:tc>
      </w:tr>
      <w:tr>
        <w:trPr/>
        <w:tc>
          <w:tcPr>
            <w:tcW w:w="360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shares outstanding (basic and diluted)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39,180,767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40,509,269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39,786,511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40,509,269</w:t>
            </w:r>
          </w:p>
        </w:tc>
        <w:tc>
          <w:tcPr>
            <w:tcW w:w="4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7" w:name="statementsofchangesinnetassets_914180"/>
      <w:bookmarkEnd w:id="7"/>
      <w:r>
        <w:rPr>
          <w:rFonts w:ascii="Times New Roman" w:hAnsi="Times New Roman"/>
          <w:b/>
          <w:color w:val="000000"/>
          <w:sz w:val="20"/>
        </w:rPr>
        <w:t>Consolidated Statements of Changes in Net Assets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093"/>
        <w:gridCol w:w="639"/>
        <w:gridCol w:w="346"/>
        <w:gridCol w:w="146"/>
        <w:gridCol w:w="916"/>
        <w:gridCol w:w="166"/>
        <w:gridCol w:w="146"/>
        <w:gridCol w:w="196"/>
        <w:gridCol w:w="146"/>
        <w:gridCol w:w="376"/>
        <w:gridCol w:w="146"/>
        <w:gridCol w:w="146"/>
        <w:gridCol w:w="203"/>
        <w:gridCol w:w="151"/>
        <w:gridCol w:w="686"/>
        <w:gridCol w:w="166"/>
        <w:gridCol w:w="146"/>
        <w:gridCol w:w="220"/>
        <w:gridCol w:w="163"/>
        <w:gridCol w:w="776"/>
        <w:gridCol w:w="146"/>
        <w:gridCol w:w="146"/>
        <w:gridCol w:w="259"/>
        <w:gridCol w:w="192"/>
        <w:gridCol w:w="883"/>
        <w:gridCol w:w="166"/>
        <w:gridCol w:w="146"/>
        <w:gridCol w:w="204"/>
        <w:gridCol w:w="152"/>
        <w:gridCol w:w="720"/>
        <w:gridCol w:w="218"/>
      </w:tblGrid>
      <w:tr>
        <w:trPr/>
        <w:tc>
          <w:tcPr>
            <w:tcW w:w="109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093"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09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59"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4"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r>
      <w:tr>
        <w:trPr/>
        <w:tc>
          <w:tcPr>
            <w:tcW w:w="1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Three Months Ended June 30,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Shares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Excess of 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Undistributed Earnings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 Assets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3"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center"/>
              <w:rPr/>
            </w:pPr>
            <w:r>
              <w:rPr/>
              <w:t> </w:t>
            </w:r>
          </w:p>
        </w:tc>
        <w:tc>
          <w:tcPr>
            <w:tcW w:w="939"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center"/>
              <w:rPr/>
            </w:pPr>
            <w:r>
              <w:rPr/>
              <w:t> </w:t>
            </w:r>
          </w:p>
        </w:tc>
        <w:tc>
          <w:tcPr>
            <w:tcW w:w="107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center"/>
              <w:rPr/>
            </w:pPr>
            <w:r>
              <w:rPr/>
              <w:t> </w:t>
            </w:r>
          </w:p>
        </w:tc>
        <w:tc>
          <w:tcPr>
            <w:tcW w:w="872" w:type="dxa"/>
            <w:gridSpan w:val="2"/>
            <w:tcBorders/>
            <w:shd w:fill="FFFFFF" w:val="clear"/>
            <w:vAlign w:val="center"/>
          </w:tcPr>
          <w:p>
            <w:pPr>
              <w:pStyle w:val="TableContents"/>
              <w:bidi w:val="0"/>
              <w:spacing w:before="0" w:after="283"/>
              <w:jc w:val="center"/>
              <w:rPr/>
            </w:pPr>
            <w:r>
              <w:rPr/>
              <w:t> </w:t>
            </w:r>
          </w:p>
        </w:tc>
        <w:tc>
          <w:tcPr>
            <w:tcW w:w="218" w:type="dxa"/>
            <w:tcBorders/>
            <w:shd w:fill="FFFFFF" w:val="clear"/>
            <w:vAlign w:val="center"/>
          </w:tcPr>
          <w:p>
            <w:pPr>
              <w:pStyle w:val="TableContents"/>
              <w:bidi w:val="0"/>
              <w:spacing w:before="0" w:after="283"/>
              <w:jc w:val="center"/>
              <w:rPr/>
            </w:pPr>
            <w:r>
              <w:rPr/>
              <w:t> </w:t>
            </w:r>
          </w:p>
        </w:tc>
      </w:tr>
      <w:tr>
        <w:trPr/>
        <w:tc>
          <w:tcPr>
            <w:tcW w:w="1732" w:type="dxa"/>
            <w:gridSpan w:val="2"/>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2024</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39,622,162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(21,425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2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605,108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2"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(54,628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2"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529,469</w:t>
            </w:r>
          </w:p>
        </w:tc>
        <w:tc>
          <w:tcPr>
            <w:tcW w:w="218" w:type="dxa"/>
            <w:tcBorders/>
            <w:shd w:fill="FFFFFF" w:val="clear"/>
            <w:vAlign w:val="center"/>
          </w:tcPr>
          <w:p>
            <w:pPr>
              <w:pStyle w:val="TableContents"/>
              <w:bidi w:val="0"/>
              <w:spacing w:before="0" w:after="283"/>
              <w:jc w:val="left"/>
              <w:rPr/>
            </w:pPr>
            <w:r>
              <w:rPr/>
              <w:t> </w:t>
            </w:r>
          </w:p>
        </w:tc>
      </w:tr>
      <w:tr>
        <w:trPr/>
        <w:tc>
          <w:tcPr>
            <w:tcW w:w="1732"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3" w:type="dxa"/>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0" w:type="dxa"/>
            <w:tcBorders/>
            <w:shd w:fill="CFF0FC" w:val="clear"/>
            <w:vAlign w:val="center"/>
          </w:tcPr>
          <w:p>
            <w:pPr>
              <w:pStyle w:val="TableContents"/>
              <w:bidi w:val="0"/>
              <w:spacing w:before="0" w:after="283"/>
              <w:jc w:val="center"/>
              <w:rPr/>
            </w:pPr>
            <w:r>
              <w:rPr/>
              <w:t> </w:t>
            </w:r>
          </w:p>
        </w:tc>
        <w:tc>
          <w:tcPr>
            <w:tcW w:w="163"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9" w:type="dxa"/>
            <w:tcBorders/>
            <w:shd w:fill="CFF0FC" w:val="clear"/>
            <w:vAlign w:val="center"/>
          </w:tcPr>
          <w:p>
            <w:pPr>
              <w:pStyle w:val="TableContents"/>
              <w:bidi w:val="0"/>
              <w:spacing w:before="0" w:after="283"/>
              <w:jc w:val="center"/>
              <w:rPr/>
            </w:pPr>
            <w:r>
              <w:rPr/>
              <w:t> </w:t>
            </w:r>
          </w:p>
        </w:tc>
        <w:tc>
          <w:tcPr>
            <w:tcW w:w="192"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8,291</w:t>
            </w:r>
          </w:p>
        </w:tc>
        <w:tc>
          <w:tcPr>
            <w:tcW w:w="218" w:type="dxa"/>
            <w:tcBorders/>
            <w:shd w:fill="CFF0FC" w:val="clear"/>
            <w:vAlign w:val="center"/>
          </w:tcPr>
          <w:p>
            <w:pPr>
              <w:pStyle w:val="TableContents"/>
              <w:bidi w:val="0"/>
              <w:spacing w:before="0" w:after="283"/>
              <w:jc w:val="left"/>
              <w:rPr/>
            </w:pPr>
            <w:r>
              <w:rPr/>
              <w:t> </w:t>
            </w:r>
          </w:p>
        </w:tc>
      </w:tr>
      <w:tr>
        <w:trPr/>
        <w:tc>
          <w:tcPr>
            <w:tcW w:w="1732"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Acquisition of treasury stock</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(1,074,842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(12,841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220" w:type="dxa"/>
            <w:tcBorders/>
            <w:shd w:fill="FFFFFF" w:val="cle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9" w:type="dxa"/>
            <w:tcBorders/>
            <w:shd w:fill="FFFFFF" w:val="cle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(12,841</w:t>
            </w:r>
          </w:p>
        </w:tc>
        <w:tc>
          <w:tcPr>
            <w:tcW w:w="21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32"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paid to stockholders</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3" w:type="dxa"/>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0" w:type="dxa"/>
            <w:tcBorders/>
            <w:shd w:fill="CFF0FC" w:val="clear"/>
            <w:vAlign w:val="center"/>
          </w:tcPr>
          <w:p>
            <w:pPr>
              <w:pStyle w:val="TableContents"/>
              <w:bidi w:val="0"/>
              <w:spacing w:before="0" w:after="283"/>
              <w:jc w:val="center"/>
              <w:rPr/>
            </w:pPr>
            <w:r>
              <w:rPr/>
              <w:t> </w:t>
            </w:r>
          </w:p>
        </w:tc>
        <w:tc>
          <w:tcPr>
            <w:tcW w:w="163"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9" w:type="dxa"/>
            <w:tcBorders/>
            <w:shd w:fill="CFF0FC" w:val="clear"/>
            <w:vAlign w:val="center"/>
          </w:tcPr>
          <w:p>
            <w:pPr>
              <w:pStyle w:val="TableContents"/>
              <w:bidi w:val="0"/>
              <w:spacing w:before="0" w:after="283"/>
              <w:jc w:val="center"/>
              <w:rPr/>
            </w:pPr>
            <w:r>
              <w:rPr/>
              <w:t> </w:t>
            </w:r>
          </w:p>
        </w:tc>
        <w:tc>
          <w:tcPr>
            <w:tcW w:w="192"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(18,535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(18,535</w:t>
            </w:r>
          </w:p>
        </w:tc>
        <w:tc>
          <w:tcPr>
            <w:tcW w:w="21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32"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retired</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0" w:type="dxa"/>
            <w:tcBorders/>
            <w:shd w:fill="FFFFFF" w:val="cle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9" w:type="dxa"/>
            <w:tcBorders/>
            <w:shd w:fill="FFFFFF" w:val="cle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color w:val="000000"/>
              </w:rPr>
            </w:pPr>
            <w:r>
              <w:rPr>
                <w:color w:val="000000"/>
              </w:rPr>
              <w:t>—</w:t>
            </w:r>
          </w:p>
        </w:tc>
        <w:tc>
          <w:tcPr>
            <w:tcW w:w="218" w:type="dxa"/>
            <w:tcBorders/>
            <w:shd w:fill="FFFFFF" w:val="clear"/>
            <w:vAlign w:val="center"/>
          </w:tcPr>
          <w:p>
            <w:pPr>
              <w:pStyle w:val="TableContents"/>
              <w:bidi w:val="0"/>
              <w:spacing w:before="0" w:after="283"/>
              <w:jc w:val="left"/>
              <w:rPr/>
            </w:pPr>
            <w:r>
              <w:rPr/>
              <w:t> </w:t>
            </w:r>
          </w:p>
        </w:tc>
      </w:tr>
      <w:tr>
        <w:trPr/>
        <w:tc>
          <w:tcPr>
            <w:tcW w:w="1732"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reclassification</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3" w:type="dxa"/>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0" w:type="dxa"/>
            <w:tcBorders/>
            <w:shd w:fill="CFF0FC" w:val="clear"/>
            <w:vAlign w:val="center"/>
          </w:tcPr>
          <w:p>
            <w:pPr>
              <w:pStyle w:val="TableContents"/>
              <w:bidi w:val="0"/>
              <w:spacing w:before="0" w:after="283"/>
              <w:jc w:val="center"/>
              <w:rPr/>
            </w:pPr>
            <w:r>
              <w:rPr/>
              <w:t> </w:t>
            </w:r>
          </w:p>
        </w:tc>
        <w:tc>
          <w:tcPr>
            <w:tcW w:w="163"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9" w:type="dxa"/>
            <w:tcBorders/>
            <w:shd w:fill="CFF0FC" w:val="clear"/>
            <w:vAlign w:val="center"/>
          </w:tcPr>
          <w:p>
            <w:pPr>
              <w:pStyle w:val="TableContents"/>
              <w:bidi w:val="0"/>
              <w:spacing w:before="0" w:after="283"/>
              <w:jc w:val="center"/>
              <w:rPr/>
            </w:pPr>
            <w:r>
              <w:rPr/>
              <w:t> </w:t>
            </w:r>
          </w:p>
        </w:tc>
        <w:tc>
          <w:tcPr>
            <w:tcW w:w="192"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color w:val="000000"/>
              </w:rPr>
            </w:pPr>
            <w:r>
              <w:rPr>
                <w:color w:val="000000"/>
              </w:rPr>
              <w:t>—</w:t>
            </w:r>
          </w:p>
        </w:tc>
        <w:tc>
          <w:tcPr>
            <w:tcW w:w="218" w:type="dxa"/>
            <w:tcBorders/>
            <w:shd w:fill="CFF0FC" w:val="clear"/>
            <w:vAlign w:val="center"/>
          </w:tcPr>
          <w:p>
            <w:pPr>
              <w:pStyle w:val="TableContents"/>
              <w:bidi w:val="0"/>
              <w:spacing w:before="0" w:after="283"/>
              <w:jc w:val="left"/>
              <w:rPr/>
            </w:pPr>
            <w:r>
              <w:rPr/>
              <w:t> </w:t>
            </w:r>
          </w:p>
        </w:tc>
      </w:tr>
      <w:tr>
        <w:trPr/>
        <w:tc>
          <w:tcPr>
            <w:tcW w:w="1732" w:type="dxa"/>
            <w:gridSpan w:val="2"/>
            <w:tcBorders/>
            <w:shd w:fill="FFFFFF" w:val="cle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Balances at June 30, 2024</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38,547,295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3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(34,266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605,108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(64,872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506,384</w:t>
            </w:r>
          </w:p>
        </w:tc>
        <w:tc>
          <w:tcPr>
            <w:tcW w:w="21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88"/>
        <w:gridCol w:w="632"/>
        <w:gridCol w:w="346"/>
        <w:gridCol w:w="146"/>
        <w:gridCol w:w="916"/>
        <w:gridCol w:w="166"/>
        <w:gridCol w:w="146"/>
        <w:gridCol w:w="196"/>
        <w:gridCol w:w="146"/>
        <w:gridCol w:w="376"/>
        <w:gridCol w:w="146"/>
        <w:gridCol w:w="146"/>
        <w:gridCol w:w="203"/>
        <w:gridCol w:w="151"/>
        <w:gridCol w:w="686"/>
        <w:gridCol w:w="166"/>
        <w:gridCol w:w="146"/>
        <w:gridCol w:w="219"/>
        <w:gridCol w:w="163"/>
        <w:gridCol w:w="774"/>
        <w:gridCol w:w="166"/>
        <w:gridCol w:w="146"/>
        <w:gridCol w:w="258"/>
        <w:gridCol w:w="191"/>
        <w:gridCol w:w="880"/>
        <w:gridCol w:w="166"/>
        <w:gridCol w:w="146"/>
        <w:gridCol w:w="204"/>
        <w:gridCol w:w="152"/>
        <w:gridCol w:w="720"/>
        <w:gridCol w:w="218"/>
      </w:tblGrid>
      <w:tr>
        <w:trPr/>
        <w:tc>
          <w:tcPr>
            <w:tcW w:w="108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08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09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9"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r>
      <w:tr>
        <w:trPr/>
        <w:tc>
          <w:tcPr>
            <w:tcW w:w="1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Six Months Ended June 30,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Shares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Excess of 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Undistributed Earnings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 Assets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0" w:type="dxa"/>
            <w:gridSpan w:val="2"/>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2023</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40,509,269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3"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605,110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(47,637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2"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547,071</w:t>
            </w:r>
          </w:p>
        </w:tc>
        <w:tc>
          <w:tcPr>
            <w:tcW w:w="218" w:type="dxa"/>
            <w:tcBorders/>
            <w:shd w:fill="FFFFFF" w:val="clear"/>
            <w:vAlign w:val="center"/>
          </w:tcPr>
          <w:p>
            <w:pPr>
              <w:pStyle w:val="TableContents"/>
              <w:bidi w:val="0"/>
              <w:spacing w:before="0" w:after="283"/>
              <w:jc w:val="left"/>
              <w:rPr/>
            </w:pPr>
            <w:r>
              <w:rPr/>
              <w:t> </w:t>
            </w:r>
          </w:p>
        </w:tc>
      </w:tr>
      <w:tr>
        <w:trPr/>
        <w:tc>
          <w:tcPr>
            <w:tcW w:w="1720"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3" w:type="dxa"/>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9" w:type="dxa"/>
            <w:tcBorders/>
            <w:shd w:fill="CFF0FC" w:val="clear"/>
            <w:vAlign w:val="center"/>
          </w:tcPr>
          <w:p>
            <w:pPr>
              <w:pStyle w:val="TableContents"/>
              <w:bidi w:val="0"/>
              <w:spacing w:before="0" w:after="283"/>
              <w:jc w:val="center"/>
              <w:rPr/>
            </w:pPr>
            <w:r>
              <w:rPr/>
              <w:t> </w:t>
            </w:r>
          </w:p>
        </w:tc>
        <w:tc>
          <w:tcPr>
            <w:tcW w:w="163"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8" w:type="dxa"/>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20,338</w:t>
            </w:r>
          </w:p>
        </w:tc>
        <w:tc>
          <w:tcPr>
            <w:tcW w:w="218" w:type="dxa"/>
            <w:tcBorders/>
            <w:shd w:fill="CFF0FC" w:val="clear"/>
            <w:vAlign w:val="center"/>
          </w:tcPr>
          <w:p>
            <w:pPr>
              <w:pStyle w:val="TableContents"/>
              <w:bidi w:val="0"/>
              <w:spacing w:before="0" w:after="283"/>
              <w:jc w:val="left"/>
              <w:rPr/>
            </w:pPr>
            <w:r>
              <w:rPr/>
              <w:t> </w:t>
            </w:r>
          </w:p>
        </w:tc>
      </w:tr>
      <w:tr>
        <w:trPr/>
        <w:tc>
          <w:tcPr>
            <w:tcW w:w="1720"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Acquisition of treasury stock</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(1,961,938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(23,450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8"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(23,450</w:t>
            </w:r>
          </w:p>
        </w:tc>
        <w:tc>
          <w:tcPr>
            <w:tcW w:w="21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20"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paid to stockholders</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3" w:type="dxa"/>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9" w:type="dxa"/>
            <w:tcBorders/>
            <w:shd w:fill="CFF0FC" w:val="clear"/>
            <w:vAlign w:val="center"/>
          </w:tcPr>
          <w:p>
            <w:pPr>
              <w:pStyle w:val="TableContents"/>
              <w:bidi w:val="0"/>
              <w:spacing w:before="0" w:after="283"/>
              <w:jc w:val="center"/>
              <w:rPr/>
            </w:pPr>
            <w:r>
              <w:rPr/>
              <w:t> </w:t>
            </w:r>
          </w:p>
        </w:tc>
        <w:tc>
          <w:tcPr>
            <w:tcW w:w="163"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8" w:type="dxa"/>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(37,575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(37,575</w:t>
            </w:r>
          </w:p>
        </w:tc>
        <w:tc>
          <w:tcPr>
            <w:tcW w:w="21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20"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retired</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8"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color w:val="000000"/>
              </w:rPr>
            </w:pPr>
            <w:r>
              <w:rPr>
                <w:color w:val="000000"/>
              </w:rPr>
              <w:t>—</w:t>
            </w:r>
          </w:p>
        </w:tc>
        <w:tc>
          <w:tcPr>
            <w:tcW w:w="218" w:type="dxa"/>
            <w:tcBorders/>
            <w:shd w:fill="FFFFFF" w:val="clear"/>
            <w:vAlign w:val="center"/>
          </w:tcPr>
          <w:p>
            <w:pPr>
              <w:pStyle w:val="TableContents"/>
              <w:bidi w:val="0"/>
              <w:spacing w:before="0" w:after="283"/>
              <w:jc w:val="left"/>
              <w:rPr/>
            </w:pPr>
            <w:r>
              <w:rPr/>
              <w:t> </w:t>
            </w:r>
          </w:p>
        </w:tc>
      </w:tr>
      <w:tr>
        <w:trPr/>
        <w:tc>
          <w:tcPr>
            <w:tcW w:w="1720"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reclassification</w:t>
            </w:r>
          </w:p>
        </w:tc>
        <w:tc>
          <w:tcPr>
            <w:tcW w:w="3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20" w:type="dxa"/>
            <w:gridSpan w:val="2"/>
            <w:tcBorders/>
            <w:shd w:fill="FFFFFF" w:val="cle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Balances at June 30, 2024</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38,547,295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605,108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506,384</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120"/>
        <w:jc w:val="left"/>
        <w:rPr/>
      </w:pPr>
      <w:r>
        <w:rPr/>
        <w:t> </w:t>
      </w:r>
    </w:p>
    <w:tbl>
      <w:tblPr>
        <w:tblW w:w="8267" w:type="dxa"/>
        <w:jc w:val="left"/>
        <w:tblInd w:w="0" w:type="dxa"/>
        <w:tblLayout w:type="fixed"/>
        <w:tblCellMar>
          <w:top w:w="28" w:type="dxa"/>
          <w:left w:w="28" w:type="dxa"/>
          <w:bottom w:w="28" w:type="dxa"/>
          <w:right w:w="28" w:type="dxa"/>
        </w:tblCellMar>
      </w:tblPr>
      <w:tblGrid>
        <w:gridCol w:w="241"/>
        <w:gridCol w:w="8026"/>
      </w:tblGrid>
      <w:tr>
        <w:trPr/>
        <w:tc>
          <w:tcPr>
            <w:tcW w:w="241" w:type="dxa"/>
            <w:tcBorders/>
            <w:vAlign w:val="center"/>
          </w:tcPr>
          <w:p>
            <w:pPr>
              <w:pStyle w:val="TableContents"/>
              <w:bidi w:val="0"/>
              <w:spacing w:before="0" w:after="283"/>
              <w:jc w:val="left"/>
              <w:rPr>
                <w:sz w:val="4"/>
                <w:szCs w:val="4"/>
              </w:rPr>
            </w:pPr>
            <w:r>
              <w:rPr>
                <w:sz w:val="4"/>
                <w:szCs w:val="4"/>
              </w:rPr>
            </w:r>
          </w:p>
        </w:tc>
        <w:tc>
          <w:tcPr>
            <w:tcW w:w="8026" w:type="dxa"/>
            <w:tcBorders/>
            <w:vAlign w:val="center"/>
          </w:tcPr>
          <w:p>
            <w:pPr>
              <w:pStyle w:val="TableContents"/>
              <w:bidi w:val="0"/>
              <w:spacing w:before="0" w:after="283"/>
              <w:jc w:val="left"/>
              <w:rPr>
                <w:sz w:val="4"/>
                <w:szCs w:val="4"/>
              </w:rPr>
            </w:pPr>
            <w:r>
              <w:rPr>
                <w:sz w:val="4"/>
                <w:szCs w:val="4"/>
              </w:rPr>
            </w:r>
          </w:p>
        </w:tc>
      </w:tr>
      <w:tr>
        <w:trPr/>
        <w:tc>
          <w:tcPr>
            <w:tcW w:w="241"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80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Number of shares is shown net of cumulative treasury stock repurchases of 2,833,283</w:t>
            </w:r>
            <w:r>
              <w:rPr>
                <w:rFonts w:ascii="Times New Roman" w:hAnsi="Times New Roman"/>
                <w:color w:val="000000"/>
                <w:sz w:val="20"/>
              </w:rPr>
              <w:t> </w:t>
            </w:r>
            <w:r>
              <w:rPr>
                <w:rFonts w:ascii="Times New Roman" w:hAnsi="Times New Roman"/>
                <w:color w:val="000000"/>
                <w:sz w:val="16"/>
              </w:rPr>
              <w:t>shares as of June 30, 2024.</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99"/>
        <w:gridCol w:w="645"/>
        <w:gridCol w:w="346"/>
        <w:gridCol w:w="146"/>
        <w:gridCol w:w="916"/>
        <w:gridCol w:w="146"/>
        <w:gridCol w:w="146"/>
        <w:gridCol w:w="196"/>
        <w:gridCol w:w="146"/>
        <w:gridCol w:w="376"/>
        <w:gridCol w:w="146"/>
        <w:gridCol w:w="146"/>
        <w:gridCol w:w="203"/>
        <w:gridCol w:w="151"/>
        <w:gridCol w:w="687"/>
        <w:gridCol w:w="166"/>
        <w:gridCol w:w="146"/>
        <w:gridCol w:w="220"/>
        <w:gridCol w:w="164"/>
        <w:gridCol w:w="777"/>
        <w:gridCol w:w="146"/>
        <w:gridCol w:w="146"/>
        <w:gridCol w:w="260"/>
        <w:gridCol w:w="193"/>
        <w:gridCol w:w="886"/>
        <w:gridCol w:w="166"/>
        <w:gridCol w:w="146"/>
        <w:gridCol w:w="204"/>
        <w:gridCol w:w="152"/>
        <w:gridCol w:w="721"/>
        <w:gridCol w:w="217"/>
      </w:tblGrid>
      <w:tr>
        <w:trPr/>
        <w:tc>
          <w:tcPr>
            <w:tcW w:w="109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099"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07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left"/>
              <w:rPr/>
            </w:pPr>
            <w:r>
              <w:rPr/>
              <w:t> </w:t>
            </w:r>
          </w:p>
        </w:tc>
        <w:tc>
          <w:tcPr>
            <w:tcW w:w="83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61"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9"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73" w:type="dxa"/>
            <w:gridSpan w:val="2"/>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r>
      <w:tr>
        <w:trPr/>
        <w:tc>
          <w:tcPr>
            <w:tcW w:w="1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Three Months Ended June 30, 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Shares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Excess of 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Undistributed Earnings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 Assets</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4" w:type="dxa"/>
            <w:gridSpan w:val="2"/>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2023</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40,509,269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2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4"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605,774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3"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(25,565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2"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569,807</w:t>
            </w:r>
          </w:p>
        </w:tc>
        <w:tc>
          <w:tcPr>
            <w:tcW w:w="217" w:type="dxa"/>
            <w:tcBorders/>
            <w:shd w:fill="FFFFFF" w:val="clear"/>
            <w:vAlign w:val="center"/>
          </w:tcPr>
          <w:p>
            <w:pPr>
              <w:pStyle w:val="TableContents"/>
              <w:bidi w:val="0"/>
              <w:spacing w:before="0" w:after="283"/>
              <w:jc w:val="left"/>
              <w:rPr/>
            </w:pPr>
            <w:r>
              <w:rPr/>
              <w:t> </w:t>
            </w:r>
          </w:p>
        </w:tc>
      </w:tr>
      <w:tr>
        <w:trPr/>
        <w:tc>
          <w:tcPr>
            <w:tcW w:w="1744"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3" w:type="dxa"/>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0" w:type="dxa"/>
            <w:tcBorders/>
            <w:shd w:fill="CFF0FC" w:val="clear"/>
            <w:vAlign w:val="center"/>
          </w:tcPr>
          <w:p>
            <w:pPr>
              <w:pStyle w:val="TableContents"/>
              <w:bidi w:val="0"/>
              <w:spacing w:before="0" w:after="283"/>
              <w:jc w:val="center"/>
              <w:rPr/>
            </w:pPr>
            <w:r>
              <w:rPr/>
              <w:t> </w:t>
            </w:r>
          </w:p>
        </w:tc>
        <w:tc>
          <w:tcPr>
            <w:tcW w:w="164"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0" w:type="dxa"/>
            <w:tcBorders/>
            <w:shd w:fill="CFF0FC" w:val="clear"/>
            <w:vAlign w:val="center"/>
          </w:tcPr>
          <w:p>
            <w:pPr>
              <w:pStyle w:val="TableContents"/>
              <w:bidi w:val="0"/>
              <w:spacing w:before="0" w:after="283"/>
              <w:jc w:val="center"/>
              <w:rPr/>
            </w:pPr>
            <w:r>
              <w:rPr/>
              <w:t> </w:t>
            </w:r>
          </w:p>
        </w:tc>
        <w:tc>
          <w:tcPr>
            <w:tcW w:w="193"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22,320</w:t>
            </w:r>
          </w:p>
        </w:tc>
        <w:tc>
          <w:tcPr>
            <w:tcW w:w="217" w:type="dxa"/>
            <w:tcBorders/>
            <w:shd w:fill="CFF0FC" w:val="clear"/>
            <w:vAlign w:val="center"/>
          </w:tcPr>
          <w:p>
            <w:pPr>
              <w:pStyle w:val="TableContents"/>
              <w:bidi w:val="0"/>
              <w:spacing w:before="0" w:after="283"/>
              <w:jc w:val="left"/>
              <w:rPr/>
            </w:pPr>
            <w:r>
              <w:rPr/>
              <w:t> </w:t>
            </w:r>
          </w:p>
        </w:tc>
      </w:tr>
      <w:tr>
        <w:trPr/>
        <w:tc>
          <w:tcPr>
            <w:tcW w:w="1744"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Acquisition of treasury stock</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0" w:type="dxa"/>
            <w:tcBorders/>
            <w:shd w:fill="FFFFFF" w:val="cle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217" w:type="dxa"/>
            <w:tcBorders/>
            <w:shd w:fill="FFFFFF" w:val="clear"/>
            <w:vAlign w:val="center"/>
          </w:tcPr>
          <w:p>
            <w:pPr>
              <w:pStyle w:val="TableContents"/>
              <w:bidi w:val="0"/>
              <w:spacing w:before="0" w:after="283"/>
              <w:jc w:val="left"/>
              <w:rPr/>
            </w:pPr>
            <w:r>
              <w:rPr/>
              <w:t> </w:t>
            </w:r>
          </w:p>
        </w:tc>
      </w:tr>
      <w:tr>
        <w:trPr/>
        <w:tc>
          <w:tcPr>
            <w:tcW w:w="1744"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paid to stockholders</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3" w:type="dxa"/>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0" w:type="dxa"/>
            <w:tcBorders/>
            <w:shd w:fill="CFF0FC" w:val="clear"/>
            <w:vAlign w:val="center"/>
          </w:tcPr>
          <w:p>
            <w:pPr>
              <w:pStyle w:val="TableContents"/>
              <w:bidi w:val="0"/>
              <w:spacing w:before="0" w:after="283"/>
              <w:jc w:val="center"/>
              <w:rPr/>
            </w:pPr>
            <w:r>
              <w:rPr/>
              <w:t> </w:t>
            </w:r>
          </w:p>
        </w:tc>
        <w:tc>
          <w:tcPr>
            <w:tcW w:w="164"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0" w:type="dxa"/>
            <w:tcBorders/>
            <w:shd w:fill="CFF0FC" w:val="clear"/>
            <w:vAlign w:val="center"/>
          </w:tcPr>
          <w:p>
            <w:pPr>
              <w:pStyle w:val="TableContents"/>
              <w:bidi w:val="0"/>
              <w:spacing w:before="0" w:after="283"/>
              <w:jc w:val="center"/>
              <w:rPr/>
            </w:pPr>
            <w:r>
              <w:rPr/>
              <w:t> </w:t>
            </w:r>
          </w:p>
        </w:tc>
        <w:tc>
          <w:tcPr>
            <w:tcW w:w="193"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(18,229</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4"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retired</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0" w:type="dxa"/>
            <w:tcBorders/>
            <w:shd w:fill="FFFFFF" w:val="cle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217" w:type="dxa"/>
            <w:tcBorders/>
            <w:shd w:fill="FFFFFF" w:val="clear"/>
            <w:vAlign w:val="center"/>
          </w:tcPr>
          <w:p>
            <w:pPr>
              <w:pStyle w:val="TableContents"/>
              <w:bidi w:val="0"/>
              <w:spacing w:before="0" w:after="283"/>
              <w:jc w:val="left"/>
              <w:rPr/>
            </w:pPr>
            <w:r>
              <w:rPr/>
              <w:t> </w:t>
            </w:r>
          </w:p>
        </w:tc>
      </w:tr>
      <w:tr>
        <w:trPr/>
        <w:tc>
          <w:tcPr>
            <w:tcW w:w="1744"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reclassification</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3" w:type="dxa"/>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0" w:type="dxa"/>
            <w:tcBorders/>
            <w:shd w:fill="CFF0FC" w:val="clear"/>
            <w:vAlign w:val="center"/>
          </w:tcPr>
          <w:p>
            <w:pPr>
              <w:pStyle w:val="TableContents"/>
              <w:bidi w:val="0"/>
              <w:spacing w:before="0" w:after="283"/>
              <w:jc w:val="center"/>
              <w:rPr/>
            </w:pPr>
            <w:r>
              <w:rPr/>
              <w:t> </w:t>
            </w:r>
          </w:p>
        </w:tc>
        <w:tc>
          <w:tcPr>
            <w:tcW w:w="164"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0" w:type="dxa"/>
            <w:tcBorders/>
            <w:shd w:fill="CFF0FC" w:val="clear"/>
            <w:vAlign w:val="center"/>
          </w:tcPr>
          <w:p>
            <w:pPr>
              <w:pStyle w:val="TableContents"/>
              <w:bidi w:val="0"/>
              <w:spacing w:before="0" w:after="283"/>
              <w:jc w:val="center"/>
              <w:rPr/>
            </w:pPr>
            <w:r>
              <w:rPr/>
              <w:t> </w:t>
            </w:r>
          </w:p>
        </w:tc>
        <w:tc>
          <w:tcPr>
            <w:tcW w:w="193"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217" w:type="dxa"/>
            <w:tcBorders/>
            <w:shd w:fill="CFF0FC" w:val="clear"/>
            <w:vAlign w:val="center"/>
          </w:tcPr>
          <w:p>
            <w:pPr>
              <w:pStyle w:val="TableContents"/>
              <w:bidi w:val="0"/>
              <w:spacing w:before="0" w:after="283"/>
              <w:jc w:val="left"/>
              <w:rPr/>
            </w:pPr>
            <w:r>
              <w:rPr/>
              <w:t> </w:t>
            </w:r>
          </w:p>
        </w:tc>
      </w:tr>
      <w:tr>
        <w:trPr/>
        <w:tc>
          <w:tcPr>
            <w:tcW w:w="1744" w:type="dxa"/>
            <w:gridSpan w:val="2"/>
            <w:tcBorders/>
            <w:shd w:fill="FFFFFF" w:val="cle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Balances at June 30, 2023</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40,509,269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3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605,774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(21,474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573,898</w:t>
            </w:r>
          </w:p>
        </w:tc>
        <w:tc>
          <w:tcPr>
            <w:tcW w:w="21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20"/>
        <w:jc w:val="center"/>
        <w:rPr/>
      </w:pPr>
      <w:r>
        <w:rPr/>
        <w:t> </w:t>
      </w:r>
    </w:p>
    <w:tbl>
      <w:tblPr>
        <w:tblW w:w="10205" w:type="dxa"/>
        <w:jc w:val="left"/>
        <w:tblInd w:w="0" w:type="dxa"/>
        <w:tblLayout w:type="fixed"/>
        <w:tblCellMar>
          <w:top w:w="28" w:type="dxa"/>
          <w:left w:w="28" w:type="dxa"/>
          <w:bottom w:w="28" w:type="dxa"/>
          <w:right w:w="28" w:type="dxa"/>
        </w:tblCellMar>
      </w:tblPr>
      <w:tblGrid>
        <w:gridCol w:w="1099"/>
        <w:gridCol w:w="645"/>
        <w:gridCol w:w="346"/>
        <w:gridCol w:w="146"/>
        <w:gridCol w:w="916"/>
        <w:gridCol w:w="146"/>
        <w:gridCol w:w="146"/>
        <w:gridCol w:w="196"/>
        <w:gridCol w:w="146"/>
        <w:gridCol w:w="376"/>
        <w:gridCol w:w="146"/>
        <w:gridCol w:w="146"/>
        <w:gridCol w:w="203"/>
        <w:gridCol w:w="151"/>
        <w:gridCol w:w="687"/>
        <w:gridCol w:w="166"/>
        <w:gridCol w:w="146"/>
        <w:gridCol w:w="220"/>
        <w:gridCol w:w="164"/>
        <w:gridCol w:w="777"/>
        <w:gridCol w:w="146"/>
        <w:gridCol w:w="146"/>
        <w:gridCol w:w="260"/>
        <w:gridCol w:w="193"/>
        <w:gridCol w:w="886"/>
        <w:gridCol w:w="166"/>
        <w:gridCol w:w="146"/>
        <w:gridCol w:w="204"/>
        <w:gridCol w:w="152"/>
        <w:gridCol w:w="721"/>
        <w:gridCol w:w="217"/>
      </w:tblGrid>
      <w:tr>
        <w:trPr/>
        <w:tc>
          <w:tcPr>
            <w:tcW w:w="109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099"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07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left"/>
              <w:rPr/>
            </w:pPr>
            <w:r>
              <w:rPr/>
              <w:t> </w:t>
            </w:r>
          </w:p>
        </w:tc>
        <w:tc>
          <w:tcPr>
            <w:tcW w:w="83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61"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9"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73" w:type="dxa"/>
            <w:gridSpan w:val="2"/>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r>
      <w:tr>
        <w:trPr/>
        <w:tc>
          <w:tcPr>
            <w:tcW w:w="1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Six Months Ended June 30, 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Shares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Excess of 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Undistributed Earnings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 Assets</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4" w:type="dxa"/>
            <w:gridSpan w:val="2"/>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2022</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40,509,269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2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4"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605,774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3"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(19,320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2"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576,052</w:t>
            </w:r>
          </w:p>
        </w:tc>
        <w:tc>
          <w:tcPr>
            <w:tcW w:w="217" w:type="dxa"/>
            <w:tcBorders/>
            <w:shd w:fill="FFFFFF" w:val="clear"/>
            <w:vAlign w:val="center"/>
          </w:tcPr>
          <w:p>
            <w:pPr>
              <w:pStyle w:val="TableContents"/>
              <w:bidi w:val="0"/>
              <w:spacing w:before="0" w:after="283"/>
              <w:jc w:val="left"/>
              <w:rPr/>
            </w:pPr>
            <w:r>
              <w:rPr/>
              <w:t> </w:t>
            </w:r>
          </w:p>
        </w:tc>
      </w:tr>
      <w:tr>
        <w:trPr/>
        <w:tc>
          <w:tcPr>
            <w:tcW w:w="1744"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3" w:type="dxa"/>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0" w:type="dxa"/>
            <w:tcBorders/>
            <w:shd w:fill="CFF0FC" w:val="clear"/>
            <w:vAlign w:val="center"/>
          </w:tcPr>
          <w:p>
            <w:pPr>
              <w:pStyle w:val="TableContents"/>
              <w:bidi w:val="0"/>
              <w:spacing w:before="0" w:after="283"/>
              <w:jc w:val="center"/>
              <w:rPr/>
            </w:pPr>
            <w:r>
              <w:rPr/>
              <w:t> </w:t>
            </w:r>
          </w:p>
        </w:tc>
        <w:tc>
          <w:tcPr>
            <w:tcW w:w="164"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0" w:type="dxa"/>
            <w:tcBorders/>
            <w:shd w:fill="CFF0FC" w:val="clear"/>
            <w:vAlign w:val="center"/>
          </w:tcPr>
          <w:p>
            <w:pPr>
              <w:pStyle w:val="TableContents"/>
              <w:bidi w:val="0"/>
              <w:spacing w:before="0" w:after="283"/>
              <w:jc w:val="center"/>
              <w:rPr/>
            </w:pPr>
            <w:r>
              <w:rPr/>
              <w:t> </w:t>
            </w:r>
          </w:p>
        </w:tc>
        <w:tc>
          <w:tcPr>
            <w:tcW w:w="193"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34,304</w:t>
            </w:r>
          </w:p>
        </w:tc>
        <w:tc>
          <w:tcPr>
            <w:tcW w:w="217" w:type="dxa"/>
            <w:tcBorders/>
            <w:shd w:fill="CFF0FC" w:val="clear"/>
            <w:vAlign w:val="center"/>
          </w:tcPr>
          <w:p>
            <w:pPr>
              <w:pStyle w:val="TableContents"/>
              <w:bidi w:val="0"/>
              <w:spacing w:before="0" w:after="283"/>
              <w:jc w:val="left"/>
              <w:rPr/>
            </w:pPr>
            <w:r>
              <w:rPr/>
              <w:t> </w:t>
            </w:r>
          </w:p>
        </w:tc>
      </w:tr>
      <w:tr>
        <w:trPr/>
        <w:tc>
          <w:tcPr>
            <w:tcW w:w="1744"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Acquisition of treasury stock</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0" w:type="dxa"/>
            <w:tcBorders/>
            <w:shd w:fill="FFFFFF" w:val="cle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217" w:type="dxa"/>
            <w:tcBorders/>
            <w:shd w:fill="FFFFFF" w:val="clear"/>
            <w:vAlign w:val="center"/>
          </w:tcPr>
          <w:p>
            <w:pPr>
              <w:pStyle w:val="TableContents"/>
              <w:bidi w:val="0"/>
              <w:spacing w:before="0" w:after="283"/>
              <w:jc w:val="left"/>
              <w:rPr/>
            </w:pPr>
            <w:r>
              <w:rPr/>
              <w:t> </w:t>
            </w:r>
          </w:p>
        </w:tc>
      </w:tr>
      <w:tr>
        <w:trPr/>
        <w:tc>
          <w:tcPr>
            <w:tcW w:w="1744"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paid to stockholders</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3" w:type="dxa"/>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0" w:type="dxa"/>
            <w:tcBorders/>
            <w:shd w:fill="CFF0FC" w:val="clear"/>
            <w:vAlign w:val="center"/>
          </w:tcPr>
          <w:p>
            <w:pPr>
              <w:pStyle w:val="TableContents"/>
              <w:bidi w:val="0"/>
              <w:spacing w:before="0" w:after="283"/>
              <w:jc w:val="center"/>
              <w:rPr/>
            </w:pPr>
            <w:r>
              <w:rPr/>
              <w:t> </w:t>
            </w:r>
          </w:p>
        </w:tc>
        <w:tc>
          <w:tcPr>
            <w:tcW w:w="164"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0" w:type="dxa"/>
            <w:tcBorders/>
            <w:shd w:fill="CFF0FC" w:val="clear"/>
            <w:vAlign w:val="center"/>
          </w:tcPr>
          <w:p>
            <w:pPr>
              <w:pStyle w:val="TableContents"/>
              <w:bidi w:val="0"/>
              <w:spacing w:before="0" w:after="283"/>
              <w:jc w:val="center"/>
              <w:rPr/>
            </w:pPr>
            <w:r>
              <w:rPr/>
              <w:t> </w:t>
            </w:r>
          </w:p>
        </w:tc>
        <w:tc>
          <w:tcPr>
            <w:tcW w:w="193"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(36,458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(36,458</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4"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retired</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0" w:type="dxa"/>
            <w:tcBorders/>
            <w:shd w:fill="FFFFFF" w:val="cle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217" w:type="dxa"/>
            <w:tcBorders/>
            <w:shd w:fill="FFFFFF" w:val="clear"/>
            <w:vAlign w:val="center"/>
          </w:tcPr>
          <w:p>
            <w:pPr>
              <w:pStyle w:val="TableContents"/>
              <w:bidi w:val="0"/>
              <w:spacing w:before="0" w:after="283"/>
              <w:jc w:val="left"/>
              <w:rPr/>
            </w:pPr>
            <w:r>
              <w:rPr/>
              <w:t> </w:t>
            </w:r>
          </w:p>
        </w:tc>
      </w:tr>
      <w:tr>
        <w:trPr/>
        <w:tc>
          <w:tcPr>
            <w:tcW w:w="1744"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reclassification</w:t>
            </w:r>
          </w:p>
        </w:tc>
        <w:tc>
          <w:tcPr>
            <w:tcW w:w="3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4" w:type="dxa"/>
            <w:gridSpan w:val="2"/>
            <w:tcBorders/>
            <w:shd w:fill="FFFFFF" w:val="cle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Balances at June 30, 2023</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40,509,269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605,774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573,898</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120"/>
        <w:jc w:val="center"/>
        <w:rPr/>
      </w:pPr>
      <w:r>
        <w:rPr/>
        <w:t> </w:t>
      </w:r>
    </w:p>
    <w:tbl>
      <w:tblPr>
        <w:tblW w:w="8132" w:type="dxa"/>
        <w:jc w:val="left"/>
        <w:tblInd w:w="0" w:type="dxa"/>
        <w:tblLayout w:type="fixed"/>
        <w:tblCellMar>
          <w:top w:w="28" w:type="dxa"/>
          <w:left w:w="28" w:type="dxa"/>
          <w:bottom w:w="28" w:type="dxa"/>
          <w:right w:w="28" w:type="dxa"/>
        </w:tblCellMar>
      </w:tblPr>
      <w:tblGrid>
        <w:gridCol w:w="241"/>
        <w:gridCol w:w="7891"/>
      </w:tblGrid>
      <w:tr>
        <w:trPr/>
        <w:tc>
          <w:tcPr>
            <w:tcW w:w="241" w:type="dxa"/>
            <w:tcBorders/>
            <w:vAlign w:val="center"/>
          </w:tcPr>
          <w:p>
            <w:pPr>
              <w:pStyle w:val="TableContents"/>
              <w:bidi w:val="0"/>
              <w:spacing w:before="0" w:after="283"/>
              <w:jc w:val="left"/>
              <w:rPr>
                <w:sz w:val="4"/>
                <w:szCs w:val="4"/>
              </w:rPr>
            </w:pPr>
            <w:r>
              <w:rPr>
                <w:sz w:val="4"/>
                <w:szCs w:val="4"/>
              </w:rPr>
            </w:r>
          </w:p>
        </w:tc>
        <w:tc>
          <w:tcPr>
            <w:tcW w:w="7891" w:type="dxa"/>
            <w:tcBorders/>
            <w:vAlign w:val="center"/>
          </w:tcPr>
          <w:p>
            <w:pPr>
              <w:pStyle w:val="TableContents"/>
              <w:bidi w:val="0"/>
              <w:spacing w:before="0" w:after="283"/>
              <w:jc w:val="left"/>
              <w:rPr>
                <w:sz w:val="4"/>
                <w:szCs w:val="4"/>
              </w:rPr>
            </w:pPr>
            <w:r>
              <w:rPr>
                <w:sz w:val="4"/>
                <w:szCs w:val="4"/>
              </w:rPr>
            </w:r>
          </w:p>
        </w:tc>
      </w:tr>
      <w:tr>
        <w:trPr/>
        <w:tc>
          <w:tcPr>
            <w:tcW w:w="241"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78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Number of shares is shown net of cumulative treasury stock repurchases of 871,345</w:t>
            </w:r>
            <w:r>
              <w:rPr>
                <w:rFonts w:ascii="Times New Roman" w:hAnsi="Times New Roman"/>
                <w:color w:val="000000"/>
                <w:sz w:val="20"/>
              </w:rPr>
              <w:t> </w:t>
            </w:r>
            <w:r>
              <w:rPr>
                <w:rFonts w:ascii="Times New Roman" w:hAnsi="Times New Roman"/>
                <w:color w:val="000000"/>
                <w:sz w:val="16"/>
              </w:rPr>
              <w:t>shares as of June 30, 2023.</w:t>
            </w:r>
          </w:p>
        </w:tc>
      </w:tr>
    </w:tbl>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8" w:name="statementsofcashflows"/>
      <w:bookmarkEnd w:id="8"/>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6940"/>
        <w:gridCol w:w="146"/>
        <w:gridCol w:w="204"/>
        <w:gridCol w:w="152"/>
        <w:gridCol w:w="784"/>
        <w:gridCol w:w="173"/>
        <w:gridCol w:w="152"/>
        <w:gridCol w:w="204"/>
        <w:gridCol w:w="152"/>
        <w:gridCol w:w="784"/>
        <w:gridCol w:w="514"/>
      </w:tblGrid>
      <w:tr>
        <w:trPr/>
        <w:tc>
          <w:tcPr>
            <w:tcW w:w="6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69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05"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514" w:type="dxa"/>
            <w:tcBorders/>
            <w:shd w:fill="FFFFFF" w:val="clear"/>
            <w:vAlign w:val="center"/>
          </w:tcPr>
          <w:p>
            <w:pPr>
              <w:pStyle w:val="TableContents"/>
              <w:bidi w:val="0"/>
              <w:spacing w:before="0" w:after="283"/>
              <w:jc w:val="center"/>
              <w:rPr/>
            </w:pPr>
            <w:r>
              <w:rPr/>
              <w:t> </w:t>
            </w:r>
          </w:p>
        </w:tc>
      </w:tr>
      <w:tr>
        <w:trPr/>
        <w:tc>
          <w:tcPr>
            <w:tcW w:w="69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11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936" w:type="dxa"/>
            <w:gridSpan w:val="2"/>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936" w:type="dxa"/>
            <w:gridSpan w:val="2"/>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ind w:left="0" w:right="0" w:firstLine="100"/>
              <w:jc w:val="left"/>
              <w:rPr/>
            </w:pPr>
            <w:r>
              <w:rPr/>
              <w:t> </w:t>
            </w:r>
          </w:p>
        </w:tc>
      </w:tr>
      <w:tr>
        <w:trPr/>
        <w:tc>
          <w:tcPr>
            <w:tcW w:w="694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20,338</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34,304</w:t>
            </w:r>
          </w:p>
        </w:tc>
        <w:tc>
          <w:tcPr>
            <w:tcW w:w="514" w:type="dxa"/>
            <w:tcBorders/>
            <w:shd w:fill="FFFFFF" w:val="clear"/>
            <w:vAlign w:val="center"/>
          </w:tcPr>
          <w:p>
            <w:pPr>
              <w:pStyle w:val="TableContents"/>
              <w:bidi w:val="0"/>
              <w:spacing w:before="0" w:after="283"/>
              <w:ind w:left="0" w:right="0" w:firstLine="100"/>
              <w:jc w:val="left"/>
              <w:rPr/>
            </w:pPr>
            <w:r>
              <w:rPr/>
              <w:t> </w:t>
            </w:r>
          </w:p>
        </w:tc>
      </w:tr>
      <w:tr>
        <w:trPr/>
        <w:tc>
          <w:tcPr>
            <w:tcW w:w="694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Adjustments to reconcile net increase in net assets resulting from operations to net cash provided by (used in) operating activities:</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936" w:type="dxa"/>
            <w:gridSpan w:val="2"/>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936" w:type="dxa"/>
            <w:gridSpan w:val="2"/>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ind w:left="0" w:right="0" w:firstLine="200"/>
              <w:jc w:val="left"/>
              <w:rPr/>
            </w:pPr>
            <w:r>
              <w:rPr/>
              <w:t> </w:t>
            </w:r>
          </w:p>
        </w:tc>
      </w:tr>
      <w:tr>
        <w:trPr/>
        <w:tc>
          <w:tcPr>
            <w:tcW w:w="694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Purchases of investments</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(100,025</w:t>
            </w:r>
          </w:p>
        </w:tc>
        <w:tc>
          <w:tcPr>
            <w:tcW w:w="1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(63,540</w:t>
            </w:r>
          </w:p>
        </w:tc>
        <w:tc>
          <w:tcPr>
            <w:tcW w:w="514"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4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Purchases of U.S. Treasury Bills</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color w:val="000000"/>
              </w:rPr>
            </w:pPr>
            <w:r>
              <w:rPr>
                <w:color w:val="000000"/>
              </w:rPr>
              <w:t>—</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(34,974</w:t>
            </w:r>
          </w:p>
        </w:tc>
        <w:tc>
          <w:tcPr>
            <w:tcW w:w="514"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4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Payment-in-kind interest</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(6,863</w:t>
            </w:r>
          </w:p>
        </w:tc>
        <w:tc>
          <w:tcPr>
            <w:tcW w:w="1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(9,783</w:t>
            </w:r>
          </w:p>
        </w:tc>
        <w:tc>
          <w:tcPr>
            <w:tcW w:w="514"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4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Sales or repayments of investments</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61,507</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105,672</w:t>
            </w:r>
          </w:p>
        </w:tc>
        <w:tc>
          <w:tcPr>
            <w:tcW w:w="514" w:type="dxa"/>
            <w:tcBorders/>
            <w:shd w:fill="CFF0FC" w:val="clear"/>
            <w:vAlign w:val="center"/>
          </w:tcPr>
          <w:p>
            <w:pPr>
              <w:pStyle w:val="TableContents"/>
              <w:bidi w:val="0"/>
              <w:spacing w:before="0" w:after="283"/>
              <w:ind w:left="0" w:right="0" w:firstLine="200"/>
              <w:jc w:val="left"/>
              <w:rPr/>
            </w:pPr>
            <w:r>
              <w:rPr/>
              <w:t> </w:t>
            </w:r>
          </w:p>
        </w:tc>
      </w:tr>
      <w:tr>
        <w:trPr/>
        <w:tc>
          <w:tcPr>
            <w:tcW w:w="694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Sales or maturities of U.S. Treasury Bills</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42,029</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514" w:type="dxa"/>
            <w:tcBorders/>
            <w:shd w:fill="FFFFFF" w:val="clear"/>
            <w:vAlign w:val="center"/>
          </w:tcPr>
          <w:p>
            <w:pPr>
              <w:pStyle w:val="TableContents"/>
              <w:bidi w:val="0"/>
              <w:spacing w:before="0" w:after="283"/>
              <w:ind w:left="0" w:right="0" w:firstLine="200"/>
              <w:jc w:val="left"/>
              <w:rPr/>
            </w:pPr>
            <w:r>
              <w:rPr/>
              <w:t> </w:t>
            </w:r>
          </w:p>
        </w:tc>
      </w:tr>
      <w:tr>
        <w:trPr/>
        <w:tc>
          <w:tcPr>
            <w:tcW w:w="694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color w:val="000000"/>
              </w:rPr>
            </w:pPr>
            <w:r>
              <w:rPr>
                <w:color w:val="000000"/>
              </w:rPr>
              <w:t>—</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w:t>
            </w:r>
          </w:p>
        </w:tc>
        <w:tc>
          <w:tcPr>
            <w:tcW w:w="514" w:type="dxa"/>
            <w:tcBorders/>
            <w:shd w:fill="CFF0FC" w:val="clear"/>
            <w:vAlign w:val="center"/>
          </w:tcPr>
          <w:p>
            <w:pPr>
              <w:pStyle w:val="TableContents"/>
              <w:bidi w:val="0"/>
              <w:spacing w:before="0" w:after="283"/>
              <w:ind w:left="0" w:right="0" w:firstLine="200"/>
              <w:jc w:val="left"/>
              <w:rPr/>
            </w:pPr>
            <w:r>
              <w:rPr/>
              <w:t> </w:t>
            </w:r>
          </w:p>
        </w:tc>
      </w:tr>
      <w:tr>
        <w:trPr/>
        <w:tc>
          <w:tcPr>
            <w:tcW w:w="694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unrealized (gain) loss on investments</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12,917</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2,440</w:t>
            </w:r>
          </w:p>
        </w:tc>
        <w:tc>
          <w:tcPr>
            <w:tcW w:w="514" w:type="dxa"/>
            <w:tcBorders/>
            <w:shd w:fill="FFFFFF" w:val="clear"/>
            <w:vAlign w:val="center"/>
          </w:tcPr>
          <w:p>
            <w:pPr>
              <w:pStyle w:val="TableContents"/>
              <w:bidi w:val="0"/>
              <w:spacing w:before="0" w:after="283"/>
              <w:ind w:left="0" w:right="0" w:firstLine="200"/>
              <w:jc w:val="left"/>
              <w:rPr/>
            </w:pPr>
            <w:r>
              <w:rPr/>
              <w:t> </w:t>
            </w:r>
          </w:p>
        </w:tc>
      </w:tr>
      <w:tr>
        <w:trPr/>
        <w:tc>
          <w:tcPr>
            <w:tcW w:w="694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Amortization of fixed income premiums or accretion of discounts</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(5,880</w:t>
            </w:r>
          </w:p>
        </w:tc>
        <w:tc>
          <w:tcPr>
            <w:tcW w:w="1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(5,005</w:t>
            </w:r>
          </w:p>
        </w:tc>
        <w:tc>
          <w:tcPr>
            <w:tcW w:w="514"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4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Amortization of deferred debt costs</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1,698</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w:t>
            </w:r>
          </w:p>
        </w:tc>
        <w:tc>
          <w:tcPr>
            <w:tcW w:w="514" w:type="dxa"/>
            <w:tcBorders/>
            <w:shd w:fill="FFFFFF" w:val="clear"/>
            <w:vAlign w:val="center"/>
          </w:tcPr>
          <w:p>
            <w:pPr>
              <w:pStyle w:val="TableContents"/>
              <w:bidi w:val="0"/>
              <w:spacing w:before="0" w:after="283"/>
              <w:ind w:left="0" w:right="0" w:firstLine="100"/>
              <w:jc w:val="left"/>
              <w:rPr/>
            </w:pPr>
            <w:r>
              <w:rPr/>
              <w:t> </w:t>
            </w:r>
          </w:p>
        </w:tc>
      </w:tr>
      <w:tr>
        <w:trPr/>
        <w:tc>
          <w:tcPr>
            <w:tcW w:w="694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936" w:type="dxa"/>
            <w:gridSpan w:val="2"/>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936" w:type="dxa"/>
            <w:gridSpan w:val="2"/>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ind w:left="0" w:right="0" w:firstLine="200"/>
              <w:jc w:val="left"/>
              <w:rPr/>
            </w:pPr>
            <w:r>
              <w:rPr/>
              <w:t> </w:t>
            </w:r>
          </w:p>
        </w:tc>
      </w:tr>
      <w:tr>
        <w:trPr/>
        <w:tc>
          <w:tcPr>
            <w:tcW w:w="694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(Increase) decrease in interest and fees receivable</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2,509</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w:t>
            </w:r>
          </w:p>
        </w:tc>
        <w:tc>
          <w:tcPr>
            <w:tcW w:w="514" w:type="dxa"/>
            <w:tcBorders/>
            <w:shd w:fill="FFFFFF" w:val="clear"/>
            <w:vAlign w:val="center"/>
          </w:tcPr>
          <w:p>
            <w:pPr>
              <w:pStyle w:val="TableContents"/>
              <w:bidi w:val="0"/>
              <w:spacing w:before="0" w:after="283"/>
              <w:ind w:left="0" w:right="0" w:firstLine="200"/>
              <w:jc w:val="left"/>
              <w:rPr/>
            </w:pPr>
            <w:r>
              <w:rPr/>
              <w:t> </w:t>
            </w:r>
          </w:p>
        </w:tc>
      </w:tr>
      <w:tr>
        <w:trPr/>
        <w:tc>
          <w:tcPr>
            <w:tcW w:w="694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(Increase) decrease in other assets</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w:t>
            </w:r>
          </w:p>
        </w:tc>
        <w:tc>
          <w:tcPr>
            <w:tcW w:w="514" w:type="dxa"/>
            <w:tcBorders/>
            <w:shd w:fill="CFF0FC" w:val="clear"/>
            <w:vAlign w:val="center"/>
          </w:tcPr>
          <w:p>
            <w:pPr>
              <w:pStyle w:val="TableContents"/>
              <w:bidi w:val="0"/>
              <w:spacing w:before="0" w:after="283"/>
              <w:ind w:left="0" w:right="0" w:firstLine="200"/>
              <w:jc w:val="left"/>
              <w:rPr/>
            </w:pPr>
            <w:r>
              <w:rPr/>
              <w:t> </w:t>
            </w:r>
          </w:p>
        </w:tc>
      </w:tr>
      <w:tr>
        <w:trPr/>
        <w:tc>
          <w:tcPr>
            <w:tcW w:w="694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Increase (decrease) in incentive fees payable</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1,365</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2,009</w:t>
            </w:r>
          </w:p>
        </w:tc>
        <w:tc>
          <w:tcPr>
            <w:tcW w:w="514" w:type="dxa"/>
            <w:tcBorders/>
            <w:shd w:fill="FFFFFF" w:val="clear"/>
            <w:vAlign w:val="center"/>
          </w:tcPr>
          <w:p>
            <w:pPr>
              <w:pStyle w:val="TableContents"/>
              <w:bidi w:val="0"/>
              <w:spacing w:before="0" w:after="283"/>
              <w:ind w:left="0" w:right="0" w:firstLine="200"/>
              <w:jc w:val="left"/>
              <w:rPr/>
            </w:pPr>
            <w:r>
              <w:rPr/>
              <w:t> </w:t>
            </w:r>
          </w:p>
        </w:tc>
      </w:tr>
      <w:tr>
        <w:trPr/>
        <w:tc>
          <w:tcPr>
            <w:tcW w:w="694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Increase (decrease) in interest payable</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2,070</w:t>
            </w:r>
          </w:p>
        </w:tc>
        <w:tc>
          <w:tcPr>
            <w:tcW w:w="514" w:type="dxa"/>
            <w:tcBorders/>
            <w:shd w:fill="CFF0FC" w:val="clear"/>
            <w:vAlign w:val="center"/>
          </w:tcPr>
          <w:p>
            <w:pPr>
              <w:pStyle w:val="TableContents"/>
              <w:bidi w:val="0"/>
              <w:spacing w:before="0" w:after="283"/>
              <w:ind w:left="0" w:right="0" w:firstLine="200"/>
              <w:jc w:val="left"/>
              <w:rPr/>
            </w:pPr>
            <w:r>
              <w:rPr/>
              <w:t> </w:t>
            </w:r>
          </w:p>
        </w:tc>
      </w:tr>
      <w:tr>
        <w:trPr/>
        <w:tc>
          <w:tcPr>
            <w:tcW w:w="694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Increase (decrease) in accrued expenses and other liabilities</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940" w:type="dxa"/>
            <w:tcBorders/>
            <w:shd w:fill="CFF0FC" w:val="clear"/>
            <w:vAlign w:val="center"/>
          </w:tcPr>
          <w:p>
            <w:pPr>
              <w:pStyle w:val="TableContents"/>
              <w:bidi w:val="0"/>
              <w:spacing w:before="0" w:after="283"/>
              <w:ind w:left="300" w:right="0" w:firstLine="300"/>
              <w:jc w:val="left"/>
              <w:rPr>
                <w:rFonts w:ascii="Times New Roman" w:hAnsi="Times New Roman"/>
                <w:b/>
                <w:color w:val="000000"/>
                <w:sz w:val="16"/>
              </w:rPr>
            </w:pPr>
            <w:r>
              <w:rPr>
                <w:rFonts w:ascii="Times New Roman" w:hAnsi="Times New Roman"/>
                <w:b/>
                <w:color w:val="000000"/>
                <w:sz w:val="16"/>
              </w:rPr>
              <w:t>Net cash provided by (used in) operating activities</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29,953</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71,591</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936" w:type="dxa"/>
            <w:gridSpan w:val="2"/>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936" w:type="dxa"/>
            <w:gridSpan w:val="2"/>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ind w:left="0" w:right="0" w:firstLine="100"/>
              <w:jc w:val="left"/>
              <w:rPr/>
            </w:pPr>
            <w:r>
              <w:rPr/>
              <w:t> </w:t>
            </w:r>
          </w:p>
        </w:tc>
      </w:tr>
      <w:tr>
        <w:trPr/>
        <w:tc>
          <w:tcPr>
            <w:tcW w:w="694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Payments of deferred debt costs</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w:t>
            </w:r>
          </w:p>
        </w:tc>
        <w:tc>
          <w:tcPr>
            <w:tcW w:w="514"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94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Borrowings under credit facility</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73,000</w:t>
            </w:r>
          </w:p>
        </w:tc>
        <w:tc>
          <w:tcPr>
            <w:tcW w:w="514" w:type="dxa"/>
            <w:tcBorders/>
            <w:shd w:fill="FFFFFF" w:val="clear"/>
            <w:vAlign w:val="center"/>
          </w:tcPr>
          <w:p>
            <w:pPr>
              <w:pStyle w:val="TableContents"/>
              <w:bidi w:val="0"/>
              <w:spacing w:before="0" w:after="283"/>
              <w:ind w:left="0" w:right="0" w:firstLine="100"/>
              <w:jc w:val="left"/>
              <w:rPr/>
            </w:pPr>
            <w:r>
              <w:rPr/>
              <w:t> </w:t>
            </w:r>
          </w:p>
        </w:tc>
      </w:tr>
      <w:tr>
        <w:trPr/>
        <w:tc>
          <w:tcPr>
            <w:tcW w:w="694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Repayments under credit facility</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1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c>
          <w:tcPr>
            <w:tcW w:w="514"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94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Proceeds from 2026 Notes</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color w:val="000000"/>
              </w:rPr>
            </w:pPr>
            <w:r>
              <w:rPr>
                <w:color w:val="000000"/>
              </w:rPr>
              <w:t>—</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514" w:type="dxa"/>
            <w:tcBorders/>
            <w:shd w:fill="FFFFFF" w:val="clear"/>
            <w:vAlign w:val="center"/>
          </w:tcPr>
          <w:p>
            <w:pPr>
              <w:pStyle w:val="TableContents"/>
              <w:bidi w:val="0"/>
              <w:spacing w:before="0" w:after="283"/>
              <w:ind w:left="0" w:right="0" w:firstLine="100"/>
              <w:jc w:val="left"/>
              <w:rPr/>
            </w:pPr>
            <w:r>
              <w:rPr/>
              <w:t> </w:t>
            </w:r>
          </w:p>
        </w:tc>
      </w:tr>
      <w:tr>
        <w:trPr/>
        <w:tc>
          <w:tcPr>
            <w:tcW w:w="694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Acquisition of treasury shares</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(23,450</w:t>
            </w:r>
          </w:p>
        </w:tc>
        <w:tc>
          <w:tcPr>
            <w:tcW w:w="1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color w:val="000000"/>
              </w:rPr>
            </w:pPr>
            <w:r>
              <w:rPr>
                <w:color w:val="000000"/>
              </w:rPr>
              <w:t>—</w:t>
            </w:r>
          </w:p>
        </w:tc>
        <w:tc>
          <w:tcPr>
            <w:tcW w:w="514" w:type="dxa"/>
            <w:tcBorders/>
            <w:shd w:fill="CFF0FC" w:val="clear"/>
            <w:vAlign w:val="center"/>
          </w:tcPr>
          <w:p>
            <w:pPr>
              <w:pStyle w:val="TableContents"/>
              <w:bidi w:val="0"/>
              <w:spacing w:before="0" w:after="283"/>
              <w:ind w:left="0" w:right="0" w:firstLine="100"/>
              <w:jc w:val="left"/>
              <w:rPr/>
            </w:pPr>
            <w:r>
              <w:rPr/>
              <w:t> </w:t>
            </w:r>
          </w:p>
        </w:tc>
      </w:tr>
      <w:tr>
        <w:trPr/>
        <w:tc>
          <w:tcPr>
            <w:tcW w:w="694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Dividends paid to stockholders</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(37,575</w:t>
            </w:r>
          </w:p>
        </w:tc>
        <w:tc>
          <w:tcPr>
            <w:tcW w:w="1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(36,458</w:t>
            </w:r>
          </w:p>
        </w:tc>
        <w:tc>
          <w:tcPr>
            <w:tcW w:w="514" w:type="dxa"/>
            <w:tcBorders/>
            <w:shd w:fill="FFFFFF" w:val="cle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940" w:type="dxa"/>
            <w:tcBorders/>
            <w:shd w:fill="CFF0FC" w:val="clear"/>
            <w:vAlign w:val="center"/>
          </w:tcPr>
          <w:p>
            <w:pPr>
              <w:pStyle w:val="TableContents"/>
              <w:bidi w:val="0"/>
              <w:spacing w:before="0" w:after="283"/>
              <w:ind w:left="300" w:right="0" w:firstLine="300"/>
              <w:jc w:val="left"/>
              <w:rPr>
                <w:rFonts w:ascii="Times New Roman" w:hAnsi="Times New Roman"/>
                <w:b/>
                <w:color w:val="000000"/>
                <w:sz w:val="16"/>
              </w:rPr>
            </w:pPr>
            <w:r>
              <w:rPr>
                <w:rFonts w:ascii="Times New Roman" w:hAnsi="Times New Roman"/>
                <w:b/>
                <w:color w:val="000000"/>
                <w:sz w:val="16"/>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20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pPr>
            <w:r>
              <w:rPr/>
              <w:t> </w:t>
            </w:r>
          </w:p>
        </w:tc>
        <w:tc>
          <w:tcPr>
            <w:tcW w:w="15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(24,113</w:t>
            </w:r>
          </w:p>
        </w:tc>
        <w:tc>
          <w:tcPr>
            <w:tcW w:w="17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CFF0FC" w:val="clear"/>
            <w:vAlign w:val="center"/>
          </w:tcPr>
          <w:p>
            <w:pPr>
              <w:pStyle w:val="TableContents"/>
              <w:bidi w:val="0"/>
              <w:spacing w:before="0" w:after="283"/>
              <w:jc w:val="left"/>
              <w:rPr/>
            </w:pPr>
            <w:r>
              <w:rPr/>
              <w:t> </w:t>
            </w:r>
          </w:p>
        </w:tc>
        <w:tc>
          <w:tcPr>
            <w:tcW w:w="20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pPr>
            <w:r>
              <w:rPr/>
              <w:t> </w:t>
            </w:r>
          </w:p>
        </w:tc>
        <w:tc>
          <w:tcPr>
            <w:tcW w:w="15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(39,612</w:t>
            </w:r>
          </w:p>
        </w:tc>
        <w:tc>
          <w:tcPr>
            <w:tcW w:w="5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9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5,840</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31,979</w:t>
            </w:r>
          </w:p>
        </w:tc>
        <w:tc>
          <w:tcPr>
            <w:tcW w:w="514" w:type="dxa"/>
            <w:tcBorders/>
            <w:shd w:fill="FFFFFF" w:val="clear"/>
            <w:vAlign w:val="center"/>
          </w:tcPr>
          <w:p>
            <w:pPr>
              <w:pStyle w:val="TableContents"/>
              <w:bidi w:val="0"/>
              <w:spacing w:before="0" w:after="283"/>
              <w:ind w:left="0" w:right="0" w:firstLine="100"/>
              <w:jc w:val="left"/>
              <w:rPr/>
            </w:pPr>
            <w:r>
              <w:rPr/>
              <w:t> </w:t>
            </w:r>
          </w:p>
        </w:tc>
      </w:tr>
      <w:tr>
        <w:trPr/>
        <w:tc>
          <w:tcPr>
            <w:tcW w:w="694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Cash and cash equivalents at beginning of period</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2,970</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5,761</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940"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Cash and cash equivalents at end of period</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8,810</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37,740</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and non-cash financing cash flow information:</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936" w:type="dxa"/>
            <w:gridSpan w:val="2"/>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936" w:type="dxa"/>
            <w:gridSpan w:val="2"/>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ind w:left="0" w:right="0" w:firstLine="100"/>
              <w:jc w:val="left"/>
              <w:rPr/>
            </w:pPr>
            <w:r>
              <w:rPr/>
              <w:t> </w:t>
            </w:r>
          </w:p>
        </w:tc>
      </w:tr>
      <w:tr>
        <w:trPr/>
        <w:tc>
          <w:tcPr>
            <w:tcW w:w="694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Taxes paid</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w:t>
            </w:r>
          </w:p>
        </w:tc>
        <w:tc>
          <w:tcPr>
            <w:tcW w:w="514" w:type="dxa"/>
            <w:tcBorders/>
            <w:shd w:fill="FFFFFF" w:val="clear"/>
            <w:vAlign w:val="center"/>
          </w:tcPr>
          <w:p>
            <w:pPr>
              <w:pStyle w:val="TableContents"/>
              <w:bidi w:val="0"/>
              <w:spacing w:before="0" w:after="283"/>
              <w:ind w:left="0" w:right="0" w:firstLine="100"/>
              <w:jc w:val="left"/>
              <w:rPr/>
            </w:pPr>
            <w:r>
              <w:rPr/>
              <w:t> </w:t>
            </w:r>
          </w:p>
        </w:tc>
      </w:tr>
      <w:tr>
        <w:trPr/>
        <w:tc>
          <w:tcPr>
            <w:tcW w:w="694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Interest paid</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18,114</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18,368</w:t>
            </w:r>
          </w:p>
        </w:tc>
        <w:tc>
          <w:tcPr>
            <w:tcW w:w="514" w:type="dxa"/>
            <w:tcBorders/>
            <w:shd w:fill="CFF0FC" w:val="cle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9" w:name="scheduleofinvestments_460338"/>
      <w:bookmarkEnd w:id="9"/>
      <w:r>
        <w:rPr>
          <w:rFonts w:ascii="Times New Roman" w:hAnsi="Times New Roman"/>
          <w:b/>
          <w:color w:val="000000"/>
          <w:sz w:val="20"/>
        </w:rPr>
        <w:t>Consolidated Schedule of Investments (Unaudited)</w:t>
      </w:r>
    </w:p>
    <w:p>
      <w:pPr>
        <w:pStyle w:val="TextBody"/>
        <w:bidi w:val="0"/>
        <w:jc w:val="center"/>
        <w:rPr>
          <w:rFonts w:ascii="Times New Roman" w:hAnsi="Times New Roman"/>
          <w:b/>
          <w:color w:val="000000"/>
          <w:sz w:val="20"/>
        </w:rPr>
      </w:pPr>
      <w:r>
        <w:rPr>
          <w:rFonts w:ascii="Times New Roman" w:hAnsi="Times New Roman"/>
          <w:b/>
          <w:color w:val="000000"/>
          <w:sz w:val="20"/>
        </w:rPr>
        <w:t>June 30, 2024</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977"/>
        <w:gridCol w:w="146"/>
        <w:gridCol w:w="901"/>
        <w:gridCol w:w="146"/>
        <w:gridCol w:w="962"/>
        <w:gridCol w:w="146"/>
        <w:gridCol w:w="916"/>
        <w:gridCol w:w="146"/>
        <w:gridCol w:w="766"/>
        <w:gridCol w:w="146"/>
        <w:gridCol w:w="152"/>
        <w:gridCol w:w="152"/>
        <w:gridCol w:w="627"/>
        <w:gridCol w:w="146"/>
        <w:gridCol w:w="146"/>
        <w:gridCol w:w="146"/>
        <w:gridCol w:w="146"/>
        <w:gridCol w:w="691"/>
        <w:gridCol w:w="146"/>
        <w:gridCol w:w="146"/>
        <w:gridCol w:w="146"/>
        <w:gridCol w:w="146"/>
        <w:gridCol w:w="691"/>
        <w:gridCol w:w="146"/>
        <w:gridCol w:w="146"/>
        <w:gridCol w:w="873"/>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128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Investment 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439" w:type="dxa"/>
            <w:gridSpan w:val="7"/>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278"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2"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Airship Group,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SOFR+3.75%, 9.08% floor, 3.00% PIK, 3.25%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6/28/2024</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6/15/2028</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SOFR+6.25%, 11.25% floor, 2.00% PIK, 1.50%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12/19/2023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12/15/2028</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Circadence Corporation</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SOFR+9.50%, 12.26% floor, 7.50%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12/20/2018</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12/15/2025</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FiscalNote,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PRIME+5.00%, 9.00% floor, 1.00% PIK, 5.75%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10/19/2020</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7/15/2027</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(12) (14)</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VTX Intermediate Holdings, Inc. (dba VertexOne)</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SOFR+9.00%, 9.50% floor, 10.00% cash cap, 4.50%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12/28/2021</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12/28/2026</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2"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- 45.29%*</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239,661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229,330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2"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 Management &amp; Custody Banks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Betterment Holdings,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PRIME+4.50%, 8.50% floor</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10/6/2027</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2"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 Management &amp; Custody Banks - 1.60%*</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2"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Data Processing &amp; Outsourced Services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Elevate Services,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SOFR+7.50%, 12.78% floor</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7/10/2023</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7/10/2027</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Interactions Corporation</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SOFR+9.26%, 9.76% floor, 3.4375%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6/15/2027</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ShareThis,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SOFR+9.25%, 11.86% floor, 3.00%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12/3/2018</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9/30/2024</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SOFR+8.25%, 10.86% floor, 3.00%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8/18/2020</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9/30/2024</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Vesta Payment Solutions,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9.00% floor, 5.00%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11/29/2022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11/15/2026</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2"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Data Processing &amp; Outsourced Services - 20.32%*</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2"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Electronic Equipment &amp; Instruments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Brivo,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SOFR+6.85%, 10.89% floor, 3.00%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10/20/2027</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2"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Electronic Equipment &amp; Instruments - 5.28%*</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2"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Equipment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Moximed,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PRIME+5.25%, 8.75% floor, 3.50%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7/1/2027</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2"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Equipment - 3.05%*</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June 30, 2024</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501" w:type="dxa"/>
        <w:jc w:val="left"/>
        <w:tblInd w:w="0" w:type="dxa"/>
        <w:tblLayout w:type="fixed"/>
        <w:tblCellMar>
          <w:top w:w="28" w:type="dxa"/>
          <w:left w:w="28" w:type="dxa"/>
          <w:bottom w:w="28" w:type="dxa"/>
          <w:right w:w="28" w:type="dxa"/>
        </w:tblCellMar>
      </w:tblPr>
      <w:tblGrid>
        <w:gridCol w:w="161"/>
        <w:gridCol w:w="146"/>
        <w:gridCol w:w="1141"/>
        <w:gridCol w:w="146"/>
        <w:gridCol w:w="901"/>
        <w:gridCol w:w="146"/>
        <w:gridCol w:w="961"/>
        <w:gridCol w:w="146"/>
        <w:gridCol w:w="916"/>
        <w:gridCol w:w="146"/>
        <w:gridCol w:w="766"/>
        <w:gridCol w:w="146"/>
        <w:gridCol w:w="152"/>
        <w:gridCol w:w="152"/>
        <w:gridCol w:w="627"/>
        <w:gridCol w:w="146"/>
        <w:gridCol w:w="146"/>
        <w:gridCol w:w="146"/>
        <w:gridCol w:w="146"/>
        <w:gridCol w:w="826"/>
        <w:gridCol w:w="146"/>
        <w:gridCol w:w="146"/>
        <w:gridCol w:w="146"/>
        <w:gridCol w:w="146"/>
        <w:gridCol w:w="691"/>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4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Investment 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pPr>
            <w:r>
              <w:rPr/>
              <w:t> </w:t>
            </w:r>
          </w:p>
        </w:tc>
      </w:tr>
      <w:tr>
        <w:trPr/>
        <w:tc>
          <w:tcPr>
            <w:tcW w:w="3602" w:type="dxa"/>
            <w:gridSpan w:val="7"/>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441"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EBR Systems,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PRIME+4.90%, 8.90% floor, 4.50%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6/15/2027</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 (16)</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Mingle Healthcare Solutions,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SOFR+9.75%, 12.26% floor, 10.50%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8/15/2018</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12/15/2026</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(13) (27)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Nalu Medical,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PRIME+2.70%, 6.70% floor, 2.00% PIK, 4.50%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10/12/2027</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Onward Medical, N.V.</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SOFR+6.50%, 10.75% floor, 2.50%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6/28/2024</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6/15/2028</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 (11) (12) (17)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Route 92 Medical,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SOFR+8.48%, 8.98% floor, 3.95%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8/17/2021</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7/1/2026</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SetPoint Medical Corporation</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SOFR+5.75%, 9.00% floor, 4.00%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12/1/2027</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- 28.16%*</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141,730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142,595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Human Resource &amp; Employment Services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CloudPay,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PRIME+6.25%, 10.25% floor, 2.00%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8/17/2027</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(11) (12)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Snagajob.com,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SOFR+8.50% PIK, 9.00% floor, 2.75%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9/29/2021</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9/1/2025</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(13) (27)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Human Resource &amp; Employment Services - 21.19%*</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&amp; Direct Marketing Retail</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Madison Reed,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PRIME+4.75%, 11.00% floor, 11.00% cash cap, 3.00%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12/16/2022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12/16/2026</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SOFR+7.50%, 8.26% floor, 1.25% PIK, 1.00%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6/30/2021</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6/15/2027</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 (9) (10) (11) (12) (18)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&amp; Direct Marketing Retail - 10.55%*</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Software and Services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SOFR+4.75%, 6.75% floor, 3.25% PIK, 0.96%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12/26/2023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1/15/2028</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CarNow,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SOFR+7.25%, 11.75% floor, 1.00%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3/22/2024</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3/22/2029</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Skillshare,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SOFR+6.50%, 10.72% floor, 3.00%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11/8/2022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11/8/2026</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Synack,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11.07% floor, 1.00%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12/29/2028</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Software and Services - 22.76%*</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115,647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&amp; Casualty Insurance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 Insurance,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PRIME+6.25%, 12.50% floor, 3.00%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9/15/2026</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Property &amp; Casualty Insurance - 14.93%*</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System Software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3PL Central LLC (dba Extensiv)</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SOFR+4.50%, 6.50% floor, 2.50% PIK, 2.34%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11/9/2022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11/9/2027</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Linxup, LLC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PRIME+3.25%, 11.75% floor, 2.25%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11/15/2027</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Dejero Labs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SOFR+5.00%, 5.50% floor, 5.00% PIK, 3.00%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12/22/2021</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12/22/2025</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 (9) (10) (11)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System Software - 22.61%*</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114,516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3441"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 - 195.74%*</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1,013,455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991,190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June 30, 2024</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83" w:type="dxa"/>
        <w:jc w:val="left"/>
        <w:tblInd w:w="0" w:type="dxa"/>
        <w:tblLayout w:type="fixed"/>
        <w:tblCellMar>
          <w:top w:w="28" w:type="dxa"/>
          <w:left w:w="28" w:type="dxa"/>
          <w:bottom w:w="28" w:type="dxa"/>
          <w:right w:w="28" w:type="dxa"/>
        </w:tblCellMar>
      </w:tblPr>
      <w:tblGrid>
        <w:gridCol w:w="161"/>
        <w:gridCol w:w="146"/>
        <w:gridCol w:w="1141"/>
        <w:gridCol w:w="146"/>
        <w:gridCol w:w="901"/>
        <w:gridCol w:w="146"/>
        <w:gridCol w:w="961"/>
        <w:gridCol w:w="146"/>
        <w:gridCol w:w="916"/>
        <w:gridCol w:w="146"/>
        <w:gridCol w:w="766"/>
        <w:gridCol w:w="146"/>
        <w:gridCol w:w="146"/>
        <w:gridCol w:w="146"/>
        <w:gridCol w:w="826"/>
        <w:gridCol w:w="146"/>
        <w:gridCol w:w="146"/>
        <w:gridCol w:w="146"/>
        <w:gridCol w:w="146"/>
        <w:gridCol w:w="601"/>
        <w:gridCol w:w="146"/>
        <w:gridCol w:w="146"/>
        <w:gridCol w:w="146"/>
        <w:gridCol w:w="146"/>
        <w:gridCol w:w="511"/>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4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Investment 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602" w:type="dxa"/>
            <w:gridSpan w:val="7"/>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441"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Advertising</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Minute Media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12/13/2023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12/13/2023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Advertising - 0.02%*</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Aria Systems,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G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7/10/2018</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289,419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FiscalNote,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10/19/2020</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230,881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(19)</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- 0.12%*</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CareCloud,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Series A Cumulative Redeemable Perpetual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1/8/2020</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462,064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(15) (19)</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- 0.74%*</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Human Resource &amp; Employment Services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Snagajob.com,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Convertible Note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10/26/2023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Human Resource &amp; Employment Services - 0.11%*</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&amp; Direct Marketing Retail</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7/7/2023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 (13) (18) (19) (22)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&amp; Direct Marketing Retail - 0.01%*</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Technology Hardware, Storage &amp; Peripherals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Quantum Corporation</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8/13/2021</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459,720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 (13) (15) (19)</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zSpace,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12/31/2020</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6,078,499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57" w:type="dxa"/>
            <w:gridSpan w:val="7"/>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Technology Hardware, Storage &amp; Peripherals - 0.04%*</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441"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- 1.04%*</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441"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3DNA Corp. (dba NationBuilder)</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C-1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12/28/2018</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273,164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Airship Group,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F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6/28/2024</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626,609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Aria Systems,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G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6/29/2018</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2,387,705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12/19/2023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Circadence Corporation</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A-6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12/20/2018</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1,538,462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A-6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10/31/2019</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384,615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12/21/2023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Dtex Systems,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C-Prime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6/1/2018</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6/1/2025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C-Prime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7/11/2019</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7/11/2026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FiscalNote,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Earnout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7/29/2022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7/29/2027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(21)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57" w:type="dxa"/>
            <w:gridSpan w:val="7"/>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- 0.65%*</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 Management &amp; Custody Banks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Betterment Holdings,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 Management &amp; Custody Banks - 0.03%*</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June 30, 2024</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313" w:type="dxa"/>
        <w:jc w:val="left"/>
        <w:tblInd w:w="0" w:type="dxa"/>
        <w:tblLayout w:type="fixed"/>
        <w:tblCellMar>
          <w:top w:w="28" w:type="dxa"/>
          <w:left w:w="28" w:type="dxa"/>
          <w:bottom w:w="28" w:type="dxa"/>
          <w:right w:w="28" w:type="dxa"/>
        </w:tblCellMar>
      </w:tblPr>
      <w:tblGrid>
        <w:gridCol w:w="161"/>
        <w:gridCol w:w="146"/>
        <w:gridCol w:w="1261"/>
        <w:gridCol w:w="146"/>
        <w:gridCol w:w="901"/>
        <w:gridCol w:w="146"/>
        <w:gridCol w:w="961"/>
        <w:gridCol w:w="146"/>
        <w:gridCol w:w="916"/>
        <w:gridCol w:w="146"/>
        <w:gridCol w:w="766"/>
        <w:gridCol w:w="146"/>
        <w:gridCol w:w="146"/>
        <w:gridCol w:w="146"/>
        <w:gridCol w:w="826"/>
        <w:gridCol w:w="146"/>
        <w:gridCol w:w="146"/>
        <w:gridCol w:w="146"/>
        <w:gridCol w:w="146"/>
        <w:gridCol w:w="511"/>
        <w:gridCol w:w="146"/>
        <w:gridCol w:w="146"/>
        <w:gridCol w:w="146"/>
        <w:gridCol w:w="146"/>
        <w:gridCol w:w="511"/>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Investment 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722" w:type="dxa"/>
            <w:gridSpan w:val="7"/>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3561"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Biotechnology</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Mustang Bio,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3/4/2032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(15)</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TRACON Pharmaceuticals,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(15)</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Biotechnology - 0.00%*</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Computer &amp; Electronics Retail</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Massdrop,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7/22/2019</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7/22/2029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848,093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Computer &amp; Electronics Retail - 0.00%*</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Data Processing &amp; Outsourced Services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Elevate Services,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248,997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Interactions Corporation</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189,408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ShareThis,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12/3/2018</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12/3/2028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Data Processing &amp; Outsourced Services - 0.10%*</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Electronic Equipment &amp; Instruments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Brivo,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Epic IO Technologies,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12/17/2021</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12/17/2028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Electronic Equipment &amp; Instruments - 0.12%*</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Equipment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Moximed,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214,285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Revelle Aesthetics,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Equipment - 0.02%*</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Allurion Technologies,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3/30/2021</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132,979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(28)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6/14/2022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(28)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9/15/2022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9/15/2032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(28)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Earnout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8/1/2028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(21) (28)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EBR Systems,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(16) (21)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Mingle Healthcare Solutions,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CC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8/15/2018</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1,770,973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Nalu Medical,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D-2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10/12/2032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Onward Medical, N.V.</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6/28/2024</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165,338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 (13) (17) (22)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Route 92 Medical,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8/17/2021</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SetPoint Medical Corporation</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6/29/2021</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VERO Biotech LLC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12/29/2020</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- 0.54%*</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Human Resource &amp; Employment Services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CloudPay,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6/30/2020</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8/17/2021</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Snagajob.com,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B-1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9/29/2021</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9/29/2031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Human Resource &amp; Employment Services - 0.31%*</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June 30, 2024</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793" w:type="dxa"/>
        <w:jc w:val="left"/>
        <w:tblInd w:w="0" w:type="dxa"/>
        <w:tblLayout w:type="fixed"/>
        <w:tblCellMar>
          <w:top w:w="28" w:type="dxa"/>
          <w:left w:w="28" w:type="dxa"/>
          <w:bottom w:w="28" w:type="dxa"/>
          <w:right w:w="28" w:type="dxa"/>
        </w:tblCellMar>
      </w:tblPr>
      <w:tblGrid>
        <w:gridCol w:w="161"/>
        <w:gridCol w:w="146"/>
        <w:gridCol w:w="1111"/>
        <w:gridCol w:w="146"/>
        <w:gridCol w:w="901"/>
        <w:gridCol w:w="146"/>
        <w:gridCol w:w="961"/>
        <w:gridCol w:w="146"/>
        <w:gridCol w:w="916"/>
        <w:gridCol w:w="146"/>
        <w:gridCol w:w="766"/>
        <w:gridCol w:w="146"/>
        <w:gridCol w:w="146"/>
        <w:gridCol w:w="146"/>
        <w:gridCol w:w="826"/>
        <w:gridCol w:w="146"/>
        <w:gridCol w:w="146"/>
        <w:gridCol w:w="146"/>
        <w:gridCol w:w="146"/>
        <w:gridCol w:w="826"/>
        <w:gridCol w:w="146"/>
        <w:gridCol w:w="146"/>
        <w:gridCol w:w="146"/>
        <w:gridCol w:w="146"/>
        <w:gridCol w:w="826"/>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Investment 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572" w:type="dxa"/>
            <w:gridSpan w:val="7"/>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411"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&amp; Direct Marketing Retail</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Madison Reed,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12/16/2022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&amp; Direct Marketing Retail - 0.04%*</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Software and Services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3/31/2021</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12/26/2023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12/26/2033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CarNow,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3/22/2024</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3/22/2034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Fidelis Cybersecurity,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3/25/2022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3/25/2032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(20)</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INRIX,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7/26/2019</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7/26/2029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Longtail Ad Solutions, Inc. (dba JW Player)</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12/12/2019</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387,596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Skillshare,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11/8/2022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Synack,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Software and Services - 0.81%*</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&amp; Casualty Insurance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 Insurance,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5/5/2023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8/25/2023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Property &amp; Casualty Insurance - 0.11%*</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Specialized Consumer Services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AllClear ID,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8/31/2017</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523,893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10/17/2018</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346,621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Sesame,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1/7/2020</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1/7/2030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191,601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Specialized Consumer Services - 0.07%*</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System Software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Dejero Labs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5/31/2019</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5/31/2029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333,621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 (9) (13)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Linxup, LLC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Scale Computing,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3/29/2019</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3/29/2029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9,665,667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System Software - 0.12%*</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Technology Hardware, Storage &amp; Peripherals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10/5/2018</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12/28/2018</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6/27/2019</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7" w:type="dxa"/>
            <w:gridSpan w:val="7"/>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Technology Hardware, Storage &amp; Peripherals - 0.04%*</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411"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 - 2.96%*</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3572" w:type="dxa"/>
            <w:gridSpan w:val="7"/>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Non-Control/Non-Affiliate Investments - 199.74%*</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1,055,456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June 30, 2024</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998" w:type="dxa"/>
        <w:jc w:val="left"/>
        <w:tblInd w:w="0" w:type="dxa"/>
        <w:tblLayout w:type="fixed"/>
        <w:tblCellMar>
          <w:top w:w="28" w:type="dxa"/>
          <w:left w:w="28" w:type="dxa"/>
          <w:bottom w:w="28" w:type="dxa"/>
          <w:right w:w="28" w:type="dxa"/>
        </w:tblCellMar>
      </w:tblPr>
      <w:tblGrid>
        <w:gridCol w:w="161"/>
        <w:gridCol w:w="146"/>
        <w:gridCol w:w="1216"/>
        <w:gridCol w:w="146"/>
        <w:gridCol w:w="901"/>
        <w:gridCol w:w="146"/>
        <w:gridCol w:w="961"/>
        <w:gridCol w:w="146"/>
        <w:gridCol w:w="916"/>
        <w:gridCol w:w="146"/>
        <w:gridCol w:w="766"/>
        <w:gridCol w:w="146"/>
        <w:gridCol w:w="146"/>
        <w:gridCol w:w="146"/>
        <w:gridCol w:w="826"/>
        <w:gridCol w:w="146"/>
        <w:gridCol w:w="146"/>
        <w:gridCol w:w="196"/>
        <w:gridCol w:w="146"/>
        <w:gridCol w:w="826"/>
        <w:gridCol w:w="146"/>
        <w:gridCol w:w="146"/>
        <w:gridCol w:w="196"/>
        <w:gridCol w:w="146"/>
        <w:gridCol w:w="826"/>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Investment 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677" w:type="dxa"/>
            <w:gridSpan w:val="7"/>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Affiliate Investments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(25)</w:t>
            </w:r>
          </w:p>
        </w:tc>
      </w:tr>
      <w:tr>
        <w:trPr/>
        <w:tc>
          <w:tcPr>
            <w:tcW w:w="161" w:type="dxa"/>
            <w:tcBorders/>
            <w:shd w:fill="CFF0FC" w:val="clear"/>
            <w:vAlign w:val="center"/>
          </w:tcPr>
          <w:p>
            <w:pPr>
              <w:pStyle w:val="TableContents"/>
              <w:bidi w:val="0"/>
              <w:spacing w:before="0" w:after="283"/>
              <w:jc w:val="left"/>
              <w:rPr/>
            </w:pPr>
            <w:r>
              <w:rPr/>
              <w:t> </w:t>
            </w:r>
          </w:p>
        </w:tc>
        <w:tc>
          <w:tcPr>
            <w:tcW w:w="3516"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0"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SOFR+8.75%, 8.00% ceiling, 5.00%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11/30/2026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0"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- 4.73%*</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516"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 - 4.73%*</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516"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0"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3/9/2020</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1,040,160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0"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- 0.02%*</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0"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3,266,668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(29)</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10/24/2023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(29)</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0"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- 5.11%*</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516"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- 5.13%*</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516"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0"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3/9/2020</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811,770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0"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- 0.02%*</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0"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3/1/2030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0"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- 0.07%*</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3516"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 - 0.09%*</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3677" w:type="dxa"/>
            <w:gridSpan w:val="7"/>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Affiliate Investments - 9.95%*</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3677" w:type="dxa"/>
            <w:gridSpan w:val="7"/>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Control Investments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(26)</w:t>
            </w:r>
          </w:p>
        </w:tc>
      </w:tr>
      <w:tr>
        <w:trPr/>
        <w:tc>
          <w:tcPr>
            <w:tcW w:w="161" w:type="dxa"/>
            <w:tcBorders/>
            <w:shd w:fill="FFFFFF" w:val="clear"/>
            <w:vAlign w:val="center"/>
          </w:tcPr>
          <w:p>
            <w:pPr>
              <w:pStyle w:val="TableContents"/>
              <w:bidi w:val="0"/>
              <w:spacing w:before="0" w:after="283"/>
              <w:jc w:val="left"/>
              <w:rPr/>
            </w:pPr>
            <w:r>
              <w:rPr/>
              <w:t> </w:t>
            </w:r>
          </w:p>
        </w:tc>
        <w:tc>
          <w:tcPr>
            <w:tcW w:w="3516"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0"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Data Processing &amp; Outsourced Services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(24)</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0"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Data Processing &amp; Outsourced Services - 0.19%*</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0"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Multi-Sector Holdings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Runway-Cadma I LLC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3/6/2024</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 (26)</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0"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Multi-Sector Holdings - 0.10%*</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3516"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- 0.29%*</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3677" w:type="dxa"/>
            <w:gridSpan w:val="7"/>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Control Investments - 0.29%*</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3677" w:type="dxa"/>
            <w:gridSpan w:val="7"/>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Investments - 209.98%*</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1,116,081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1,063,324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June 30, 2024</w:t>
      </w:r>
    </w:p>
    <w:p>
      <w:pPr>
        <w:pStyle w:val="TextBody"/>
        <w:bidi w:val="0"/>
        <w:spacing w:before="0" w:after="120"/>
        <w:jc w:val="center"/>
        <w:rPr/>
      </w:pPr>
      <w:r>
        <w:rPr/>
        <w:t> </w:t>
      </w:r>
    </w:p>
    <w:tbl>
      <w:tblPr>
        <w:tblW w:w="10205" w:type="dxa"/>
        <w:jc w:val="left"/>
        <w:tblInd w:w="0" w:type="dxa"/>
        <w:tblLayout w:type="fixed"/>
        <w:tblCellMar>
          <w:top w:w="28" w:type="dxa"/>
          <w:left w:w="28" w:type="dxa"/>
          <w:bottom w:w="28" w:type="dxa"/>
          <w:right w:w="28" w:type="dxa"/>
        </w:tblCellMar>
      </w:tblPr>
      <w:tblGrid>
        <w:gridCol w:w="276"/>
        <w:gridCol w:w="146"/>
        <w:gridCol w:w="9783"/>
      </w:tblGrid>
      <w:tr>
        <w:trPr/>
        <w:tc>
          <w:tcPr>
            <w:tcW w:w="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3" w:type="dxa"/>
            <w:tcBorders/>
            <w:vAlign w:val="center"/>
          </w:tcPr>
          <w:p>
            <w:pPr>
              <w:pStyle w:val="TableContents"/>
              <w:bidi w:val="0"/>
              <w:spacing w:before="0" w:after="283"/>
              <w:jc w:val="left"/>
              <w:rPr>
                <w:sz w:val="4"/>
                <w:szCs w:val="4"/>
              </w:rPr>
            </w:pPr>
            <w:r>
              <w:rPr>
                <w:sz w:val="4"/>
                <w:szCs w:val="4"/>
              </w:rPr>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Disclosures of interest rates on notes include cash interest rates and payment-in-kind ("PIK") interest rates, as applicable. Unless otherwise indicated, all of the Company's variable interest debt instruments bear interest at a rate determined by reference to the U.S. Prime Rate or the 1-month or 3-month Secured Overnight Financing Rate ("SOFR"). At June 30, 2024, the U.S. Prime Rate was 8.50%, the 1-Month SOFR was 5.34%, and the 3-Month SOFR was 5.32%.</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Board of Directors (as defined in "Note 2 – Summary of Significant Accounting Policies").</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are held at Fair Value net of the Fair Value of Unfunded Commitments. Refer to "Note 8 – Commitments and Contingencies" for additional detail.</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portfolio companies are domiciled in the United States, unless otherwise noted.</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the United Kingdom. Fair value of United-Kingdom-domiciled investments represents 15.6% of net assets.</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Germany. Fair value of Germany-domiciled investments represents 7.41% of net assets.</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(7)</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Canada. Fair value of Canadian-domiciled investments represents 2.91% of net assets.</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the Netherlands. Fair value of Dutch-domiciled investments represents 3.34% of net assets.</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(9)</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not a qualifying investment as defined under Section 55(a) of the Investment Company Act of 1940, as amended. The fair value of non-qualifying assets represent 13.81% of total assets as of June 30, 2024.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(10)</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Represents a PIK security. PIK interest will be accrued and paid at maturity. For any investments denoting a "cash cap", any interest above such cap will be recorded as PIK interest.</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(11)</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Disclosures of end-of-term payments ("ETP") are one-time payments stated as a percentage of original principal amount.</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(12)</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investment is an eligible loan investment in the collateral under the Credit Facility (as defined in "Note 7 – Borrowings").</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(13)</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are non-income producing.</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(14)</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NYSE.</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(15)</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NASDAQ.</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(16)</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ASX.</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(17)</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Euronext.</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(18)</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ETR.</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(19)</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not a "restricted security" under the Securities Act.</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(20)</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warrant count is based upon a percentage of ownership of Fidelis Cybersecurity, Inc.</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(21)</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either a cash success fee payable or earnout of shares based on the consummation of certain trigger events.</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(22)</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denominated in a foreign currency. At each balance sheet date, portfolio company investments denominated in foreign currencies are translated into U.S. dollars using the spot exchange rate on the last business day of the period. Transactions of foreign portfolio company investments, and income related from such investments, are translated into U.S. dollars using relevant rates of exchange on the respective dates of such transactions.</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(23)</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Convertible notes represent investments that are redeemable by the Company upon occurrence of contingent events. There are no principal or interest payments to be made against the note.</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(24)</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assets recovered on the senior secured term loan to Pivot 3, Inc. was contributed to P3 Holdco LLC by the Company, a wholly owned subsidiary of the Company. For more information, refer to "Note 2 — Summary of Significant Accounting Policies, Principles of Consolidation".</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(25)</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Affiliate portfolio company as defined under the 1940 Act in which the Company owns between 5% and 25% (inclusive) of the investment's voting securities and does not have rights to maintain greater than 50% representation on the board.</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(26)</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Control portfolio company, as defined under the 1940 Act, in which the Company owns more than 25% of the investment’s voting securities or has greater than 50% representation on its board.</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(27)</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on non-accrual status as of June 30, 2024 and is therefore considered non-income producing.</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(28)</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equity security is subject to a lock-up period until January 22, 2025.</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(29)</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 has the right of first refusal on sale of preferred stock.</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as a percentage of net assets.</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10" w:name="scheduleofinvestments_pp"/>
      <w:bookmarkEnd w:id="10"/>
      <w:r>
        <w:rPr>
          <w:rFonts w:ascii="Times New Roman" w:hAnsi="Times New Roman"/>
          <w:b/>
          <w:color w:val="000000"/>
          <w:sz w:val="20"/>
        </w:rPr>
        <w:t>Consolidated Schedule of Investments</w:t>
      </w:r>
    </w:p>
    <w:p>
      <w:pPr>
        <w:pStyle w:val="TextBody"/>
        <w:bidi w:val="0"/>
        <w:jc w:val="center"/>
        <w:rPr>
          <w:rFonts w:ascii="Times New Roman" w:hAnsi="Times New Roman"/>
          <w:b/>
          <w:color w:val="000000"/>
          <w:sz w:val="20"/>
        </w:rPr>
      </w:pPr>
      <w:r>
        <w:rPr>
          <w:rFonts w:ascii="Times New Roman" w:hAnsi="Times New Roman"/>
          <w:b/>
          <w:color w:val="000000"/>
          <w:sz w:val="20"/>
        </w:rPr>
        <w:t>December 31, 2023</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46" w:type="dxa"/>
        <w:jc w:val="left"/>
        <w:tblInd w:w="0" w:type="dxa"/>
        <w:tblLayout w:type="fixed"/>
        <w:tblCellMar>
          <w:top w:w="28" w:type="dxa"/>
          <w:left w:w="28" w:type="dxa"/>
          <w:bottom w:w="28" w:type="dxa"/>
          <w:right w:w="28" w:type="dxa"/>
        </w:tblCellMar>
      </w:tblPr>
      <w:tblGrid>
        <w:gridCol w:w="161"/>
        <w:gridCol w:w="146"/>
        <w:gridCol w:w="1021"/>
        <w:gridCol w:w="146"/>
        <w:gridCol w:w="901"/>
        <w:gridCol w:w="146"/>
        <w:gridCol w:w="961"/>
        <w:gridCol w:w="146"/>
        <w:gridCol w:w="916"/>
        <w:gridCol w:w="146"/>
        <w:gridCol w:w="766"/>
        <w:gridCol w:w="146"/>
        <w:gridCol w:w="152"/>
        <w:gridCol w:w="152"/>
        <w:gridCol w:w="627"/>
        <w:gridCol w:w="146"/>
        <w:gridCol w:w="146"/>
        <w:gridCol w:w="146"/>
        <w:gridCol w:w="146"/>
        <w:gridCol w:w="691"/>
        <w:gridCol w:w="146"/>
        <w:gridCol w:w="146"/>
        <w:gridCol w:w="146"/>
        <w:gridCol w:w="146"/>
        <w:gridCol w:w="691"/>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3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Investment 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482" w:type="dxa"/>
            <w:gridSpan w:val="7"/>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321"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SOFR+6.25%, 11.25% floor, 2.00% PIK, 1.50%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12/19/2023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12/15/2028</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 (10)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Circadence Corporation</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SOFR+9.50%, 12.26% floor, 10.00% cash cap, 7.50%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12/20/2018</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3/15/2024</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 (10)</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FiscalNote,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PRIME+5.00%, 9.00% floor, 1.00% PIK, 5.75%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10/19/2020</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7/15/2027</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 (10) (11) (13)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VTX Intermediate Holdings, Inc. (dba VertexOne)</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SOFR+9.00%, 9.50% floor, 10.00% cash cap, 4.50%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12/28/2021</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12/28/2026</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 (10)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- 35.92%*</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203,979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 Management &amp; Custody Banks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Betterment Holdings,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PRIME+4.50%, 8.50% floor</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10/6/2027</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 Management &amp; Custody Banks - 1.44%*</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Data Processing &amp; Outsourced Services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Elevate Services,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SOFR+7.50%, 12.78% floor</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7/10/2023</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7/10/2027</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Interactions Corporation</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SOFR+9.26%, 9.76% floor, 3.4375%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6/15/2027</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ShareThis,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SOFR+9.25%, 11.86% floor, 3.00%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12/3/2018</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9/30/2024</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SOFR+8.25%, 10.86% floor, 3.00%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8/18/2020</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9/30/2024</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Vesta Payment Solutions,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9.00% floor, 3.00%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11/29/2022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11/15/2026</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Data Processing &amp; Outsourced Services - 19.12%*</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Education Services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Turning Tech Intermediate, Inc. (dba Echo 360,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SOFR+8.50%, 9.00% floor, 13.00% cash cap, 3.00%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6/22/2021</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12/14/2025</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 (10)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Education Services - 4.72%*</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Electronic Equipment &amp; Instruments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Brivo,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SOFR+6.85%, 10.89% floor, 3.00%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10/20/2027</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Electronic Equipment &amp; Instruments - 4.90%*</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Equipment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Moximed,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PRIME+5.25%, 8.75% floor, 3.50%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7/1/2027</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Equipment - 2.79%*</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EBR Systems,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PRIME+4.90%, 8.90% floor, 4.50%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6/15/2027</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(15)</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Mingle Healthcare Solutions,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SOFR+9.75%, 12.26% floor, 10.50%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8/15/2018</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12/15/2026</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Nalu Medical,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PRIME+2.70%, 6.70% floor, 2.00% PIK, 4.50%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10/12/2027</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 (10)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Route 92 Medical,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SOFR+8.48%, 8.98% floor, 3.95%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8/17/2021</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7/1/2026</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SetPoint Medical Corporation</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SOFR+5.75%, 9.00% floor, 4.00%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12/1/2027</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- 23.06%*</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2023</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366" w:type="dxa"/>
        <w:jc w:val="left"/>
        <w:tblInd w:w="0" w:type="dxa"/>
        <w:tblLayout w:type="fixed"/>
        <w:tblCellMar>
          <w:top w:w="28" w:type="dxa"/>
          <w:left w:w="28" w:type="dxa"/>
          <w:bottom w:w="28" w:type="dxa"/>
          <w:right w:w="28" w:type="dxa"/>
        </w:tblCellMar>
      </w:tblPr>
      <w:tblGrid>
        <w:gridCol w:w="161"/>
        <w:gridCol w:w="146"/>
        <w:gridCol w:w="1141"/>
        <w:gridCol w:w="146"/>
        <w:gridCol w:w="901"/>
        <w:gridCol w:w="146"/>
        <w:gridCol w:w="961"/>
        <w:gridCol w:w="146"/>
        <w:gridCol w:w="916"/>
        <w:gridCol w:w="146"/>
        <w:gridCol w:w="766"/>
        <w:gridCol w:w="146"/>
        <w:gridCol w:w="152"/>
        <w:gridCol w:w="152"/>
        <w:gridCol w:w="627"/>
        <w:gridCol w:w="146"/>
        <w:gridCol w:w="146"/>
        <w:gridCol w:w="146"/>
        <w:gridCol w:w="146"/>
        <w:gridCol w:w="691"/>
        <w:gridCol w:w="146"/>
        <w:gridCol w:w="146"/>
        <w:gridCol w:w="146"/>
        <w:gridCol w:w="146"/>
        <w:gridCol w:w="691"/>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4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Investment 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602" w:type="dxa"/>
            <w:gridSpan w:val="7"/>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441"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Human Resource &amp; Employment Services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CloudPay,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PRIME+6.25%, 10.25% floor, 2.00%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8/17/2027</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(8) (10)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Snagajob.com,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SOFR+8.50% PIK, 9.00% floor, 2.75%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9/29/2021</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9/1/2025</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 (10)</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Human Resource &amp; Employment Services - 20.47%*</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&amp; Direct Marketing Retail</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Madison Reed,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PRIME+4.75%, 11.00% floor, 11.00% cash cap, 3.00%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12/16/2022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12/16/2026</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 (10)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SOFR+7.50%, 8.26% floor, 1.25% PIK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6/30/2021</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6/15/2026</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 (8) (9)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&amp; Direct Marketing Retail - 10.11%*</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Software and Services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SOFR+4.75%, 6.75% floor, 3.25% PIK, 0.96%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12/26/2023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1/15/2028</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 (10)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Skillshare,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SOFR+6.50%, 10.72% floor, 3.00%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11/8/2022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11/8/2026</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Synack,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11.07% floor, 1.00%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12/29/2028</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Software and Services - 17.70%*</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&amp; Casualty Insurance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 Insurance,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PRIME+6.25%, 12.50% floor, 3.00%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9/15/2026</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Property &amp; Casualty Insurance - 13.67%*</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System Software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3PL Central LLC (dba Extensiv)</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SOFR+4.50%, 6.50% floor, 2.50% PIK, 2.00%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11/9/2022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11/9/2027</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 (10)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Linxup, LLC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PRIME+3.25%, 11.75% floor, 2.25% ETP</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11/03/2023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11/15/2027</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Dejero Labs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SOFR+8.00%, 8.50% floor, 2.00% PIK, 3.00%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12/22/2021</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12/22/2025</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 (8) (9) (10)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System Software - 20.64%*</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3441"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 - 174.54%*</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966,328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954,912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2023</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83" w:type="dxa"/>
        <w:jc w:val="left"/>
        <w:tblInd w:w="0" w:type="dxa"/>
        <w:tblLayout w:type="fixed"/>
        <w:tblCellMar>
          <w:top w:w="28" w:type="dxa"/>
          <w:left w:w="28" w:type="dxa"/>
          <w:bottom w:w="28" w:type="dxa"/>
          <w:right w:w="28" w:type="dxa"/>
        </w:tblCellMar>
      </w:tblPr>
      <w:tblGrid>
        <w:gridCol w:w="161"/>
        <w:gridCol w:w="146"/>
        <w:gridCol w:w="1141"/>
        <w:gridCol w:w="146"/>
        <w:gridCol w:w="901"/>
        <w:gridCol w:w="146"/>
        <w:gridCol w:w="961"/>
        <w:gridCol w:w="146"/>
        <w:gridCol w:w="916"/>
        <w:gridCol w:w="146"/>
        <w:gridCol w:w="766"/>
        <w:gridCol w:w="146"/>
        <w:gridCol w:w="146"/>
        <w:gridCol w:w="146"/>
        <w:gridCol w:w="826"/>
        <w:gridCol w:w="146"/>
        <w:gridCol w:w="146"/>
        <w:gridCol w:w="146"/>
        <w:gridCol w:w="146"/>
        <w:gridCol w:w="601"/>
        <w:gridCol w:w="146"/>
        <w:gridCol w:w="146"/>
        <w:gridCol w:w="146"/>
        <w:gridCol w:w="146"/>
        <w:gridCol w:w="511"/>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4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Investment 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602" w:type="dxa"/>
            <w:gridSpan w:val="7"/>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441"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Advertising</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Minute Media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12/13/2023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12/13/2023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Advertising - 0.03%*</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Aria Systems,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G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7/10/2018</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289,419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FiscalNote,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10/19/2020</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230,881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 (13) (16)</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- 0.07%*</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CareCloud,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Series A Cumulative Redeemable Perpetual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1/8/2020</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462,064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(14) (16)</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- 0.65%*</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Human Resource &amp; Employment Services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Snagajob.com,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Convertible Note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10/26/2023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Human Resource &amp; Employment Services - 0.25%*</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&amp; Direct Marketing Retail</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7/7/2023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 (12) (19)</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&amp; Direct Marketing Retail - 0.02%*</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Technology Hardware, Storage &amp; Peripherals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Quantum Corporation</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8/13/2021</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459,720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 (12) (14) (16)</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zSpace,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12/31/2020</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6,078,499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57" w:type="dxa"/>
            <w:gridSpan w:val="7"/>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Technology Hardware, Storage &amp; Peripherals - 0.03%*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441"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- 1.05%*</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441"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3DNA Corp. (dba NationBuilder)</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C-1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12/28/2018</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273,164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Aria Systems,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G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6/29/2018</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2,387,705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12/19/2023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 (18)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Circadence Corporation</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A-6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12/20/2018</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1,538,462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A-6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10/31/2019</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12/21/2023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 (18)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Dtex Systems,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C-Prime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6/1/2018</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6/1/2025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C-Prime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7/11/2019</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7/11/2026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833,333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FiscalNote,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Earnout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7/29/2022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7/29/2027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 (13) (18)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57" w:type="dxa"/>
            <w:gridSpan w:val="7"/>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- 0.40%*</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 Management &amp; Custody Banks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Betterment Holdings,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 Management &amp; Custody Banks - 0.03%*</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2023</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313" w:type="dxa"/>
        <w:jc w:val="left"/>
        <w:tblInd w:w="0" w:type="dxa"/>
        <w:tblLayout w:type="fixed"/>
        <w:tblCellMar>
          <w:top w:w="28" w:type="dxa"/>
          <w:left w:w="28" w:type="dxa"/>
          <w:bottom w:w="28" w:type="dxa"/>
          <w:right w:w="28" w:type="dxa"/>
        </w:tblCellMar>
      </w:tblPr>
      <w:tblGrid>
        <w:gridCol w:w="161"/>
        <w:gridCol w:w="146"/>
        <w:gridCol w:w="1261"/>
        <w:gridCol w:w="146"/>
        <w:gridCol w:w="901"/>
        <w:gridCol w:w="146"/>
        <w:gridCol w:w="961"/>
        <w:gridCol w:w="146"/>
        <w:gridCol w:w="916"/>
        <w:gridCol w:w="146"/>
        <w:gridCol w:w="766"/>
        <w:gridCol w:w="146"/>
        <w:gridCol w:w="146"/>
        <w:gridCol w:w="146"/>
        <w:gridCol w:w="826"/>
        <w:gridCol w:w="146"/>
        <w:gridCol w:w="146"/>
        <w:gridCol w:w="146"/>
        <w:gridCol w:w="146"/>
        <w:gridCol w:w="511"/>
        <w:gridCol w:w="146"/>
        <w:gridCol w:w="146"/>
        <w:gridCol w:w="146"/>
        <w:gridCol w:w="146"/>
        <w:gridCol w:w="511"/>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Investment 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722" w:type="dxa"/>
            <w:gridSpan w:val="7"/>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561"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Biotechnology</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Mustang Bio,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3/4/2032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748,036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 (14)</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TRACON Pharmaceuticals,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 (14)</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Biotechnology - 0.01%*</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Computer &amp; Electronics Retail</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Massdrop,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7/22/2019</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7/22/2029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Computer &amp; Electronics Retail - 0.00%*</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Data Processing &amp; Outsourced Services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Elevate Services,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248,997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Interactions Corporation</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189,408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ShareThis,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12/3/2018</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12/3/2028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647,615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Data Processing &amp; Outsourced Services - 0.23%*</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Electronic Equipment &amp; Instruments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Brivo,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Epic IO Technologies,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12/17/2021</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12/17/2028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 (18)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Electronic Equipment &amp; Instruments - 0.14%*</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Equipment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Moximed,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214,285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Revelle Aesthetics,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Equipment - 0.04%*</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Allurion Technologies,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3/30/2021</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1/22/2025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132,979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 (13)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6/14/2022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 (13)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9/15/2022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1/22/2025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 (13)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Earnout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8/1/2028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 (13) (18)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EBR Systems,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 (15) (18)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Mingle Healthcare Solutions,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CC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8/15/2018</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1,770,973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Nalu Medical,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D-2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10/12/2032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Route 92 Medical,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8/17/2021</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 (18)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SetPoint Medical Corporation</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6/29/2021</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VERO Biotech LLC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12/29/2020</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 (18)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- 0.46%*</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Human Resource &amp; Employment Services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CloudPay,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6/30/2020</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(8) (12)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8/17/2021</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(8)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(8) (12)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Snagajob.com,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 for Series B-1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9/29/2021</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9/29/2031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Human Resource &amp; Employment Services - 0.23%*</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2023</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658" w:type="dxa"/>
        <w:jc w:val="left"/>
        <w:tblInd w:w="0" w:type="dxa"/>
        <w:tblLayout w:type="fixed"/>
        <w:tblCellMar>
          <w:top w:w="28" w:type="dxa"/>
          <w:left w:w="28" w:type="dxa"/>
          <w:bottom w:w="28" w:type="dxa"/>
          <w:right w:w="28" w:type="dxa"/>
        </w:tblCellMar>
      </w:tblPr>
      <w:tblGrid>
        <w:gridCol w:w="161"/>
        <w:gridCol w:w="146"/>
        <w:gridCol w:w="1111"/>
        <w:gridCol w:w="146"/>
        <w:gridCol w:w="901"/>
        <w:gridCol w:w="146"/>
        <w:gridCol w:w="961"/>
        <w:gridCol w:w="146"/>
        <w:gridCol w:w="916"/>
        <w:gridCol w:w="146"/>
        <w:gridCol w:w="766"/>
        <w:gridCol w:w="146"/>
        <w:gridCol w:w="146"/>
        <w:gridCol w:w="146"/>
        <w:gridCol w:w="826"/>
        <w:gridCol w:w="146"/>
        <w:gridCol w:w="146"/>
        <w:gridCol w:w="146"/>
        <w:gridCol w:w="146"/>
        <w:gridCol w:w="826"/>
        <w:gridCol w:w="146"/>
        <w:gridCol w:w="146"/>
        <w:gridCol w:w="146"/>
        <w:gridCol w:w="146"/>
        <w:gridCol w:w="691"/>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Investment 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572" w:type="dxa"/>
            <w:gridSpan w:val="7"/>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411"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&amp; Direct Marketing Retail</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Madison Reed,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12/16/2022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 (18)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&amp; Direct Marketing Retail - 0.03%*</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Software and Services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3/31/2021</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12/26/2023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12/26/2033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Fidelis Cybersecurity,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3/25/2022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3/25/2032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 (17)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INRIX,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7/26/2019</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7/26/2029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Longtail Ad Solutions, Inc. (dba JW Player)</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12/12/2019</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387,596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Skillshare,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11/8/2022</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11/8/2026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 (18)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Synack,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Software and Services - 0.30%*</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&amp; Casualty Insurance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 Insurance,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9/26/2022</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5/5/2023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8/25/2023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Property &amp; Casualty Insurance - 0.08%*</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Specialized Consumer Services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AllClear ID,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8/31/2017</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523,893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10/17/2018</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346,621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Sesame,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1/7/2020</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1/7/2030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191,601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Specialized Consumer Services - 0.07%*</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System Software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Dejero Labs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5/31/2019</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5/31/2029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333,621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 (8)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Linxup, LLC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 (18)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Scale Computing,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3/29/2019</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3/29/2029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9,665,667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System Software - 0.10%*</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Technology Hardware, Storage &amp; Peripherals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10/5/2018</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12/28/2018</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6/27/2019</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7" w:type="dxa"/>
            <w:gridSpan w:val="7"/>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Technology Hardware, Storage &amp; Peripherals - 0.07%*</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3411"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 - 2.19%*</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3572" w:type="dxa"/>
            <w:gridSpan w:val="7"/>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Non-Control/Non-Affiliate Investments - 177.78%*</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972,604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2023</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728" w:type="dxa"/>
        <w:jc w:val="left"/>
        <w:tblInd w:w="0" w:type="dxa"/>
        <w:tblLayout w:type="fixed"/>
        <w:tblCellMar>
          <w:top w:w="28" w:type="dxa"/>
          <w:left w:w="28" w:type="dxa"/>
          <w:bottom w:w="28" w:type="dxa"/>
          <w:right w:w="28" w:type="dxa"/>
        </w:tblCellMar>
      </w:tblPr>
      <w:tblGrid>
        <w:gridCol w:w="161"/>
        <w:gridCol w:w="146"/>
        <w:gridCol w:w="946"/>
        <w:gridCol w:w="146"/>
        <w:gridCol w:w="901"/>
        <w:gridCol w:w="146"/>
        <w:gridCol w:w="961"/>
        <w:gridCol w:w="146"/>
        <w:gridCol w:w="916"/>
        <w:gridCol w:w="146"/>
        <w:gridCol w:w="766"/>
        <w:gridCol w:w="146"/>
        <w:gridCol w:w="146"/>
        <w:gridCol w:w="146"/>
        <w:gridCol w:w="826"/>
        <w:gridCol w:w="146"/>
        <w:gridCol w:w="146"/>
        <w:gridCol w:w="196"/>
        <w:gridCol w:w="146"/>
        <w:gridCol w:w="826"/>
        <w:gridCol w:w="146"/>
        <w:gridCol w:w="146"/>
        <w:gridCol w:w="196"/>
        <w:gridCol w:w="146"/>
        <w:gridCol w:w="826"/>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Investment 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407" w:type="dxa"/>
            <w:gridSpan w:val="7"/>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Affiliate Investments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(22)</w:t>
            </w:r>
          </w:p>
        </w:tc>
      </w:tr>
      <w:tr>
        <w:trPr/>
        <w:tc>
          <w:tcPr>
            <w:tcW w:w="161" w:type="dxa"/>
            <w:tcBorders/>
            <w:shd w:fill="FFFFFF" w:val="clear"/>
            <w:vAlign w:val="center"/>
          </w:tcPr>
          <w:p>
            <w:pPr>
              <w:pStyle w:val="TableContents"/>
              <w:bidi w:val="0"/>
              <w:spacing w:before="0" w:after="283"/>
              <w:jc w:val="left"/>
              <w:rPr/>
            </w:pPr>
            <w:r>
              <w:rPr/>
              <w:t> </w:t>
            </w:r>
          </w:p>
        </w:tc>
        <w:tc>
          <w:tcPr>
            <w:tcW w:w="3246"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0"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SOFR+8.75%, 8.00% ceiling, 5.00% ETP</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11/30/2026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0"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- 4.31%*</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3246"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 - 4.31%*</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3246"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0"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3/9/2020</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0"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- 0.16%*</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0"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3,266,668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10/24/2023</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0"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- 4.76%*</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3246"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- 4.92%*</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3246"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0"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3/9/2020</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0"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- 0.12%*</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0"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3/1/2030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 (18)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0"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- 0.06%*</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246"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 - 0.18%*</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3407" w:type="dxa"/>
            <w:gridSpan w:val="7"/>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Affiliate Investments - 9.41%*</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3407" w:type="dxa"/>
            <w:gridSpan w:val="7"/>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Control Investments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(23)</w:t>
            </w:r>
          </w:p>
        </w:tc>
      </w:tr>
      <w:tr>
        <w:trPr/>
        <w:tc>
          <w:tcPr>
            <w:tcW w:w="161" w:type="dxa"/>
            <w:tcBorders/>
            <w:shd w:fill="CFF0FC" w:val="clear"/>
            <w:vAlign w:val="center"/>
          </w:tcPr>
          <w:p>
            <w:pPr>
              <w:pStyle w:val="TableContents"/>
              <w:bidi w:val="0"/>
              <w:spacing w:before="0" w:after="283"/>
              <w:jc w:val="left"/>
              <w:rPr/>
            </w:pPr>
            <w:r>
              <w:rPr/>
              <w:t> </w:t>
            </w:r>
          </w:p>
        </w:tc>
        <w:tc>
          <w:tcPr>
            <w:tcW w:w="3246"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0"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Data Processing &amp; Outsourced Services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 (21)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0"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Data Processing &amp; Outsourced Services - 0.17%*</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246"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- 0.17%*</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3407" w:type="dxa"/>
            <w:gridSpan w:val="7"/>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Control Investments - 0.17%*</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3407" w:type="dxa"/>
            <w:gridSpan w:val="7"/>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Investments, excluding U.S. Treasury Bills - 187.36%*</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1,064,835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1,025,010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3407" w:type="dxa"/>
            <w:gridSpan w:val="7"/>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U.S. Treasury</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 Treasury Bill, 4.324%</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12/29/2023</w:t>
            </w:r>
          </w:p>
        </w:tc>
        <w:tc>
          <w:tcPr>
            <w:tcW w:w="14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3407" w:type="dxa"/>
            <w:gridSpan w:val="7"/>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U.S. Treasury - 7.68%*</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left"/>
              <w:rPr/>
            </w:pPr>
            <w:r>
              <w:rPr/>
              <w:t> </w:t>
            </w:r>
          </w:p>
        </w:tc>
      </w:tr>
      <w:tr>
        <w:trPr/>
        <w:tc>
          <w:tcPr>
            <w:tcW w:w="3407" w:type="dxa"/>
            <w:gridSpan w:val="7"/>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Investments - 195.04%*</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1,106,849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December 31, 2023</w:t>
      </w:r>
    </w:p>
    <w:tbl>
      <w:tblPr>
        <w:tblW w:w="10205" w:type="dxa"/>
        <w:jc w:val="left"/>
        <w:tblInd w:w="0" w:type="dxa"/>
        <w:tblLayout w:type="fixed"/>
        <w:tblCellMar>
          <w:top w:w="28" w:type="dxa"/>
          <w:left w:w="28" w:type="dxa"/>
          <w:bottom w:w="28" w:type="dxa"/>
          <w:right w:w="28" w:type="dxa"/>
        </w:tblCellMar>
      </w:tblPr>
      <w:tblGrid>
        <w:gridCol w:w="276"/>
        <w:gridCol w:w="146"/>
        <w:gridCol w:w="9783"/>
      </w:tblGrid>
      <w:tr>
        <w:trPr/>
        <w:tc>
          <w:tcPr>
            <w:tcW w:w="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3" w:type="dxa"/>
            <w:tcBorders/>
            <w:vAlign w:val="center"/>
          </w:tcPr>
          <w:p>
            <w:pPr>
              <w:pStyle w:val="TableContents"/>
              <w:bidi w:val="0"/>
              <w:spacing w:before="0" w:after="283"/>
              <w:jc w:val="left"/>
              <w:rPr>
                <w:sz w:val="4"/>
                <w:szCs w:val="4"/>
              </w:rPr>
            </w:pPr>
            <w:r>
              <w:rPr>
                <w:sz w:val="4"/>
                <w:szCs w:val="4"/>
              </w:rPr>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Disclosures of interest rates on notes include cash interest rates and payment-in-kind ("PIK") interest rates, as applicable. Unless otherwise indicated, all of the Company's variable interest debt instruments bear interest at a rate determined by reference to the U.S. Prime Rate or the 1-month or 3-month Secured Overnight Financing Rate ("SOFR"). At December 31, 2023, the U.S. Prime Rate was 8.50% the 1-Month SOFR was 5.35%. and the 3-Month SOFR was 5.35%.</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Board of Directors (as defined in "Note 2 – Summary of Significant Accounting Policies").</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are held at Fair Value net of the Fair Value of Unfunded Commitments. Refer to "Note 8 – Commitments and Contingencies" for additional detail.</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portfolio companies are domiciled in the United States, unless otherwise noted.</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the United Kingdom. Fair value of United-Kingdom-domiciled investments represents 14.05% of net assets.</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Germany. Fair value of Germany-domiciled investments represents 8.15% of net assets.</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(7)</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Canada. Fair value of Canadian-domiciled investments represents 2.68% of net assets.</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not a qualifying investment as defined under Section 55(a) of the Investment Company Act of 1940, as amended. The fair value of non-qualifying assets represent 12.63% of total assets as of December 31, 2023.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(9)</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Represents a PIK security. PIK interest will be accrued and paid at maturity.</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(10)</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Disclosures of end-of-term payments ("ETP") are one-time payments stated as a percentage of original principal amount.</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(11)</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investment is an eligible loan investment in the collateral under the Credit Facility (as defined in "Note 7 – Borrowings").</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(12)</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are non-income producing.</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(13)</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NYSE.</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(14)</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NASDAQ.</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(15)</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ASX.</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(16)</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not a "restricted security" under the Securities Act.</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(17)</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warrant count is based upon a percentage of ownership of Fidelis Cybersecurity, Inc.</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(18)</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either a cash success fee payable or earnout of shares based on the consummation of certain trigger events.</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(19)</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denominated in a foreign currency and is publicly traded on ETR. At each balance sheet date, portfolio company investments denominated in foreign currencies are translated into U.S. dollars using the spot exchange rate on the last business day of the period. Transactions of foreign portfolio company investments, and income related from such investments, are translated into U.S. dollars using relevant rates of exchange on the respective dates of such transactions.</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(20)</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Convertible notes represent investments that are redeemable by the Company upon occurrence of contingent events. There are no principal or interest payments to be made against the note.</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(21)</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assets recovered on the senior secured term loan to Pivot 3, Inc. was contributed to P3 Holdco LLC by the Company, a wholly owned subsidiary of the BDC. For more information, refer to "Note 2 — Summary of Significant Accounting Policies, Principles of Consolidation".</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(22)</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Affiliate portfolio company as defined under the 1940 Act in which the Company owns between 5% and 25% (inclusive) of the investment's voting securities and does not have rights to maintain greater than 50% representation on the board.</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(23)</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Control portfolio company, as defined under the 1940 Act, in which the Company owns more than 25% of the investment’s voting securities or has greater than 50% representation on its board.</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as a percentage of net assets.</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11" w:name="notestofinancialstatements_777521"/>
      <w:bookmarkEnd w:id="11"/>
      <w:r>
        <w:rPr>
          <w:rFonts w:ascii="Times New Roman" w:hAnsi="Times New Roman"/>
          <w:b/>
          <w:color w:val="000000"/>
          <w:sz w:val="20"/>
        </w:rPr>
        <w:t>Notes to Consolidated Financial Statements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Note 1 – Organization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Runway Growth Finance Corp. (the “Company”), is a Maryland corporation that was formed on August 31, 2015. On August 18, 2021, the Company changed its name to “Runway Growth Finance Corp.” from “Runway Growth Credit Fund Inc.” The Company is an externally managed, non-diversified, closed-end investment company that has elected to be regulated as a business development company (“BDC”) under the Investment Company Act of 1940, as amended (the “1940 Act”). In addition, the Company has elected to be treated, currently qualifies, and intends to continue to qualify annually as a regulated investment company (“RIC”) under Subchapter M of the Internal Revenue Code of 1986, as amended (the “Code”).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was formed primarily to lend to, and selectively invest in, high growth-potential companies in technology, healthcare, business services, financial services, select consumer services and products in other high-growth industries in the United States. The Company’s investment objective is to maximize its total return to its stockholders primarily through current income on its loan portfolio, and secondarily through capital gain (loss)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On October 25, 2021, the Company closed its initial public offering ("IPO"), issuing 6,850,000 shares of its common stock at a public offering price of $14.60 per share. Net of underwriting fees and offering costs, the Company received net proceeds of $93.0 million. The Company's common stock began trading on the Nasdaq Global Select Market LLC on October 21, 2021, under the symbol “RWAY”.</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2 – Summary of Significant Accounting Policies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accompanying interim unaudited consolidated financial statements of the Company are prepared on the accrual basis of accounting in conformity with U.S. Generally Accepted Accounting Principles (“U.S. GAAP”) and pursuant to the requirements for reporting on Form 10</w:t>
        <w:noBreakHyphen/>
        <w:t>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opinion of management, all adjustments, all of which were of a normal recurring nature, considered necessary for the fair presentation of financial statements for the interim period have been included. The results of operations for the current interim period are not necessarily indicative of results that ultimately may be achieved for any other interim period or for the year ending December 31, 2024. The interim unaudited consolidated financial statements and notes hereto should be read in conjunction with the audited consolidated financial statements and notes thereto contained in the Company’s annual report on Form 10-K for the year ended December 31, 2023, filed with the Securities and Exchange Commission (the "SEC") on March 7, 2024.</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Certain items in the June 30, 2023, and December 31, 2023, consolidated financial statements have been reclassified to conform to the June 30, 2024, presentation with no effect on the "Total net assets" on the Consolidated Statements of Assets and Liabilities, no effect on the "Net increase (decrease) in net assets resulting from operations" on the Consolidated Statements of Operations, and no effect to the "Net increase (decrease) in cash and cash equivalents" on the Consolidated Statements of Cash Flows.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Under ASC 946, the Company is precluded from consolidating portfolio company investments, including those in which it has a controlling interest, unless the portfolio company is another investment company. An exception to this general principle occurs if the Company holds a controlling interest in an operating company that provides all or substantially all of its services directly to the Company or to its portfolio companies. None of the portfolio investments made by the Company qualify for this exception. Therefore, the Company’s investment portfolio is carried on the Consolidated Statements of Assets and Liabilities at fair value, as discussed further in “Note 4 — Investments,” with any adjustments to fair value recognized as "Net change in unrealized gain (loss) on investments” on the Consolidated Statements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consolidated operations include the activities of its wholly owned subsidiary, P3 Holdco LLC ("P3 Holdco") and P3 Holdco’s wholly owned subsidiary Pivot3, Inc. The subsidiaries are consolidated and included in the Company’s consolidated financial statements and the assets of Pivot3, Inc. are recorded at fair value. All intercompany balances and transactions have been eliminated. Refer to the Schedule of Investments for the Company’s equity interest in Pivot3, Inc. as of June 30, 2024 and December 31, 2023.</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Runway-Cadma I LLC</w:t>
      </w:r>
    </w:p>
    <w:p>
      <w:pPr>
        <w:pStyle w:val="TextBody"/>
        <w:bidi w:val="0"/>
        <w:jc w:val="left"/>
        <w:rPr>
          <w:rFonts w:ascii="Times New Roman" w:hAnsi="Times New Roman"/>
          <w:color w:val="000000"/>
          <w:sz w:val="20"/>
        </w:rPr>
      </w:pPr>
      <w:r>
        <w:rPr>
          <w:rFonts w:ascii="Times New Roman" w:hAnsi="Times New Roman"/>
          <w:color w:val="000000"/>
          <w:sz w:val="20"/>
        </w:rPr>
        <w:t xml:space="preserve">As announced on March 7, 2024, effective March 6, 2024, the Company entered into a joint venture agreement with Cadma Capital Partners LLC ("Cadma") to create and co-manage Runway-Cadma I LLC (“Runway-Cadma LLC” or the “JV”). The JV may invest in secured loans to growth-stage companies that have been originated by the Company. The Company and Cadma committed to initially provide $35.0 million and $35.0 million, respectively, of equity capital to the JV. The JV is capitalized as investment transactions are completed. All portfolio decisions and generally all other actions in respect of the JV must be approved by the board of managers of the JV consisting of an equal number of representatives of the Company and Cadma. Capital contributions are called from the Company and Cadma on a pro-rata basis based on their total capital commitments. For more information, refer to "Note 3 – Related Parties."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permitted under Regulation S-X and consistent with the guidance in ASC 946-810-45-3, the Company will generally not consolidate its investment in a company other than an investment company subsidiary or a controlled operating company whose business consists of providing services to the Company. As the Company’s representatives do not comprise the majority of the board of managers of the JV and the Company does not hold a majority of the economic interests in the JV, the Company does not consolidate the JV in its consolidated financial statements.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income and expense during the reporting period. Changes in the economic and regulatory environment, financial markets, the credit worthiness of our portfolio companies, and any other parameters used in determining these estimates and assumptions could cause actual results to differ from these estimates and assumptions.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Cash consists solely of funds deposited with financial institutions, while cash equivalents consist of short-term liquid investments in money market funds. Cash and cash equivalents are carried at cost, which approximates fair value. As of June 30, 2024 and December 31, 2023, the Company did not have any cash invested in money market funds. Interest earned in money market funds are recorded in "Other income" on the Consolidated Statements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Debt and Deferred Debt Costs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debt of the Company is carried at amortized cost on the Consolidated Statements of Assets and Liabilities, which is comprised of the principal amount borrowed, net of unamortized debt issuance costs. Debt issuance costs are fees and other direct incremental costs incurred by the Company in relation to debt financing and are amortized over the life of the related debt instrument or the life of the cost respective service, if shorter, using the straight-line method, which closely approximates the effective yield method. Amortization of such debt issuance costs and interest expense on the outstanding principal balance are recorded in "Interest and other debt financing expenses" on the Consolidated Statements of Operations. Debt issuance costs that have not yet been amortized are recorded as "Unamortized deferred debt costs" on the Consolidated Statements of Assets and Liabilities. To the extent there are no outstanding borrowings, the deferred debt costs are presented as an asset on the Consolidated Statements of Assets and Liabilities. Accrued but unpaid interest is included within "Interest payable" on the Consolidated Statements of Assets and Liabilities. For more information, refer to “Note 7 – Borrowings.”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Segments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lends to and invests in customers in various industries. The Company separately evaluates the performance of each of its lending and investment relationships. However, because each of these loan and investment relationships has similar business and economic characteristics, they have been aggregated into a single reportable segment. All applicable segment disclosures are included in or can be derived from the Company’s consolidated financial statements.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Investment Transactions and Related Investment Income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Security transactions, if any, are recorded on a trade-date basis. Realized gains or losses from the repayment or sale of investments are measured using the specific identification method. The amortized cost basis of investments represents the original cost adjusted for the accretion/amortization of discounts and premiums, accretion of contractual end of term payments ("ETP") and upfront loan origination fees. The Company reports changes from the prior period in fair value of investments that are measured at fair value as a component of "Net change in unrealized gain (loss) on investments" on the Consolidated Statements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Dividend income is recorded on an accrual basis to the extent that such amounts are payable and expected to be collected. Dividend income is recorded on the record date for private portfolio companies and on the ex-dividend date for publicly traded portfolio companies. Interest income, if any, adjusted for amortization of market premium and accretion of market discount, is recorded on an accrual basis to the extent that the Company expects to collect such amounts. Original issue discount (“OID”), principally representing any loan origination fees received in connection with the closing of investments, ETP, market discount or premium, and the estimated fair value of detachable equity, warrants or contractual success fees obtained in conjunction with the Company’s debt investments, are capitalized and accreted or amortized into interest income over the life of the respective security using the effective interest method. Upon prepayment of a debt investment, any unamortized loan origination fees, end-of-term payments, and unamortized market discounts are recorded as interest income and any prepayment penalties are recorded as fee income. Upon amending terms of an existing investment, any amendment fees charged are recorded as fee income.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currently holds, and expects to hold in the future, some investments in its portfolio that contain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of income the Company is required to distribute to stockholders to maintain its qualification as a RIC for U.S. federal income tax purposes, even though the Company has not yet collected the cash. For the three and six months ended June 30, 2024, approximately 6.8% and 8.8%, respectively, of the Company’s total investment income was attributable to non-cash PIK interest. For the three and six months ended June 30, 2023, approximately 15.3% and 12.6%, respectively, of the Company’s total investment income was attributable to non-cash PIK interest.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Investments Denominated in Foreign Currency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At each balance sheet date, portfolio company investments denominated in foreign currencies are translated into U.S. dollars using the spot exchange rate on the last business day of the period. Purchases and sales of foreign portfolio company investments, and any income from such investments, are translated into U.S. dollars using the rates of exchange prevailing on the respective dates of such transactions. As of June 30, 2024, the Company had two investments denominated in a foreign currency. As of December 31, 2023, the Company held one investment denominated in a foreign currency.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Although the fair values of foreign portfolio company investments and the fluctuation in such fair values are translated into U.S. dollars using the applicable foreign exchange rates described above, the Company does not distinguish the portion of the change in fair value resulting from foreign currency exchange rate fluctuations from the change in fair value of the underlying investment. All fluctuations in fair value are included in "Net change in unrealized gain (loss) on investments" on the Company’s Consolidated Statements of Operations.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Current Expected Credit Losses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measures current expected credit losses (“CECL”) for financial instruments held at amortized cost based on ASC No. 326, Financial Instruments – Credit Losses (“ASC 326”). The Company adopted ASC 326 on January 1, 2020. ASC 326 introduces a new allowance for credit losses methodology and requires earlier recognition of credit losses, while also providing additional transparency about credit risk. The CECL methodology utilizes a lifetime “expected credit loss” methodology for the recognition of credit losses for receivables and loans subject to CECL at the time the financial asset is originated or based on historical experience and current conditions, as well as reasonable and supportable forecasts incorporating forward-looking information. The allowance for credit losses (the “CECL Reserve”) required under ASC 326 is deducted from the respective financial asset's amortized cost basis on the Company’s Consolidated Statements of Assets and Liabilities. The expected credit losses are adjusted each period for changes in expected lifetime credit losses through a provision for current expected credit losses recognized on the Consolidated Statements of Operations. As permitted by ASC 326, the Company has elected not to measure an allowance for credit losses on accrued interest receivable, but rather write-off in a timely manner by reversing interest income that would likely be uncollectible.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and December 31, 2023, the amortized cost basis of financial assets subject to CECL recorded within "Interest and fees receivable" on the Consolidated Statements of Assets and Liabilities was $0.3 million and $2.3 million, respectively. As of June 30, 2024 and December 31, 2023, the Company's interest receivable excluded from the amortized cost basis of financial assets subject to CECL was $5.6 million and $6.0 million, respectively. As of June 30, 2024 and December 31, 2023, the Company had recorded a CECL reserve within "Interest and fees receivable" on the Consolidated Statements of Assets and Liabilities of $0.2 million, and $0, respectively.</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Non-Accrual of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Debt investments are placed on non-accrual status when principal, interest, and other obligations become materially past due or when it is probable that principal, interest, or other obligations will not be collected in full. At the point of non-accrual, the Company will cease recognizing interest income on the debt investment until all principal and interest due have been paid or the Company believes the borrower has demonstrated the ability to repay its current and future contractual obligations. Additionally, any OID associated with the debt investment is no longer accreted to interest income as of the date the loan is placed on non-accrual status. Any payments received on non-accrual loans are first applied to principal prior to recovery of any foregone interest or end of term payment fees. Non-accrual loans are restored to accrual status when past due principal or interest are paid, and, in management’s judgment are likely to remain current. The Company may make exceptions to this policy if the investment has sufficient collateral value and is in the process of collection such that the Company will be made whole on the investment, inclusive of interest and end of term payment fees.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June 30, 2024, the Company had two senior secured term loans on non-accrual status; one loan to Mingle Healthcare Solutions, Inc. with a cost basis of $5.0 million and a fair value of $3.1 million, and one loan to Snagajob, Inc., with a cost basis of $42.7 million and a fair value of $30.0 million, representing 3.1% of the Company’s total investment portfolio. From being placed on non-accrual status through June 30, 2024, cumulative interest of $0.4 million would be receivable from Mingle Healthcare Solutions, Inc. and not recorded in "Interest income" on the Consolidated Statements of Operations. From being placed on non-accrual status through June 30, 2024, cumulative interest of $1.8 million would be receivable from Snagajob, Inc. and $0.1 million OID would be accreted into the cost basis, for a total of $1.9 million not recorded in "Interest income" on the Consolidated Statements of Operations. As of December 31, 2023, the Company did not have any loans on non-accrual status. As of June 30, 2024, the Company had reversed interest income of $0.3 million related to the senior secured term loans. As of December 31, 2023, the Company had not reversed any accrued and uncollected interest income related to the senior secured term loans.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measures the value of its financial instruments at fair value in accordance with ASC Topic 820, Fair Value Measurements and Disclosure (“ASC Topic 820”), issued by the FASB. Fair value is the price that would be received to sell an asset or paid to transfer a liability in an orderly transaction between market participants at the measurement date. The Company's investment portfolio is reported at fair value on the Consolidated Statements of Assets and Liabilities. All assets and liabilities approximate fair value on the Consolidated Statements of Assets and Liabilities, with the exception of the Company’s borrowings, which are reported at amortized cost. For more information on financial instruments reported at cost, refer to "Note 5 – Fair Value of Financial Instruments."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Level 1—Valuations are based on quoted prices in active markets for identical assets or liabilities that are accessible at the measurement 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Level 2—Valuations are based on quoted prices in markets that are not active or for which all significant inputs are observable, either directly or indirectly and model-based valuation techniques for which all significant inputs are observable.</w:t>
      </w:r>
    </w:p>
    <w:p>
      <w:pPr>
        <w:pStyle w:val="TextBody"/>
        <w:bidi w:val="0"/>
        <w:spacing w:before="240" w:after="120"/>
        <w:jc w:val="both"/>
        <w:rPr>
          <w:color w:val="000000"/>
        </w:rPr>
      </w:pPr>
      <w:r>
        <w:rPr>
          <w:color w:val="000000"/>
        </w:rPr>
        <w:t>•</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In certain cases, the inputs used to measure fair value may fall into different levels of the fair value hierarchy. In such cases, a financial instrument’s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instrument.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ASC Topic 820, the fair value measurement also assumes that the transaction to sell an asset or liability occurs in the principal market for the asset or liability or, in the absence of a principal market, the most advantageous market for the asset, which may be a hypothetical market, and excludes transaction costs. The principal market for any asset or liability is the market with the greatest volume and level of activity for such asset or liability in which the reporting entity would or could sell or transfer the asset or liability.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Rule 2a-5 under the 1940 Act established additional requirements for determining the fair value of a BDC's investments in good faith for purposes of the 1940 Act. Rule 2a-5 permits boards, in compliance with certain conditions, to designate certain parties to perform fair value determinations, subject to board oversight. Rule 2a-5 also defines when market quotations are "readily available" for purposes of the 1940 Act and the threshold for determining whether a fund must determine the fair value of a security. Rule 31a-4 under the 1940 Act established additional recordkeeping requirements related to fair value determinations. Although the Company adopted certain revisions to its valuation policies and procedures to comply with Rule 2a-5 and Rule 31a-4, the Company's board of directors (the "Board of Directors") has not elected to designate a valuation designee.</w:t>
      </w:r>
    </w:p>
    <w:p>
      <w:pPr>
        <w:pStyle w:val="TextBody"/>
        <w:bidi w:val="0"/>
        <w:spacing w:before="240" w:after="200"/>
        <w:jc w:val="left"/>
        <w:rPr>
          <w:rFonts w:ascii="Times New Roman" w:hAnsi="Times New Roman"/>
          <w:i/>
          <w:color w:val="000000"/>
          <w:sz w:val="20"/>
        </w:rPr>
      </w:pPr>
      <w:r>
        <w:rPr>
          <w:rFonts w:ascii="Times New Roman" w:hAnsi="Times New Roman"/>
          <w:i/>
          <w:color w:val="000000"/>
          <w:sz w:val="20"/>
        </w:rPr>
        <w:t>Investment Valuation Techniques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With respect to investments for which market quotations are not readily available, the Company undertakes a multi-step valuation process each quarter, as described below:</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quarterly valuation process begins with each portfolio company investment being initially valued by RGC’s investment professionals that are responsible for the portfolio investment;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Preliminary valuation conclusions are then documented and discussed with RGC’s senior investment team;</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least once annually, the valuation for each portfolio investment is reviewed by an independent valuation firm. Certain investments, however, may not be evaluated annually by an independent valuation firm if the net asset value and other aspects of such investments in the aggregate do not exceed certain thresholds;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Audit Committee of the Board of Directors (the "Audit Committee") then reviews these preliminary valuations from RGC and the independent valuation firm, if any, and makes a recommendation to the Board of Directors regarding such valuations;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Board of Directors reviews the recommended preliminary valuations and determines the fair value of each investment in the Company’s portfolio, in good faith, based on the input of RGC, the independent valuation firm(s) and the Audit Committee.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Company’s investments are primarily loans made to and equity and warrants of small, fast-growing companies focused in technology, healthcare, business services, and other high-growth industries. These investments are considered Level 3 assets under ASC Topic 820 because there is no known or accessible market or market indices for these types of debt and equity instruments and, thus, RGC’s senior investment team must estimate the fair value of these investment securities based on models utilizing unobservable inputs.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Audit Committee assists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Board of Directors, with the assistance of the Audit Committee, RGC and its senior investment team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Debt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determine the fair value of the Company’s debt investments, the Company compares the cost basis of the debt investment, which includes OID,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(decreases) in these unobservable inputs could result in significantly higher (lower) fair value measurements.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certain circumstances, the Company may use an alternative technique to value the debt investments to be acquired by the Company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both"/>
        <w:rPr>
          <w:rFonts w:ascii="Times New Roman" w:hAnsi="Times New Roman"/>
          <w:color w:val="000000"/>
          <w:sz w:val="20"/>
          <w:u w:val="single"/>
        </w:rPr>
      </w:pPr>
      <w:r>
        <w:rPr>
          <w:rFonts w:ascii="Times New Roman" w:hAnsi="Times New Roman"/>
          <w:color w:val="000000"/>
          <w:sz w:val="20"/>
          <w:u w:val="single"/>
        </w:rPr>
        <w:t>Warrants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Fair value of warrants is primarily determined using a Black Scholes option-pricing model. Privately held warrants and equity-related securities are valued based on an analysis of various factors including, but not limited to, the following:</w:t>
      </w:r>
    </w:p>
    <w:p>
      <w:pPr>
        <w:pStyle w:val="TextBody"/>
        <w:bidi w:val="0"/>
        <w:spacing w:before="0" w:after="80"/>
        <w:jc w:val="both"/>
        <w:rPr>
          <w:color w:val="000000"/>
        </w:rPr>
      </w:pPr>
      <w:r>
        <w:rPr>
          <w:color w:val="000000"/>
        </w:rPr>
        <w:t>•</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pStyle w:val="TextBody"/>
        <w:bidi w:val="0"/>
        <w:spacing w:before="0" w:after="80"/>
        <w:jc w:val="both"/>
        <w:rPr>
          <w:color w:val="000000"/>
        </w:rPr>
      </w:pPr>
      <w:r>
        <w:rPr>
          <w:color w:val="000000"/>
        </w:rPr>
        <w:t>•</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pStyle w:val="TextBody"/>
        <w:bidi w:val="0"/>
        <w:spacing w:before="0" w:after="80"/>
        <w:jc w:val="both"/>
        <w:rPr>
          <w:color w:val="000000"/>
        </w:rPr>
      </w:pPr>
      <w:r>
        <w:rPr>
          <w:color w:val="000000"/>
        </w:rPr>
        <w:t>•</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pStyle w:val="TextBody"/>
        <w:bidi w:val="0"/>
        <w:spacing w:before="0" w:after="80"/>
        <w:jc w:val="both"/>
        <w:rPr>
          <w:color w:val="000000"/>
        </w:rPr>
      </w:pPr>
      <w:r>
        <w:rPr>
          <w:color w:val="000000"/>
        </w:rPr>
        <w:t>•</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(decrease) in this unobservable input.</w:t>
      </w:r>
    </w:p>
    <w:p>
      <w:pPr>
        <w:pStyle w:val="TextBody"/>
        <w:bidi w:val="0"/>
        <w:spacing w:before="0" w:after="80"/>
        <w:jc w:val="both"/>
        <w:rPr>
          <w:color w:val="000000"/>
        </w:rPr>
      </w:pPr>
      <w:r>
        <w:rPr>
          <w:color w:val="000000"/>
        </w:rPr>
        <w:t>•</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Success fees are valued utilizing a scenario analysis. Fair value is determined based the potential success fee proceeds under varied timing of liquidity events during the life of the success fee agreement. At each potential exit scenario, a probability is ascribed based on the current expectations of an exit event for the portfolio company. The probability weighted value at each respective exit date is discounted to a present value and summed together to arrive at the fair value.</w:t>
      </w:r>
    </w:p>
    <w:p>
      <w:pPr>
        <w:pStyle w:val="TextBody"/>
        <w:bidi w:val="0"/>
        <w:spacing w:before="40" w:after="240"/>
        <w:jc w:val="both"/>
        <w:rPr>
          <w:rFonts w:ascii="Times New Roman" w:hAnsi="Times New Roman"/>
          <w:color w:val="000000"/>
          <w:sz w:val="20"/>
        </w:rPr>
      </w:pPr>
      <w:r>
        <w:rPr>
          <w:rFonts w:ascii="Times New Roman" w:hAnsi="Times New Roman"/>
          <w:color w:val="000000"/>
          <w:sz w:val="20"/>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pStyle w:val="TextBody"/>
        <w:bidi w:val="0"/>
        <w:spacing w:before="0" w:after="200"/>
        <w:jc w:val="both"/>
        <w:rPr>
          <w:rFonts w:ascii="Times New Roman" w:hAnsi="Times New Roman"/>
          <w:color w:val="000000"/>
          <w:sz w:val="20"/>
          <w:u w:val="single"/>
        </w:rPr>
      </w:pPr>
      <w:r>
        <w:rPr>
          <w:rFonts w:ascii="Times New Roman" w:hAnsi="Times New Roman"/>
          <w:color w:val="000000"/>
          <w:sz w:val="20"/>
          <w:u w:val="single"/>
        </w:rPr>
        <w:t>Equity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fair value of an equity investment in a privately held company is initially the face value of the amount invested. The 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 Money market funds are valued based on the published net asset value per share on the day of valuation and are included in "Cash and cash equivalents" on the Consolidated Statements of Assets and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Investment Classification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classifies its investments by level of affiliation and control.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 representation on the investee company's board of directors.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Consolidated Statements of Assets and Liabilities.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elected to be treated as a RIC under Subchapter M of the Code beginning with its taxable year ended December 31, 2016, currently qualifies as a RIC,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consolidated financial statements of the Company. The Company intends to make sufficient distributions to maintain its RIC status each year and it does not anticipate paying any material U.S. federal income taxes in the future.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Depending on the level of taxable income earned in a tax year, the Company may choose to carry forward such taxable income in excess of current year dividend distributions from such current year taxable income into the next tax year and pay a 4% excise tax on such income, as required. If the Company determines that the estimated current year taxable income will exceed the estimated dividend distributions for the current year from such income, the Company accrues excise tax on estimated excess taxable income as such taxable income is earned. Differences between taxable income and net increase in net assets resulting from operations either can be temporary, meaning they will reverse in the future, or permanent. In accordance with Section 946-205-45-3 of the ASC, permanent tax differences are reclassified from accumulated undistributed earnings to paid-in-capital at the end of each year and have no impact on total net assets. For more information, refer to "Note 10 – Income Taxes."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Per Share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Basic and diluted earnings (loss) per common share is calculated using the weighted-average number of common shares outstanding for the period presented. For the three and six months ended June 30, 2024 and 2023, basic and diluted earnings (loss) per share of common stock were the same because there were no potentially dilutive securities outstanding. Per share data is based on the weighted-average shares outstanding.</w:t>
      </w:r>
    </w:p>
    <w:p>
      <w:pPr>
        <w:pStyle w:val="TextBody"/>
        <w:bidi w:val="0"/>
        <w:spacing w:before="360" w:after="120"/>
        <w:jc w:val="left"/>
        <w:rPr>
          <w:rFonts w:ascii="Times New Roman" w:hAnsi="Times New Roman"/>
          <w:sz w:val="20"/>
        </w:rPr>
      </w:pPr>
      <w:r>
        <w:rPr>
          <w:rFonts w:ascii="Times New Roman" w:hAnsi="Times New Roman"/>
          <w:b/>
          <w:i/>
          <w:color w:val="000000"/>
          <w:sz w:val="20"/>
        </w:rPr>
        <w:t>Comprehensive Income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reports all changes in comprehensive income in the Consolidated Statements of Operations. The Company did not have any other comprehensive income in 2024 or 2023. The Company’s comprehensive income is equal to its "Net increase (decrease) in net assets resulting from operations" on the Consolidated Statements of Operations.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00"/>
        <w:jc w:val="left"/>
        <w:rPr>
          <w:rFonts w:ascii="Times New Roman" w:hAnsi="Times New Roman"/>
          <w:b/>
          <w:i/>
          <w:color w:val="000000"/>
          <w:sz w:val="20"/>
        </w:rPr>
      </w:pPr>
      <w:r>
        <w:rPr>
          <w:rFonts w:ascii="Times New Roman" w:hAnsi="Times New Roman"/>
          <w:b/>
          <w:i/>
          <w:color w:val="000000"/>
          <w:sz w:val="20"/>
        </w:rPr>
        <w:t>Distributions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Distributions to common stockholders are recorded on the applicable record date. The amount, if any, to be distributed to common stockholders is determined by the Board of Directors each quarter and is generally based upon the Company's earnings estimated by management. Net realized capital gains, if any, are generally distributed at least annually. For more information, refer to "Note 9 – Net Assets." </w:t>
      </w:r>
    </w:p>
    <w:p>
      <w:pPr>
        <w:pStyle w:val="TextBody"/>
        <w:bidi w:val="0"/>
        <w:spacing w:before="320" w:after="200"/>
        <w:jc w:val="left"/>
        <w:rPr>
          <w:rFonts w:ascii="Times New Roman" w:hAnsi="Times New Roman"/>
          <w:b/>
          <w:i/>
          <w:color w:val="000000"/>
          <w:sz w:val="20"/>
        </w:rPr>
      </w:pPr>
      <w:r>
        <w:rPr>
          <w:rFonts w:ascii="Times New Roman" w:hAnsi="Times New Roman"/>
          <w:b/>
          <w:i/>
          <w:color w:val="000000"/>
          <w:sz w:val="20"/>
        </w:rPr>
        <w:t>Organization and Offering Costs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Organization costs include, among other things, the cost of organizing as a Maryland corporation, including the cost of legal services and other fees pertaining to the Company's organization, all of which are expensed as incurred. Offering costs include, among other things, legal fees and other costs pertaining to the preparation of the Company’s public and private offering materials as well as travel-related expenses related to the Company’s public and private offerings. Pursuant to the Advisory Agreement (as defined in "Note 3 – Related Party Agreements and Transactions"), the Company and RGC agreed that organization and offering costs incurred in connection with the Initial Private Offering (as defined in "Note 9 – Net Assets") would be borne by the Company up to a maximum amount of $1.0 million, provided that the amount of such costs in excess of $1.0 million would be paid by RGC. In 2016, the Company incurred the maximum amount of $1.0 million in organization and offering costs incurred in connection with the Initial Private Offering.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Offering costs related to the Second Private Offering (as defined in "Note 9 – Net Assets") were accumulated and charged to additional paid in capital at the time of each closing beginning in 2019. These offering costs related to the Second Private Offering were subject to a cap of $0.6 million, excluding placement agent fees which had no cap and therefore the Company will bear such cost. At the completion of the Second Private Offering, the Company had accumulated and recorded $0.7 million in offering costs and $0.2 million in placement agent fees related to the Second Private Offering. Under the terms of the Second Private Offering, offering costs in excess of $0.6 million, excluding placement agent fees, were reimbursed by RGC.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had accumulated and recorded $7.0 million of offering costs related to the IPO, which were charged to additional paid in capital at the time of closing in October 2021. The offering costs were fully born by the Company and included underwriting fees, legal fees, and other costs pertaining to the preparation of the Company’s offering materials as well as travel-related expenses.</w:t>
      </w:r>
    </w:p>
    <w:p>
      <w:pPr>
        <w:pStyle w:val="TextBody"/>
        <w:bidi w:val="0"/>
        <w:spacing w:before="320" w:after="200"/>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jc w:val="both"/>
        <w:rPr>
          <w:rFonts w:ascii="Times New Roman" w:hAnsi="Times New Roman"/>
          <w:color w:val="000000"/>
          <w:sz w:val="20"/>
        </w:rPr>
      </w:pPr>
      <w:r>
        <w:rPr>
          <w:rFonts w:ascii="Times New Roman" w:hAnsi="Times New Roman"/>
          <w:color w:val="000000"/>
          <w:sz w:val="20"/>
        </w:rPr>
        <w:t xml:space="preserve">In June 2022, the FASB issued ASU 2022-03, "Fair Value Measurement (Topic 820) - Fair Value Measurement of Equity Securities Subject to Contractual Sale Restrictions", which was issued to (1)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The new guidance is effective for interim and annual periods beginning after December 15, 2023. The Company adopted the guidance on January 1, 2024, and its adoption did not have a material impact on the Company’s financial statements. </w:t>
      </w:r>
    </w:p>
    <w:p>
      <w:pPr>
        <w:pStyle w:val="TextBody"/>
        <w:bidi w:val="0"/>
        <w:spacing w:before="320" w:after="200"/>
        <w:jc w:val="both"/>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jc w:val="left"/>
        <w:rPr>
          <w:rFonts w:ascii="Times New Roman" w:hAnsi="Times New Roman"/>
          <w:color w:val="000000"/>
          <w:sz w:val="20"/>
        </w:rPr>
      </w:pPr>
      <w:r>
        <w:rPr>
          <w:rFonts w:ascii="Times New Roman" w:hAnsi="Times New Roman"/>
          <w:color w:val="000000"/>
          <w:sz w:val="20"/>
        </w:rPr>
        <w:t>In November 2023, the FASB issued ASU 2023-07, Segment Reporting (Topic 280): Improvements to Reportable Segment Disclosures ("ASU 2023-07"). This change is intended to improve reportable segment disclosure requirements, primarily through enhanced disclosures about significant segment expenses, allowing financial statement users to better understand the components of a segment's profit or loss and assess potential future cash flows for each reportable segment and the entity as a whole. The amendments expand a public entity's segment disclosures by requiring disclosure of significant segment expenses that are regularly provided to the chief operating decision maker, clarifying when an entity may report one or more additional measures to assess segment performance, requiring enhanced interim disclosures and providing new disclosure requirements for entities with a single reportable segment, among other new disclosure requirements. The amendments are effective for fiscal years beginning after December 15, 2023, and interim periods within fiscal years beginning after December 15, 2024, and early adoption is permitted. Although the ASU only requires additional disclosure about the Company's operating segment, the Company is currently evaluating the impact of adopting this guidance with respect to the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2023, the FASB issued ASU 2023-09 "Income Taxes (Topics 740): Improvements to Income Tax Disclosures" to expand the disclosure requirements for income taxes, specifically related to the rate reconciliation and income taxes paid. ASU 2023-09 is effective for our annual periods beginning January 1, 2025, with early adoption permitted. We are currently evaluating the potential effect that the updated standard will have on our financial statement disclosures.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3 – Related Party Agreements and Transactions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Advisory Agreement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November 29, 2016, the Board of Directors approved an investment advisory agreement between RGC and the Company, under which RGC, subject to the overall supervision of the Board of Directors, manages the day-to-day operations of and provides investment advisory services to the Company (together with a subsequent amendment thereto, the “Prior Advisory Agreement”). On August 3, 2017, the Board of Directors approved certain amendments to the Prior Advisory Agreement (the “First Amended and Restated Advisory Agreement”) and recommended that the Company’s stockholders approve the First Amended and Restated Advisory Agreement. The First Amended and Restated Advisory Agreement became effective on September 12, 2017 upon approval by the stockholders at a special meeting of stockholders of the Company. On April 7, 2021, the Board of Directors approved certain additional amendments to the First Amended and Restated Advisory Agreement (the “Advisory Agreement”) at a virtual meeting and recommended that the Company’s stockholders approve the Advisory Agreement. In reliance upon certain exemptive relief granted by the SEC in connection with the global COVID-19 pandemic, the Board of Directors undertook to ratify the Advisory Agreement at its next in-person meeting which was held in July 2021. The Advisory Agreement became effective on May 27, 2021 upon approval by the stockholders at a special meeting of stockholders of the Company. The Advisory Agreement amended the First Amended and Restated Advisory Agreement to include certain revisions to the management and incentive fee calculation mechanisms and clarify language relating to liquidity events. On April 30, 2024, the Board of Directors renewed the Advisory Agreement for a period of twelve months commencing May 27, 2024. Under the terms of the Advisory Agreement, RGC:</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determines the composition of the Company’s portfolio, the nature and timing of the changes to the portfolio and the manner of implementing such changes;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identifies, evaluates and negotiates the structure of the investments the Company makes;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executes, closes and monitors the investments the Company makes;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determines the securities and other assets that the Company will purchase, retain or sell;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performs due diligence on prospective investments;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provides the Company with other such investment advisory, research and related services as the Company may, from time to time, reasonably require for the investment of its funds.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Base Management Fee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base management fee is payable on the first day of each calendar quarter and is calculated on the Company's "Gross Assets" which, for purposes of the Advisory Agreement, is defined as the Company’s gross assets, including assets purchased with borrowed funds or other forms of leverage, as well as any PIK interest, as of the end of the most recently completed fiscal quarter. The base management fee will be an amount equal to 0.375% (1.50% annualized) of the Company’s average daily Gross Assets during the most recently completed calendar quarter, so long as the aggregate amount of the Company’s Gross Assets as of the end of the most recently completed calendar quarter is equal to or greater than $1.0 billion. If the aggregate amount of the Company’s Gross Assets as of the end of the most recently completed calendar quarter is less than $1.0 billion but equal to or greater than $500.0 million, the base management fee will be an amount equal to 0.40% (1.60% annualized) of the Company’s average daily Gross Assets during the most recently completed calendar quarter. If the aggregate amount of the Company’s Gross Assets as of the end of the most recently completed calendar quarter is less than $500.0 million, the base management fee will be an amount equal to 0.4375% (1.75% annualized) of the Company’s average daily Gross Assets during the most recently completed calendar quarter.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three and six months ended June 30, 2024, RGC earned base management fees at a rate of 1.50% per annum, amounting to $3.9 million and $7.9 million, respectively. For the three and six months ended June 30, 2023, RGC earned base management fees at a rate of 1.50% per annum, amounting to $4.3 million and $8.3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Incentive Fee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investment-income component (the “Income Incentive Fee”), the Company pays RGC each quarter an incentive fee with respect to the Company’s pre-incentive fee net investment income ("Pre-Incentive Fee NII"). The Income Incentive Fee is calculated and payable quarterly in arrears based on the Pre-Incentive Fee NII for the immediately preceding fiscal quarter. Payments based on Pre-Incentive Fee NII will be based on the Pre-Incentive Fee NII earned for the quarter. For this purpose, “Pre-Incentive Fee NII”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amended and restated administration were deferred incentive fees payable, both of which are included in "Incentive fees payable" on the Consolidated Statements of Assets and Liabilities agreement with the Administrator (the “Administration Agreement”), and any dividends paid on any issued and outstanding preferred stock, but excluding the incentive fee). Pre-Incentive Fee NII includes, in the case of investments with a deferred interest feature (such as OID accretion, debt instruments with pay in kind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NII does not include any realized or unrealized capital gains (losses).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Pre-Incentive Fee NII,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 NII in each calendar quarter as follows: (1) no Income Incentive Fee in any calendar quarter in which the Company’s Pre-Incentive Fee NII does not exceed the hurdle rate of 2.0%; (2) 80% of the Company’s Pre-Incentive Fee NII with respect to that portion of such Pre-Incentive Fee NII, if any, that exceeds the hurdle rate but is less than 2.667% in any calendar quarter (10.668% annualized) (the portion of the Company’s Pre-Incentive Fee NII that exceeds the hurdle but is less than 2.667% is referred to as the “catch-up”; the “catch-up” is meant to provide RGC with 20.0% of the Company’s Pre-Incentive Fee NII as if a hurdle did not apply if the Company’s Pre-Incentive Fee NII exceeds 2.667% in any calendar quarter (10.668% annualized)); and (3) 20.0% of the amount of the Company’s Pre-Incentive Fee NII, if any, that exceeds 2.667% in any calendar quarter (10.668% annualized) payable to RGC (once the hurdle is reached and the catch-up is achieved, 20.0% of all Pre-Incentive Fee NII thereafter is allocated to RGC).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Until the consummation of a Spin-Off transaction (defined below), in the event that (a) the sum of the Company’s cumulative net realized losses since the date of the Company’s election to be regulated as a BDC exceeded 2.0% of the total non-control/non-affiliate investments made by the Company since the date of the Company’s election to be regulated as a BDC through the end of the quarter and (b) the Pre-Incentive Fee NII adjusted to include any realized capital gains and losses (“Adjusted Pre-Incentive Fee NII”), expressed as an annualized rate of return on the value of the Company’s average daily net assets (defined as total assets less liabilities), since the Company’s election to be regulated as a BDC through the end of the quarter was less than 10.0%, no Income Incentive Fee would be payable for such quarter until the first subsequent quarter in which either (x) the sum of the Company’s cumulative net realized losses since the date of the Company’s election to be regulated as a BDC was equal to or less than 2.0% of the total non-control/non-affiliate investments made by the Company since the date of the Company’s election to be regulated as a BDC through the end of such subsequent quarter or (y) the Adjusted Pre-Incentive Fee NII,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would any Income Incentive Fee be payable for any prior quarter after the three-year anniversary of the end of such quarter. For purposes of the Advisory Agreement, a “Spin-Off transaction” includes either a transaction whereby (a) the Company offers its stockholders the option to elect to either (i) retain their ownership of shares of the Company’s common stock, or (ii) exchange their shares of the Company’s common stock for shares of common stock in a newly formed entity (the “Public Fund”) that will elect to be regulated as a BDC under the 1940 Act and treated as a RIC under Subchapter M of the Code (the “Public Fund Spin Off”); or (b) the Company completes a listing of the Company’s securities on any securities exchange (an “Exchange Listing”).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Under the capital 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losses and aggregate cumulative unrealized capital losses through the end of such year, less the aggregate amount of any previously paid Capital Gains Fee. For the foregoing purpose, the Company’s “aggregate cumulative realized capital gains” will not include any unrealized gains. If such amount is negative, then no Capital Gains Fee will be payable for such year.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three and six months ended June 30, 2024, RGC earned incentive fees of $3.6 million and $8.3 million, respectively; $2.9 million and $6.5 million of which were payable in cash, respectively, and $0.7 million and $1.8 million were accrued and generated from deferred interest, respectively. For the three and six months ended June 30, 2023, RGC earned incentive fees of $4.9 million and $9.5 million, respectively; of which $3.4 million and $6.9 million were payable in cash, respectively, and $1.5 million and $2.6 million were accrued and generated from deferred interest, respectively. All incentive fees accrued and generated from deferred interest (i.e., PIK and certain discount accretion) are not payable until receipt of respective cash by the Company.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of June 30, 2024, $2.9 million were payable in cash, and $11.0 million were deferred incentive fees payable, both of which are included in "Incentive fees payable" on the Statements of Assets and Liabilities. As of December 31, 2023, $3.3 million of incentive fees payable were payable in cash, and $9.2 million were deferred incentive fees payable, both of which are included in "Incentive fees payable" on the Consolidated Statements of Assets and Liabilities.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capital gains incentive fee consists of fees related to realized gains and losses and unrealized capital losses. With respect to the incentive fee expense accrual related to the capital gains incentive fee, U.S. GAAP requires that the capital gains incentive fee accrual consider the cumulative aggregate unrealized gains in the calculation, as a capital gains incentive fee would be payable if such unrealized gains were realized even though such unrealized gains are not permitted to be considered in calculating the fee actually payable under the Advisory Agreement. As of each of June 30, 2024 and December 31, 2023, there was no capital gains incentive fee accrued, earned or payable to RGC under the Advisory Agreement.</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Spin-Off Incentive Fee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Income Incentive Fee will be payable in connection with a Public Fund Spin-Off as follows. The Income Incentive Fee will be calculated as of the date of the completion of each Public Fund Spin-Off and will equal the amount of Income Incentive Fee that would be payable to RGC if (1) all of the Company’s investments were liquidated for their current value and any unamortized deferred portfolio investment-related fees would be deemed accelerated, (2) the proceeds from such liquidation were used to pay all of the Company’s outstanding liabilities, and (3) the remainder were distributed to the Company’s stockholders and paid as incentive fee in accordance with the Income Incentive Fee described in clauses (1) and (2) above for determining the amount of the Income Incentive Fee; provided, however, that in no event will the Income Incentive Fee paid in connection with the completion of the Public Fund Spin-Off (x) include the portion of the Income Incentive Fee attributable to deferred interest features of a particular investment that is not transferred pursuant to the Public Fund Spin-Off until such time as the deferred interest is received in cash, or (y) exceed 20.0% of the Company’s Pre-Incentive Fee NII accrued by the Company for the fiscal quarter as of the date of the completion of the Public-Fund Spin-Off. The Company will make the payment of the Income Incentive Fee paid in connection with the completion of the Public Fund Spin-Off in cash on or immediately following the date of the completion of the Public-Fund Spin-Off. After the Public Fund Spin-Off, all calculations relating to the incentive fee payable will be made beginning on the day immediately following the completion of the Public Fund Spin-Off without taking into account the exchanged shares of the Company’s common stock (or contributions, distributions or proceeds relating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Capital Gains Fee will be payable in respect of the exchanged shares of the Company’s common stock in connection with the Public Fund Spin-Off and will be calculated as of the date of the completion of the Public Fund Spin-Off as if such date were a calendar year-end for purposes of calculating and paying the Capital Gains Fee.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Income Incentive Fee or Capital Gains Fee will be payable in connection with the Public Fund Spin-Off unless, on the date of the completion of the Public Fund Spin-Off, the sum of the Company’s (i) Pre-Incentive Fee NII and (ii) realized capital gains less realized capital losses and unrealized capital losses from the date of the Company’s election to be regulated as a BDC through, and including, the date of the completion of the Public Fund Spin-Off, is greater than 8.0% of the cumulative net investments made by the Company since the Company’s election to be regulated as a BDC.</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Administration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reimburses the Administrator for the allocable portion of overhead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the Company’s Chief Financial Officer, Chief Compliance Officer and their respective support staff, as well as any expenses paid by the Administrator on the Company's behalf.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three months ended June 30, 2024, the Company incurred $0.5 million of Administration Agreement expenses, of which $0.2 million was payable to a third-party service provider and $0.3 million was overhead allocation expense, which are included in "Administration agreement expenses" on the Consolidated Statements of Operations. For the three months ended June 30, 2023, the Company incurred $0.6 million of Administration Agreement expenses, of which $0.3 million was payable to a third-party service provider and $0.3 million was overhead allocation expense.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six months ended June 30, 2024, the Company incurred $1.0 million of Administration Agreement expenses, of which $0.4 million was payable to a third-party service provider and $0.6 million was overhead allocation expense, which are included in "Administration agreement expenses" on the Consolidated Statements of Operations. For the six months ended June 30, 2023, the Company incurred $1.2 million of Administration Agreement expenses, of which $0.6 million was payable to a third-party service provider and $0.6 million was overhead allocation expense.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June 30, 2024, the Company had accrued a net payable to the Administrator of $0.3 million and a payable to the third-party service provider of $0.3 million, which are included in "Accrued expenses and other liabilities" on the Consolidated Statements of Assets and Liabilities. As of December 31, 2023, the Company had accrued a net payable to the Administrator of $0.4 million and a payable to the third-party service provider of $0.2 million.</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License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has entered into a license agreement with RGC (the “License Agreement”) pursuant to which RGC has granted the Company a personal, non-exclusive, royalty-free right and license to use the name “Runway Growth Finance.” Under the License Agreement, the Company has the right to use the “Runway Growth Finance” name for so long as RGC or one of its affiliates remains the Company’s investment adviser. Other than with respect to this limited license, the Company has no legal right to the “Runway Growth Finance” name.</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Runway-Cadma I LLC</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and six months ended June 30, 2024, the Company and Cadma had contributed $0.7 million and $0.7 million, respectively, of equity capital to the JV. As of June 30, 2024, the Company and Cadma's ownership of the JV were both 50%. As of June 30, 2024, the JV had no debt or equity investments. As of June 30, 2024 and December 31, 2023, the Company's unfunded commitment to the JV was $34.4 million and $0 million, respectively. There were no receivables or payables, due from the JV as of June 30, 2024 and December 31, 2023. During the three and six months ended June 30, 2024, the JV reimbursed the Company for $0.6 million of expenses attributable to the JV. As of June 30, 2024 and December 31, 2023, the fair value of the Company's equity interest in the JV was $0.5 million and $0, respectively. The JV's loan and security agreement with Apollo Capital Management, L.P, which is non-recourse to the Company, had $40 million in availability as of June 30, 2024. </w:t>
      </w:r>
    </w:p>
    <w:p>
      <w:pPr>
        <w:pStyle w:val="TextBody"/>
        <w:bidi w:val="0"/>
        <w:jc w:val="left"/>
        <w:rPr/>
      </w:pPr>
      <w:r>
        <w:rPr/>
        <w:t> </w:t>
      </w:r>
    </w:p>
    <w:tbl>
      <w:tblPr>
        <w:tblW w:w="8160" w:type="dxa"/>
        <w:jc w:val="left"/>
        <w:tblInd w:w="0" w:type="dxa"/>
        <w:tblLayout w:type="fixed"/>
        <w:tblCellMar>
          <w:top w:w="28" w:type="dxa"/>
          <w:left w:w="28" w:type="dxa"/>
          <w:bottom w:w="28" w:type="dxa"/>
          <w:right w:w="28" w:type="dxa"/>
        </w:tblCellMar>
      </w:tblPr>
      <w:tblGrid>
        <w:gridCol w:w="4706"/>
        <w:gridCol w:w="196"/>
        <w:gridCol w:w="220"/>
        <w:gridCol w:w="905"/>
        <w:gridCol w:w="146"/>
        <w:gridCol w:w="196"/>
        <w:gridCol w:w="445"/>
        <w:gridCol w:w="1055"/>
        <w:gridCol w:w="291"/>
      </w:tblGrid>
      <w:tr>
        <w:trPr/>
        <w:tc>
          <w:tcPr>
            <w:tcW w:w="47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70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7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Total contributed capital by Runway Growth Finance Corp.</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0"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5" w:type="dxa"/>
            <w:tcBorders/>
            <w:shd w:fill="CFF0FC" w:val="clear"/>
            <w:vAlign w:val="center"/>
          </w:tcPr>
          <w:p>
            <w:pPr>
              <w:pStyle w:val="TableContents"/>
              <w:bidi w:val="0"/>
              <w:spacing w:before="0" w:after="283"/>
              <w:jc w:val="left"/>
              <w:rPr/>
            </w:pPr>
            <w:r>
              <w:rPr/>
              <w:t> </w:t>
            </w:r>
          </w:p>
        </w:tc>
        <w:tc>
          <w:tcPr>
            <w:tcW w:w="1055"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7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Total contributed capital by all members</w:t>
            </w:r>
          </w:p>
        </w:tc>
        <w:tc>
          <w:tcPr>
            <w:tcW w:w="19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7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Total unfunded commitments by Runway Growth Finance Corp.</w:t>
            </w:r>
          </w:p>
        </w:tc>
        <w:tc>
          <w:tcPr>
            <w:tcW w:w="19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34,350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left"/>
              <w:rPr/>
            </w:pPr>
            <w:r>
              <w:rPr/>
              <w:t> </w:t>
            </w:r>
          </w:p>
        </w:tc>
        <w:tc>
          <w:tcPr>
            <w:tcW w:w="1055"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7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Total unfunded commitments by all members</w:t>
            </w:r>
          </w:p>
        </w:tc>
        <w:tc>
          <w:tcPr>
            <w:tcW w:w="19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68,700</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Strategic Relationship</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In December 2016, the Company and RGC entered into a strategic relationship with Oaktree Capital Management, L.P (“Oaktree”). In connection with the strategic relationship, OCM Growth Holdings ("OCM Growth"), an affiliate of Oaktree, purchased an aggregate of 14,571,334 shares of the Company's common stock for an aggregate purchase price of $219.3 million in the Company's Initial Private Offering and Second Private Offering. As of June 30, 2024, OCM Growth, an affiliate of Oaktree, owned 10,779,668 shares, or approximately 28.0% of the Company's outstanding shares. Pursuant to an irrevocable proxy, certain shares held by OCM Growth must be voted in the same proportion that the Company's other stockholders vote their shares. Of the 10,779,668 shares of Company’s common stock owned by OCM Growth, 10,294,926 shares, or approximately 26.7% of the Company’s outstanding shares, are subject to this proxy voting arrangement.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OCM Growth’s commitment, the Company entered into a stockholder agreement, dated December 15, 2016, with OCM Growth, pursuant to which OCM Growth has a right to nominate a member of the Board of Directors for election for so long as OCM Growth holds shares of the Company’s common stock in an amount equal to, in the aggregate, at least one-third (33%) of OCM Growth’s initial $125.0 million capital commitment. Gregory M. Share, Managing Director of Oaktree's Global Opportunities Group in Los Angeles, serves on the Board of Directors as OCM Growth’s director nominee and is considered an interested director. OCM Growth also holds a minority interest in RGC and has the right to appoint a member of RGC’s board of managers and a member of RGC’s investment committee. Mr. Share is OCM Growth’s appointee to RGC’s board of managers and investment committee.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4 – Investments</w:t>
      </w:r>
    </w:p>
    <w:p>
      <w:pPr>
        <w:pStyle w:val="TextBody"/>
        <w:bidi w:val="0"/>
        <w:spacing w:before="240" w:after="240"/>
        <w:jc w:val="both"/>
        <w:rPr>
          <w:rFonts w:ascii="Times New Roman" w:hAnsi="Times New Roman"/>
          <w:b/>
          <w:i/>
          <w:color w:val="000000"/>
          <w:sz w:val="20"/>
        </w:rPr>
      </w:pPr>
      <w:r>
        <w:rPr>
          <w:rFonts w:ascii="Times New Roman" w:hAnsi="Times New Roman"/>
          <w:b/>
          <w:i/>
          <w:color w:val="000000"/>
          <w:sz w:val="20"/>
        </w:rPr>
        <w:t>Control and Affiliate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classifies its investment portfolio by level of affiliation and control in accordance with the requirements of the 1940 Act.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50.0% representation on the investee company's board of directors.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affiliate and control investments as of June 30, 2024, along with the transactions during the six months ended June 30, 2024, are as follows (in thousands):</w:t>
      </w:r>
    </w:p>
    <w:tbl>
      <w:tblPr>
        <w:tblW w:w="11920" w:type="dxa"/>
        <w:jc w:val="left"/>
        <w:tblInd w:w="0" w:type="dxa"/>
        <w:tblLayout w:type="fixed"/>
        <w:tblCellMar>
          <w:top w:w="28" w:type="dxa"/>
          <w:left w:w="28" w:type="dxa"/>
          <w:bottom w:w="28" w:type="dxa"/>
          <w:right w:w="28" w:type="dxa"/>
        </w:tblCellMar>
      </w:tblPr>
      <w:tblGrid>
        <w:gridCol w:w="293"/>
        <w:gridCol w:w="629"/>
        <w:gridCol w:w="587"/>
        <w:gridCol w:w="146"/>
        <w:gridCol w:w="901"/>
        <w:gridCol w:w="146"/>
        <w:gridCol w:w="931"/>
        <w:gridCol w:w="146"/>
        <w:gridCol w:w="207"/>
        <w:gridCol w:w="154"/>
        <w:gridCol w:w="540"/>
        <w:gridCol w:w="146"/>
        <w:gridCol w:w="146"/>
        <w:gridCol w:w="196"/>
        <w:gridCol w:w="146"/>
        <w:gridCol w:w="601"/>
        <w:gridCol w:w="146"/>
        <w:gridCol w:w="146"/>
        <w:gridCol w:w="225"/>
        <w:gridCol w:w="167"/>
        <w:gridCol w:w="434"/>
        <w:gridCol w:w="146"/>
        <w:gridCol w:w="146"/>
        <w:gridCol w:w="265"/>
        <w:gridCol w:w="197"/>
        <w:gridCol w:w="469"/>
        <w:gridCol w:w="146"/>
        <w:gridCol w:w="146"/>
        <w:gridCol w:w="205"/>
        <w:gridCol w:w="153"/>
        <w:gridCol w:w="363"/>
        <w:gridCol w:w="146"/>
        <w:gridCol w:w="146"/>
        <w:gridCol w:w="196"/>
        <w:gridCol w:w="146"/>
        <w:gridCol w:w="571"/>
        <w:gridCol w:w="166"/>
        <w:gridCol w:w="146"/>
        <w:gridCol w:w="196"/>
        <w:gridCol w:w="146"/>
        <w:gridCol w:w="601"/>
        <w:gridCol w:w="191"/>
      </w:tblGrid>
      <w:tr>
        <w:trPr/>
        <w:tc>
          <w:tcPr>
            <w:tcW w:w="29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3"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50" w:type="dxa"/>
            <w:gridSpan w:val="3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Income Earned 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as of December 31,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3"/>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Gross </w:t>
              <w:br/>
              <w:t>Additions</w:t>
            </w:r>
            <w:r>
              <w:rPr>
                <w:rFonts w:ascii="Times New Roman" w:hAnsi="Times New Roman"/>
                <w:b/>
                <w:color w:val="000000"/>
                <w:sz w:val="11"/>
              </w:rPr>
              <w:t>(1)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3"/>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Gross </w:t>
              <w:br/>
              <w:t>Reductions</w:t>
            </w:r>
            <w:r>
              <w:rPr>
                <w:rFonts w:ascii="Times New Roman" w:hAnsi="Times New Roman"/>
                <w:b/>
                <w:color w:val="000000"/>
                <w:sz w:val="11"/>
              </w:rPr>
              <w:t>(2)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Realized Gain (Loss)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 Gain (Loss)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 as of June 30, 2024</w:t>
            </w:r>
            <w:r>
              <w:rPr>
                <w:rFonts w:ascii="Times New Roman" w:hAnsi="Times New Roman"/>
                <w:b/>
                <w:color w:val="000000"/>
                <w:sz w:val="11"/>
              </w:rPr>
              <w:t>(3)</w:t>
            </w:r>
          </w:p>
        </w:tc>
        <w:tc>
          <w:tcPr>
            <w:tcW w:w="191" w:type="dxa"/>
            <w:tcBorders/>
            <w:shd w:fill="FFFFFF" w:val="clear"/>
            <w:vAlign w:val="center"/>
          </w:tcPr>
          <w:p>
            <w:pPr>
              <w:pStyle w:val="TableContents"/>
              <w:bidi w:val="0"/>
              <w:spacing w:before="0" w:after="283"/>
              <w:jc w:val="center"/>
              <w:rPr/>
            </w:pPr>
            <w:r>
              <w:rPr/>
              <w:t> </w:t>
            </w:r>
          </w:p>
        </w:tc>
      </w:tr>
      <w:tr>
        <w:trPr/>
        <w:tc>
          <w:tcPr>
            <w:tcW w:w="15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Investment </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3" w:type="dxa"/>
            <w:gridSpan w:val="7"/>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right"/>
              <w:rPr/>
            </w:pPr>
            <w:r>
              <w:rPr/>
              <w:t> </w:t>
            </w:r>
          </w:p>
        </w:tc>
        <w:tc>
          <w:tcPr>
            <w:tcW w:w="60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right"/>
              <w:rPr/>
            </w:pPr>
            <w:r>
              <w:rPr/>
              <w:t> </w:t>
            </w:r>
          </w:p>
        </w:tc>
        <w:tc>
          <w:tcPr>
            <w:tcW w:w="66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right"/>
              <w:rPr/>
            </w:pPr>
            <w:r>
              <w:rPr/>
              <w:t> </w:t>
            </w:r>
          </w:p>
        </w:tc>
        <w:tc>
          <w:tcPr>
            <w:tcW w:w="51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3340"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right"/>
              <w:rPr/>
            </w:pPr>
            <w:r>
              <w:rPr/>
              <w:t> </w:t>
            </w:r>
          </w:p>
        </w:tc>
        <w:tc>
          <w:tcPr>
            <w:tcW w:w="60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right"/>
              <w:rPr/>
            </w:pPr>
            <w:r>
              <w:rPr/>
              <w:t> </w:t>
            </w:r>
          </w:p>
        </w:tc>
        <w:tc>
          <w:tcPr>
            <w:tcW w:w="66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51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SOFR+8.75%, 8.00% ceiling, 5.00% ETP, due 11/30/2026</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23,941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3340"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right"/>
              <w:rPr/>
            </w:pPr>
            <w:r>
              <w:rPr/>
              <w:t> </w:t>
            </w:r>
          </w:p>
        </w:tc>
        <w:tc>
          <w:tcPr>
            <w:tcW w:w="60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right"/>
              <w:rPr/>
            </w:pPr>
            <w:r>
              <w:rPr/>
              <w:t> </w:t>
            </w:r>
          </w:p>
        </w:tc>
        <w:tc>
          <w:tcPr>
            <w:tcW w:w="66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right"/>
              <w:rPr/>
            </w:pPr>
            <w:r>
              <w:rPr/>
              <w:t> </w:t>
            </w:r>
          </w:p>
        </w:tc>
        <w:tc>
          <w:tcPr>
            <w:tcW w:w="51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3340"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right"/>
              <w:rPr/>
            </w:pPr>
            <w:r>
              <w:rPr/>
              <w:t> </w:t>
            </w:r>
          </w:p>
        </w:tc>
        <w:tc>
          <w:tcPr>
            <w:tcW w:w="60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right"/>
              <w:rPr/>
            </w:pPr>
            <w:r>
              <w:rPr/>
              <w:t> </w:t>
            </w:r>
          </w:p>
        </w:tc>
        <w:tc>
          <w:tcPr>
            <w:tcW w:w="66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51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91" w:type="dxa"/>
            <w:tcBorders/>
            <w:shd w:fill="CFF0FC" w:val="cle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21,380</w:t>
            </w:r>
          </w:p>
        </w:tc>
        <w:tc>
          <w:tcPr>
            <w:tcW w:w="191" w:type="dxa"/>
            <w:tcBorders/>
            <w:shd w:fill="FFFFFF" w:val="cle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3340"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3340"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right"/>
              <w:rPr/>
            </w:pPr>
            <w:r>
              <w:rPr/>
              <w:t> </w:t>
            </w:r>
          </w:p>
        </w:tc>
        <w:tc>
          <w:tcPr>
            <w:tcW w:w="60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right"/>
              <w:rPr/>
            </w:pPr>
            <w:r>
              <w:rPr/>
              <w:t> </w:t>
            </w:r>
          </w:p>
        </w:tc>
        <w:tc>
          <w:tcPr>
            <w:tcW w:w="66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right"/>
              <w:rPr/>
            </w:pPr>
            <w:r>
              <w:rPr/>
              <w:t> </w:t>
            </w:r>
          </w:p>
        </w:tc>
        <w:tc>
          <w:tcPr>
            <w:tcW w:w="51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91" w:type="dxa"/>
            <w:tcBorders/>
            <w:shd w:fill="FFFFFF" w:val="cle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3340"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3" w:type="dxa"/>
            <w:gridSpan w:val="7"/>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Affiliate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3" w:type="dxa"/>
            <w:gridSpan w:val="7"/>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Control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right"/>
              <w:rPr/>
            </w:pPr>
            <w:r>
              <w:rPr/>
              <w:t> </w:t>
            </w:r>
          </w:p>
        </w:tc>
        <w:tc>
          <w:tcPr>
            <w:tcW w:w="60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right"/>
              <w:rPr/>
            </w:pPr>
            <w:r>
              <w:rPr/>
              <w:t> </w:t>
            </w:r>
          </w:p>
        </w:tc>
        <w:tc>
          <w:tcPr>
            <w:tcW w:w="66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51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3340"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right"/>
              <w:rPr/>
            </w:pPr>
            <w:r>
              <w:rPr/>
              <w:t> </w:t>
            </w:r>
          </w:p>
        </w:tc>
        <w:tc>
          <w:tcPr>
            <w:tcW w:w="60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right"/>
              <w:rPr/>
            </w:pPr>
            <w:r>
              <w:rPr/>
              <w:t> </w:t>
            </w:r>
          </w:p>
        </w:tc>
        <w:tc>
          <w:tcPr>
            <w:tcW w:w="66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right"/>
              <w:rPr/>
            </w:pPr>
            <w:r>
              <w:rPr/>
              <w:t> </w:t>
            </w:r>
          </w:p>
        </w:tc>
        <w:tc>
          <w:tcPr>
            <w:tcW w:w="51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w:t>
            </w:r>
          </w:p>
        </w:tc>
        <w:tc>
          <w:tcPr>
            <w:tcW w:w="191" w:type="dxa"/>
            <w:tcBorders/>
            <w:shd w:fill="FFFFFF" w:val="cle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Runway-Cadma I LLC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3340"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3" w:type="dxa"/>
            <w:gridSpan w:val="7"/>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Control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Gross additions include increases in the basis of investments resulting from new portfolio investments, PIK interest, accretion of OID, the exchange of one or more existing investments for one or more new investments and the movement of an existing portfolio company into this category from a different category.</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jc w:val="both"/>
        <w:rPr>
          <w:rFonts w:ascii="Times New Roman" w:hAnsi="Times New Roman"/>
          <w:sz w:val="20"/>
        </w:rPr>
      </w:pPr>
      <w:r>
        <w:rPr>
          <w:rFonts w:ascii="Times New Roman" w:hAnsi="Times New Roman"/>
          <w:color w:val="000000"/>
          <w:sz w:val="16"/>
        </w:rPr>
        <w:t>All investments in the portfolio companies, which as of June 30, 2024, represented 10.24%</w:t>
      </w:r>
      <w:r>
        <w:rPr>
          <w:rFonts w:ascii="Times New Roman" w:hAnsi="Times New Roman"/>
          <w:color w:val="000000"/>
          <w:sz w:val="20"/>
        </w:rPr>
        <w:t xml:space="preserve"> </w:t>
      </w:r>
      <w:r>
        <w:rPr>
          <w:rFonts w:ascii="Times New Roman" w:hAnsi="Times New Roman"/>
          <w:color w:val="000000"/>
          <w:sz w:val="16"/>
        </w:rPr>
        <w:t>of the Company’s net assets, may be deemed to be restricted securities under the Securities Act, and were valued at fair value as determined in good faith by the Company’s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Company’s affiliate and control investments as of December 31, 2023, along with the transactions during the year ended December 31, 2023, are as follows (in thousands):</w:t>
      </w:r>
    </w:p>
    <w:tbl>
      <w:tblPr>
        <w:tblW w:w="11999" w:type="dxa"/>
        <w:jc w:val="left"/>
        <w:tblInd w:w="0" w:type="dxa"/>
        <w:tblLayout w:type="fixed"/>
        <w:tblCellMar>
          <w:top w:w="28" w:type="dxa"/>
          <w:left w:w="28" w:type="dxa"/>
          <w:bottom w:w="28" w:type="dxa"/>
          <w:right w:w="28" w:type="dxa"/>
        </w:tblCellMar>
      </w:tblPr>
      <w:tblGrid>
        <w:gridCol w:w="293"/>
        <w:gridCol w:w="493"/>
        <w:gridCol w:w="453"/>
        <w:gridCol w:w="146"/>
        <w:gridCol w:w="901"/>
        <w:gridCol w:w="146"/>
        <w:gridCol w:w="931"/>
        <w:gridCol w:w="146"/>
        <w:gridCol w:w="207"/>
        <w:gridCol w:w="154"/>
        <w:gridCol w:w="540"/>
        <w:gridCol w:w="146"/>
        <w:gridCol w:w="146"/>
        <w:gridCol w:w="196"/>
        <w:gridCol w:w="146"/>
        <w:gridCol w:w="511"/>
        <w:gridCol w:w="146"/>
        <w:gridCol w:w="146"/>
        <w:gridCol w:w="196"/>
        <w:gridCol w:w="146"/>
        <w:gridCol w:w="601"/>
        <w:gridCol w:w="146"/>
        <w:gridCol w:w="146"/>
        <w:gridCol w:w="199"/>
        <w:gridCol w:w="148"/>
        <w:gridCol w:w="584"/>
        <w:gridCol w:w="166"/>
        <w:gridCol w:w="146"/>
        <w:gridCol w:w="196"/>
        <w:gridCol w:w="146"/>
        <w:gridCol w:w="661"/>
        <w:gridCol w:w="166"/>
        <w:gridCol w:w="146"/>
        <w:gridCol w:w="196"/>
        <w:gridCol w:w="146"/>
        <w:gridCol w:w="571"/>
        <w:gridCol w:w="166"/>
        <w:gridCol w:w="146"/>
        <w:gridCol w:w="196"/>
        <w:gridCol w:w="146"/>
        <w:gridCol w:w="601"/>
        <w:gridCol w:w="191"/>
      </w:tblGrid>
      <w:tr>
        <w:trPr/>
        <w:tc>
          <w:tcPr>
            <w:tcW w:w="2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3"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99" w:type="dxa"/>
            <w:gridSpan w:val="3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Income Earned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as of December 31, 2022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Gross </w:t>
              <w:br/>
              <w:t>Additions</w:t>
            </w:r>
            <w:r>
              <w:rPr>
                <w:rFonts w:ascii="Times New Roman" w:hAnsi="Times New Roman"/>
                <w:b/>
                <w:color w:val="000000"/>
                <w:sz w:val="11"/>
              </w:rPr>
              <w:t>(1)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3"/>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Gross </w:t>
              <w:br/>
              <w:t>Reductions</w:t>
            </w:r>
            <w:r>
              <w:rPr>
                <w:rFonts w:ascii="Times New Roman" w:hAnsi="Times New Roman"/>
                <w:b/>
                <w:color w:val="000000"/>
                <w:sz w:val="11"/>
              </w:rPr>
              <w:t>(2)</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Realized Gain (Loss)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 Gain (Loss)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 as of December 31, 2023</w:t>
            </w:r>
            <w:r>
              <w:rPr>
                <w:rFonts w:ascii="Times New Roman" w:hAnsi="Times New Roman"/>
                <w:b/>
                <w:color w:val="000000"/>
                <w:sz w:val="11"/>
              </w:rPr>
              <w:t>(3)</w:t>
            </w:r>
          </w:p>
        </w:tc>
        <w:tc>
          <w:tcPr>
            <w:tcW w:w="191" w:type="dxa"/>
            <w:tcBorders/>
            <w:shd w:fill="FFFFFF" w:val="clear"/>
            <w:vAlign w:val="center"/>
          </w:tcPr>
          <w:p>
            <w:pPr>
              <w:pStyle w:val="TableContents"/>
              <w:bidi w:val="0"/>
              <w:spacing w:before="0" w:after="283"/>
              <w:jc w:val="center"/>
              <w:rPr/>
            </w:pPr>
            <w:r>
              <w:rPr/>
              <w:t> </w:t>
            </w:r>
          </w:p>
        </w:tc>
      </w:tr>
      <w:tr>
        <w:trPr/>
        <w:tc>
          <w:tcPr>
            <w:tcW w:w="12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Investment </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3" w:type="dxa"/>
            <w:gridSpan w:val="7"/>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73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3070"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SOFR+8.75%, 8.00% ceiling, 5.00% ETP, due 11/30/2026</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23,586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3070"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73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3070"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191" w:type="dxa"/>
            <w:tcBorders/>
            <w:shd w:fill="CFF0FC" w:val="cle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21,461</w:t>
            </w:r>
          </w:p>
        </w:tc>
        <w:tc>
          <w:tcPr>
            <w:tcW w:w="191" w:type="dxa"/>
            <w:tcBorders/>
            <w:shd w:fill="FFFFFF" w:val="cle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3070"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3070"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73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w:t>
            </w:r>
          </w:p>
        </w:tc>
        <w:tc>
          <w:tcPr>
            <w:tcW w:w="191" w:type="dxa"/>
            <w:tcBorders/>
            <w:shd w:fill="FFFFFF" w:val="cle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3070"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3" w:type="dxa"/>
            <w:gridSpan w:val="7"/>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Affiliate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3" w:type="dxa"/>
            <w:gridSpan w:val="7"/>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Control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3070"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73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LIBOR+8.50% PIK, 11.00% floor, 4.00% ETP, due 10/15/2023</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3070"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3070"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3070"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3" w:type="dxa"/>
            <w:gridSpan w:val="7"/>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Control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Gross additions include increases in the basis of investments resulting from new portfolio investments, PIK interest, accretion of OID, the exchange of one or more existing investments for one or more new investments and the movement of an existing portfolio company into this category from a different category.</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jc w:val="both"/>
        <w:rPr>
          <w:rFonts w:ascii="Times New Roman" w:hAnsi="Times New Roman"/>
          <w:sz w:val="20"/>
        </w:rPr>
      </w:pPr>
      <w:r>
        <w:rPr>
          <w:rFonts w:ascii="Times New Roman" w:hAnsi="Times New Roman"/>
          <w:color w:val="000000"/>
          <w:sz w:val="16"/>
        </w:rPr>
        <w:t>All investments in the portfolio company, which as of December 31, 2023, represented 9.58%</w:t>
      </w:r>
      <w:r>
        <w:rPr>
          <w:rFonts w:ascii="Times New Roman" w:hAnsi="Times New Roman"/>
          <w:color w:val="000000"/>
          <w:sz w:val="20"/>
        </w:rPr>
        <w:t xml:space="preserve"> </w:t>
      </w:r>
      <w:r>
        <w:rPr>
          <w:rFonts w:ascii="Times New Roman" w:hAnsi="Times New Roman"/>
          <w:color w:val="000000"/>
          <w:sz w:val="16"/>
        </w:rPr>
        <w:t>of the Company’s net assets, may be deemed to be restricted securities under the Securities Act, and were valued at fair value as determined in good faith by the Company’s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both"/>
        <w:rPr>
          <w:rFonts w:ascii="Times New Roman" w:hAnsi="Times New Roman"/>
          <w:b/>
          <w:i/>
          <w:color w:val="000000"/>
          <w:sz w:val="20"/>
        </w:rPr>
      </w:pPr>
      <w:r>
        <w:rPr>
          <w:rFonts w:ascii="Times New Roman" w:hAnsi="Times New Roman"/>
          <w:b/>
          <w:i/>
          <w:color w:val="000000"/>
          <w:sz w:val="20"/>
        </w:rPr>
        <w:t>Portfolio Composition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shows the fair value of the Company's portfolio of investments by geographic region as of June 30, 2024 and December 31, 2023:</w:t>
      </w:r>
    </w:p>
    <w:tbl>
      <w:tblPr>
        <w:tblW w:w="10205" w:type="dxa"/>
        <w:jc w:val="left"/>
        <w:tblInd w:w="0" w:type="dxa"/>
        <w:tblLayout w:type="fixed"/>
        <w:tblCellMar>
          <w:top w:w="28" w:type="dxa"/>
          <w:left w:w="28" w:type="dxa"/>
          <w:bottom w:w="28" w:type="dxa"/>
          <w:right w:w="28" w:type="dxa"/>
        </w:tblCellMar>
      </w:tblPr>
      <w:tblGrid>
        <w:gridCol w:w="1992"/>
        <w:gridCol w:w="146"/>
        <w:gridCol w:w="311"/>
        <w:gridCol w:w="231"/>
        <w:gridCol w:w="1312"/>
        <w:gridCol w:w="146"/>
        <w:gridCol w:w="146"/>
        <w:gridCol w:w="218"/>
        <w:gridCol w:w="897"/>
        <w:gridCol w:w="218"/>
        <w:gridCol w:w="449"/>
        <w:gridCol w:w="146"/>
        <w:gridCol w:w="311"/>
        <w:gridCol w:w="231"/>
        <w:gridCol w:w="1312"/>
        <w:gridCol w:w="146"/>
        <w:gridCol w:w="146"/>
        <w:gridCol w:w="201"/>
        <w:gridCol w:w="827"/>
        <w:gridCol w:w="201"/>
        <w:gridCol w:w="618"/>
      </w:tblGrid>
      <w:tr>
        <w:trPr/>
        <w:tc>
          <w:tcPr>
            <w:tcW w:w="1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19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28"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93"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r>
      <w:tr>
        <w:trPr/>
        <w:tc>
          <w:tcPr>
            <w:tcW w:w="1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Geographic Region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r>
      <w:tr>
        <w:trPr/>
        <w:tc>
          <w:tcPr>
            <w:tcW w:w="199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United States</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54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5" w:type="dxa"/>
            <w:gridSpan w:val="2"/>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54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8" w:type="dxa"/>
            <w:gridSpan w:val="2"/>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ind w:left="0" w:right="0" w:firstLine="100"/>
              <w:jc w:val="left"/>
              <w:rPr/>
            </w:pPr>
            <w:r>
              <w:rPr/>
              <w:t> </w:t>
            </w:r>
          </w:p>
        </w:tc>
      </w:tr>
      <w:tr>
        <w:trPr/>
        <w:tc>
          <w:tcPr>
            <w:tcW w:w="199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Western United States</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31" w:type="dxa"/>
            <w:tcBorders/>
            <w:shd w:fill="CFF0FC" w:val="clear"/>
            <w:vAlign w:val="center"/>
          </w:tcPr>
          <w:p>
            <w:pPr>
              <w:pStyle w:val="TableContents"/>
              <w:bidi w:val="0"/>
              <w:spacing w:before="0" w:after="283"/>
              <w:jc w:val="left"/>
              <w:rPr/>
            </w:pPr>
            <w:r>
              <w:rPr/>
              <w:t> </w:t>
            </w:r>
          </w:p>
        </w:tc>
        <w:tc>
          <w:tcPr>
            <w:tcW w:w="13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408,744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80.72</w:t>
            </w:r>
          </w:p>
        </w:tc>
        <w:tc>
          <w:tcPr>
            <w:tcW w:w="218"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31" w:type="dxa"/>
            <w:tcBorders/>
            <w:shd w:fill="CFF0FC" w:val="clear"/>
            <w:vAlign w:val="center"/>
          </w:tcPr>
          <w:p>
            <w:pPr>
              <w:pStyle w:val="TableContents"/>
              <w:bidi w:val="0"/>
              <w:spacing w:before="0" w:after="283"/>
              <w:jc w:val="left"/>
              <w:rPr/>
            </w:pPr>
            <w:r>
              <w:rPr/>
              <w:t> </w:t>
            </w:r>
          </w:p>
        </w:tc>
        <w:tc>
          <w:tcPr>
            <w:tcW w:w="13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404,541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73.94</w:t>
            </w:r>
          </w:p>
        </w:tc>
        <w:tc>
          <w:tcPr>
            <w:tcW w:w="201"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w:t>
            </w:r>
          </w:p>
        </w:tc>
      </w:tr>
      <w:tr>
        <w:trPr/>
        <w:tc>
          <w:tcPr>
            <w:tcW w:w="199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Northeastern United States</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center"/>
              <w:rPr/>
            </w:pPr>
            <w:r>
              <w:rPr/>
              <w:t> </w:t>
            </w:r>
          </w:p>
        </w:tc>
        <w:tc>
          <w:tcPr>
            <w:tcW w:w="231"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206,910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40.86</w:t>
            </w:r>
          </w:p>
        </w:tc>
        <w:tc>
          <w:tcPr>
            <w:tcW w:w="218"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center"/>
              <w:rPr/>
            </w:pPr>
            <w:r>
              <w:rPr/>
              <w:t> </w:t>
            </w:r>
          </w:p>
        </w:tc>
        <w:tc>
          <w:tcPr>
            <w:tcW w:w="231"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239,444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43.77</w:t>
            </w:r>
          </w:p>
        </w:tc>
        <w:tc>
          <w:tcPr>
            <w:tcW w:w="20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ind w:left="0" w:right="0" w:firstLine="100"/>
              <w:jc w:val="left"/>
              <w:rPr/>
            </w:pPr>
            <w:r>
              <w:rPr/>
              <w:t> </w:t>
            </w:r>
          </w:p>
        </w:tc>
      </w:tr>
      <w:tr>
        <w:trPr/>
        <w:tc>
          <w:tcPr>
            <w:tcW w:w="199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Midwestern United States</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center"/>
              <w:rPr/>
            </w:pPr>
            <w:r>
              <w:rPr/>
              <w:t> </w:t>
            </w:r>
          </w:p>
        </w:tc>
        <w:tc>
          <w:tcPr>
            <w:tcW w:w="231" w:type="dxa"/>
            <w:tcBorders/>
            <w:shd w:fill="CFF0FC" w:val="clear"/>
            <w:vAlign w:val="center"/>
          </w:tcPr>
          <w:p>
            <w:pPr>
              <w:pStyle w:val="TableContents"/>
              <w:bidi w:val="0"/>
              <w:spacing w:before="0" w:after="283"/>
              <w:jc w:val="left"/>
              <w:rPr/>
            </w:pPr>
            <w:r>
              <w:rPr/>
              <w:t> </w:t>
            </w:r>
          </w:p>
        </w:tc>
        <w:tc>
          <w:tcPr>
            <w:tcW w:w="13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21.04</w:t>
            </w:r>
          </w:p>
        </w:tc>
        <w:tc>
          <w:tcPr>
            <w:tcW w:w="218"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center"/>
              <w:rPr/>
            </w:pPr>
            <w:r>
              <w:rPr/>
              <w:t> </w:t>
            </w:r>
          </w:p>
        </w:tc>
        <w:tc>
          <w:tcPr>
            <w:tcW w:w="231" w:type="dxa"/>
            <w:tcBorders/>
            <w:shd w:fill="CFF0FC" w:val="clear"/>
            <w:vAlign w:val="center"/>
          </w:tcPr>
          <w:p>
            <w:pPr>
              <w:pStyle w:val="TableContents"/>
              <w:bidi w:val="0"/>
              <w:spacing w:before="0" w:after="283"/>
              <w:jc w:val="left"/>
              <w:rPr/>
            </w:pPr>
            <w:r>
              <w:rPr/>
              <w:t> </w:t>
            </w:r>
          </w:p>
        </w:tc>
        <w:tc>
          <w:tcPr>
            <w:tcW w:w="13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23.91</w:t>
            </w:r>
          </w:p>
        </w:tc>
        <w:tc>
          <w:tcPr>
            <w:tcW w:w="201"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ind w:left="0" w:right="0" w:firstLine="100"/>
              <w:jc w:val="left"/>
              <w:rPr/>
            </w:pPr>
            <w:r>
              <w:rPr/>
              <w:t> </w:t>
            </w:r>
          </w:p>
        </w:tc>
      </w:tr>
      <w:tr>
        <w:trPr/>
        <w:tc>
          <w:tcPr>
            <w:tcW w:w="199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South Central United States</w:t>
            </w:r>
          </w:p>
        </w:tc>
        <w:tc>
          <w:tcPr>
            <w:tcW w:w="146" w:type="dxa"/>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c>
          <w:tcPr>
            <w:tcW w:w="231"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17.69</w:t>
            </w:r>
          </w:p>
        </w:tc>
        <w:tc>
          <w:tcPr>
            <w:tcW w:w="218"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center"/>
              <w:rPr/>
            </w:pPr>
            <w:r>
              <w:rPr/>
              <w:t> </w:t>
            </w:r>
          </w:p>
        </w:tc>
        <w:tc>
          <w:tcPr>
            <w:tcW w:w="231"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16.05</w:t>
            </w:r>
          </w:p>
        </w:tc>
        <w:tc>
          <w:tcPr>
            <w:tcW w:w="20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ind w:left="0" w:right="0" w:firstLine="100"/>
              <w:jc w:val="left"/>
              <w:rPr/>
            </w:pPr>
            <w:r>
              <w:rPr/>
              <w:t> </w:t>
            </w:r>
          </w:p>
        </w:tc>
      </w:tr>
      <w:tr>
        <w:trPr/>
        <w:tc>
          <w:tcPr>
            <w:tcW w:w="199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Northwestern United States</w:t>
            </w:r>
          </w:p>
        </w:tc>
        <w:tc>
          <w:tcPr>
            <w:tcW w:w="146" w:type="dxa"/>
            <w:tcBorders/>
            <w:shd w:fill="CFF0FC" w:val="clear"/>
            <w:vAlign w:val="center"/>
          </w:tcPr>
          <w:p>
            <w:pPr>
              <w:pStyle w:val="TableContents"/>
              <w:bidi w:val="0"/>
              <w:spacing w:before="0" w:after="283"/>
              <w:jc w:val="center"/>
              <w:rPr/>
            </w:pPr>
            <w:r>
              <w:rPr/>
              <w:t> </w:t>
            </w:r>
          </w:p>
        </w:tc>
        <w:tc>
          <w:tcPr>
            <w:tcW w:w="311" w:type="dxa"/>
            <w:tcBorders/>
            <w:shd w:fill="CFF0FC" w:val="clear"/>
            <w:vAlign w:val="center"/>
          </w:tcPr>
          <w:p>
            <w:pPr>
              <w:pStyle w:val="TableContents"/>
              <w:bidi w:val="0"/>
              <w:spacing w:before="0" w:after="283"/>
              <w:jc w:val="center"/>
              <w:rPr/>
            </w:pPr>
            <w:r>
              <w:rPr/>
              <w:t> </w:t>
            </w:r>
          </w:p>
        </w:tc>
        <w:tc>
          <w:tcPr>
            <w:tcW w:w="231" w:type="dxa"/>
            <w:tcBorders/>
            <w:shd w:fill="CFF0FC" w:val="clear"/>
            <w:vAlign w:val="center"/>
          </w:tcPr>
          <w:p>
            <w:pPr>
              <w:pStyle w:val="TableContents"/>
              <w:bidi w:val="0"/>
              <w:spacing w:before="0" w:after="283"/>
              <w:jc w:val="left"/>
              <w:rPr/>
            </w:pPr>
            <w:r>
              <w:rPr/>
              <w:t> </w:t>
            </w:r>
          </w:p>
        </w:tc>
        <w:tc>
          <w:tcPr>
            <w:tcW w:w="13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w:t>
            </w:r>
          </w:p>
        </w:tc>
        <w:tc>
          <w:tcPr>
            <w:tcW w:w="218"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center"/>
              <w:rPr/>
            </w:pPr>
            <w:r>
              <w:rPr/>
              <w:t> </w:t>
            </w:r>
          </w:p>
        </w:tc>
        <w:tc>
          <w:tcPr>
            <w:tcW w:w="231" w:type="dxa"/>
            <w:tcBorders/>
            <w:shd w:fill="CFF0FC" w:val="clear"/>
            <w:vAlign w:val="center"/>
          </w:tcPr>
          <w:p>
            <w:pPr>
              <w:pStyle w:val="TableContents"/>
              <w:bidi w:val="0"/>
              <w:spacing w:before="0" w:after="283"/>
              <w:jc w:val="left"/>
              <w:rPr/>
            </w:pPr>
            <w:r>
              <w:rPr/>
              <w:t> </w:t>
            </w:r>
          </w:p>
        </w:tc>
        <w:tc>
          <w:tcPr>
            <w:tcW w:w="13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w:t>
            </w:r>
          </w:p>
        </w:tc>
        <w:tc>
          <w:tcPr>
            <w:tcW w:w="201"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ind w:left="0" w:right="0" w:firstLine="100"/>
              <w:jc w:val="left"/>
              <w:rPr/>
            </w:pPr>
            <w:r>
              <w:rPr/>
              <w:t> </w:t>
            </w:r>
          </w:p>
        </w:tc>
      </w:tr>
      <w:tr>
        <w:trPr/>
        <w:tc>
          <w:tcPr>
            <w:tcW w:w="199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Southeastern United States</w:t>
            </w:r>
          </w:p>
        </w:tc>
        <w:tc>
          <w:tcPr>
            <w:tcW w:w="146" w:type="dxa"/>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c>
          <w:tcPr>
            <w:tcW w:w="231"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w:t>
            </w:r>
          </w:p>
        </w:tc>
        <w:tc>
          <w:tcPr>
            <w:tcW w:w="218"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center"/>
              <w:rPr/>
            </w:pPr>
            <w:r>
              <w:rPr/>
              <w:t> </w:t>
            </w:r>
          </w:p>
        </w:tc>
        <w:tc>
          <w:tcPr>
            <w:tcW w:w="231"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0.15</w:t>
            </w:r>
          </w:p>
        </w:tc>
        <w:tc>
          <w:tcPr>
            <w:tcW w:w="20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ind w:left="0" w:right="0" w:firstLine="100"/>
              <w:jc w:val="left"/>
              <w:rPr/>
            </w:pPr>
            <w:r>
              <w:rPr/>
              <w:t> </w:t>
            </w:r>
          </w:p>
        </w:tc>
      </w:tr>
      <w:tr>
        <w:trPr/>
        <w:tc>
          <w:tcPr>
            <w:tcW w:w="1992" w:type="dxa"/>
            <w:tcBorders/>
            <w:shd w:fill="CFF0FC" w:val="clear"/>
            <w:vAlign w:val="center"/>
          </w:tcPr>
          <w:p>
            <w:pPr>
              <w:pStyle w:val="TableContents"/>
              <w:bidi w:val="0"/>
              <w:spacing w:before="0" w:after="283"/>
              <w:ind w:left="100" w:right="0" w:firstLine="100"/>
              <w:jc w:val="left"/>
              <w:rPr>
                <w:rFonts w:ascii="Times New Roman" w:hAnsi="Times New Roman"/>
                <w:sz w:val="16"/>
              </w:rPr>
            </w:pPr>
            <w:r>
              <w:rPr>
                <w:rFonts w:ascii="Times New Roman" w:hAnsi="Times New Roman"/>
                <w:color w:val="000000"/>
                <w:sz w:val="16"/>
              </w:rPr>
              <w:t>Runway-Cadma I LLC</w:t>
            </w:r>
            <w:r>
              <w:rPr>
                <w:rFonts w:ascii="Times New Roman" w:hAnsi="Times New Roman"/>
                <w:color w:val="000000"/>
                <w:sz w:val="11"/>
              </w:rPr>
              <w:t>(1)</w:t>
            </w:r>
          </w:p>
        </w:tc>
        <w:tc>
          <w:tcPr>
            <w:tcW w:w="146" w:type="dxa"/>
            <w:tcBorders/>
            <w:shd w:fill="CFF0FC" w:val="clear"/>
            <w:vAlign w:val="center"/>
          </w:tcPr>
          <w:p>
            <w:pPr>
              <w:pStyle w:val="TableContents"/>
              <w:bidi w:val="0"/>
              <w:spacing w:before="0" w:after="283"/>
              <w:jc w:val="center"/>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United States</w:t>
            </w:r>
          </w:p>
        </w:tc>
        <w:tc>
          <w:tcPr>
            <w:tcW w:w="146" w:type="dxa"/>
            <w:tcBorders/>
            <w:shd w:fill="FFFFFF" w:val="clear"/>
            <w:vAlign w:val="center"/>
          </w:tcPr>
          <w:p>
            <w:pPr>
              <w:pStyle w:val="TableContents"/>
              <w:bidi w:val="0"/>
              <w:spacing w:before="0" w:after="283"/>
              <w:jc w:val="center"/>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180.72</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888,917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162.48</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11" w:type="dxa"/>
            <w:tcBorders/>
            <w:shd w:fill="CFF0FC" w:val="clear"/>
            <w:vAlign w:val="center"/>
          </w:tcPr>
          <w:p>
            <w:pPr>
              <w:pStyle w:val="TableContents"/>
              <w:bidi w:val="0"/>
              <w:spacing w:before="0" w:after="283"/>
              <w:jc w:val="center"/>
              <w:rPr/>
            </w:pPr>
            <w:r>
              <w:rPr/>
              <w:t> </w:t>
            </w:r>
          </w:p>
        </w:tc>
        <w:tc>
          <w:tcPr>
            <w:tcW w:w="1543"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5" w:type="dxa"/>
            <w:gridSpan w:val="2"/>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center"/>
              <w:rPr/>
            </w:pPr>
            <w:r>
              <w:rPr/>
              <w:t> </w:t>
            </w:r>
          </w:p>
        </w:tc>
        <w:tc>
          <w:tcPr>
            <w:tcW w:w="1543"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8" w:type="dxa"/>
            <w:gridSpan w:val="2"/>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Kingdom</w:t>
            </w:r>
          </w:p>
        </w:tc>
        <w:tc>
          <w:tcPr>
            <w:tcW w:w="146" w:type="dxa"/>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c>
          <w:tcPr>
            <w:tcW w:w="231"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w:t>
            </w:r>
          </w:p>
        </w:tc>
        <w:tc>
          <w:tcPr>
            <w:tcW w:w="218"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center"/>
              <w:rPr/>
            </w:pPr>
            <w:r>
              <w:rPr/>
              <w:t> </w:t>
            </w:r>
          </w:p>
        </w:tc>
        <w:tc>
          <w:tcPr>
            <w:tcW w:w="231"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w:t>
            </w:r>
          </w:p>
        </w:tc>
        <w:tc>
          <w:tcPr>
            <w:tcW w:w="20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left"/>
              <w:rPr/>
            </w:pPr>
            <w:r>
              <w:rPr/>
              <w:t> </w:t>
            </w:r>
          </w:p>
        </w:tc>
      </w:tr>
      <w:tr>
        <w:trPr/>
        <w:tc>
          <w:tcPr>
            <w:tcW w:w="199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Germany</w:t>
            </w:r>
          </w:p>
        </w:tc>
        <w:tc>
          <w:tcPr>
            <w:tcW w:w="146" w:type="dxa"/>
            <w:tcBorders/>
            <w:shd w:fill="CFF0FC" w:val="clear"/>
            <w:vAlign w:val="center"/>
          </w:tcPr>
          <w:p>
            <w:pPr>
              <w:pStyle w:val="TableContents"/>
              <w:bidi w:val="0"/>
              <w:spacing w:before="0" w:after="283"/>
              <w:jc w:val="center"/>
              <w:rPr/>
            </w:pPr>
            <w:r>
              <w:rPr/>
              <w:t> </w:t>
            </w:r>
          </w:p>
        </w:tc>
        <w:tc>
          <w:tcPr>
            <w:tcW w:w="311" w:type="dxa"/>
            <w:tcBorders/>
            <w:shd w:fill="CFF0FC" w:val="clear"/>
            <w:vAlign w:val="center"/>
          </w:tcPr>
          <w:p>
            <w:pPr>
              <w:pStyle w:val="TableContents"/>
              <w:bidi w:val="0"/>
              <w:spacing w:before="0" w:after="283"/>
              <w:jc w:val="center"/>
              <w:rPr/>
            </w:pPr>
            <w:r>
              <w:rPr/>
              <w:t> </w:t>
            </w:r>
          </w:p>
        </w:tc>
        <w:tc>
          <w:tcPr>
            <w:tcW w:w="231" w:type="dxa"/>
            <w:tcBorders/>
            <w:shd w:fill="CFF0FC" w:val="clear"/>
            <w:vAlign w:val="center"/>
          </w:tcPr>
          <w:p>
            <w:pPr>
              <w:pStyle w:val="TableContents"/>
              <w:bidi w:val="0"/>
              <w:spacing w:before="0" w:after="283"/>
              <w:jc w:val="left"/>
              <w:rPr/>
            </w:pPr>
            <w:r>
              <w:rPr/>
              <w:t> </w:t>
            </w:r>
          </w:p>
        </w:tc>
        <w:tc>
          <w:tcPr>
            <w:tcW w:w="13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w:t>
            </w:r>
          </w:p>
        </w:tc>
        <w:tc>
          <w:tcPr>
            <w:tcW w:w="218"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center"/>
              <w:rPr/>
            </w:pPr>
            <w:r>
              <w:rPr/>
              <w:t> </w:t>
            </w:r>
          </w:p>
        </w:tc>
        <w:tc>
          <w:tcPr>
            <w:tcW w:w="231" w:type="dxa"/>
            <w:tcBorders/>
            <w:shd w:fill="CFF0FC" w:val="clear"/>
            <w:vAlign w:val="center"/>
          </w:tcPr>
          <w:p>
            <w:pPr>
              <w:pStyle w:val="TableContents"/>
              <w:bidi w:val="0"/>
              <w:spacing w:before="0" w:after="283"/>
              <w:jc w:val="left"/>
              <w:rPr/>
            </w:pPr>
            <w:r>
              <w:rPr/>
              <w:t> </w:t>
            </w:r>
          </w:p>
        </w:tc>
        <w:tc>
          <w:tcPr>
            <w:tcW w:w="13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w:t>
            </w:r>
          </w:p>
        </w:tc>
        <w:tc>
          <w:tcPr>
            <w:tcW w:w="201"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Netherlands</w:t>
            </w:r>
          </w:p>
        </w:tc>
        <w:tc>
          <w:tcPr>
            <w:tcW w:w="146" w:type="dxa"/>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c>
          <w:tcPr>
            <w:tcW w:w="231"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218"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center"/>
              <w:rPr/>
            </w:pPr>
            <w:r>
              <w:rPr/>
              <w:t> </w:t>
            </w:r>
          </w:p>
        </w:tc>
        <w:tc>
          <w:tcPr>
            <w:tcW w:w="231"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left"/>
              <w:rPr/>
            </w:pPr>
            <w:r>
              <w:rPr/>
              <w:t> </w:t>
            </w:r>
          </w:p>
        </w:tc>
      </w:tr>
      <w:tr>
        <w:trPr/>
        <w:tc>
          <w:tcPr>
            <w:tcW w:w="199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Canada</w:t>
            </w:r>
          </w:p>
        </w:tc>
        <w:tc>
          <w:tcPr>
            <w:tcW w:w="146" w:type="dxa"/>
            <w:tcBorders/>
            <w:shd w:fill="CFF0FC" w:val="clear"/>
            <w:vAlign w:val="center"/>
          </w:tcPr>
          <w:p>
            <w:pPr>
              <w:pStyle w:val="TableContents"/>
              <w:bidi w:val="0"/>
              <w:spacing w:before="0" w:after="283"/>
              <w:jc w:val="center"/>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1,063,324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209.98</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187.36</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Runway-Cadma I LLC is a joint venture between the Company and Cadma. This entity invests in secured loans to growth-stage companies that have been originated by the Company. See “Note 2 – Summary of Significant Accounting Policies” for further discussion.</w:t>
      </w:r>
    </w:p>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shows the fair value of the Company's portfolio of investments by industry as of June 30, 2024 and December 31, 2023:</w:t>
      </w:r>
    </w:p>
    <w:tbl>
      <w:tblPr>
        <w:tblW w:w="10205" w:type="dxa"/>
        <w:jc w:val="left"/>
        <w:tblInd w:w="0" w:type="dxa"/>
        <w:tblLayout w:type="fixed"/>
        <w:tblCellMar>
          <w:top w:w="28" w:type="dxa"/>
          <w:left w:w="28" w:type="dxa"/>
          <w:bottom w:w="28" w:type="dxa"/>
          <w:right w:w="28" w:type="dxa"/>
        </w:tblCellMar>
      </w:tblPr>
      <w:tblGrid>
        <w:gridCol w:w="2583"/>
        <w:gridCol w:w="146"/>
        <w:gridCol w:w="286"/>
        <w:gridCol w:w="212"/>
        <w:gridCol w:w="1206"/>
        <w:gridCol w:w="146"/>
        <w:gridCol w:w="146"/>
        <w:gridCol w:w="210"/>
        <w:gridCol w:w="866"/>
        <w:gridCol w:w="210"/>
        <w:gridCol w:w="347"/>
        <w:gridCol w:w="146"/>
        <w:gridCol w:w="286"/>
        <w:gridCol w:w="212"/>
        <w:gridCol w:w="1206"/>
        <w:gridCol w:w="146"/>
        <w:gridCol w:w="146"/>
        <w:gridCol w:w="200"/>
        <w:gridCol w:w="825"/>
        <w:gridCol w:w="200"/>
        <w:gridCol w:w="480"/>
      </w:tblGrid>
      <w:tr>
        <w:trPr/>
        <w:tc>
          <w:tcPr>
            <w:tcW w:w="2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25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2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01"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r>
      <w:tr>
        <w:trPr/>
        <w:tc>
          <w:tcPr>
            <w:tcW w:w="2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r>
      <w:tr>
        <w:trPr/>
        <w:tc>
          <w:tcPr>
            <w:tcW w:w="258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Application Software</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233,384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46.10</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200,645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36.67</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25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Technology</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199,220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39.35</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33.30</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Internet Software and Services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23.57</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System Software</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22.73</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20.74</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Human Resource &amp; Employment Services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109,470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21.61</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20.95</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Data Processing &amp; Outsourced Services</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104,378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20.61</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&amp; Casualty Insurance</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15.04</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Internet &amp; Direct Marketing Retail</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Electronic Equipment &amp; Instruments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Equipment</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 Management &amp; Custody Banks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Multi-Sector Holdings</w:t>
            </w:r>
            <w:r>
              <w:rPr>
                <w:rFonts w:ascii="Times New Roman" w:hAnsi="Times New Roman"/>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Technology Hardware, Storage &amp; Peripherals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0.08</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Specialized Consumer Services</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Advertising</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Biotechnology</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color w:val="000000"/>
              </w:rPr>
            </w:pPr>
            <w:r>
              <w:rPr>
                <w:color w:val="000000"/>
              </w:rPr>
              <w:t>—</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Education Services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color w:val="000000"/>
              </w:rPr>
            </w:pPr>
            <w:r>
              <w:rPr>
                <w:color w:val="000000"/>
              </w:rPr>
              <w:t>—</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2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1,063,324</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209.98</w:t>
            </w:r>
          </w:p>
        </w:tc>
        <w:tc>
          <w:tcPr>
            <w:tcW w:w="2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3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2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1,025,010</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187.36</w:t>
            </w:r>
          </w:p>
        </w:tc>
        <w:tc>
          <w:tcPr>
            <w:tcW w:w="20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Multi-Sector Holdings consists of the Company's investment in Runway-Cadma I LLC, a joint venture between the Company and Cadma. This entity invests in secured loans to growth-stage companies that have been originated by the Company. See “Note 2 – Summary of Significant Accounting Policies” for further discussion.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Derivative Financial Instruments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Warrants provide exposure and potential gains upon increases in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For the three and six months ended June 30, 2024, the Company had no realized gains or losses on investments and a net unrealized loss of $0.5 million and $0.8 million, respectively, from its investments in warrants. For the three months ended June 30, 2023, the Company had no realized gains or losses from its investments in warrants. For the six months ended June 30, 2023, the Company had a realized loss of $1.2 million from its investments in warrants. For the three and six months ended June 30, 2023, the Company had a net unrealized loss of $0.9 million and a net unrealized gain of $2.6 million, respectively, from its investments in warrants. Realized gains and losses from warrants are included in the respective control, affiliate, or non-control/non-affiliate "Net realized gain (loss) on investments" on the Consolidated Statements of Operations. Unrealized gains and losses from investments in warrants is included in the respective control, affiliate, or non-control/non-affiliate "Net change in unrealized gain (loss) on investments" on the Consolidated Statements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Counterparty risk exists from the potential failure of an issuer of warrants to settle its exercised warrants. The maximum risk of loss from counterparty risk is the fair value of the contracts and the purchase price of the warrants. The Board of Directors considers the effects of counterparty risk when determining the fair value of its investments in warrants.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5 – Fair Value of Financial Instruments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assets recorded at fair value have been categorized based upon a fair value hierarchy in accordance with ASC Topic 820. Refer to "Note 2  –  Summary of Significant Accounting Policies" for a discussion of the Company’s policies.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Investments measured at fair value on a recurring basis are categorized in the tables below based upon the lowest level of significant input to the valuations as of June 30, 2024 and December 31, 2023 (in thousands):</w:t>
      </w:r>
    </w:p>
    <w:tbl>
      <w:tblPr>
        <w:tblW w:w="10187" w:type="dxa"/>
        <w:jc w:val="left"/>
        <w:tblInd w:w="0" w:type="dxa"/>
        <w:tblLayout w:type="fixed"/>
        <w:tblCellMar>
          <w:top w:w="28" w:type="dxa"/>
          <w:left w:w="28" w:type="dxa"/>
          <w:bottom w:w="28" w:type="dxa"/>
          <w:right w:w="28" w:type="dxa"/>
        </w:tblCellMar>
      </w:tblPr>
      <w:tblGrid>
        <w:gridCol w:w="2216"/>
        <w:gridCol w:w="246"/>
        <w:gridCol w:w="246"/>
        <w:gridCol w:w="146"/>
        <w:gridCol w:w="511"/>
        <w:gridCol w:w="146"/>
        <w:gridCol w:w="146"/>
        <w:gridCol w:w="196"/>
        <w:gridCol w:w="146"/>
        <w:gridCol w:w="376"/>
        <w:gridCol w:w="146"/>
        <w:gridCol w:w="146"/>
        <w:gridCol w:w="196"/>
        <w:gridCol w:w="146"/>
        <w:gridCol w:w="826"/>
        <w:gridCol w:w="146"/>
        <w:gridCol w:w="146"/>
        <w:gridCol w:w="629"/>
        <w:gridCol w:w="467"/>
        <w:gridCol w:w="1213"/>
        <w:gridCol w:w="146"/>
        <w:gridCol w:w="146"/>
        <w:gridCol w:w="196"/>
        <w:gridCol w:w="146"/>
        <w:gridCol w:w="826"/>
        <w:gridCol w:w="291"/>
      </w:tblGrid>
      <w:tr>
        <w:trPr/>
        <w:tc>
          <w:tcPr>
            <w:tcW w:w="22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1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434"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Measured at Net Asset Value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Investments</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center"/>
              <w:rPr/>
            </w:pPr>
            <w:r>
              <w:rPr/>
              <w:t> </w:t>
            </w:r>
          </w:p>
        </w:tc>
        <w:tc>
          <w:tcPr>
            <w:tcW w:w="168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ind w:left="0" w:right="0" w:firstLine="100"/>
              <w:jc w:val="center"/>
              <w:rPr/>
            </w:pPr>
            <w:r>
              <w:rPr/>
              <w:t> </w:t>
            </w:r>
          </w:p>
        </w:tc>
      </w:tr>
      <w:tr>
        <w:trPr/>
        <w:tc>
          <w:tcPr>
            <w:tcW w:w="2216" w:type="dxa"/>
            <w:tcBorders/>
            <w:shd w:fill="CFF0FC"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Senior Secured Term Loans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1,000,662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67" w:type="dxa"/>
            <w:tcBorders/>
            <w:shd w:fill="CFF0FC" w:val="clear"/>
            <w:vAlign w:val="center"/>
          </w:tcPr>
          <w:p>
            <w:pPr>
              <w:pStyle w:val="TableContents"/>
              <w:bidi w:val="0"/>
              <w:spacing w:before="0" w:after="283"/>
              <w:jc w:val="left"/>
              <w:rPr/>
            </w:pPr>
            <w:r>
              <w:rPr/>
              <w:t> </w:t>
            </w:r>
          </w:p>
        </w:tc>
        <w:tc>
          <w:tcPr>
            <w:tcW w:w="121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1,000,662</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216"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Second Lien Term Loans</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14,469</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216" w:type="dxa"/>
            <w:tcBorders/>
            <w:shd w:fill="CFF0FC"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Convertible Note</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left"/>
              <w:rPr/>
            </w:pPr>
            <w:r>
              <w:rPr/>
              <w:t> </w:t>
            </w:r>
          </w:p>
        </w:tc>
        <w:tc>
          <w:tcPr>
            <w:tcW w:w="121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216"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Preferred Stock</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29,981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216" w:type="dxa"/>
            <w:tcBorders/>
            <w:shd w:fill="CFF0FC"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Common Stock</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left"/>
              <w:rPr/>
            </w:pPr>
            <w:r>
              <w:rPr/>
              <w:t> </w:t>
            </w:r>
          </w:p>
        </w:tc>
        <w:tc>
          <w:tcPr>
            <w:tcW w:w="121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216"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Equity Interest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216" w:type="dxa"/>
            <w:tcBorders/>
            <w:shd w:fill="CFF0FC"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Warrants</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15,447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Portfolio Investments</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1,058,079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1,063,324</w:t>
            </w:r>
          </w:p>
        </w:tc>
        <w:tc>
          <w:tcPr>
            <w:tcW w:w="291" w:type="dxa"/>
            <w:tcBorders/>
            <w:shd w:fill="FFFFFF" w:val="clear"/>
            <w:vAlign w:val="center"/>
          </w:tcPr>
          <w:p>
            <w:pPr>
              <w:pStyle w:val="TableContents"/>
              <w:bidi w:val="0"/>
              <w:spacing w:before="0" w:after="283"/>
              <w:jc w:val="left"/>
              <w:rPr/>
            </w:pPr>
            <w:r>
              <w:rPr/>
              <w:t> </w:t>
            </w:r>
          </w:p>
        </w:tc>
      </w:tr>
      <w:tr>
        <w:trPr/>
        <w:tc>
          <w:tcPr>
            <w:tcW w:w="2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 Treasury Bill</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left"/>
              <w:rPr/>
            </w:pPr>
            <w:r>
              <w:rPr/>
              <w:t> </w:t>
            </w:r>
          </w:p>
        </w:tc>
        <w:tc>
          <w:tcPr>
            <w:tcW w:w="121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22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246" w:type="dxa"/>
            <w:tcBorders/>
            <w:shd w:fill="FFFFFF" w:val="clear"/>
            <w:vAlign w:val="center"/>
          </w:tcPr>
          <w:p>
            <w:pPr>
              <w:pStyle w:val="TableContents"/>
              <w:bidi w:val="0"/>
              <w:spacing w:before="0" w:after="283"/>
              <w:jc w:val="left"/>
              <w:rPr/>
            </w:pPr>
            <w:r>
              <w:rPr/>
              <w:t> </w:t>
            </w:r>
          </w:p>
        </w:tc>
        <w:tc>
          <w:tcPr>
            <w:tcW w:w="2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3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1,058,079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2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1,063,324</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91"/>
        <w:gridCol w:w="146"/>
        <w:gridCol w:w="196"/>
        <w:gridCol w:w="146"/>
        <w:gridCol w:w="511"/>
        <w:gridCol w:w="146"/>
        <w:gridCol w:w="146"/>
        <w:gridCol w:w="196"/>
        <w:gridCol w:w="146"/>
        <w:gridCol w:w="601"/>
        <w:gridCol w:w="146"/>
        <w:gridCol w:w="146"/>
        <w:gridCol w:w="196"/>
        <w:gridCol w:w="146"/>
        <w:gridCol w:w="826"/>
        <w:gridCol w:w="146"/>
        <w:gridCol w:w="146"/>
        <w:gridCol w:w="648"/>
        <w:gridCol w:w="482"/>
        <w:gridCol w:w="1145"/>
        <w:gridCol w:w="146"/>
        <w:gridCol w:w="146"/>
        <w:gridCol w:w="196"/>
        <w:gridCol w:w="146"/>
        <w:gridCol w:w="826"/>
        <w:gridCol w:w="293"/>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75"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Measured at Net Asset Value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162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ind w:left="0" w:right="0" w:firstLine="100"/>
              <w:jc w:val="left"/>
              <w:rPr/>
            </w:pPr>
            <w:r>
              <w:rPr/>
              <w:t> </w:t>
            </w:r>
          </w:p>
        </w:tc>
      </w:tr>
      <w:tr>
        <w:trPr/>
        <w:tc>
          <w:tcPr>
            <w:tcW w:w="2191"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16"/>
              </w:rPr>
              <w:t>Senior Secured Term Loans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964,099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2" w:type="dxa"/>
            <w:tcBorders/>
            <w:shd w:fill="CFF0FC" w:val="clear"/>
            <w:vAlign w:val="center"/>
          </w:tcPr>
          <w:p>
            <w:pPr>
              <w:pStyle w:val="TableContents"/>
              <w:bidi w:val="0"/>
              <w:spacing w:before="0" w:after="283"/>
              <w:jc w:val="left"/>
              <w:rPr/>
            </w:pPr>
            <w:r>
              <w:rPr/>
              <w:t> </w:t>
            </w:r>
          </w:p>
        </w:tc>
        <w:tc>
          <w:tcPr>
            <w:tcW w:w="114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964,099</w:t>
            </w:r>
          </w:p>
        </w:tc>
        <w:tc>
          <w:tcPr>
            <w:tcW w:w="293" w:type="dxa"/>
            <w:tcBorders/>
            <w:shd w:fill="CFF0FC" w:val="clear"/>
            <w:vAlign w:val="center"/>
          </w:tcPr>
          <w:p>
            <w:pPr>
              <w:pStyle w:val="TableContents"/>
              <w:bidi w:val="0"/>
              <w:spacing w:before="0" w:after="283"/>
              <w:ind w:left="0" w:right="0" w:firstLine="100"/>
              <w:jc w:val="left"/>
              <w:rPr/>
            </w:pPr>
            <w:r>
              <w:rPr/>
              <w:t> </w:t>
            </w:r>
          </w:p>
        </w:tc>
      </w:tr>
      <w:tr>
        <w:trPr/>
        <w:tc>
          <w:tcPr>
            <w:tcW w:w="2191"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16"/>
              </w:rPr>
              <w:t>Second Lien Term Loans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14,399</w:t>
            </w:r>
          </w:p>
        </w:tc>
        <w:tc>
          <w:tcPr>
            <w:tcW w:w="293" w:type="dxa"/>
            <w:tcBorders/>
            <w:shd w:fill="FFFFFF" w:val="clear"/>
            <w:vAlign w:val="center"/>
          </w:tcPr>
          <w:p>
            <w:pPr>
              <w:pStyle w:val="TableContents"/>
              <w:bidi w:val="0"/>
              <w:spacing w:before="0" w:after="283"/>
              <w:ind w:left="0" w:right="0" w:firstLine="100"/>
              <w:jc w:val="left"/>
              <w:rPr/>
            </w:pPr>
            <w:r>
              <w:rPr/>
              <w:t> </w:t>
            </w:r>
          </w:p>
        </w:tc>
      </w:tr>
      <w:tr>
        <w:trPr/>
        <w:tc>
          <w:tcPr>
            <w:tcW w:w="2191"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16"/>
              </w:rPr>
              <w:t>Convertible Note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14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293" w:type="dxa"/>
            <w:tcBorders/>
            <w:shd w:fill="CFF0FC" w:val="clear"/>
            <w:vAlign w:val="center"/>
          </w:tcPr>
          <w:p>
            <w:pPr>
              <w:pStyle w:val="TableContents"/>
              <w:bidi w:val="0"/>
              <w:spacing w:before="0" w:after="283"/>
              <w:ind w:left="0" w:right="0" w:firstLine="100"/>
              <w:jc w:val="left"/>
              <w:rPr/>
            </w:pPr>
            <w:r>
              <w:rPr/>
              <w:t> </w:t>
            </w:r>
          </w:p>
        </w:tc>
      </w:tr>
      <w:tr>
        <w:trPr/>
        <w:tc>
          <w:tcPr>
            <w:tcW w:w="2191"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16"/>
              </w:rPr>
              <w:t>Preferred Stock</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29,838</w:t>
            </w:r>
          </w:p>
        </w:tc>
        <w:tc>
          <w:tcPr>
            <w:tcW w:w="293" w:type="dxa"/>
            <w:tcBorders/>
            <w:shd w:fill="FFFFFF" w:val="clear"/>
            <w:vAlign w:val="center"/>
          </w:tcPr>
          <w:p>
            <w:pPr>
              <w:pStyle w:val="TableContents"/>
              <w:bidi w:val="0"/>
              <w:spacing w:before="0" w:after="283"/>
              <w:ind w:left="0" w:right="0" w:firstLine="100"/>
              <w:jc w:val="left"/>
              <w:rPr/>
            </w:pPr>
            <w:r>
              <w:rPr/>
              <w:t> </w:t>
            </w:r>
          </w:p>
        </w:tc>
      </w:tr>
      <w:tr>
        <w:trPr/>
        <w:tc>
          <w:tcPr>
            <w:tcW w:w="2191"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14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1,420</w:t>
            </w:r>
          </w:p>
        </w:tc>
        <w:tc>
          <w:tcPr>
            <w:tcW w:w="293" w:type="dxa"/>
            <w:tcBorders/>
            <w:shd w:fill="CFF0FC" w:val="clear"/>
            <w:vAlign w:val="center"/>
          </w:tcPr>
          <w:p>
            <w:pPr>
              <w:pStyle w:val="TableContents"/>
              <w:bidi w:val="0"/>
              <w:spacing w:before="0" w:after="283"/>
              <w:ind w:left="0" w:right="0" w:firstLine="100"/>
              <w:jc w:val="left"/>
              <w:rPr/>
            </w:pPr>
            <w:r>
              <w:rPr/>
              <w:t> </w:t>
            </w:r>
          </w:p>
        </w:tc>
      </w:tr>
      <w:tr>
        <w:trPr/>
        <w:tc>
          <w:tcPr>
            <w:tcW w:w="2191"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16"/>
              </w:rPr>
              <w:t>Equity Interest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293" w:type="dxa"/>
            <w:tcBorders/>
            <w:shd w:fill="FFFFFF" w:val="clear"/>
            <w:vAlign w:val="center"/>
          </w:tcPr>
          <w:p>
            <w:pPr>
              <w:pStyle w:val="TableContents"/>
              <w:bidi w:val="0"/>
              <w:spacing w:before="0" w:after="283"/>
              <w:ind w:left="0" w:right="0" w:firstLine="100"/>
              <w:jc w:val="left"/>
              <w:rPr/>
            </w:pPr>
            <w:r>
              <w:rPr/>
              <w:t> </w:t>
            </w:r>
          </w:p>
        </w:tc>
      </w:tr>
      <w:tr>
        <w:trPr/>
        <w:tc>
          <w:tcPr>
            <w:tcW w:w="2191"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12,947</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Portfolio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1,025,010</w:t>
            </w:r>
          </w:p>
        </w:tc>
        <w:tc>
          <w:tcPr>
            <w:tcW w:w="293" w:type="dxa"/>
            <w:tcBorders/>
            <w:shd w:fill="FFFFFF" w:val="clear"/>
            <w:vAlign w:val="center"/>
          </w:tcPr>
          <w:p>
            <w:pPr>
              <w:pStyle w:val="TableContents"/>
              <w:bidi w:val="0"/>
              <w:spacing w:before="0" w:after="283"/>
              <w:jc w:val="left"/>
              <w:rPr/>
            </w:pPr>
            <w:r>
              <w:rPr/>
              <w:t> </w:t>
            </w:r>
          </w:p>
        </w:tc>
      </w:tr>
      <w:tr>
        <w:trPr/>
        <w:tc>
          <w:tcPr>
            <w:tcW w:w="21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 Treasury Bill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41,999</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1,067,009</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16"/>
        </w:rPr>
      </w:pPr>
      <w:r>
        <w:rPr>
          <w:rFonts w:ascii="Times New Roman" w:hAnsi="Times New Roman"/>
          <w:color w:val="000000"/>
          <w:sz w:val="16"/>
        </w:rPr>
        <w:t>In accordance with ASC 820, the Company's equity investment in Runway-Cadma I LLC is measured using the net asset value as a practical expedient for fair value, and thus has not been classified in the fair value hierarchy.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transfers investments in and out of Levels 1, 2 and 3 as of the beginning balance sheet date, based on changes in the use of observable and unobservable inputs utilized to perform the valuation for the period.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presents a rollforward of Level 3 assets measured at fair value as of June 30, 2024 (in thousands):</w:t>
      </w:r>
    </w:p>
    <w:tbl>
      <w:tblPr>
        <w:tblW w:w="11680" w:type="dxa"/>
        <w:jc w:val="left"/>
        <w:tblInd w:w="0" w:type="dxa"/>
        <w:tblLayout w:type="fixed"/>
        <w:tblCellMar>
          <w:top w:w="28" w:type="dxa"/>
          <w:left w:w="28" w:type="dxa"/>
          <w:bottom w:w="28" w:type="dxa"/>
          <w:right w:w="28" w:type="dxa"/>
        </w:tblCellMar>
      </w:tblPr>
      <w:tblGrid>
        <w:gridCol w:w="1036"/>
        <w:gridCol w:w="196"/>
        <w:gridCol w:w="146"/>
        <w:gridCol w:w="826"/>
        <w:gridCol w:w="166"/>
        <w:gridCol w:w="146"/>
        <w:gridCol w:w="196"/>
        <w:gridCol w:w="146"/>
        <w:gridCol w:w="601"/>
        <w:gridCol w:w="166"/>
        <w:gridCol w:w="146"/>
        <w:gridCol w:w="196"/>
        <w:gridCol w:w="213"/>
        <w:gridCol w:w="748"/>
        <w:gridCol w:w="166"/>
        <w:gridCol w:w="146"/>
        <w:gridCol w:w="196"/>
        <w:gridCol w:w="158"/>
        <w:gridCol w:w="653"/>
        <w:gridCol w:w="166"/>
        <w:gridCol w:w="146"/>
        <w:gridCol w:w="196"/>
        <w:gridCol w:w="192"/>
        <w:gridCol w:w="574"/>
        <w:gridCol w:w="166"/>
        <w:gridCol w:w="146"/>
        <w:gridCol w:w="196"/>
        <w:gridCol w:w="184"/>
        <w:gridCol w:w="477"/>
        <w:gridCol w:w="146"/>
        <w:gridCol w:w="146"/>
        <w:gridCol w:w="196"/>
        <w:gridCol w:w="158"/>
        <w:gridCol w:w="653"/>
        <w:gridCol w:w="166"/>
        <w:gridCol w:w="146"/>
        <w:gridCol w:w="196"/>
        <w:gridCol w:w="146"/>
        <w:gridCol w:w="826"/>
        <w:gridCol w:w="211"/>
      </w:tblGrid>
      <w:tr>
        <w:trPr/>
        <w:tc>
          <w:tcPr>
            <w:tcW w:w="10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Senior Secured Term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Second Lien </w:t>
              <w:br/>
              <w:t>Term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Preferred </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Common </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December 31, 2023</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964,099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3"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2"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4"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1,020,800</w:t>
            </w:r>
          </w:p>
        </w:tc>
        <w:tc>
          <w:tcPr>
            <w:tcW w:w="211" w:type="dxa"/>
            <w:tcBorders/>
            <w:shd w:fill="FFFFFF" w:val="cle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in (out) of Level 3</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Purchases of investments</w:t>
            </w:r>
            <w:r>
              <w:rPr>
                <w:rFonts w:ascii="Times New Roman" w:hAnsi="Times New Roman"/>
                <w:color w:val="000000"/>
                <w:sz w:val="11"/>
              </w:rPr>
              <w:t>(1)</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99,035</w:t>
            </w:r>
          </w:p>
        </w:tc>
        <w:tc>
          <w:tcPr>
            <w:tcW w:w="211" w:type="dxa"/>
            <w:tcBorders/>
            <w:shd w:fill="FFFFFF" w:val="cle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PIK interest</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6,863</w:t>
            </w:r>
          </w:p>
        </w:tc>
        <w:tc>
          <w:tcPr>
            <w:tcW w:w="211" w:type="dxa"/>
            <w:tcBorders/>
            <w:shd w:fill="CFF0FC" w:val="cle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Sales or prepayments of investments</w:t>
            </w:r>
            <w:r>
              <w:rPr>
                <w:rFonts w:ascii="Times New Roman" w:hAnsi="Times New Roman"/>
                <w:color w:val="000000"/>
                <w:sz w:val="11"/>
              </w:rPr>
              <w:t>(1)</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(59,761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(59,761</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Scheduled principal repayments of investments</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(1,746</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fixed income premiums or accretion of discounts</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5,865</w:t>
            </w:r>
          </w:p>
        </w:tc>
        <w:tc>
          <w:tcPr>
            <w:tcW w:w="211" w:type="dxa"/>
            <w:tcBorders/>
            <w:shd w:fill="FFFFFF" w:val="cle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June 30, 2024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1,000,662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1,058,079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 on Level 3 investments still held as of June 30, 2024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16"/>
        </w:rPr>
      </w:pPr>
      <w:r>
        <w:rPr>
          <w:rFonts w:ascii="Times New Roman" w:hAnsi="Times New Roman"/>
          <w:color w:val="000000"/>
          <w:sz w:val="16"/>
        </w:rPr>
        <w:t>Net of reorganization and restructuring of investments.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presents a rollforward of Level 3 assets measured at fair value as of June 30, 2023 (in thousands):</w:t>
      </w:r>
    </w:p>
    <w:tbl>
      <w:tblPr>
        <w:tblW w:w="10205" w:type="dxa"/>
        <w:jc w:val="left"/>
        <w:tblInd w:w="0" w:type="dxa"/>
        <w:tblLayout w:type="fixed"/>
        <w:tblCellMar>
          <w:top w:w="28" w:type="dxa"/>
          <w:left w:w="28" w:type="dxa"/>
          <w:bottom w:w="28" w:type="dxa"/>
          <w:right w:w="28" w:type="dxa"/>
        </w:tblCellMar>
      </w:tblPr>
      <w:tblGrid>
        <w:gridCol w:w="1942"/>
        <w:gridCol w:w="196"/>
        <w:gridCol w:w="175"/>
        <w:gridCol w:w="991"/>
        <w:gridCol w:w="166"/>
        <w:gridCol w:w="146"/>
        <w:gridCol w:w="196"/>
        <w:gridCol w:w="155"/>
        <w:gridCol w:w="638"/>
        <w:gridCol w:w="146"/>
        <w:gridCol w:w="146"/>
        <w:gridCol w:w="196"/>
        <w:gridCol w:w="159"/>
        <w:gridCol w:w="659"/>
        <w:gridCol w:w="166"/>
        <w:gridCol w:w="146"/>
        <w:gridCol w:w="196"/>
        <w:gridCol w:w="171"/>
        <w:gridCol w:w="602"/>
        <w:gridCol w:w="166"/>
        <w:gridCol w:w="146"/>
        <w:gridCol w:w="196"/>
        <w:gridCol w:w="158"/>
        <w:gridCol w:w="653"/>
        <w:gridCol w:w="166"/>
        <w:gridCol w:w="146"/>
        <w:gridCol w:w="196"/>
        <w:gridCol w:w="146"/>
        <w:gridCol w:w="826"/>
        <w:gridCol w:w="214"/>
      </w:tblGrid>
      <w:tr>
        <w:trPr/>
        <w:tc>
          <w:tcPr>
            <w:tcW w:w="19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942"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Senior Secured Term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Second Lien </w:t>
              <w:br/>
              <w:t>Term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Preferred </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Common </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December 31, 2022</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1,080,121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1,111,946</w:t>
            </w:r>
          </w:p>
        </w:tc>
        <w:tc>
          <w:tcPr>
            <w:tcW w:w="214" w:type="dxa"/>
            <w:tcBorders/>
            <w:shd w:fill="FFFFFF" w:val="clear"/>
            <w:vAlign w:val="center"/>
          </w:tcPr>
          <w:p>
            <w:pPr>
              <w:pStyle w:val="TableContents"/>
              <w:bidi w:val="0"/>
              <w:spacing w:before="0" w:after="283"/>
              <w:jc w:val="left"/>
              <w:rPr/>
            </w:pPr>
            <w:r>
              <w:rPr/>
              <w:t> </w:t>
            </w:r>
          </w:p>
        </w:tc>
      </w:tr>
      <w:tr>
        <w:trPr/>
        <w:tc>
          <w:tcPr>
            <w:tcW w:w="19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in (out) of Level 3</w:t>
            </w:r>
          </w:p>
        </w:tc>
        <w:tc>
          <w:tcPr>
            <w:tcW w:w="19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65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1942"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Purchases of investments</w:t>
            </w:r>
            <w:r>
              <w:rPr>
                <w:rFonts w:ascii="Times New Roman" w:hAnsi="Times New Roman"/>
                <w:color w:val="000000"/>
                <w:sz w:val="11"/>
              </w:rPr>
              <w:t>(1)</w:t>
            </w:r>
          </w:p>
        </w:tc>
        <w:tc>
          <w:tcPr>
            <w:tcW w:w="19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63,540</w:t>
            </w:r>
          </w:p>
        </w:tc>
        <w:tc>
          <w:tcPr>
            <w:tcW w:w="214" w:type="dxa"/>
            <w:tcBorders/>
            <w:shd w:fill="FFFFFF" w:val="clear"/>
            <w:vAlign w:val="center"/>
          </w:tcPr>
          <w:p>
            <w:pPr>
              <w:pStyle w:val="TableContents"/>
              <w:bidi w:val="0"/>
              <w:spacing w:before="0" w:after="283"/>
              <w:jc w:val="left"/>
              <w:rPr/>
            </w:pPr>
            <w:r>
              <w:rPr/>
              <w:t> </w:t>
            </w:r>
          </w:p>
        </w:tc>
      </w:tr>
      <w:tr>
        <w:trPr/>
        <w:tc>
          <w:tcPr>
            <w:tcW w:w="19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PIK interest</w:t>
            </w:r>
          </w:p>
        </w:tc>
        <w:tc>
          <w:tcPr>
            <w:tcW w:w="19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3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65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9,783</w:t>
            </w:r>
          </w:p>
        </w:tc>
        <w:tc>
          <w:tcPr>
            <w:tcW w:w="214" w:type="dxa"/>
            <w:tcBorders/>
            <w:shd w:fill="CFF0FC" w:val="clear"/>
            <w:vAlign w:val="center"/>
          </w:tcPr>
          <w:p>
            <w:pPr>
              <w:pStyle w:val="TableContents"/>
              <w:bidi w:val="0"/>
              <w:spacing w:before="0" w:after="283"/>
              <w:jc w:val="left"/>
              <w:rPr/>
            </w:pPr>
            <w:r>
              <w:rPr/>
              <w:t> </w:t>
            </w:r>
          </w:p>
        </w:tc>
      </w:tr>
      <w:tr>
        <w:trPr/>
        <w:tc>
          <w:tcPr>
            <w:tcW w:w="19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or prepayments of investments</w:t>
            </w:r>
          </w:p>
        </w:tc>
        <w:tc>
          <w:tcPr>
            <w:tcW w:w="19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(98,901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(98,901</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Scheduled repayments of investments</w:t>
            </w:r>
          </w:p>
        </w:tc>
        <w:tc>
          <w:tcPr>
            <w:tcW w:w="19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65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(6,771</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fixed income premiums or accretion of discounts</w:t>
            </w:r>
          </w:p>
        </w:tc>
        <w:tc>
          <w:tcPr>
            <w:tcW w:w="19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4,979</w:t>
            </w:r>
          </w:p>
        </w:tc>
        <w:tc>
          <w:tcPr>
            <w:tcW w:w="214" w:type="dxa"/>
            <w:tcBorders/>
            <w:shd w:fill="FFFFFF" w:val="clear"/>
            <w:vAlign w:val="center"/>
          </w:tcPr>
          <w:p>
            <w:pPr>
              <w:pStyle w:val="TableContents"/>
              <w:bidi w:val="0"/>
              <w:spacing w:before="0" w:after="283"/>
              <w:jc w:val="left"/>
              <w:rPr/>
            </w:pPr>
            <w:r>
              <w:rPr/>
              <w:t> </w:t>
            </w:r>
          </w:p>
        </w:tc>
      </w:tr>
      <w:tr>
        <w:trPr/>
        <w:tc>
          <w:tcPr>
            <w:tcW w:w="19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w:t>
            </w:r>
          </w:p>
        </w:tc>
        <w:tc>
          <w:tcPr>
            <w:tcW w:w="19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65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June 30, 2023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1,030,136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1,080,912</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 on Level 3 investments still held as of June 30, 2023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16"/>
        </w:rPr>
      </w:pPr>
      <w:r>
        <w:rPr>
          <w:rFonts w:ascii="Times New Roman" w:hAnsi="Times New Roman"/>
          <w:color w:val="000000"/>
          <w:sz w:val="16"/>
        </w:rPr>
        <w:t>Net of reorganization and restructuring of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provides quantitative information regarding Level 3 fair value measurements as of June 30, 2024 (in thousands):</w:t>
      </w:r>
    </w:p>
    <w:tbl>
      <w:tblPr>
        <w:tblW w:w="10205" w:type="dxa"/>
        <w:jc w:val="left"/>
        <w:tblInd w:w="0" w:type="dxa"/>
        <w:tblLayout w:type="fixed"/>
        <w:tblCellMar>
          <w:top w:w="28" w:type="dxa"/>
          <w:left w:w="28" w:type="dxa"/>
          <w:bottom w:w="28" w:type="dxa"/>
          <w:right w:w="28" w:type="dxa"/>
        </w:tblCellMar>
      </w:tblPr>
      <w:tblGrid>
        <w:gridCol w:w="1675"/>
        <w:gridCol w:w="146"/>
        <w:gridCol w:w="196"/>
        <w:gridCol w:w="146"/>
        <w:gridCol w:w="826"/>
        <w:gridCol w:w="146"/>
        <w:gridCol w:w="146"/>
        <w:gridCol w:w="3167"/>
        <w:gridCol w:w="146"/>
        <w:gridCol w:w="1602"/>
        <w:gridCol w:w="146"/>
        <w:gridCol w:w="1863"/>
      </w:tblGrid>
      <w:tr>
        <w:trPr/>
        <w:tc>
          <w:tcPr>
            <w:tcW w:w="1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r>
      <w:tr>
        <w:trPr/>
        <w:tc>
          <w:tcPr>
            <w:tcW w:w="1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 Average)</w:t>
            </w:r>
          </w:p>
        </w:tc>
      </w:tr>
      <w:tr>
        <w:trPr/>
        <w:tc>
          <w:tcPr>
            <w:tcW w:w="1675"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Senior Secured Term Loans</w:t>
            </w:r>
            <w:r>
              <w:rPr>
                <w:rFonts w:ascii="Times New Roman" w:hAnsi="Times New Roman"/>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948,003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FFFFFF" w:val="clear"/>
            <w:vAlign w:val="center"/>
          </w:tcPr>
          <w:p>
            <w:pPr>
              <w:pStyle w:val="TableContents"/>
              <w:bidi w:val="0"/>
              <w:spacing w:before="0" w:after="283"/>
              <w:jc w:val="center"/>
              <w:rPr/>
            </w:pPr>
            <w:r>
              <w:rPr/>
              <w:t> </w:t>
            </w:r>
          </w:p>
        </w:tc>
        <w:tc>
          <w:tcPr>
            <w:tcW w:w="186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10.8% - 25.4% (15.7%)</w:t>
            </w:r>
          </w:p>
        </w:tc>
      </w:tr>
      <w:tr>
        <w:trPr/>
        <w:tc>
          <w:tcPr>
            <w:tcW w:w="16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CFF0FC" w:val="clear"/>
            <w:vAlign w:val="center"/>
          </w:tcPr>
          <w:p>
            <w:pPr>
              <w:pStyle w:val="TableContents"/>
              <w:bidi w:val="0"/>
              <w:spacing w:before="0" w:after="283"/>
              <w:jc w:val="center"/>
              <w:rPr/>
            </w:pPr>
            <w:r>
              <w:rPr/>
              <w:t> </w:t>
            </w:r>
          </w:p>
        </w:tc>
        <w:tc>
          <w:tcPr>
            <w:tcW w:w="186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10.8% - 19.9% (13.8%)</w:t>
            </w:r>
          </w:p>
        </w:tc>
      </w:tr>
      <w:tr>
        <w:trPr/>
        <w:tc>
          <w:tcPr>
            <w:tcW w:w="16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vAlign w:val="center"/>
          </w:tcPr>
          <w:p>
            <w:pPr>
              <w:pStyle w:val="TableContents"/>
              <w:bidi w:val="0"/>
              <w:spacing w:before="0" w:after="283"/>
              <w:jc w:val="center"/>
              <w:rPr/>
            </w:pPr>
            <w:r>
              <w:rPr/>
              <w:t> </w:t>
            </w:r>
          </w:p>
        </w:tc>
        <w:tc>
          <w:tcPr>
            <w:tcW w:w="186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0.39x - 9.89x (3.65x)</w:t>
            </w:r>
          </w:p>
        </w:tc>
      </w:tr>
      <w:tr>
        <w:trPr/>
        <w:tc>
          <w:tcPr>
            <w:tcW w:w="16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PWERM</w:t>
            </w:r>
          </w:p>
        </w:tc>
        <w:tc>
          <w:tcPr>
            <w:tcW w:w="146" w:type="dxa"/>
            <w:tcBorders/>
            <w:shd w:fill="CFF0FC" w:val="clear"/>
            <w:vAlign w:val="center"/>
          </w:tcPr>
          <w:p>
            <w:pPr>
              <w:pStyle w:val="TableContents"/>
              <w:bidi w:val="0"/>
              <w:spacing w:before="0" w:after="283"/>
              <w:jc w:val="left"/>
              <w:rPr/>
            </w:pPr>
            <w:r>
              <w:rPr/>
              <w:t> </w:t>
            </w:r>
          </w:p>
        </w:tc>
        <w:tc>
          <w:tcPr>
            <w:tcW w:w="160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vAlign w:val="center"/>
          </w:tcPr>
          <w:p>
            <w:pPr>
              <w:pStyle w:val="TableContents"/>
              <w:bidi w:val="0"/>
              <w:spacing w:before="0" w:after="283"/>
              <w:jc w:val="center"/>
              <w:rPr/>
            </w:pPr>
            <w:r>
              <w:rPr/>
              <w:t> </w:t>
            </w:r>
          </w:p>
        </w:tc>
        <w:tc>
          <w:tcPr>
            <w:tcW w:w="186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25.4% - 40.5% (31.2%)</w:t>
            </w:r>
          </w:p>
        </w:tc>
      </w:tr>
      <w:tr>
        <w:trPr/>
        <w:tc>
          <w:tcPr>
            <w:tcW w:w="16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FFFFFF" w:val="clear"/>
            <w:vAlign w:val="center"/>
          </w:tcPr>
          <w:p>
            <w:pPr>
              <w:pStyle w:val="TableContents"/>
              <w:bidi w:val="0"/>
              <w:spacing w:before="0" w:after="283"/>
              <w:jc w:val="center"/>
              <w:rPr/>
            </w:pPr>
            <w:r>
              <w:rPr/>
              <w:t> </w:t>
            </w:r>
          </w:p>
        </w:tc>
        <w:tc>
          <w:tcPr>
            <w:tcW w:w="186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10.8% - 29.7% (18.3%)</w:t>
            </w:r>
          </w:p>
        </w:tc>
      </w:tr>
      <w:tr>
        <w:trPr/>
        <w:tc>
          <w:tcPr>
            <w:tcW w:w="16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vAlign w:val="center"/>
          </w:tcPr>
          <w:p>
            <w:pPr>
              <w:pStyle w:val="TableContents"/>
              <w:bidi w:val="0"/>
              <w:spacing w:before="0" w:after="283"/>
              <w:jc w:val="center"/>
              <w:rPr/>
            </w:pPr>
            <w:r>
              <w:rPr/>
              <w:t> </w:t>
            </w:r>
          </w:p>
        </w:tc>
        <w:tc>
          <w:tcPr>
            <w:tcW w:w="186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1.28x - 2.49x (1.71x)</w:t>
            </w:r>
          </w:p>
        </w:tc>
      </w:tr>
      <w:tr>
        <w:trPr/>
        <w:tc>
          <w:tcPr>
            <w:tcW w:w="1675"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Second Lien Term Loans</w:t>
            </w:r>
            <w:r>
              <w:rPr>
                <w:rFonts w:ascii="Times New Roman" w:hAnsi="Times New Roman"/>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FFFFFF" w:val="clear"/>
            <w:vAlign w:val="center"/>
          </w:tcPr>
          <w:p>
            <w:pPr>
              <w:pStyle w:val="TableContents"/>
              <w:bidi w:val="0"/>
              <w:spacing w:before="0" w:after="283"/>
              <w:jc w:val="center"/>
              <w:rPr/>
            </w:pPr>
            <w:r>
              <w:rPr/>
              <w:t> </w:t>
            </w:r>
          </w:p>
        </w:tc>
        <w:tc>
          <w:tcPr>
            <w:tcW w:w="186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17.3% - 17.3% (17.3%)</w:t>
            </w:r>
          </w:p>
        </w:tc>
      </w:tr>
      <w:tr>
        <w:trPr/>
        <w:tc>
          <w:tcPr>
            <w:tcW w:w="16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CFF0FC" w:val="clear"/>
            <w:vAlign w:val="center"/>
          </w:tcPr>
          <w:p>
            <w:pPr>
              <w:pStyle w:val="TableContents"/>
              <w:bidi w:val="0"/>
              <w:spacing w:before="0" w:after="283"/>
              <w:jc w:val="center"/>
              <w:rPr/>
            </w:pPr>
            <w:r>
              <w:rPr/>
              <w:t> </w:t>
            </w:r>
          </w:p>
        </w:tc>
        <w:tc>
          <w:tcPr>
            <w:tcW w:w="186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13.1% - 13.1% (13.1%)</w:t>
            </w:r>
          </w:p>
        </w:tc>
      </w:tr>
      <w:tr>
        <w:trPr/>
        <w:tc>
          <w:tcPr>
            <w:tcW w:w="16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vAlign w:val="center"/>
          </w:tcPr>
          <w:p>
            <w:pPr>
              <w:pStyle w:val="TableContents"/>
              <w:bidi w:val="0"/>
              <w:spacing w:before="0" w:after="283"/>
              <w:jc w:val="center"/>
              <w:rPr/>
            </w:pPr>
            <w:r>
              <w:rPr/>
              <w:t> </w:t>
            </w:r>
          </w:p>
        </w:tc>
        <w:tc>
          <w:tcPr>
            <w:tcW w:w="186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2.72x - 2.72x (2.72x)</w:t>
            </w:r>
          </w:p>
        </w:tc>
      </w:tr>
      <w:tr>
        <w:trPr/>
        <w:tc>
          <w:tcPr>
            <w:tcW w:w="167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Convertible Notes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PWERM</w:t>
            </w:r>
          </w:p>
        </w:tc>
        <w:tc>
          <w:tcPr>
            <w:tcW w:w="146" w:type="dxa"/>
            <w:tcBorders/>
            <w:shd w:fill="CFF0FC" w:val="clear"/>
            <w:vAlign w:val="center"/>
          </w:tcPr>
          <w:p>
            <w:pPr>
              <w:pStyle w:val="TableContents"/>
              <w:bidi w:val="0"/>
              <w:spacing w:before="0" w:after="283"/>
              <w:jc w:val="left"/>
              <w:rPr/>
            </w:pPr>
            <w:r>
              <w:rPr/>
              <w:t> </w:t>
            </w:r>
          </w:p>
        </w:tc>
        <w:tc>
          <w:tcPr>
            <w:tcW w:w="160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vAlign w:val="center"/>
          </w:tcPr>
          <w:p>
            <w:pPr>
              <w:pStyle w:val="TableContents"/>
              <w:bidi w:val="0"/>
              <w:spacing w:before="0" w:after="283"/>
              <w:jc w:val="center"/>
              <w:rPr/>
            </w:pPr>
            <w:r>
              <w:rPr/>
              <w:t> </w:t>
            </w:r>
          </w:p>
        </w:tc>
        <w:tc>
          <w:tcPr>
            <w:tcW w:w="186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45.0% - 45.0% (45.0%)</w:t>
            </w:r>
          </w:p>
        </w:tc>
      </w:tr>
      <w:tr>
        <w:trPr/>
        <w:tc>
          <w:tcPr>
            <w:tcW w:w="16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FFFFFF" w:val="clear"/>
            <w:vAlign w:val="center"/>
          </w:tcPr>
          <w:p>
            <w:pPr>
              <w:pStyle w:val="TableContents"/>
              <w:bidi w:val="0"/>
              <w:spacing w:before="0" w:after="283"/>
              <w:jc w:val="center"/>
              <w:rPr/>
            </w:pPr>
            <w:r>
              <w:rPr/>
              <w:t> </w:t>
            </w:r>
          </w:p>
        </w:tc>
        <w:tc>
          <w:tcPr>
            <w:tcW w:w="186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 - 0.0% (0.0%)</w:t>
            </w:r>
          </w:p>
        </w:tc>
      </w:tr>
      <w:tr>
        <w:trPr/>
        <w:tc>
          <w:tcPr>
            <w:tcW w:w="16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vAlign w:val="center"/>
          </w:tcPr>
          <w:p>
            <w:pPr>
              <w:pStyle w:val="TableContents"/>
              <w:bidi w:val="0"/>
              <w:spacing w:before="0" w:after="283"/>
              <w:jc w:val="center"/>
              <w:rPr/>
            </w:pPr>
            <w:r>
              <w:rPr/>
              <w:t> </w:t>
            </w:r>
          </w:p>
        </w:tc>
        <w:tc>
          <w:tcPr>
            <w:tcW w:w="186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1.91x - 1.91x (1.91x)</w:t>
            </w:r>
          </w:p>
        </w:tc>
      </w:tr>
      <w:tr>
        <w:trPr/>
        <w:tc>
          <w:tcPr>
            <w:tcW w:w="167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Recent private market and merger and acquisition transaction prices</w:t>
            </w:r>
          </w:p>
        </w:tc>
        <w:tc>
          <w:tcPr>
            <w:tcW w:w="146"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186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6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863" w:type="dxa"/>
            <w:tcBorders/>
            <w:shd w:fill="CFF0FC" w:val="clear"/>
            <w:vAlign w:val="center"/>
          </w:tcPr>
          <w:p>
            <w:pPr>
              <w:pStyle w:val="TableContents"/>
              <w:bidi w:val="0"/>
              <w:spacing w:before="0" w:after="283"/>
              <w:jc w:val="center"/>
              <w:rPr/>
            </w:pPr>
            <w:r>
              <w:rPr/>
              <w:t> </w:t>
            </w:r>
          </w:p>
        </w:tc>
      </w:tr>
      <w:tr>
        <w:trPr/>
        <w:tc>
          <w:tcPr>
            <w:tcW w:w="16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vAlign w:val="center"/>
          </w:tcPr>
          <w:p>
            <w:pPr>
              <w:pStyle w:val="TableContents"/>
              <w:bidi w:val="0"/>
              <w:spacing w:before="0" w:after="283"/>
              <w:jc w:val="center"/>
              <w:rPr/>
            </w:pPr>
            <w:r>
              <w:rPr/>
              <w:t> </w:t>
            </w:r>
          </w:p>
        </w:tc>
        <w:tc>
          <w:tcPr>
            <w:tcW w:w="186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4.6% - 5.0% (5.0%)</w:t>
            </w:r>
          </w:p>
        </w:tc>
      </w:tr>
      <w:tr>
        <w:trPr/>
        <w:tc>
          <w:tcPr>
            <w:tcW w:w="16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vAlign w:val="center"/>
          </w:tcPr>
          <w:p>
            <w:pPr>
              <w:pStyle w:val="TableContents"/>
              <w:bidi w:val="0"/>
              <w:spacing w:before="0" w:after="283"/>
              <w:jc w:val="center"/>
              <w:rPr/>
            </w:pPr>
            <w:r>
              <w:rPr/>
              <w:t> </w:t>
            </w:r>
          </w:p>
        </w:tc>
        <w:tc>
          <w:tcPr>
            <w:tcW w:w="186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 - 50.0% (40.1%)</w:t>
            </w:r>
          </w:p>
        </w:tc>
      </w:tr>
      <w:tr>
        <w:trPr/>
        <w:tc>
          <w:tcPr>
            <w:tcW w:w="16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vAlign w:val="center"/>
          </w:tcPr>
          <w:p>
            <w:pPr>
              <w:pStyle w:val="TableContents"/>
              <w:bidi w:val="0"/>
              <w:spacing w:before="0" w:after="283"/>
              <w:jc w:val="center"/>
              <w:rPr/>
            </w:pPr>
            <w:r>
              <w:rPr/>
              <w:t> </w:t>
            </w:r>
          </w:p>
        </w:tc>
        <w:tc>
          <w:tcPr>
            <w:tcW w:w="1863"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1.7</w:t>
            </w:r>
            <w:r>
              <w:rPr>
                <w:rFonts w:ascii="Times New Roman" w:hAnsi="Times New Roman"/>
                <w:color w:val="000000"/>
                <w:sz w:val="20"/>
              </w:rPr>
              <w:t> </w:t>
            </w:r>
            <w:r>
              <w:rPr>
                <w:rFonts w:ascii="Times New Roman" w:hAnsi="Times New Roman"/>
                <w:color w:val="000000"/>
                <w:sz w:val="16"/>
              </w:rPr>
              <w:t>- 4.0</w:t>
            </w:r>
            <w:r>
              <w:rPr>
                <w:rFonts w:ascii="Times New Roman" w:hAnsi="Times New Roman"/>
                <w:color w:val="000000"/>
                <w:sz w:val="20"/>
              </w:rPr>
              <w:t> </w:t>
            </w:r>
            <w:r>
              <w:rPr>
                <w:rFonts w:ascii="Times New Roman" w:hAnsi="Times New Roman"/>
                <w:color w:val="000000"/>
                <w:sz w:val="16"/>
              </w:rPr>
              <w:t>(1.8</w:t>
            </w:r>
            <w:r>
              <w:rPr>
                <w:rFonts w:ascii="Times New Roman" w:hAnsi="Times New Roman"/>
                <w:color w:val="000000"/>
                <w:sz w:val="20"/>
              </w:rPr>
              <w:t> </w:t>
            </w:r>
            <w:r>
              <w:rPr>
                <w:rFonts w:ascii="Times New Roman" w:hAnsi="Times New Roman"/>
                <w:color w:val="000000"/>
                <w:sz w:val="16"/>
              </w:rPr>
              <w:t>years)</w:t>
            </w:r>
          </w:p>
        </w:tc>
      </w:tr>
      <w:tr>
        <w:trPr/>
        <w:tc>
          <w:tcPr>
            <w:tcW w:w="16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vAlign w:val="center"/>
          </w:tcPr>
          <w:p>
            <w:pPr>
              <w:pStyle w:val="TableContents"/>
              <w:bidi w:val="0"/>
              <w:spacing w:before="0" w:after="283"/>
              <w:jc w:val="center"/>
              <w:rPr/>
            </w:pPr>
            <w:r>
              <w:rPr/>
              <w:t> </w:t>
            </w:r>
          </w:p>
        </w:tc>
        <w:tc>
          <w:tcPr>
            <w:tcW w:w="186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2.75x - 3.34x (3.33x)</w:t>
            </w:r>
          </w:p>
        </w:tc>
      </w:tr>
      <w:tr>
        <w:trPr/>
        <w:tc>
          <w:tcPr>
            <w:tcW w:w="167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Recent private market and merger and acquisition transaction prices</w:t>
            </w:r>
          </w:p>
        </w:tc>
        <w:tc>
          <w:tcPr>
            <w:tcW w:w="146"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186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6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CFF0FC" w:val="clear"/>
            <w:vAlign w:val="center"/>
          </w:tcPr>
          <w:p>
            <w:pPr>
              <w:pStyle w:val="TableContents"/>
              <w:bidi w:val="0"/>
              <w:spacing w:before="0" w:after="283"/>
              <w:jc w:val="left"/>
              <w:rPr/>
            </w:pPr>
            <w:r>
              <w:rPr/>
              <w:t> </w:t>
            </w:r>
          </w:p>
        </w:tc>
        <w:tc>
          <w:tcPr>
            <w:tcW w:w="160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vAlign w:val="center"/>
          </w:tcPr>
          <w:p>
            <w:pPr>
              <w:pStyle w:val="TableContents"/>
              <w:bidi w:val="0"/>
              <w:spacing w:before="0" w:after="283"/>
              <w:jc w:val="center"/>
              <w:rPr/>
            </w:pPr>
            <w:r>
              <w:rPr/>
              <w:t> </w:t>
            </w:r>
          </w:p>
        </w:tc>
        <w:tc>
          <w:tcPr>
            <w:tcW w:w="186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 - 5.2% (5.2%)</w:t>
            </w:r>
          </w:p>
        </w:tc>
      </w:tr>
      <w:tr>
        <w:trPr/>
        <w:tc>
          <w:tcPr>
            <w:tcW w:w="16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FFFFFF" w:val="clear"/>
            <w:vAlign w:val="center"/>
          </w:tcPr>
          <w:p>
            <w:pPr>
              <w:pStyle w:val="TableContents"/>
              <w:bidi w:val="0"/>
              <w:spacing w:before="0" w:after="283"/>
              <w:jc w:val="center"/>
              <w:rPr/>
            </w:pPr>
            <w:r>
              <w:rPr/>
              <w:t> </w:t>
            </w:r>
          </w:p>
        </w:tc>
        <w:tc>
          <w:tcPr>
            <w:tcW w:w="186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30.0% - 30.0% (30.0%)</w:t>
            </w:r>
          </w:p>
        </w:tc>
      </w:tr>
      <w:tr>
        <w:trPr/>
        <w:tc>
          <w:tcPr>
            <w:tcW w:w="16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vAlign w:val="center"/>
          </w:tcPr>
          <w:p>
            <w:pPr>
              <w:pStyle w:val="TableContents"/>
              <w:bidi w:val="0"/>
              <w:spacing w:before="0" w:after="283"/>
              <w:jc w:val="center"/>
              <w:rPr/>
            </w:pPr>
            <w:r>
              <w:rPr/>
              <w:t> </w:t>
            </w:r>
          </w:p>
        </w:tc>
        <w:tc>
          <w:tcPr>
            <w:tcW w:w="186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1.0 - 1.0 (1.0 years)</w:t>
            </w:r>
          </w:p>
        </w:tc>
      </w:tr>
      <w:tr>
        <w:trPr/>
        <w:tc>
          <w:tcPr>
            <w:tcW w:w="16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vAlign w:val="center"/>
          </w:tcPr>
          <w:p>
            <w:pPr>
              <w:pStyle w:val="TableContents"/>
              <w:bidi w:val="0"/>
              <w:spacing w:before="0" w:after="283"/>
              <w:jc w:val="center"/>
              <w:rPr/>
            </w:pPr>
            <w:r>
              <w:rPr/>
              <w:t> </w:t>
            </w:r>
          </w:p>
        </w:tc>
        <w:tc>
          <w:tcPr>
            <w:tcW w:w="186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3.00x - 3.00x (3.00x)</w:t>
            </w:r>
          </w:p>
        </w:tc>
      </w:tr>
      <w:tr>
        <w:trPr/>
        <w:tc>
          <w:tcPr>
            <w:tcW w:w="167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PWERM</w:t>
            </w:r>
          </w:p>
        </w:tc>
        <w:tc>
          <w:tcPr>
            <w:tcW w:w="146" w:type="dxa"/>
            <w:tcBorders/>
            <w:shd w:fill="CFF0FC" w:val="clear"/>
            <w:vAlign w:val="center"/>
          </w:tcPr>
          <w:p>
            <w:pPr>
              <w:pStyle w:val="TableContents"/>
              <w:bidi w:val="0"/>
              <w:spacing w:before="0" w:after="283"/>
              <w:jc w:val="left"/>
              <w:rPr/>
            </w:pPr>
            <w:r>
              <w:rPr/>
              <w:t> </w:t>
            </w:r>
          </w:p>
        </w:tc>
        <w:tc>
          <w:tcPr>
            <w:tcW w:w="160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vAlign w:val="center"/>
          </w:tcPr>
          <w:p>
            <w:pPr>
              <w:pStyle w:val="TableContents"/>
              <w:bidi w:val="0"/>
              <w:spacing w:before="0" w:after="283"/>
              <w:jc w:val="center"/>
              <w:rPr/>
            </w:pPr>
            <w:r>
              <w:rPr/>
              <w:t> </w:t>
            </w:r>
          </w:p>
        </w:tc>
        <w:tc>
          <w:tcPr>
            <w:tcW w:w="186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675"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Warrants</w:t>
            </w:r>
            <w:r>
              <w:rPr>
                <w:rFonts w:ascii="Times New Roman" w:hAnsi="Times New Roman"/>
                <w:color w:val="000000"/>
                <w:sz w:val="11"/>
              </w:rPr>
              <w:t>(2)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vAlign w:val="center"/>
          </w:tcPr>
          <w:p>
            <w:pPr>
              <w:pStyle w:val="TableContents"/>
              <w:bidi w:val="0"/>
              <w:spacing w:before="0" w:after="283"/>
              <w:jc w:val="center"/>
              <w:rPr/>
            </w:pPr>
            <w:r>
              <w:rPr/>
              <w:t> </w:t>
            </w:r>
          </w:p>
        </w:tc>
        <w:tc>
          <w:tcPr>
            <w:tcW w:w="186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 - 5.2% (4.7%)</w:t>
            </w:r>
          </w:p>
        </w:tc>
      </w:tr>
      <w:tr>
        <w:trPr/>
        <w:tc>
          <w:tcPr>
            <w:tcW w:w="16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vAlign w:val="center"/>
          </w:tcPr>
          <w:p>
            <w:pPr>
              <w:pStyle w:val="TableContents"/>
              <w:bidi w:val="0"/>
              <w:spacing w:before="0" w:after="283"/>
              <w:jc w:val="center"/>
              <w:rPr/>
            </w:pPr>
            <w:r>
              <w:rPr/>
              <w:t> </w:t>
            </w:r>
          </w:p>
        </w:tc>
        <w:tc>
          <w:tcPr>
            <w:tcW w:w="186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25.0% - 125.0% (55.6%)</w:t>
            </w:r>
          </w:p>
        </w:tc>
      </w:tr>
      <w:tr>
        <w:trPr/>
        <w:tc>
          <w:tcPr>
            <w:tcW w:w="16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vAlign w:val="center"/>
          </w:tcPr>
          <w:p>
            <w:pPr>
              <w:pStyle w:val="TableContents"/>
              <w:bidi w:val="0"/>
              <w:spacing w:before="0" w:after="283"/>
              <w:jc w:val="center"/>
              <w:rPr/>
            </w:pPr>
            <w:r>
              <w:rPr/>
              <w:t> </w:t>
            </w:r>
          </w:p>
        </w:tc>
        <w:tc>
          <w:tcPr>
            <w:tcW w:w="1863"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w:t>
            </w:r>
            <w:r>
              <w:rPr>
                <w:rFonts w:ascii="Times New Roman" w:hAnsi="Times New Roman"/>
                <w:color w:val="000000"/>
                <w:sz w:val="20"/>
              </w:rPr>
              <w:t> </w:t>
            </w:r>
            <w:r>
              <w:rPr>
                <w:rFonts w:ascii="Times New Roman" w:hAnsi="Times New Roman"/>
                <w:color w:val="000000"/>
                <w:sz w:val="16"/>
              </w:rPr>
              <w:t>- 5.0</w:t>
            </w:r>
            <w:r>
              <w:rPr>
                <w:rFonts w:ascii="Times New Roman" w:hAnsi="Times New Roman"/>
                <w:color w:val="000000"/>
                <w:sz w:val="20"/>
              </w:rPr>
              <w:t> </w:t>
            </w:r>
            <w:r>
              <w:rPr>
                <w:rFonts w:ascii="Times New Roman" w:hAnsi="Times New Roman"/>
                <w:color w:val="000000"/>
                <w:sz w:val="16"/>
              </w:rPr>
              <w:t>(2.7</w:t>
            </w:r>
            <w:r>
              <w:rPr>
                <w:rFonts w:ascii="Times New Roman" w:hAnsi="Times New Roman"/>
                <w:color w:val="000000"/>
                <w:sz w:val="20"/>
              </w:rPr>
              <w:t> </w:t>
            </w:r>
            <w:r>
              <w:rPr>
                <w:rFonts w:ascii="Times New Roman" w:hAnsi="Times New Roman"/>
                <w:color w:val="000000"/>
                <w:sz w:val="16"/>
              </w:rPr>
              <w:t>years)</w:t>
            </w:r>
          </w:p>
        </w:tc>
      </w:tr>
      <w:tr>
        <w:trPr/>
        <w:tc>
          <w:tcPr>
            <w:tcW w:w="16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vAlign w:val="center"/>
          </w:tcPr>
          <w:p>
            <w:pPr>
              <w:pStyle w:val="TableContents"/>
              <w:bidi w:val="0"/>
              <w:spacing w:before="0" w:after="283"/>
              <w:jc w:val="center"/>
              <w:rPr/>
            </w:pPr>
            <w:r>
              <w:rPr/>
              <w:t> </w:t>
            </w:r>
          </w:p>
        </w:tc>
        <w:tc>
          <w:tcPr>
            <w:tcW w:w="186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1.28x - 9.89x (4.18x)</w:t>
            </w:r>
          </w:p>
        </w:tc>
      </w:tr>
      <w:tr>
        <w:trPr/>
        <w:tc>
          <w:tcPr>
            <w:tcW w:w="16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7" w:type="dxa"/>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PWERM </w:t>
            </w:r>
            <w:r>
              <w:rPr>
                <w:rFonts w:ascii="Times New Roman" w:hAnsi="Times New Roman"/>
                <w:color w:val="000000"/>
                <w:sz w:val="11"/>
              </w:rPr>
              <w:t>(3)</w:t>
            </w:r>
          </w:p>
        </w:tc>
        <w:tc>
          <w:tcPr>
            <w:tcW w:w="146"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186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6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Waterfall Approach</w:t>
            </w:r>
          </w:p>
        </w:tc>
        <w:tc>
          <w:tcPr>
            <w:tcW w:w="146" w:type="dxa"/>
            <w:tcBorders/>
            <w:shd w:fill="CFF0FC" w:val="clear"/>
            <w:vAlign w:val="center"/>
          </w:tcPr>
          <w:p>
            <w:pPr>
              <w:pStyle w:val="TableContents"/>
              <w:bidi w:val="0"/>
              <w:spacing w:before="0" w:after="283"/>
              <w:jc w:val="left"/>
              <w:rPr/>
            </w:pPr>
            <w:r>
              <w:rPr/>
              <w:t> </w:t>
            </w:r>
          </w:p>
        </w:tc>
        <w:tc>
          <w:tcPr>
            <w:tcW w:w="160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vAlign w:val="center"/>
          </w:tcPr>
          <w:p>
            <w:pPr>
              <w:pStyle w:val="TableContents"/>
              <w:bidi w:val="0"/>
              <w:spacing w:before="0" w:after="283"/>
              <w:jc w:val="center"/>
              <w:rPr/>
            </w:pPr>
            <w:r>
              <w:rPr/>
              <w:t> </w:t>
            </w:r>
          </w:p>
        </w:tc>
        <w:tc>
          <w:tcPr>
            <w:tcW w:w="1863"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w:t>
            </w:r>
            <w:r>
              <w:rPr>
                <w:rFonts w:ascii="Times New Roman" w:hAnsi="Times New Roman"/>
                <w:color w:val="000000"/>
                <w:sz w:val="20"/>
              </w:rPr>
              <w:t> </w:t>
            </w:r>
            <w:r>
              <w:rPr>
                <w:rFonts w:ascii="Times New Roman" w:hAnsi="Times New Roman"/>
                <w:color w:val="000000"/>
                <w:sz w:val="16"/>
              </w:rPr>
              <w:t>- 4.4</w:t>
            </w:r>
            <w:r>
              <w:rPr>
                <w:rFonts w:ascii="Times New Roman" w:hAnsi="Times New Roman"/>
                <w:color w:val="000000"/>
                <w:sz w:val="20"/>
              </w:rPr>
              <w:t> </w:t>
            </w:r>
            <w:r>
              <w:rPr>
                <w:rFonts w:ascii="Times New Roman" w:hAnsi="Times New Roman"/>
                <w:color w:val="000000"/>
                <w:sz w:val="16"/>
              </w:rPr>
              <w:t>(4.4</w:t>
            </w:r>
            <w:r>
              <w:rPr>
                <w:rFonts w:ascii="Times New Roman" w:hAnsi="Times New Roman"/>
                <w:color w:val="000000"/>
                <w:sz w:val="20"/>
              </w:rPr>
              <w:t> </w:t>
            </w:r>
            <w:r>
              <w:rPr>
                <w:rFonts w:ascii="Times New Roman" w:hAnsi="Times New Roman"/>
                <w:color w:val="000000"/>
                <w:sz w:val="16"/>
              </w:rPr>
              <w:t>years)</w:t>
            </w:r>
          </w:p>
        </w:tc>
      </w:tr>
      <w:tr>
        <w:trPr/>
        <w:tc>
          <w:tcPr>
            <w:tcW w:w="16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vAlign w:val="center"/>
          </w:tcPr>
          <w:p>
            <w:pPr>
              <w:pStyle w:val="TableContents"/>
              <w:bidi w:val="0"/>
              <w:spacing w:before="0" w:after="283"/>
              <w:jc w:val="center"/>
              <w:rPr/>
            </w:pPr>
            <w:r>
              <w:rPr/>
              <w:t> </w:t>
            </w:r>
          </w:p>
        </w:tc>
        <w:tc>
          <w:tcPr>
            <w:tcW w:w="186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1.73x - 1.91x (1.73x)</w:t>
            </w:r>
          </w:p>
        </w:tc>
      </w:tr>
      <w:tr>
        <w:trPr/>
        <w:tc>
          <w:tcPr>
            <w:tcW w:w="167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Level 3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1,058,079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3"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or decreases in the inputs in isolation may result in a significantly higher or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period ended June 30, 2024.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 For some investments, additional consideration may be given to data from the last round of financing or merger/acquisition events near the measurement date.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jc w:val="both"/>
        <w:rPr>
          <w:rFonts w:ascii="Times New Roman" w:hAnsi="Times New Roman"/>
          <w:color w:val="000000"/>
          <w:sz w:val="16"/>
        </w:rPr>
      </w:pPr>
      <w:r>
        <w:rPr>
          <w:rFonts w:ascii="Times New Roman" w:hAnsi="Times New Roman"/>
          <w:color w:val="000000"/>
          <w:sz w:val="16"/>
        </w:rPr>
        <w:t xml:space="preserve">Warrant investments using a PWERM valuation technique contain success fees, in which case the inputs are not applicable because the nature of a success fee is a fixed payout dependent on certain liquidation events.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provides quantitative information regarding Level 3 fair value measurements as of December 31, 2023 (in thousands):</w:t>
      </w:r>
    </w:p>
    <w:tbl>
      <w:tblPr>
        <w:tblW w:w="10205" w:type="dxa"/>
        <w:jc w:val="left"/>
        <w:tblInd w:w="0" w:type="dxa"/>
        <w:tblLayout w:type="fixed"/>
        <w:tblCellMar>
          <w:top w:w="28" w:type="dxa"/>
          <w:left w:w="28" w:type="dxa"/>
          <w:bottom w:w="28" w:type="dxa"/>
          <w:right w:w="28" w:type="dxa"/>
        </w:tblCellMar>
      </w:tblPr>
      <w:tblGrid>
        <w:gridCol w:w="1715"/>
        <w:gridCol w:w="146"/>
        <w:gridCol w:w="196"/>
        <w:gridCol w:w="146"/>
        <w:gridCol w:w="826"/>
        <w:gridCol w:w="146"/>
        <w:gridCol w:w="146"/>
        <w:gridCol w:w="3299"/>
        <w:gridCol w:w="146"/>
        <w:gridCol w:w="1632"/>
        <w:gridCol w:w="146"/>
        <w:gridCol w:w="1661"/>
      </w:tblGrid>
      <w:tr>
        <w:trPr/>
        <w:tc>
          <w:tcPr>
            <w:tcW w:w="1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r>
      <w:tr>
        <w:trPr/>
        <w:tc>
          <w:tcPr>
            <w:tcW w:w="1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 Average)</w:t>
            </w:r>
          </w:p>
        </w:tc>
      </w:tr>
      <w:tr>
        <w:trPr/>
        <w:tc>
          <w:tcPr>
            <w:tcW w:w="1715"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Senior Secured Term Loans</w:t>
            </w:r>
            <w:r>
              <w:rPr>
                <w:rFonts w:ascii="Times New Roman" w:hAnsi="Times New Roman"/>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CFF0FC" w:val="clear"/>
            <w:vAlign w:val="center"/>
          </w:tcPr>
          <w:p>
            <w:pPr>
              <w:pStyle w:val="TableContents"/>
              <w:bidi w:val="0"/>
              <w:spacing w:before="0" w:after="283"/>
              <w:jc w:val="left"/>
              <w:rPr/>
            </w:pPr>
            <w:r>
              <w:rPr/>
              <w:t> </w:t>
            </w:r>
          </w:p>
        </w:tc>
        <w:tc>
          <w:tcPr>
            <w:tcW w:w="163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vAlign w:val="center"/>
          </w:tcPr>
          <w:p>
            <w:pPr>
              <w:pStyle w:val="TableContents"/>
              <w:bidi w:val="0"/>
              <w:spacing w:before="0" w:after="283"/>
              <w:jc w:val="center"/>
              <w:rPr/>
            </w:pPr>
            <w:r>
              <w:rPr/>
              <w:t> </w:t>
            </w:r>
          </w:p>
        </w:tc>
        <w:tc>
          <w:tcPr>
            <w:tcW w:w="16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10.8% - 22.2% (15.0%)</w:t>
            </w:r>
          </w:p>
        </w:tc>
      </w:tr>
      <w:tr>
        <w:trPr/>
        <w:tc>
          <w:tcPr>
            <w:tcW w:w="17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FFFFFF" w:val="clear"/>
            <w:vAlign w:val="center"/>
          </w:tcPr>
          <w:p>
            <w:pPr>
              <w:pStyle w:val="TableContents"/>
              <w:bidi w:val="0"/>
              <w:spacing w:before="0" w:after="283"/>
              <w:jc w:val="center"/>
              <w:rPr/>
            </w:pPr>
            <w:r>
              <w:rPr/>
              <w:t> </w:t>
            </w:r>
          </w:p>
        </w:tc>
        <w:tc>
          <w:tcPr>
            <w:tcW w:w="16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10.8% - 19.9% (13.6%)</w:t>
            </w:r>
          </w:p>
        </w:tc>
      </w:tr>
      <w:tr>
        <w:trPr/>
        <w:tc>
          <w:tcPr>
            <w:tcW w:w="171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3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vAlign w:val="center"/>
          </w:tcPr>
          <w:p>
            <w:pPr>
              <w:pStyle w:val="TableContents"/>
              <w:bidi w:val="0"/>
              <w:spacing w:before="0" w:after="283"/>
              <w:jc w:val="center"/>
              <w:rPr/>
            </w:pPr>
            <w:r>
              <w:rPr/>
              <w:t> </w:t>
            </w:r>
          </w:p>
        </w:tc>
        <w:tc>
          <w:tcPr>
            <w:tcW w:w="16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0.29x - 7.49x (3.66x)</w:t>
            </w:r>
          </w:p>
        </w:tc>
      </w:tr>
      <w:tr>
        <w:trPr/>
        <w:tc>
          <w:tcPr>
            <w:tcW w:w="17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PWERM</w:t>
            </w:r>
          </w:p>
        </w:tc>
        <w:tc>
          <w:tcPr>
            <w:tcW w:w="146" w:type="dxa"/>
            <w:tcBorders/>
            <w:shd w:fill="FFFFFF" w:val="clear"/>
            <w:vAlign w:val="center"/>
          </w:tcPr>
          <w:p>
            <w:pPr>
              <w:pStyle w:val="TableContents"/>
              <w:bidi w:val="0"/>
              <w:spacing w:before="0" w:after="283"/>
              <w:jc w:val="left"/>
              <w:rPr/>
            </w:pPr>
            <w:r>
              <w:rPr/>
              <w:t> </w:t>
            </w:r>
          </w:p>
        </w:tc>
        <w:tc>
          <w:tcPr>
            <w:tcW w:w="163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FFFFFF" w:val="clear"/>
            <w:vAlign w:val="center"/>
          </w:tcPr>
          <w:p>
            <w:pPr>
              <w:pStyle w:val="TableContents"/>
              <w:bidi w:val="0"/>
              <w:spacing w:before="0" w:after="283"/>
              <w:jc w:val="center"/>
              <w:rPr/>
            </w:pPr>
            <w:r>
              <w:rPr/>
              <w:t> </w:t>
            </w:r>
          </w:p>
        </w:tc>
        <w:tc>
          <w:tcPr>
            <w:tcW w:w="16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20.3% - 46.5% (28.8%)</w:t>
            </w:r>
          </w:p>
        </w:tc>
      </w:tr>
      <w:tr>
        <w:trPr/>
        <w:tc>
          <w:tcPr>
            <w:tcW w:w="171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3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CFF0FC" w:val="clear"/>
            <w:vAlign w:val="center"/>
          </w:tcPr>
          <w:p>
            <w:pPr>
              <w:pStyle w:val="TableContents"/>
              <w:bidi w:val="0"/>
              <w:spacing w:before="0" w:after="283"/>
              <w:jc w:val="center"/>
              <w:rPr/>
            </w:pPr>
            <w:r>
              <w:rPr/>
              <w:t> </w:t>
            </w:r>
          </w:p>
        </w:tc>
        <w:tc>
          <w:tcPr>
            <w:tcW w:w="16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10.8% - 29.7% (17.3%)</w:t>
            </w:r>
          </w:p>
        </w:tc>
      </w:tr>
      <w:tr>
        <w:trPr/>
        <w:tc>
          <w:tcPr>
            <w:tcW w:w="17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vAlign w:val="center"/>
          </w:tcPr>
          <w:p>
            <w:pPr>
              <w:pStyle w:val="TableContents"/>
              <w:bidi w:val="0"/>
              <w:spacing w:before="0" w:after="283"/>
              <w:jc w:val="center"/>
              <w:rPr/>
            </w:pPr>
            <w:r>
              <w:rPr/>
              <w:t> </w:t>
            </w:r>
          </w:p>
        </w:tc>
        <w:tc>
          <w:tcPr>
            <w:tcW w:w="16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0.95x - 3.16x (1.89x)</w:t>
            </w:r>
          </w:p>
        </w:tc>
      </w:tr>
      <w:tr>
        <w:trPr/>
        <w:tc>
          <w:tcPr>
            <w:tcW w:w="1715"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Second Lien Term Loans</w:t>
            </w:r>
            <w:r>
              <w:rPr>
                <w:rFonts w:ascii="Times New Roman" w:hAnsi="Times New Roman"/>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CFF0FC" w:val="clear"/>
            <w:vAlign w:val="center"/>
          </w:tcPr>
          <w:p>
            <w:pPr>
              <w:pStyle w:val="TableContents"/>
              <w:bidi w:val="0"/>
              <w:spacing w:before="0" w:after="283"/>
              <w:jc w:val="left"/>
              <w:rPr/>
            </w:pPr>
            <w:r>
              <w:rPr/>
              <w:t> </w:t>
            </w:r>
          </w:p>
        </w:tc>
        <w:tc>
          <w:tcPr>
            <w:tcW w:w="163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vAlign w:val="center"/>
          </w:tcPr>
          <w:p>
            <w:pPr>
              <w:pStyle w:val="TableContents"/>
              <w:bidi w:val="0"/>
              <w:spacing w:before="0" w:after="283"/>
              <w:jc w:val="center"/>
              <w:rPr/>
            </w:pPr>
            <w:r>
              <w:rPr/>
              <w:t> </w:t>
            </w:r>
          </w:p>
        </w:tc>
        <w:tc>
          <w:tcPr>
            <w:tcW w:w="16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16.1% - 16.1% (16.1%)</w:t>
            </w:r>
          </w:p>
        </w:tc>
      </w:tr>
      <w:tr>
        <w:trPr/>
        <w:tc>
          <w:tcPr>
            <w:tcW w:w="17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FFFFFF" w:val="clear"/>
            <w:vAlign w:val="center"/>
          </w:tcPr>
          <w:p>
            <w:pPr>
              <w:pStyle w:val="TableContents"/>
              <w:bidi w:val="0"/>
              <w:spacing w:before="0" w:after="283"/>
              <w:jc w:val="center"/>
              <w:rPr/>
            </w:pPr>
            <w:r>
              <w:rPr/>
              <w:t> </w:t>
            </w:r>
          </w:p>
        </w:tc>
        <w:tc>
          <w:tcPr>
            <w:tcW w:w="16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13.1% - 13.1% (13.1%)</w:t>
            </w:r>
          </w:p>
        </w:tc>
      </w:tr>
      <w:tr>
        <w:trPr/>
        <w:tc>
          <w:tcPr>
            <w:tcW w:w="17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Convertible Notes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PWERM</w:t>
            </w:r>
          </w:p>
        </w:tc>
        <w:tc>
          <w:tcPr>
            <w:tcW w:w="146" w:type="dxa"/>
            <w:tcBorders/>
            <w:shd w:fill="CFF0FC" w:val="clear"/>
            <w:vAlign w:val="center"/>
          </w:tcPr>
          <w:p>
            <w:pPr>
              <w:pStyle w:val="TableContents"/>
              <w:bidi w:val="0"/>
              <w:spacing w:before="0" w:after="283"/>
              <w:jc w:val="left"/>
              <w:rPr/>
            </w:pPr>
            <w:r>
              <w:rPr/>
              <w:t> </w:t>
            </w:r>
          </w:p>
        </w:tc>
        <w:tc>
          <w:tcPr>
            <w:tcW w:w="163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vAlign w:val="center"/>
          </w:tcPr>
          <w:p>
            <w:pPr>
              <w:pStyle w:val="TableContents"/>
              <w:bidi w:val="0"/>
              <w:spacing w:before="0" w:after="283"/>
              <w:jc w:val="center"/>
              <w:rPr/>
            </w:pPr>
            <w:r>
              <w:rPr/>
              <w:t> </w:t>
            </w:r>
          </w:p>
        </w:tc>
        <w:tc>
          <w:tcPr>
            <w:tcW w:w="16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45.0% - 45.0% (45.0%)</w:t>
            </w:r>
          </w:p>
        </w:tc>
      </w:tr>
      <w:tr>
        <w:trPr/>
        <w:tc>
          <w:tcPr>
            <w:tcW w:w="17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FFFFFF" w:val="clear"/>
            <w:vAlign w:val="center"/>
          </w:tcPr>
          <w:p>
            <w:pPr>
              <w:pStyle w:val="TableContents"/>
              <w:bidi w:val="0"/>
              <w:spacing w:before="0" w:after="283"/>
              <w:jc w:val="center"/>
              <w:rPr/>
            </w:pPr>
            <w:r>
              <w:rPr/>
              <w:t> </w:t>
            </w:r>
          </w:p>
        </w:tc>
        <w:tc>
          <w:tcPr>
            <w:tcW w:w="16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10.8% - 10.8% (10.8%)</w:t>
            </w:r>
          </w:p>
        </w:tc>
      </w:tr>
      <w:tr>
        <w:trPr/>
        <w:tc>
          <w:tcPr>
            <w:tcW w:w="17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Recent private market and merger and acquisition transaction prices</w:t>
            </w:r>
          </w:p>
        </w:tc>
        <w:tc>
          <w:tcPr>
            <w:tcW w:w="146" w:type="dxa"/>
            <w:tcBorders/>
            <w:shd w:fill="CFF0FC" w:val="clear"/>
            <w:vAlign w:val="center"/>
          </w:tcPr>
          <w:p>
            <w:pPr>
              <w:pStyle w:val="TableContents"/>
              <w:bidi w:val="0"/>
              <w:spacing w:before="0" w:after="283"/>
              <w:jc w:val="left"/>
              <w:rPr/>
            </w:pPr>
            <w:r>
              <w:rPr/>
              <w:t> </w:t>
            </w:r>
          </w:p>
        </w:tc>
        <w:tc>
          <w:tcPr>
            <w:tcW w:w="163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16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7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PWERM</w:t>
            </w:r>
          </w:p>
        </w:tc>
        <w:tc>
          <w:tcPr>
            <w:tcW w:w="146" w:type="dxa"/>
            <w:tcBorders/>
            <w:shd w:fill="FFFFFF" w:val="clear"/>
            <w:vAlign w:val="center"/>
          </w:tcPr>
          <w:p>
            <w:pPr>
              <w:pStyle w:val="TableContents"/>
              <w:bidi w:val="0"/>
              <w:spacing w:before="0" w:after="283"/>
              <w:jc w:val="left"/>
              <w:rPr/>
            </w:pPr>
            <w:r>
              <w:rPr/>
              <w:t> </w:t>
            </w:r>
          </w:p>
        </w:tc>
        <w:tc>
          <w:tcPr>
            <w:tcW w:w="163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vAlign w:val="center"/>
          </w:tcPr>
          <w:p>
            <w:pPr>
              <w:pStyle w:val="TableContents"/>
              <w:bidi w:val="0"/>
              <w:spacing w:before="0" w:after="283"/>
              <w:jc w:val="center"/>
              <w:rPr/>
            </w:pPr>
            <w:r>
              <w:rPr/>
              <w:t> </w:t>
            </w:r>
          </w:p>
        </w:tc>
        <w:tc>
          <w:tcPr>
            <w:tcW w:w="16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4.7% - 4.7% (4.7%)</w:t>
            </w:r>
          </w:p>
        </w:tc>
      </w:tr>
      <w:tr>
        <w:trPr/>
        <w:tc>
          <w:tcPr>
            <w:tcW w:w="171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3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vAlign w:val="center"/>
          </w:tcPr>
          <w:p>
            <w:pPr>
              <w:pStyle w:val="TableContents"/>
              <w:bidi w:val="0"/>
              <w:spacing w:before="0" w:after="283"/>
              <w:jc w:val="center"/>
              <w:rPr/>
            </w:pPr>
            <w:r>
              <w:rPr/>
              <w:t> </w:t>
            </w:r>
          </w:p>
        </w:tc>
        <w:tc>
          <w:tcPr>
            <w:tcW w:w="16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 - 40.0% (40.0%)</w:t>
            </w:r>
          </w:p>
        </w:tc>
      </w:tr>
      <w:tr>
        <w:trPr/>
        <w:tc>
          <w:tcPr>
            <w:tcW w:w="17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vAlign w:val="center"/>
          </w:tcPr>
          <w:p>
            <w:pPr>
              <w:pStyle w:val="TableContents"/>
              <w:bidi w:val="0"/>
              <w:spacing w:before="0" w:after="283"/>
              <w:jc w:val="center"/>
              <w:rPr/>
            </w:pPr>
            <w:r>
              <w:rPr/>
              <w:t> </w:t>
            </w:r>
          </w:p>
        </w:tc>
        <w:tc>
          <w:tcPr>
            <w:tcW w:w="16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2.0 - 2.0 (2.0 years)</w:t>
            </w:r>
          </w:p>
        </w:tc>
      </w:tr>
      <w:tr>
        <w:trPr/>
        <w:tc>
          <w:tcPr>
            <w:tcW w:w="171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3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vAlign w:val="center"/>
          </w:tcPr>
          <w:p>
            <w:pPr>
              <w:pStyle w:val="TableContents"/>
              <w:bidi w:val="0"/>
              <w:spacing w:before="0" w:after="283"/>
              <w:jc w:val="center"/>
              <w:rPr/>
            </w:pPr>
            <w:r>
              <w:rPr/>
              <w:t> </w:t>
            </w:r>
          </w:p>
        </w:tc>
        <w:tc>
          <w:tcPr>
            <w:tcW w:w="16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4.46x - 4.46x (4.46x)</w:t>
            </w:r>
          </w:p>
        </w:tc>
      </w:tr>
      <w:tr>
        <w:trPr/>
        <w:tc>
          <w:tcPr>
            <w:tcW w:w="17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Waterfall Approach</w:t>
            </w:r>
          </w:p>
        </w:tc>
        <w:tc>
          <w:tcPr>
            <w:tcW w:w="146" w:type="dxa"/>
            <w:tcBorders/>
            <w:shd w:fill="FFFFFF" w:val="clear"/>
            <w:vAlign w:val="center"/>
          </w:tcPr>
          <w:p>
            <w:pPr>
              <w:pStyle w:val="TableContents"/>
              <w:bidi w:val="0"/>
              <w:spacing w:before="0" w:after="283"/>
              <w:jc w:val="left"/>
              <w:rPr/>
            </w:pPr>
            <w:r>
              <w:rPr/>
              <w:t> </w:t>
            </w:r>
          </w:p>
        </w:tc>
        <w:tc>
          <w:tcPr>
            <w:tcW w:w="163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vAlign w:val="center"/>
          </w:tcPr>
          <w:p>
            <w:pPr>
              <w:pStyle w:val="TableContents"/>
              <w:bidi w:val="0"/>
              <w:spacing w:before="0" w:after="283"/>
              <w:jc w:val="center"/>
              <w:rPr/>
            </w:pPr>
            <w:r>
              <w:rPr/>
              <w:t> </w:t>
            </w:r>
          </w:p>
        </w:tc>
        <w:tc>
          <w:tcPr>
            <w:tcW w:w="16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3.0 - 3.0 (3.0 years)</w:t>
            </w:r>
          </w:p>
        </w:tc>
      </w:tr>
      <w:tr>
        <w:trPr/>
        <w:tc>
          <w:tcPr>
            <w:tcW w:w="171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3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vAlign w:val="center"/>
          </w:tcPr>
          <w:p>
            <w:pPr>
              <w:pStyle w:val="TableContents"/>
              <w:bidi w:val="0"/>
              <w:spacing w:before="0" w:after="283"/>
              <w:jc w:val="center"/>
              <w:rPr/>
            </w:pPr>
            <w:r>
              <w:rPr/>
              <w:t> </w:t>
            </w:r>
          </w:p>
        </w:tc>
        <w:tc>
          <w:tcPr>
            <w:tcW w:w="16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4.00x - 4.00x (4.00x)</w:t>
            </w:r>
          </w:p>
        </w:tc>
      </w:tr>
      <w:tr>
        <w:trPr/>
        <w:tc>
          <w:tcPr>
            <w:tcW w:w="17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Recent private market and merger and acquisition transaction prices</w:t>
            </w:r>
          </w:p>
        </w:tc>
        <w:tc>
          <w:tcPr>
            <w:tcW w:w="146" w:type="dxa"/>
            <w:tcBorders/>
            <w:shd w:fill="FFFFFF" w:val="clear"/>
            <w:vAlign w:val="center"/>
          </w:tcPr>
          <w:p>
            <w:pPr>
              <w:pStyle w:val="TableContents"/>
              <w:bidi w:val="0"/>
              <w:spacing w:before="0" w:after="283"/>
              <w:jc w:val="left"/>
              <w:rPr/>
            </w:pPr>
            <w:r>
              <w:rPr/>
              <w:t> </w:t>
            </w:r>
          </w:p>
        </w:tc>
        <w:tc>
          <w:tcPr>
            <w:tcW w:w="163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16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71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CFF0FC" w:val="clear"/>
            <w:vAlign w:val="center"/>
          </w:tcPr>
          <w:p>
            <w:pPr>
              <w:pStyle w:val="TableContents"/>
              <w:bidi w:val="0"/>
              <w:spacing w:before="0" w:after="283"/>
              <w:jc w:val="left"/>
              <w:rPr/>
            </w:pPr>
            <w:r>
              <w:rPr/>
              <w:t> </w:t>
            </w:r>
          </w:p>
        </w:tc>
        <w:tc>
          <w:tcPr>
            <w:tcW w:w="163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vAlign w:val="center"/>
          </w:tcPr>
          <w:p>
            <w:pPr>
              <w:pStyle w:val="TableContents"/>
              <w:bidi w:val="0"/>
              <w:spacing w:before="0" w:after="283"/>
              <w:jc w:val="center"/>
              <w:rPr/>
            </w:pPr>
            <w:r>
              <w:rPr/>
              <w:t> </w:t>
            </w:r>
          </w:p>
        </w:tc>
        <w:tc>
          <w:tcPr>
            <w:tcW w:w="16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4.3% - 4.3% (4.3%)</w:t>
            </w:r>
          </w:p>
        </w:tc>
      </w:tr>
      <w:tr>
        <w:trPr/>
        <w:tc>
          <w:tcPr>
            <w:tcW w:w="17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FFFFFF" w:val="clear"/>
            <w:vAlign w:val="center"/>
          </w:tcPr>
          <w:p>
            <w:pPr>
              <w:pStyle w:val="TableContents"/>
              <w:bidi w:val="0"/>
              <w:spacing w:before="0" w:after="283"/>
              <w:jc w:val="center"/>
              <w:rPr/>
            </w:pPr>
            <w:r>
              <w:rPr/>
              <w:t> </w:t>
            </w:r>
          </w:p>
        </w:tc>
        <w:tc>
          <w:tcPr>
            <w:tcW w:w="16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35.0% - 35.0% (35.0%)</w:t>
            </w:r>
          </w:p>
        </w:tc>
      </w:tr>
      <w:tr>
        <w:trPr/>
        <w:tc>
          <w:tcPr>
            <w:tcW w:w="171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3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vAlign w:val="center"/>
          </w:tcPr>
          <w:p>
            <w:pPr>
              <w:pStyle w:val="TableContents"/>
              <w:bidi w:val="0"/>
              <w:spacing w:before="0" w:after="283"/>
              <w:jc w:val="center"/>
              <w:rPr/>
            </w:pPr>
            <w:r>
              <w:rPr/>
              <w:t> </w:t>
            </w:r>
          </w:p>
        </w:tc>
        <w:tc>
          <w:tcPr>
            <w:tcW w:w="16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5.0 - 5.0 (5.0 years)</w:t>
            </w:r>
          </w:p>
        </w:tc>
      </w:tr>
      <w:tr>
        <w:trPr/>
        <w:tc>
          <w:tcPr>
            <w:tcW w:w="17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vAlign w:val="center"/>
          </w:tcPr>
          <w:p>
            <w:pPr>
              <w:pStyle w:val="TableContents"/>
              <w:bidi w:val="0"/>
              <w:spacing w:before="0" w:after="283"/>
              <w:jc w:val="center"/>
              <w:rPr/>
            </w:pPr>
            <w:r>
              <w:rPr/>
              <w:t> </w:t>
            </w:r>
          </w:p>
        </w:tc>
        <w:tc>
          <w:tcPr>
            <w:tcW w:w="16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3.28x - 3.28x (3.28x)</w:t>
            </w:r>
          </w:p>
        </w:tc>
      </w:tr>
      <w:tr>
        <w:trPr/>
        <w:tc>
          <w:tcPr>
            <w:tcW w:w="17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PWERM</w:t>
            </w:r>
          </w:p>
        </w:tc>
        <w:tc>
          <w:tcPr>
            <w:tcW w:w="146" w:type="dxa"/>
            <w:tcBorders/>
            <w:shd w:fill="CFF0FC" w:val="clear"/>
            <w:vAlign w:val="center"/>
          </w:tcPr>
          <w:p>
            <w:pPr>
              <w:pStyle w:val="TableContents"/>
              <w:bidi w:val="0"/>
              <w:spacing w:before="0" w:after="283"/>
              <w:jc w:val="left"/>
              <w:rPr/>
            </w:pPr>
            <w:r>
              <w:rPr/>
              <w:t> </w:t>
            </w:r>
          </w:p>
        </w:tc>
        <w:tc>
          <w:tcPr>
            <w:tcW w:w="163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vAlign w:val="center"/>
          </w:tcPr>
          <w:p>
            <w:pPr>
              <w:pStyle w:val="TableContents"/>
              <w:bidi w:val="0"/>
              <w:spacing w:before="0" w:after="283"/>
              <w:jc w:val="center"/>
              <w:rPr/>
            </w:pPr>
            <w:r>
              <w:rPr/>
              <w:t> </w:t>
            </w:r>
          </w:p>
        </w:tc>
        <w:tc>
          <w:tcPr>
            <w:tcW w:w="16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 - 20.0% (20.0%)</w:t>
            </w:r>
          </w:p>
        </w:tc>
      </w:tr>
      <w:tr>
        <w:trPr/>
        <w:tc>
          <w:tcPr>
            <w:tcW w:w="1715"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Warrants</w:t>
            </w:r>
            <w:r>
              <w:rPr>
                <w:rFonts w:ascii="Times New Roman" w:hAnsi="Times New Roman"/>
                <w:color w:val="000000"/>
                <w:sz w:val="11"/>
              </w:rPr>
              <w:t>(2)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FFFFFF" w:val="clear"/>
            <w:vAlign w:val="center"/>
          </w:tcPr>
          <w:p>
            <w:pPr>
              <w:pStyle w:val="TableContents"/>
              <w:bidi w:val="0"/>
              <w:spacing w:before="0" w:after="283"/>
              <w:jc w:val="left"/>
              <w:rPr/>
            </w:pPr>
            <w:r>
              <w:rPr/>
              <w:t> </w:t>
            </w:r>
          </w:p>
        </w:tc>
        <w:tc>
          <w:tcPr>
            <w:tcW w:w="163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vAlign w:val="center"/>
          </w:tcPr>
          <w:p>
            <w:pPr>
              <w:pStyle w:val="TableContents"/>
              <w:bidi w:val="0"/>
              <w:spacing w:before="0" w:after="283"/>
              <w:jc w:val="center"/>
              <w:rPr/>
            </w:pPr>
            <w:r>
              <w:rPr/>
              <w:t> </w:t>
            </w:r>
          </w:p>
        </w:tc>
        <w:tc>
          <w:tcPr>
            <w:tcW w:w="16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 - 5.3% (4.5%)</w:t>
            </w:r>
          </w:p>
        </w:tc>
      </w:tr>
      <w:tr>
        <w:trPr/>
        <w:tc>
          <w:tcPr>
            <w:tcW w:w="171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3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vAlign w:val="center"/>
          </w:tcPr>
          <w:p>
            <w:pPr>
              <w:pStyle w:val="TableContents"/>
              <w:bidi w:val="0"/>
              <w:spacing w:before="0" w:after="283"/>
              <w:jc w:val="center"/>
              <w:rPr/>
            </w:pPr>
            <w:r>
              <w:rPr/>
              <w:t> </w:t>
            </w:r>
          </w:p>
        </w:tc>
        <w:tc>
          <w:tcPr>
            <w:tcW w:w="16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25.0% - 108.8% (45.4%)</w:t>
            </w:r>
          </w:p>
        </w:tc>
      </w:tr>
      <w:tr>
        <w:trPr/>
        <w:tc>
          <w:tcPr>
            <w:tcW w:w="17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vAlign w:val="center"/>
          </w:tcPr>
          <w:p>
            <w:pPr>
              <w:pStyle w:val="TableContents"/>
              <w:bidi w:val="0"/>
              <w:spacing w:before="0" w:after="283"/>
              <w:jc w:val="center"/>
              <w:rPr/>
            </w:pPr>
            <w:r>
              <w:rPr/>
              <w:t> </w:t>
            </w:r>
          </w:p>
        </w:tc>
        <w:tc>
          <w:tcPr>
            <w:tcW w:w="16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0.8 - 8.2 (3.1 years)</w:t>
            </w:r>
          </w:p>
        </w:tc>
      </w:tr>
      <w:tr>
        <w:trPr/>
        <w:tc>
          <w:tcPr>
            <w:tcW w:w="171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3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vAlign w:val="center"/>
          </w:tcPr>
          <w:p>
            <w:pPr>
              <w:pStyle w:val="TableContents"/>
              <w:bidi w:val="0"/>
              <w:spacing w:before="0" w:after="283"/>
              <w:jc w:val="center"/>
              <w:rPr/>
            </w:pPr>
            <w:r>
              <w:rPr/>
              <w:t> </w:t>
            </w:r>
          </w:p>
        </w:tc>
        <w:tc>
          <w:tcPr>
            <w:tcW w:w="16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0.95x - 7.49x (3.95x)</w:t>
            </w:r>
          </w:p>
        </w:tc>
      </w:tr>
      <w:tr>
        <w:trPr/>
        <w:tc>
          <w:tcPr>
            <w:tcW w:w="17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9" w:type="dxa"/>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PWERM </w:t>
            </w:r>
            <w:r>
              <w:rPr>
                <w:rFonts w:ascii="Times New Roman" w:hAnsi="Times New Roman"/>
                <w:color w:val="000000"/>
                <w:sz w:val="11"/>
              </w:rPr>
              <w:t>(3)</w:t>
            </w:r>
          </w:p>
        </w:tc>
        <w:tc>
          <w:tcPr>
            <w:tcW w:w="146" w:type="dxa"/>
            <w:tcBorders/>
            <w:shd w:fill="FFFFFF" w:val="clear"/>
            <w:vAlign w:val="center"/>
          </w:tcPr>
          <w:p>
            <w:pPr>
              <w:pStyle w:val="TableContents"/>
              <w:bidi w:val="0"/>
              <w:spacing w:before="0" w:after="283"/>
              <w:jc w:val="left"/>
              <w:rPr/>
            </w:pPr>
            <w:r>
              <w:rPr/>
              <w:t> </w:t>
            </w:r>
          </w:p>
        </w:tc>
        <w:tc>
          <w:tcPr>
            <w:tcW w:w="163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16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71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Waterfall Approach</w:t>
            </w:r>
          </w:p>
        </w:tc>
        <w:tc>
          <w:tcPr>
            <w:tcW w:w="146" w:type="dxa"/>
            <w:tcBorders/>
            <w:shd w:fill="CFF0FC" w:val="clear"/>
            <w:vAlign w:val="center"/>
          </w:tcPr>
          <w:p>
            <w:pPr>
              <w:pStyle w:val="TableContents"/>
              <w:bidi w:val="0"/>
              <w:spacing w:before="0" w:after="283"/>
              <w:jc w:val="left"/>
              <w:rPr/>
            </w:pPr>
            <w:r>
              <w:rPr/>
              <w:t> </w:t>
            </w:r>
          </w:p>
        </w:tc>
        <w:tc>
          <w:tcPr>
            <w:tcW w:w="163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vAlign w:val="center"/>
          </w:tcPr>
          <w:p>
            <w:pPr>
              <w:pStyle w:val="TableContents"/>
              <w:bidi w:val="0"/>
              <w:spacing w:before="0" w:after="283"/>
              <w:jc w:val="center"/>
              <w:rPr/>
            </w:pPr>
            <w:r>
              <w:rPr/>
              <w:t> </w:t>
            </w:r>
          </w:p>
        </w:tc>
        <w:tc>
          <w:tcPr>
            <w:tcW w:w="166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3.0 - 3.0 (3.0</w:t>
            </w:r>
            <w:r>
              <w:rPr>
                <w:rFonts w:ascii="Times New Roman" w:hAnsi="Times New Roman"/>
                <w:color w:val="000000"/>
                <w:sz w:val="20"/>
              </w:rPr>
              <w:t> </w:t>
            </w:r>
            <w:r>
              <w:rPr>
                <w:rFonts w:ascii="Times New Roman" w:hAnsi="Times New Roman"/>
                <w:color w:val="000000"/>
                <w:sz w:val="16"/>
              </w:rPr>
              <w:t>years)</w:t>
            </w:r>
          </w:p>
        </w:tc>
      </w:tr>
      <w:tr>
        <w:trPr/>
        <w:tc>
          <w:tcPr>
            <w:tcW w:w="17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vAlign w:val="center"/>
          </w:tcPr>
          <w:p>
            <w:pPr>
              <w:pStyle w:val="TableContents"/>
              <w:bidi w:val="0"/>
              <w:spacing w:before="0" w:after="283"/>
              <w:jc w:val="center"/>
              <w:rPr/>
            </w:pPr>
            <w:r>
              <w:rPr/>
              <w:t> </w:t>
            </w:r>
          </w:p>
        </w:tc>
        <w:tc>
          <w:tcPr>
            <w:tcW w:w="16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2.58x - 4.00x (3.39x)</w:t>
            </w:r>
          </w:p>
        </w:tc>
      </w:tr>
      <w:tr>
        <w:trPr/>
        <w:tc>
          <w:tcPr>
            <w:tcW w:w="171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Level 3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3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or decreases in the inputs in isolation may result in a significantly higher or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year ended December 31, 2023.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 For some investments, additional consideration may be given to data from the last round of financing or merger/acquisition events near the measurement date.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jc w:val="both"/>
        <w:rPr>
          <w:rFonts w:ascii="Times New Roman" w:hAnsi="Times New Roman"/>
          <w:color w:val="000000"/>
          <w:sz w:val="16"/>
        </w:rPr>
      </w:pPr>
      <w:r>
        <w:rPr>
          <w:rFonts w:ascii="Times New Roman" w:hAnsi="Times New Roman"/>
          <w:color w:val="000000"/>
          <w:sz w:val="16"/>
        </w:rPr>
        <w:t xml:space="preserve">Warrant investments using a PWERM valuation technique contain success fees, in which case the inputs are not applicable because the nature of a success fee is a fixed payout dependent on certain liquidation events.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Fair Value of Financial Instruments Reported at Cost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fair value of the Company’s Credit Facility, April 2026 Notes, December 2026 Notes, July 2027 Notes, August 2027 Notes, and December 2027 Notes (each defined in "Note 7 – Borrowings") is estimated using the relative market yield approach. The fair value of the Company's Credit Facility, April 2026 Notes, December 2026 Notes and August 2027 Notes are estimated using Level 3 inputs by discounting remaining payments using comparable market rates or market quotes for similar instruments at the measurement date. The fair value of the Company's July 2027 Notes and December 2027 Notes is based on vendor pricing received by the Company, which is considered a Level 2 input, and reflects the market close price of the notes traded on the Nasdaq Global Select Market LLC under the symbol "RWAYL" and "RWAYZ", respectively.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of both June 30, 2024, and December 31, 2023, the carrying values of the Credit Facility, April 2026 Notes, July 2027 Notes, August 2027 Notes, and December 2027 Notes approximate fair value. As of June 30, 2024, the fair value of the December 2026 Notes was approximately $64.6 million and the carrying value was approximately $69.5 million, net of unamortized deferred debt costs of $0.5 million. As of December 31, 2023, the fair value of the December 2026 Notes was approximately $63.8 million and the carrying value was approximately $69.4 million, net of unamortized deferred debt costs of $0.6 million. </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6 – Concentration of Credit Risk</w:t>
      </w:r>
    </w:p>
    <w:p>
      <w:pPr>
        <w:pStyle w:val="TextBody"/>
        <w:bidi w:val="0"/>
        <w:jc w:val="both"/>
        <w:rPr>
          <w:rFonts w:ascii="Times New Roman" w:hAnsi="Times New Roman"/>
          <w:color w:val="000000"/>
          <w:sz w:val="20"/>
        </w:rPr>
      </w:pPr>
      <w:r>
        <w:rPr>
          <w:rFonts w:ascii="Times New Roman" w:hAnsi="Times New Roman"/>
          <w:color w:val="000000"/>
          <w:sz w:val="20"/>
        </w:rPr>
        <w:t xml:space="preserve">In the normal course of business, the Company maintains its cash balances at large, high credit-quality financial institutions, which at times may exceed federally insured limits. The Company is subject to credit risk to the extent that any financial institution with which it conducts business is unable to fulfill contractual obligations on its behalf. The Company monitors the financial condition of those financial institutions and believes that risk of loss associated with any uninsured balance is remote.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event that a portfolio company completely fails to perform according to the terms of their loan agreement, the amount of loss due to credit risk from the Company's investments would equal the sum of the Company’s recorded investments in the portfolio company and the portion of unfunded commitments currently eligible to be drawn. Refer to "Note 8 – Commitments and Contingencies" for a summary of the aggregate balance of unfunded commitments as of June 30, 2024. The Company predominantly collateralizes its investments by obtaining a first priority security interest in a portfolio company’s assets, which may include its intellectual property.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of June 30, 2024 and December 31, 2023, the Company’s five largest debt investments in portfolio companies represented approximately 36.4% and 38.0%, respectively, of the total fair value of the Company’s debt investments in portfolio companies. As of June 30, 2024 and December 31, 2023, the Company had debt investments in 17 and 14 portfolio companies, respectively, that represented 5% or more of the Company’s net assets.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7 – Borrowings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shows the Company's borrowings as of June 30, 2024 and December 31, 2023 (in thousands):</w:t>
      </w:r>
    </w:p>
    <w:tbl>
      <w:tblPr>
        <w:tblW w:w="11307" w:type="dxa"/>
        <w:jc w:val="left"/>
        <w:tblInd w:w="0" w:type="dxa"/>
        <w:tblLayout w:type="fixed"/>
        <w:tblCellMar>
          <w:top w:w="28" w:type="dxa"/>
          <w:left w:w="28" w:type="dxa"/>
          <w:bottom w:w="28" w:type="dxa"/>
          <w:right w:w="28" w:type="dxa"/>
        </w:tblCellMar>
      </w:tblPr>
      <w:tblGrid>
        <w:gridCol w:w="826"/>
        <w:gridCol w:w="146"/>
        <w:gridCol w:w="199"/>
        <w:gridCol w:w="148"/>
        <w:gridCol w:w="704"/>
        <w:gridCol w:w="146"/>
        <w:gridCol w:w="146"/>
        <w:gridCol w:w="196"/>
        <w:gridCol w:w="146"/>
        <w:gridCol w:w="691"/>
        <w:gridCol w:w="146"/>
        <w:gridCol w:w="146"/>
        <w:gridCol w:w="196"/>
        <w:gridCol w:w="146"/>
        <w:gridCol w:w="571"/>
        <w:gridCol w:w="166"/>
        <w:gridCol w:w="146"/>
        <w:gridCol w:w="196"/>
        <w:gridCol w:w="146"/>
        <w:gridCol w:w="691"/>
        <w:gridCol w:w="146"/>
        <w:gridCol w:w="146"/>
        <w:gridCol w:w="199"/>
        <w:gridCol w:w="148"/>
        <w:gridCol w:w="704"/>
        <w:gridCol w:w="146"/>
        <w:gridCol w:w="146"/>
        <w:gridCol w:w="196"/>
        <w:gridCol w:w="146"/>
        <w:gridCol w:w="691"/>
        <w:gridCol w:w="146"/>
        <w:gridCol w:w="146"/>
        <w:gridCol w:w="196"/>
        <w:gridCol w:w="146"/>
        <w:gridCol w:w="571"/>
        <w:gridCol w:w="166"/>
        <w:gridCol w:w="146"/>
        <w:gridCol w:w="196"/>
        <w:gridCol w:w="146"/>
        <w:gridCol w:w="691"/>
        <w:gridCol w:w="191"/>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2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2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Deferred Debt Cost</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Deferred Debt Cost</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305,524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267,566</w:t>
            </w:r>
          </w:p>
        </w:tc>
        <w:tc>
          <w:tcPr>
            <w:tcW w:w="191" w:type="dxa"/>
            <w:tcBorders/>
            <w:shd w:fill="CFF0FC" w:val="clear"/>
            <w:vAlign w:val="center"/>
          </w:tcPr>
          <w:p>
            <w:pPr>
              <w:pStyle w:val="TableContents"/>
              <w:bidi w:val="0"/>
              <w:spacing w:before="0" w:after="283"/>
              <w:jc w:val="left"/>
              <w:rPr/>
            </w:pPr>
            <w:r>
              <w:rPr/>
              <w:t> </w:t>
            </w:r>
          </w:p>
        </w:tc>
      </w:tr>
      <w:tr>
        <w:trPr/>
        <w:tc>
          <w:tcPr>
            <w:tcW w:w="8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24,723</w:t>
            </w:r>
          </w:p>
        </w:tc>
        <w:tc>
          <w:tcPr>
            <w:tcW w:w="191" w:type="dxa"/>
            <w:tcBorders/>
            <w:shd w:fill="FFFFFF" w:val="clear"/>
            <w:vAlign w:val="center"/>
          </w:tcPr>
          <w:p>
            <w:pPr>
              <w:pStyle w:val="TableContents"/>
              <w:bidi w:val="0"/>
              <w:spacing w:before="0" w:after="283"/>
              <w:jc w:val="left"/>
              <w:rPr/>
            </w:pPr>
            <w:r>
              <w:rPr/>
              <w:t> </w:t>
            </w:r>
          </w:p>
        </w:tc>
      </w:tr>
      <w:tr>
        <w:trPr/>
        <w:tc>
          <w:tcPr>
            <w:tcW w:w="8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2026 Notes</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69,427</w:t>
            </w:r>
          </w:p>
        </w:tc>
        <w:tc>
          <w:tcPr>
            <w:tcW w:w="191" w:type="dxa"/>
            <w:tcBorders/>
            <w:shd w:fill="CFF0FC" w:val="clear"/>
            <w:vAlign w:val="center"/>
          </w:tcPr>
          <w:p>
            <w:pPr>
              <w:pStyle w:val="TableContents"/>
              <w:bidi w:val="0"/>
              <w:spacing w:before="0" w:after="283"/>
              <w:jc w:val="left"/>
              <w:rPr/>
            </w:pPr>
            <w:r>
              <w:rPr/>
              <w:t> </w:t>
            </w:r>
          </w:p>
        </w:tc>
      </w:tr>
      <w:tr>
        <w:trPr/>
        <w:tc>
          <w:tcPr>
            <w:tcW w:w="8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78,576</w:t>
            </w:r>
          </w:p>
        </w:tc>
        <w:tc>
          <w:tcPr>
            <w:tcW w:w="191" w:type="dxa"/>
            <w:tcBorders/>
            <w:shd w:fill="FFFFFF" w:val="clear"/>
            <w:vAlign w:val="center"/>
          </w:tcPr>
          <w:p>
            <w:pPr>
              <w:pStyle w:val="TableContents"/>
              <w:bidi w:val="0"/>
              <w:spacing w:before="0" w:after="283"/>
              <w:jc w:val="left"/>
              <w:rPr/>
            </w:pPr>
            <w:r>
              <w:rPr/>
              <w:t> </w:t>
            </w:r>
          </w:p>
        </w:tc>
      </w:tr>
      <w:tr>
        <w:trPr/>
        <w:tc>
          <w:tcPr>
            <w:tcW w:w="8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2027 Notes</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19,489</w:t>
            </w:r>
          </w:p>
        </w:tc>
        <w:tc>
          <w:tcPr>
            <w:tcW w:w="191" w:type="dxa"/>
            <w:tcBorders/>
            <w:shd w:fill="CFF0FC" w:val="clear"/>
            <w:vAlign w:val="center"/>
          </w:tcPr>
          <w:p>
            <w:pPr>
              <w:pStyle w:val="TableContents"/>
              <w:bidi w:val="0"/>
              <w:spacing w:before="0" w:after="283"/>
              <w:jc w:val="left"/>
              <w:rPr/>
            </w:pPr>
            <w:r>
              <w:rPr/>
              <w:t> </w:t>
            </w:r>
          </w:p>
        </w:tc>
      </w:tr>
      <w:tr>
        <w:trPr/>
        <w:tc>
          <w:tcPr>
            <w:tcW w:w="8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2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548,688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510,078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color w:val="000000"/>
          <w:sz w:val="11"/>
        </w:rPr>
        <w:t xml:space="preserve">(1) </w:t>
      </w:r>
      <w:r>
        <w:rPr>
          <w:rFonts w:ascii="Times New Roman" w:hAnsi="Times New Roman"/>
          <w:color w:val="000000"/>
          <w:sz w:val="16"/>
        </w:rPr>
        <w:t>Net of accumulated amortization.</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For the three months ended June 30, 2024 and 2023, the components of interest expense, amortization of deferred debt costs, unused fees on the Credit Facility (as defined below), and any other costs associated with the Company's borrowings were as follows (dollars in thousands):</w:t>
      </w:r>
    </w:p>
    <w:tbl>
      <w:tblPr>
        <w:tblW w:w="10205" w:type="dxa"/>
        <w:jc w:val="left"/>
        <w:tblInd w:w="0" w:type="dxa"/>
        <w:tblLayout w:type="fixed"/>
        <w:tblCellMar>
          <w:top w:w="28" w:type="dxa"/>
          <w:left w:w="28" w:type="dxa"/>
          <w:bottom w:w="28" w:type="dxa"/>
          <w:right w:w="28" w:type="dxa"/>
        </w:tblCellMar>
      </w:tblPr>
      <w:tblGrid>
        <w:gridCol w:w="1708"/>
        <w:gridCol w:w="146"/>
        <w:gridCol w:w="230"/>
        <w:gridCol w:w="171"/>
        <w:gridCol w:w="705"/>
        <w:gridCol w:w="146"/>
        <w:gridCol w:w="146"/>
        <w:gridCol w:w="359"/>
        <w:gridCol w:w="266"/>
        <w:gridCol w:w="689"/>
        <w:gridCol w:w="146"/>
        <w:gridCol w:w="146"/>
        <w:gridCol w:w="308"/>
        <w:gridCol w:w="229"/>
        <w:gridCol w:w="592"/>
        <w:gridCol w:w="146"/>
        <w:gridCol w:w="146"/>
        <w:gridCol w:w="471"/>
        <w:gridCol w:w="350"/>
        <w:gridCol w:w="1445"/>
        <w:gridCol w:w="146"/>
        <w:gridCol w:w="146"/>
        <w:gridCol w:w="166"/>
        <w:gridCol w:w="582"/>
        <w:gridCol w:w="166"/>
        <w:gridCol w:w="454"/>
      </w:tblGrid>
      <w:tr>
        <w:trPr/>
        <w:tc>
          <w:tcPr>
            <w:tcW w:w="1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7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Amortization of </w:t>
              <w:br/>
              <w:t>Deferred Debt 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Unused Facility and </w:t>
              <w:br/>
              <w:t>Other Fees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Interest and Other Debt Financing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Cost of Debt</w:t>
            </w:r>
          </w:p>
        </w:tc>
      </w:tr>
      <w:tr>
        <w:trPr/>
        <w:tc>
          <w:tcPr>
            <w:tcW w:w="170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2024</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center"/>
              <w:rPr/>
            </w:pPr>
            <w:r>
              <w:rPr/>
              <w:t> </w:t>
            </w:r>
          </w:p>
        </w:tc>
        <w:tc>
          <w:tcPr>
            <w:tcW w:w="87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center"/>
              <w:rPr/>
            </w:pPr>
            <w:r>
              <w:rPr/>
              <w:t> </w:t>
            </w:r>
          </w:p>
        </w:tc>
        <w:tc>
          <w:tcPr>
            <w:tcW w:w="95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center"/>
              <w:rPr/>
            </w:pPr>
            <w:r>
              <w:rPr/>
              <w:t> </w:t>
            </w:r>
          </w:p>
        </w:tc>
        <w:tc>
          <w:tcPr>
            <w:tcW w:w="82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center"/>
              <w:rPr/>
            </w:pPr>
            <w:r>
              <w:rPr/>
              <w:t> </w:t>
            </w:r>
          </w:p>
        </w:tc>
        <w:tc>
          <w:tcPr>
            <w:tcW w:w="179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454" w:type="dxa"/>
            <w:tcBorders/>
            <w:shd w:fill="FFFFFF" w:val="clear"/>
            <w:vAlign w:val="center"/>
          </w:tcPr>
          <w:p>
            <w:pPr>
              <w:pStyle w:val="TableContents"/>
              <w:bidi w:val="0"/>
              <w:spacing w:before="0" w:after="283"/>
              <w:jc w:val="center"/>
              <w:rPr/>
            </w:pPr>
            <w:r>
              <w:rPr/>
              <w:t> </w:t>
            </w:r>
          </w:p>
        </w:tc>
      </w:tr>
      <w:tr>
        <w:trPr/>
        <w:tc>
          <w:tcPr>
            <w:tcW w:w="17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6"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9" w:type="dxa"/>
            <w:tcBorders/>
            <w:shd w:fill="CFF0FC" w:val="clear"/>
            <w:vAlign w:val="center"/>
          </w:tcPr>
          <w:p>
            <w:pPr>
              <w:pStyle w:val="TableContents"/>
              <w:bidi w:val="0"/>
              <w:spacing w:before="0" w:after="283"/>
              <w:jc w:val="lef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0" w:type="dxa"/>
            <w:tcBorders/>
            <w:shd w:fill="CFF0FC" w:val="clear"/>
            <w:vAlign w:val="center"/>
          </w:tcPr>
          <w:p>
            <w:pPr>
              <w:pStyle w:val="TableContents"/>
              <w:bidi w:val="0"/>
              <w:spacing w:before="0" w:after="283"/>
              <w:jc w:val="left"/>
              <w:rPr/>
            </w:pPr>
            <w:r>
              <w:rPr/>
              <w:t> </w:t>
            </w:r>
          </w:p>
        </w:tc>
        <w:tc>
          <w:tcPr>
            <w:tcW w:w="14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w:t>
            </w:r>
          </w:p>
        </w:tc>
        <w:tc>
          <w:tcPr>
            <w:tcW w:w="166" w:type="dxa"/>
            <w:tcBorders/>
            <w:shd w:fill="CFF0FC" w:val="clear"/>
            <w:vAlign w:val="center"/>
          </w:tcPr>
          <w:p>
            <w:pPr>
              <w:pStyle w:val="TableContents"/>
              <w:bidi w:val="0"/>
              <w:spacing w:before="0" w:after="283"/>
              <w:jc w:val="left"/>
              <w:rPr/>
            </w:pPr>
            <w:r>
              <w:rPr/>
              <w:t> </w:t>
            </w:r>
          </w:p>
        </w:tc>
        <w:tc>
          <w:tcPr>
            <w:tcW w:w="45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0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w:t>
            </w:r>
          </w:p>
        </w:tc>
        <w:tc>
          <w:tcPr>
            <w:tcW w:w="16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r>
      <w:tr>
        <w:trPr/>
        <w:tc>
          <w:tcPr>
            <w:tcW w:w="17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2026 Notes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5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4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w:t>
            </w:r>
          </w:p>
        </w:tc>
        <w:tc>
          <w:tcPr>
            <w:tcW w:w="166" w:type="dxa"/>
            <w:tcBorders/>
            <w:shd w:fill="CFF0FC" w:val="clear"/>
            <w:vAlign w:val="center"/>
          </w:tcPr>
          <w:p>
            <w:pPr>
              <w:pStyle w:val="TableContents"/>
              <w:bidi w:val="0"/>
              <w:spacing w:before="0" w:after="283"/>
              <w:jc w:val="left"/>
              <w:rPr/>
            </w:pPr>
            <w:r>
              <w:rPr/>
              <w:t> </w:t>
            </w:r>
          </w:p>
        </w:tc>
        <w:tc>
          <w:tcPr>
            <w:tcW w:w="454" w:type="dxa"/>
            <w:tcBorders/>
            <w:shd w:fill="CFF0FC" w:val="clear"/>
            <w:vAlign w:val="center"/>
          </w:tcPr>
          <w:p>
            <w:pPr>
              <w:pStyle w:val="TableContents"/>
              <w:bidi w:val="0"/>
              <w:spacing w:before="0" w:after="283"/>
              <w:jc w:val="left"/>
              <w:rPr/>
            </w:pPr>
            <w:r>
              <w:rPr/>
              <w:t> </w:t>
            </w:r>
          </w:p>
        </w:tc>
      </w:tr>
      <w:tr>
        <w:trPr/>
        <w:tc>
          <w:tcPr>
            <w:tcW w:w="170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w:t>
            </w:r>
          </w:p>
        </w:tc>
        <w:tc>
          <w:tcPr>
            <w:tcW w:w="16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r>
      <w:tr>
        <w:trPr/>
        <w:tc>
          <w:tcPr>
            <w:tcW w:w="17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2027 Notes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5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4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166" w:type="dxa"/>
            <w:tcBorders/>
            <w:shd w:fill="CFF0FC" w:val="clear"/>
            <w:vAlign w:val="center"/>
          </w:tcPr>
          <w:p>
            <w:pPr>
              <w:pStyle w:val="TableContents"/>
              <w:bidi w:val="0"/>
              <w:spacing w:before="0" w:after="283"/>
              <w:jc w:val="left"/>
              <w:rPr/>
            </w:pPr>
            <w:r>
              <w:rPr/>
              <w:t> </w:t>
            </w:r>
          </w:p>
        </w:tc>
        <w:tc>
          <w:tcPr>
            <w:tcW w:w="454" w:type="dxa"/>
            <w:tcBorders/>
            <w:shd w:fill="CFF0FC" w:val="clear"/>
            <w:vAlign w:val="center"/>
          </w:tcPr>
          <w:p>
            <w:pPr>
              <w:pStyle w:val="TableContents"/>
              <w:bidi w:val="0"/>
              <w:spacing w:before="0" w:after="283"/>
              <w:jc w:val="left"/>
              <w:rPr/>
            </w:pPr>
            <w:r>
              <w:rPr/>
              <w:t> </w:t>
            </w:r>
          </w:p>
        </w:tc>
      </w:tr>
      <w:tr>
        <w:trPr/>
        <w:tc>
          <w:tcPr>
            <w:tcW w:w="170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center"/>
              <w:rPr/>
            </w:pPr>
            <w:r>
              <w:rPr/>
              <w:t> </w:t>
            </w:r>
          </w:p>
        </w:tc>
        <w:tc>
          <w:tcPr>
            <w:tcW w:w="87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center"/>
              <w:rPr/>
            </w:pPr>
            <w:r>
              <w:rPr/>
              <w:t> </w:t>
            </w:r>
          </w:p>
        </w:tc>
        <w:tc>
          <w:tcPr>
            <w:tcW w:w="95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center"/>
              <w:rPr/>
            </w:pPr>
            <w:r>
              <w:rPr/>
              <w:t> </w:t>
            </w:r>
          </w:p>
        </w:tc>
        <w:tc>
          <w:tcPr>
            <w:tcW w:w="82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center"/>
              <w:rPr/>
            </w:pPr>
            <w:r>
              <w:rPr/>
              <w:t> </w:t>
            </w:r>
          </w:p>
        </w:tc>
        <w:tc>
          <w:tcPr>
            <w:tcW w:w="179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454" w:type="dxa"/>
            <w:tcBorders/>
            <w:shd w:fill="FFFFFF" w:val="clear"/>
            <w:vAlign w:val="center"/>
          </w:tcPr>
          <w:p>
            <w:pPr>
              <w:pStyle w:val="TableContents"/>
              <w:bidi w:val="0"/>
              <w:spacing w:before="0" w:after="283"/>
              <w:jc w:val="center"/>
              <w:rPr/>
            </w:pPr>
            <w:r>
              <w:rPr/>
              <w:t> </w:t>
            </w:r>
          </w:p>
        </w:tc>
      </w:tr>
      <w:tr>
        <w:trPr/>
        <w:tc>
          <w:tcPr>
            <w:tcW w:w="170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2023</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center"/>
              <w:rPr/>
            </w:pPr>
            <w:r>
              <w:rPr/>
              <w:t> </w:t>
            </w:r>
          </w:p>
        </w:tc>
        <w:tc>
          <w:tcPr>
            <w:tcW w:w="87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center"/>
              <w:rPr/>
            </w:pPr>
            <w:r>
              <w:rPr/>
              <w:t> </w:t>
            </w:r>
          </w:p>
        </w:tc>
        <w:tc>
          <w:tcPr>
            <w:tcW w:w="955"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center"/>
              <w:rPr/>
            </w:pPr>
            <w:r>
              <w:rPr/>
              <w:t> </w:t>
            </w:r>
          </w:p>
        </w:tc>
        <w:tc>
          <w:tcPr>
            <w:tcW w:w="82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center"/>
              <w:rPr/>
            </w:pPr>
            <w:r>
              <w:rPr/>
              <w:t> </w:t>
            </w:r>
          </w:p>
        </w:tc>
        <w:tc>
          <w:tcPr>
            <w:tcW w:w="1795"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454" w:type="dxa"/>
            <w:tcBorders/>
            <w:shd w:fill="CFF0FC" w:val="clear"/>
            <w:vAlign w:val="center"/>
          </w:tcPr>
          <w:p>
            <w:pPr>
              <w:pStyle w:val="TableContents"/>
              <w:bidi w:val="0"/>
              <w:spacing w:before="0" w:after="283"/>
              <w:jc w:val="center"/>
              <w:rPr/>
            </w:pPr>
            <w:r>
              <w:rPr/>
              <w:t> </w:t>
            </w:r>
          </w:p>
        </w:tc>
      </w:tr>
      <w:tr>
        <w:trPr/>
        <w:tc>
          <w:tcPr>
            <w:tcW w:w="170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9"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0"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w:t>
            </w:r>
          </w:p>
        </w:tc>
        <w:tc>
          <w:tcPr>
            <w:tcW w:w="16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5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4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w:t>
            </w:r>
          </w:p>
        </w:tc>
        <w:tc>
          <w:tcPr>
            <w:tcW w:w="166" w:type="dxa"/>
            <w:tcBorders/>
            <w:shd w:fill="CFF0FC" w:val="clear"/>
            <w:vAlign w:val="center"/>
          </w:tcPr>
          <w:p>
            <w:pPr>
              <w:pStyle w:val="TableContents"/>
              <w:bidi w:val="0"/>
              <w:spacing w:before="0" w:after="283"/>
              <w:jc w:val="left"/>
              <w:rPr/>
            </w:pPr>
            <w:r>
              <w:rPr/>
              <w:t> </w:t>
            </w:r>
          </w:p>
        </w:tc>
        <w:tc>
          <w:tcPr>
            <w:tcW w:w="454" w:type="dxa"/>
            <w:tcBorders/>
            <w:shd w:fill="CFF0FC" w:val="clear"/>
            <w:vAlign w:val="center"/>
          </w:tcPr>
          <w:p>
            <w:pPr>
              <w:pStyle w:val="TableContents"/>
              <w:bidi w:val="0"/>
              <w:spacing w:before="0" w:after="283"/>
              <w:jc w:val="left"/>
              <w:rPr/>
            </w:pPr>
            <w:r>
              <w:rPr/>
              <w:t> </w:t>
            </w:r>
          </w:p>
        </w:tc>
      </w:tr>
      <w:tr>
        <w:trPr/>
        <w:tc>
          <w:tcPr>
            <w:tcW w:w="170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2026 Notes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w:t>
            </w:r>
          </w:p>
        </w:tc>
        <w:tc>
          <w:tcPr>
            <w:tcW w:w="16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r>
      <w:tr>
        <w:trPr/>
        <w:tc>
          <w:tcPr>
            <w:tcW w:w="17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5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4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w:t>
            </w:r>
          </w:p>
        </w:tc>
        <w:tc>
          <w:tcPr>
            <w:tcW w:w="166" w:type="dxa"/>
            <w:tcBorders/>
            <w:shd w:fill="CFF0FC" w:val="clear"/>
            <w:vAlign w:val="center"/>
          </w:tcPr>
          <w:p>
            <w:pPr>
              <w:pStyle w:val="TableContents"/>
              <w:bidi w:val="0"/>
              <w:spacing w:before="0" w:after="283"/>
              <w:jc w:val="left"/>
              <w:rPr/>
            </w:pPr>
            <w:r>
              <w:rPr/>
              <w:t> </w:t>
            </w:r>
          </w:p>
        </w:tc>
        <w:tc>
          <w:tcPr>
            <w:tcW w:w="454" w:type="dxa"/>
            <w:tcBorders/>
            <w:shd w:fill="CFF0FC" w:val="clear"/>
            <w:vAlign w:val="center"/>
          </w:tcPr>
          <w:p>
            <w:pPr>
              <w:pStyle w:val="TableContents"/>
              <w:bidi w:val="0"/>
              <w:spacing w:before="0" w:after="283"/>
              <w:jc w:val="left"/>
              <w:rPr/>
            </w:pPr>
            <w:r>
              <w:rPr/>
              <w:t> </w:t>
            </w:r>
          </w:p>
        </w:tc>
      </w:tr>
      <w:tr>
        <w:trPr/>
        <w:tc>
          <w:tcPr>
            <w:tcW w:w="170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2027 Notes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w:t>
            </w:r>
          </w:p>
        </w:tc>
        <w:tc>
          <w:tcPr>
            <w:tcW w:w="16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r>
      <w:tr>
        <w:trPr/>
        <w:tc>
          <w:tcPr>
            <w:tcW w:w="17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0" w:after="120"/>
        <w:jc w:val="both"/>
        <w:rPr/>
      </w:pPr>
      <w:r>
        <w:rPr/>
        <w:t> </w:t>
      </w:r>
    </w:p>
    <w:p>
      <w:pPr>
        <w:pStyle w:val="TextBody"/>
        <w:bidi w:val="0"/>
        <w:spacing w:before="120" w:after="120"/>
        <w:jc w:val="both"/>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For the six months ended June 30, 2024 and 2023, the components of interest expense, amortization of deferred debt costs, and the unused fees on the Credit Facility (as defined below) on the Company's borrowings were as follows (dollars in thousands):</w:t>
      </w:r>
    </w:p>
    <w:tbl>
      <w:tblPr>
        <w:tblW w:w="10205" w:type="dxa"/>
        <w:jc w:val="left"/>
        <w:tblInd w:w="0" w:type="dxa"/>
        <w:tblLayout w:type="fixed"/>
        <w:tblCellMar>
          <w:top w:w="28" w:type="dxa"/>
          <w:left w:w="28" w:type="dxa"/>
          <w:bottom w:w="28" w:type="dxa"/>
          <w:right w:w="28" w:type="dxa"/>
        </w:tblCellMar>
      </w:tblPr>
      <w:tblGrid>
        <w:gridCol w:w="1621"/>
        <w:gridCol w:w="146"/>
        <w:gridCol w:w="230"/>
        <w:gridCol w:w="171"/>
        <w:gridCol w:w="706"/>
        <w:gridCol w:w="146"/>
        <w:gridCol w:w="146"/>
        <w:gridCol w:w="302"/>
        <w:gridCol w:w="225"/>
        <w:gridCol w:w="789"/>
        <w:gridCol w:w="146"/>
        <w:gridCol w:w="146"/>
        <w:gridCol w:w="276"/>
        <w:gridCol w:w="206"/>
        <w:gridCol w:w="722"/>
        <w:gridCol w:w="146"/>
        <w:gridCol w:w="146"/>
        <w:gridCol w:w="473"/>
        <w:gridCol w:w="352"/>
        <w:gridCol w:w="1451"/>
        <w:gridCol w:w="146"/>
        <w:gridCol w:w="146"/>
        <w:gridCol w:w="166"/>
        <w:gridCol w:w="582"/>
        <w:gridCol w:w="166"/>
        <w:gridCol w:w="453"/>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1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Amortization of </w:t>
              <w:br/>
              <w:t>Deferred Debt 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Unused Facility and </w:t>
              <w:br/>
              <w:t xml:space="preserve">Other Fees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Interest and Other Debt Financing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Cost of Debt</w:t>
            </w:r>
          </w:p>
        </w:tc>
      </w:tr>
      <w:tr>
        <w:trPr/>
        <w:tc>
          <w:tcPr>
            <w:tcW w:w="162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 June 30, 2024</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center"/>
              <w:rPr/>
            </w:pPr>
            <w:r>
              <w:rPr/>
              <w:t> </w:t>
            </w:r>
          </w:p>
        </w:tc>
        <w:tc>
          <w:tcPr>
            <w:tcW w:w="87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center"/>
              <w:rPr/>
            </w:pPr>
            <w:r>
              <w:rPr/>
              <w:t> </w:t>
            </w:r>
          </w:p>
        </w:tc>
        <w:tc>
          <w:tcPr>
            <w:tcW w:w="101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center"/>
              <w:rPr/>
            </w:pPr>
            <w:r>
              <w:rPr/>
              <w:t> </w:t>
            </w:r>
          </w:p>
        </w:tc>
        <w:tc>
          <w:tcPr>
            <w:tcW w:w="92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73" w:type="dxa"/>
            <w:tcBorders/>
            <w:shd w:fill="CFF0FC" w:val="clear"/>
            <w:vAlign w:val="center"/>
          </w:tcPr>
          <w:p>
            <w:pPr>
              <w:pStyle w:val="TableContents"/>
              <w:bidi w:val="0"/>
              <w:spacing w:before="0" w:after="283"/>
              <w:jc w:val="center"/>
              <w:rPr/>
            </w:pPr>
            <w:r>
              <w:rPr/>
              <w:t> </w:t>
            </w:r>
          </w:p>
        </w:tc>
        <w:tc>
          <w:tcPr>
            <w:tcW w:w="1803"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453" w:type="dxa"/>
            <w:tcBorders/>
            <w:shd w:fill="CFF0FC" w:val="clear"/>
            <w:vAlign w:val="center"/>
          </w:tcPr>
          <w:p>
            <w:pPr>
              <w:pStyle w:val="TableContents"/>
              <w:bidi w:val="0"/>
              <w:spacing w:before="0" w:after="283"/>
              <w:jc w:val="center"/>
              <w:rPr/>
            </w:pPr>
            <w:r>
              <w:rPr/>
              <w:t> </w:t>
            </w:r>
          </w:p>
        </w:tc>
      </w:tr>
      <w:tr>
        <w:trPr/>
        <w:tc>
          <w:tcPr>
            <w:tcW w:w="16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2"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w:t>
            </w:r>
          </w:p>
        </w:tc>
        <w:tc>
          <w:tcPr>
            <w:tcW w:w="16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3"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14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w:t>
            </w:r>
          </w:p>
        </w:tc>
        <w:tc>
          <w:tcPr>
            <w:tcW w:w="16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2026 Notes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w:t>
            </w:r>
          </w:p>
        </w:tc>
        <w:tc>
          <w:tcPr>
            <w:tcW w:w="16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r>
      <w:tr>
        <w:trPr/>
        <w:tc>
          <w:tcPr>
            <w:tcW w:w="16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3"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14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w:t>
            </w:r>
          </w:p>
        </w:tc>
        <w:tc>
          <w:tcPr>
            <w:tcW w:w="16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2027 Notes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16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r>
      <w:tr>
        <w:trPr/>
        <w:tc>
          <w:tcPr>
            <w:tcW w:w="16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ind w:left="0" w:right="0" w:firstLine="200"/>
              <w:jc w:val="left"/>
              <w:rPr/>
            </w:pPr>
            <w:r>
              <w:rPr/>
              <w:t> </w:t>
            </w:r>
          </w:p>
        </w:tc>
      </w:tr>
      <w:tr>
        <w:trPr/>
        <w:tc>
          <w:tcPr>
            <w:tcW w:w="162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center"/>
              <w:rPr/>
            </w:pPr>
            <w:r>
              <w:rPr/>
              <w:t> </w:t>
            </w:r>
          </w:p>
        </w:tc>
        <w:tc>
          <w:tcPr>
            <w:tcW w:w="87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center"/>
              <w:rPr/>
            </w:pPr>
            <w:r>
              <w:rPr/>
              <w:t> </w:t>
            </w:r>
          </w:p>
        </w:tc>
        <w:tc>
          <w:tcPr>
            <w:tcW w:w="101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center"/>
              <w:rPr/>
            </w:pPr>
            <w:r>
              <w:rPr/>
              <w:t> </w:t>
            </w:r>
          </w:p>
        </w:tc>
        <w:tc>
          <w:tcPr>
            <w:tcW w:w="92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73" w:type="dxa"/>
            <w:tcBorders/>
            <w:shd w:fill="CFF0FC" w:val="clear"/>
            <w:vAlign w:val="center"/>
          </w:tcPr>
          <w:p>
            <w:pPr>
              <w:pStyle w:val="TableContents"/>
              <w:bidi w:val="0"/>
              <w:spacing w:before="0" w:after="283"/>
              <w:jc w:val="center"/>
              <w:rPr/>
            </w:pPr>
            <w:r>
              <w:rPr/>
              <w:t> </w:t>
            </w:r>
          </w:p>
        </w:tc>
        <w:tc>
          <w:tcPr>
            <w:tcW w:w="1803"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453" w:type="dxa"/>
            <w:tcBorders/>
            <w:shd w:fill="CFF0FC" w:val="clear"/>
            <w:vAlign w:val="center"/>
          </w:tcPr>
          <w:p>
            <w:pPr>
              <w:pStyle w:val="TableContents"/>
              <w:bidi w:val="0"/>
              <w:spacing w:before="0" w:after="283"/>
              <w:jc w:val="center"/>
              <w:rPr/>
            </w:pPr>
            <w:r>
              <w:rPr/>
              <w:t> </w:t>
            </w:r>
          </w:p>
        </w:tc>
      </w:tr>
      <w:tr>
        <w:trPr/>
        <w:tc>
          <w:tcPr>
            <w:tcW w:w="16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 June 30, 2023</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center"/>
              <w:rPr/>
            </w:pPr>
            <w:r>
              <w:rPr/>
              <w:t> </w:t>
            </w:r>
          </w:p>
        </w:tc>
        <w:tc>
          <w:tcPr>
            <w:tcW w:w="87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center"/>
              <w:rPr/>
            </w:pPr>
            <w:r>
              <w:rPr/>
              <w:t> </w:t>
            </w:r>
          </w:p>
        </w:tc>
        <w:tc>
          <w:tcPr>
            <w:tcW w:w="101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c>
          <w:tcPr>
            <w:tcW w:w="92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180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453" w:type="dxa"/>
            <w:tcBorders/>
            <w:shd w:fill="FFFFFF" w:val="clear"/>
            <w:vAlign w:val="center"/>
          </w:tcPr>
          <w:p>
            <w:pPr>
              <w:pStyle w:val="TableContents"/>
              <w:bidi w:val="0"/>
              <w:spacing w:before="0" w:after="283"/>
              <w:jc w:val="center"/>
              <w:rPr/>
            </w:pPr>
            <w:r>
              <w:rPr/>
              <w:t> </w:t>
            </w:r>
          </w:p>
        </w:tc>
      </w:tr>
      <w:tr>
        <w:trPr/>
        <w:tc>
          <w:tcPr>
            <w:tcW w:w="16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2" w:type="dxa"/>
            <w:tcBorders/>
            <w:shd w:fill="CFF0FC" w:val="clear"/>
            <w:vAlign w:val="center"/>
          </w:tcPr>
          <w:p>
            <w:pPr>
              <w:pStyle w:val="TableContents"/>
              <w:bidi w:val="0"/>
              <w:spacing w:before="0" w:after="283"/>
              <w:jc w:val="left"/>
              <w:rPr/>
            </w:pPr>
            <w:r>
              <w:rPr/>
              <w:t> </w:t>
            </w:r>
          </w:p>
        </w:tc>
        <w:tc>
          <w:tcPr>
            <w:tcW w:w="14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8.65</w:t>
            </w:r>
          </w:p>
        </w:tc>
        <w:tc>
          <w:tcPr>
            <w:tcW w:w="16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w:t>
            </w:r>
          </w:p>
        </w:tc>
        <w:tc>
          <w:tcPr>
            <w:tcW w:w="16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r>
      <w:tr>
        <w:trPr/>
        <w:tc>
          <w:tcPr>
            <w:tcW w:w="16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2026 Notes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3"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14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w:t>
            </w:r>
          </w:p>
        </w:tc>
        <w:tc>
          <w:tcPr>
            <w:tcW w:w="16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16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r>
      <w:tr>
        <w:trPr/>
        <w:tc>
          <w:tcPr>
            <w:tcW w:w="16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2027 Notes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3"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14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w:t>
            </w:r>
          </w:p>
        </w:tc>
        <w:tc>
          <w:tcPr>
            <w:tcW w:w="16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ind w:left="0" w:right="0" w:firstLine="200"/>
              <w:jc w:val="left"/>
              <w:rPr/>
            </w:pPr>
            <w:r>
              <w:rPr/>
              <w:t> </w:t>
            </w:r>
          </w:p>
        </w:tc>
      </w:tr>
      <w:tr>
        <w:trPr/>
        <w:tc>
          <w:tcPr>
            <w:tcW w:w="16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center"/>
              <w:rPr/>
            </w:pPr>
            <w:r>
              <w:rPr/>
              <w:t> </w:t>
            </w:r>
          </w:p>
        </w:tc>
        <w:tc>
          <w:tcPr>
            <w:tcW w:w="87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center"/>
              <w:rPr/>
            </w:pPr>
            <w:r>
              <w:rPr/>
              <w:t> </w:t>
            </w:r>
          </w:p>
        </w:tc>
        <w:tc>
          <w:tcPr>
            <w:tcW w:w="101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c>
          <w:tcPr>
            <w:tcW w:w="92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180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453" w:type="dxa"/>
            <w:tcBorders/>
            <w:shd w:fill="FFFFFF" w:val="clear"/>
            <w:vAlign w:val="center"/>
          </w:tcPr>
          <w:p>
            <w:pPr>
              <w:pStyle w:val="TableContents"/>
              <w:bidi w:val="0"/>
              <w:spacing w:before="0" w:after="283"/>
              <w:jc w:val="center"/>
              <w:rPr/>
            </w:pPr>
            <w:r>
              <w:rPr/>
              <w:t> </w:t>
            </w:r>
          </w:p>
        </w:tc>
      </w:tr>
    </w:tbl>
    <w:p>
      <w:pPr>
        <w:pStyle w:val="TextBody"/>
        <w:bidi w:val="0"/>
        <w:spacing w:before="0" w:after="120"/>
        <w:jc w:val="both"/>
        <w:rPr/>
      </w:pPr>
      <w:r>
        <w:rPr/>
        <w:t> </w:t>
      </w:r>
    </w:p>
    <w:p>
      <w:pPr>
        <w:pStyle w:val="TextBody"/>
        <w:bidi w:val="0"/>
        <w:spacing w:before="0" w:after="12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Credit Facility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May 31, 2019, the Company entered into a Credit Agreement with KeyBank National Association, acting as administrative agent and syndication agent and the other lenders party thereto, which initially provided the Company with a $100.0 million commitment, subject to borrowing base requirements (as amended and restated from time to time, the “Credit Facility”). As of June 30, 2024, the Company had $550.0 million in total commitments available under the Credit Facility, subject to an accordion feature that allows the Company to increase the total commitments under the Credit Facility up to $600.0 million. The availability period under the Credit Facility expires on April 20, 2025 and is followed by a one-year amortization period. The stated maturity date under the Credit Facility is April 20, 2026, unless extended.</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Borrowings under the Credit Facility bear interest on a per annum rate equal to the Adjusted Term SOFR plus an applicable margin rate that ranges from 2.95% to 3.35% per annum depending on the Company’s leverage ratio and number of eligible loans in the collateral pool. The Credit Facility provides for a variable advance rate of up to 65% on eligible term loans. The Company also pays an unused commitment fee that ranges from 0.25% to 1.00% per annum based on the total unused lender commitments under the Credit Facility.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Credit Facility is collateralized by all eligible investment assets held by the Company. The Credit Facility contains representations, warranties, and affirmative and negative covenants customary for secured financings of this type, including certain financial covenants such as a consolidated tangible net worth requirement and a required asset coverage ratio.</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For the three and six months ended June 30, 2024, the weighted average outstanding principal balance was $236.0 million and $235.5 million, respectively, and the weighted average effective interest rate was 8.51% and 8.53%, respectively. For the three and six months ended June 30, 2023, the weighted average outstanding principal balance was $311.4 million and $322.3 million, respectively, and the weighted average effective interest rate was 8.10% and 7.95%, respectively.</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2026 Notes</w:t>
      </w:r>
    </w:p>
    <w:p>
      <w:pPr>
        <w:pStyle w:val="TextBody"/>
        <w:bidi w:val="0"/>
        <w:spacing w:before="240" w:after="240"/>
        <w:jc w:val="both"/>
        <w:rPr>
          <w:rFonts w:ascii="Times New Roman" w:hAnsi="Times New Roman"/>
          <w:sz w:val="20"/>
        </w:rPr>
      </w:pPr>
      <w:r>
        <w:rPr>
          <w:rFonts w:ascii="Times New Roman" w:hAnsi="Times New Roman"/>
          <w:color w:val="000000"/>
          <w:sz w:val="20"/>
        </w:rPr>
        <w:t xml:space="preserve">On December 10, 2021, the Company entered into a master note purchase agreement, completing a private debt offering of $70.0 million in aggregate principal amount of 4.25% interest-bearing unsecured Series 2021A Senior Notes due 2026 (the “December 2026 Notes”) to institutional accredited investors (as defined in Regulation D under the Securities Act of 1933, as amended (the "Securities Act")). The December 2026 Notes were issued in two closings: the initial issuance of $20.0 million closed on December 10, 2021 and the second issuance of $50.0 million closed on February 10, 2022. On April 13, 2023, the Company completed the first supplement to the master note purchase agreement, resulting in an additional private debt offering of $25.0 million in aggregate principal amount of 8.54% interest-bearing unsecured Series 2023A Senior Notes due 2026 (the “April 2026 Notes”) to institutional accredited investors (as defined in the Securities Act). The December 2026 Notes and the April 2026 Notes (collectively the "2026 Notes") are subject to a 1.00% increase in the respective interest rates in the event that, subject to certain exceptions, the 2026 Notes cease to have an investment grade rating or receive an investment grade rating below the Investment Grade (as defined in the master note purchase agreement). The 2026 Notes are general unsecured obligations of the Company that rank </w:t>
      </w:r>
      <w:r>
        <w:rPr>
          <w:rFonts w:ascii="Times New Roman" w:hAnsi="Times New Roman"/>
          <w:i/>
          <w:color w:val="000000"/>
          <w:sz w:val="20"/>
        </w:rPr>
        <w:t xml:space="preserve">pari passu </w:t>
      </w:r>
      <w:r>
        <w:rPr>
          <w:rFonts w:ascii="Times New Roman" w:hAnsi="Times New Roman"/>
          <w:color w:val="000000"/>
          <w:sz w:val="20"/>
        </w:rPr>
        <w:t>with all outstanding and future unsecured unsubordinated indebtedness issued by the Company.</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December 2026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December 2026 Notes bear an interest rate of 4.25% per year and are due on December 10, 2026, unless redeemed, purchased or prepaid prior to such date by the Company or its affiliates in accordance with their terms. Interest on the December 2026 Notes will be due semiannually in arrears on June 10 and December 10 of each year.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Aggregate costs in connection with the December 2026 Notes issuance were $1.0 million, and were capitalized and deferred. As of June 30, 2024 and December 31, 2023, unamortized deferred debt costs related to the December 2026 Notes were $0.5 million and $0.6 million, respectively.</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April 2026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April 2026 Notes bear an interest rate of 8.54% per year and are due on April 13, 2026, unless redeemed, purchased or prepaid prior to such date by the Company or its affiliates in accordance with their terms. Interest on the April 2026 Notes will be due semiannually in arrears on April 13 and October 13 of each year. </w:t>
      </w:r>
    </w:p>
    <w:p>
      <w:pPr>
        <w:pStyle w:val="TextBody"/>
        <w:bidi w:val="0"/>
        <w:spacing w:before="0" w:after="240"/>
        <w:jc w:val="both"/>
        <w:rPr>
          <w:rFonts w:ascii="Times New Roman" w:hAnsi="Times New Roman"/>
          <w:sz w:val="20"/>
        </w:rPr>
      </w:pPr>
      <w:r>
        <w:rPr>
          <w:rFonts w:ascii="Times New Roman" w:hAnsi="Times New Roman"/>
          <w:color w:val="000000"/>
          <w:sz w:val="20"/>
        </w:rPr>
        <w:t>Aggregate costs in connection with the April 2026 Notes issuance were $0.4 million, and were capitalized and deferred. As of June 30, 2024 and December 31, 2023</w:t>
      </w:r>
      <w:r>
        <w:rPr>
          <w:rFonts w:ascii="Times New Roman" w:hAnsi="Times New Roman"/>
          <w:color w:val="000000"/>
          <w:sz w:val="16"/>
        </w:rPr>
        <w:t>,</w:t>
      </w:r>
      <w:r>
        <w:rPr>
          <w:rFonts w:ascii="Times New Roman" w:hAnsi="Times New Roman"/>
          <w:color w:val="000000"/>
          <w:sz w:val="20"/>
        </w:rPr>
        <w:t xml:space="preserve"> unamortized deferred debt costs related to the April 2026 Notes were $0.2 million and $0.3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2027 Notes</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July 2027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July 28, 2022, the Company issued and sold $80.5 million in aggregate principal amount of 7.50% interest-bearing unsecured Notes due 2027 (the “July 2027 Notes”) under its shelf Registration Statement on Form N-2. The July 2027 Notes were issued pursuant to the Base Indenture dated July 28, 2022 (the “Base Indenture”) and First Supplemental Indenture, dated July 28, 2022 (together with the Base Indenture, the “Indenture”), between the Company and the Trustee, U.S. Bank Trust Company, National Association.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July 2027 Notes bear an interest rate of 7.50% per year and are due on July 28, 2027. Interest on the 2027 Notes will be due quarterly in arrears on March 1, June 1, September 1 and December 1 of each year. The July 2027 Notes may be redeemed in whole or in part at any time or from time to time at the Company’s option on or after July 28, 2024, at a redemption price of $25 per July 2027 Note plus accrued and unpaid interest payments otherwise payable for the then-current quarterly interest period accrued to the date fixed for redemption. The July 2027 Notes are general unsecured obligations of the Company that rank </w:t>
      </w:r>
      <w:r>
        <w:rPr>
          <w:rFonts w:ascii="Times New Roman" w:hAnsi="Times New Roman"/>
          <w:i/>
          <w:color w:val="000000"/>
          <w:sz w:val="20"/>
        </w:rPr>
        <w:t>pari passu</w:t>
      </w:r>
      <w:r>
        <w:rPr>
          <w:rFonts w:ascii="Times New Roman" w:hAnsi="Times New Roman"/>
          <w:color w:val="000000"/>
          <w:sz w:val="20"/>
        </w:rPr>
        <w:t xml:space="preserve"> with the Company's existing and future unsecured, unsubordinated indebtedness.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Aggregate costs in connection with the July 2027 Notes issuance, including the underwriter’s discount and commissions, were $2.7 million, and were capitalized and deferred. As of June 30, 2024 and December 31, 2023, unamortized deferred debt costs related to the July 2027 Notes were $1.7 million and $1.9 million, respectively. </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August 2027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August 31, 2022, the Company issued and sold a private debt offering of $20.0 million in aggregate principal amount of 7.00% interest-bearing unsecured Series 2022A Senior Notes due 2027 (the “August 2027 Notes”) to HCM Master Fund Limited.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August 2027 Notes bear an interest rate of 7.00% per year and are due on August 31, 2027, unless redeemed, purchased or prepaid prior to such date by the Company or its affiliates in accordance with their terms. Interest on the August 2027 Notes will be due semiannually in arrears on February 15 and August 15 of each year. The August 2027 Notes are general unsecured obligations of the Company that rank </w:t>
      </w:r>
      <w:r>
        <w:rPr>
          <w:rFonts w:ascii="Times New Roman" w:hAnsi="Times New Roman"/>
          <w:i/>
          <w:color w:val="000000"/>
          <w:sz w:val="20"/>
        </w:rPr>
        <w:t xml:space="preserve">pari passu </w:t>
      </w:r>
      <w:r>
        <w:rPr>
          <w:rFonts w:ascii="Times New Roman" w:hAnsi="Times New Roman"/>
          <w:color w:val="000000"/>
          <w:sz w:val="20"/>
        </w:rPr>
        <w:t>with all outstanding and future unsecured unsubordinated indebtedness issued by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Aggregate costs in connection with the August 2027 Notes issuance were $0.7 million, and were capitalized and deferred. As of June 30, 2024 and December 31, 2023, unamortized deferred debt costs related to the August 2027 Notes were $0.4 million and $0.5 million, respectively. </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December 2027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December 7, 2022, the Company issued and sold $51.75 million in aggregate principal amount of 8.00% interest-bearing unsecured Notes due 2027 (the "December 2027 Notes") under its shelf Registration Statement on Form N-2. The December 2027 Notes were issued pursuant to the Base Indenture and Second Supplemental Indenture, dated December 7, 2022, between the Company and the Trustee, U.S. Bank Trust Company, National Association.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December 2027 Notes bear an interest rate of 8.0% per year and are due on December 28, 2027. Interest on the December 2027 Notes will be due quarterly in arrears on March 1, June 1, September 1, and December 1 of each year. The December 2027 Notes may be redeemed in whole or in part at any time or from time to time at the Company's option on or after December 31, 2024, at a redemption price of $25 per December 2027 Note plus accrued and unpaid interest payments otherwise payable for the then-current quarterly interest period accrued to the date fixed for redemption. The December 2027 Notes are general unsecured obligations of the Company that rank </w:t>
      </w:r>
      <w:r>
        <w:rPr>
          <w:rFonts w:ascii="Times New Roman" w:hAnsi="Times New Roman"/>
          <w:i/>
          <w:color w:val="000000"/>
          <w:sz w:val="20"/>
        </w:rPr>
        <w:t>pari passu</w:t>
      </w:r>
      <w:r>
        <w:rPr>
          <w:rFonts w:ascii="Times New Roman" w:hAnsi="Times New Roman"/>
          <w:color w:val="000000"/>
          <w:sz w:val="20"/>
        </w:rPr>
        <w:t xml:space="preserve"> with the Company's existing and future unsecured, unsubordinated indebtedness.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Aggregate costs in connection with the December 2027 Notes issuance, including the underwriter's discount and commissions, were $1.9 million, and were capitalized and deferred. As of June 30, 2024 and December 31, 2023, unamortized deferred debt costs related to the December 2027 Notes were $1.3 million and $1.5 million, respectively.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pPr>
      <w:r>
        <w:rPr/>
        <w:t> </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8 – Commitments and Contingencies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provides the Company’s contractual obligations as of June 30, 2024 (in thousands):</w:t>
      </w:r>
    </w:p>
    <w:tbl>
      <w:tblPr>
        <w:tblW w:w="9622" w:type="dxa"/>
        <w:jc w:val="left"/>
        <w:tblInd w:w="0" w:type="dxa"/>
        <w:tblLayout w:type="fixed"/>
        <w:tblCellMar>
          <w:top w:w="28" w:type="dxa"/>
          <w:left w:w="28" w:type="dxa"/>
          <w:bottom w:w="28" w:type="dxa"/>
          <w:right w:w="28" w:type="dxa"/>
        </w:tblCellMar>
      </w:tblPr>
      <w:tblGrid>
        <w:gridCol w:w="1899"/>
        <w:gridCol w:w="156"/>
        <w:gridCol w:w="196"/>
        <w:gridCol w:w="146"/>
        <w:gridCol w:w="691"/>
        <w:gridCol w:w="146"/>
        <w:gridCol w:w="146"/>
        <w:gridCol w:w="434"/>
        <w:gridCol w:w="247"/>
        <w:gridCol w:w="638"/>
        <w:gridCol w:w="146"/>
        <w:gridCol w:w="146"/>
        <w:gridCol w:w="256"/>
        <w:gridCol w:w="146"/>
        <w:gridCol w:w="691"/>
        <w:gridCol w:w="146"/>
        <w:gridCol w:w="146"/>
        <w:gridCol w:w="256"/>
        <w:gridCol w:w="146"/>
        <w:gridCol w:w="691"/>
        <w:gridCol w:w="146"/>
        <w:gridCol w:w="146"/>
        <w:gridCol w:w="484"/>
        <w:gridCol w:w="276"/>
        <w:gridCol w:w="710"/>
        <w:gridCol w:w="391"/>
      </w:tblGrid>
      <w:tr>
        <w:trPr/>
        <w:tc>
          <w:tcPr>
            <w:tcW w:w="18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99"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5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Contractual Obligations</w:t>
            </w:r>
            <w:r>
              <w:rPr>
                <w:rFonts w:ascii="Times New Roman" w:hAnsi="Times New Roman"/>
                <w:color w:val="000000"/>
                <w:sz w:val="16"/>
              </w:rPr>
              <w:t> </w:t>
            </w:r>
            <w:r>
              <w:rPr>
                <w:rFonts w:ascii="Times New Roman" w:hAnsi="Times New Roman"/>
                <w:b/>
                <w:color w:val="000000"/>
                <w:sz w:val="11"/>
              </w:rPr>
              <w:t>(1)</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9"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Borrowings </w:t>
            </w:r>
            <w:r>
              <w:rPr>
                <w:rFonts w:ascii="Times New Roman" w:hAnsi="Times New Roman"/>
                <w:color w:val="000000"/>
                <w:sz w:val="11"/>
              </w:rPr>
              <w:t>(2)</w:t>
            </w:r>
          </w:p>
        </w:tc>
        <w:tc>
          <w:tcPr>
            <w:tcW w:w="15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c>
          <w:tcPr>
            <w:tcW w:w="986"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189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Credit Facility</w:t>
            </w:r>
          </w:p>
        </w:tc>
        <w:tc>
          <w:tcPr>
            <w:tcW w:w="1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47"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76"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189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2026 Notes</w:t>
            </w:r>
          </w:p>
        </w:tc>
        <w:tc>
          <w:tcPr>
            <w:tcW w:w="15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6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189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2027 Notes</w:t>
            </w:r>
          </w:p>
        </w:tc>
        <w:tc>
          <w:tcPr>
            <w:tcW w:w="1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9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Borrowings</w:t>
            </w:r>
          </w:p>
        </w:tc>
        <w:tc>
          <w:tcPr>
            <w:tcW w:w="15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6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18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Incentive Fees</w:t>
            </w:r>
          </w:p>
        </w:tc>
        <w:tc>
          <w:tcPr>
            <w:tcW w:w="15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5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567,210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411,484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155,109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Excludes interest payable on borrowings, accrued expenses, and commitments to extend credit to the Company’s portfolio companies.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Amounts represent future principal repayments and not the carrying value of each liability (refer to “Note 7 – Borrowings”).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provides the Company’s contractual obligations as of December 31, 2023 (in thousands):</w:t>
      </w:r>
    </w:p>
    <w:tbl>
      <w:tblPr>
        <w:tblW w:w="9623" w:type="dxa"/>
        <w:jc w:val="left"/>
        <w:tblInd w:w="0" w:type="dxa"/>
        <w:tblLayout w:type="fixed"/>
        <w:tblCellMar>
          <w:top w:w="28" w:type="dxa"/>
          <w:left w:w="28" w:type="dxa"/>
          <w:bottom w:w="28" w:type="dxa"/>
          <w:right w:w="28" w:type="dxa"/>
        </w:tblCellMar>
      </w:tblPr>
      <w:tblGrid>
        <w:gridCol w:w="1899"/>
        <w:gridCol w:w="156"/>
        <w:gridCol w:w="196"/>
        <w:gridCol w:w="146"/>
        <w:gridCol w:w="691"/>
        <w:gridCol w:w="146"/>
        <w:gridCol w:w="146"/>
        <w:gridCol w:w="370"/>
        <w:gridCol w:w="211"/>
        <w:gridCol w:w="739"/>
        <w:gridCol w:w="146"/>
        <w:gridCol w:w="146"/>
        <w:gridCol w:w="256"/>
        <w:gridCol w:w="146"/>
        <w:gridCol w:w="691"/>
        <w:gridCol w:w="146"/>
        <w:gridCol w:w="146"/>
        <w:gridCol w:w="256"/>
        <w:gridCol w:w="146"/>
        <w:gridCol w:w="691"/>
        <w:gridCol w:w="146"/>
        <w:gridCol w:w="146"/>
        <w:gridCol w:w="484"/>
        <w:gridCol w:w="276"/>
        <w:gridCol w:w="710"/>
        <w:gridCol w:w="391"/>
      </w:tblGrid>
      <w:tr>
        <w:trPr/>
        <w:tc>
          <w:tcPr>
            <w:tcW w:w="18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99"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5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Contractual Obligations</w:t>
            </w:r>
            <w:r>
              <w:rPr>
                <w:rFonts w:ascii="Times New Roman" w:hAnsi="Times New Roman"/>
                <w:color w:val="000000"/>
                <w:sz w:val="16"/>
              </w:rPr>
              <w:t> </w:t>
            </w:r>
            <w:r>
              <w:rPr>
                <w:rFonts w:ascii="Times New Roman" w:hAnsi="Times New Roman"/>
                <w:b/>
                <w:color w:val="000000"/>
                <w:sz w:val="11"/>
              </w:rPr>
              <w:t>(1)</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9"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Borrowings </w:t>
            </w:r>
            <w:r>
              <w:rPr>
                <w:rFonts w:ascii="Times New Roman" w:hAnsi="Times New Roman"/>
                <w:color w:val="000000"/>
                <w:sz w:val="11"/>
              </w:rPr>
              <w:t>(2)</w:t>
            </w:r>
          </w:p>
        </w:tc>
        <w:tc>
          <w:tcPr>
            <w:tcW w:w="1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986"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189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Credit Facility</w:t>
            </w:r>
          </w:p>
        </w:tc>
        <w:tc>
          <w:tcPr>
            <w:tcW w:w="15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11"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76"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189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2026 Notes</w:t>
            </w:r>
          </w:p>
        </w:tc>
        <w:tc>
          <w:tcPr>
            <w:tcW w:w="1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189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2027 Notes</w:t>
            </w:r>
          </w:p>
        </w:tc>
        <w:tc>
          <w:tcPr>
            <w:tcW w:w="15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9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Borrowings</w:t>
            </w:r>
          </w:p>
        </w:tc>
        <w:tc>
          <w:tcPr>
            <w:tcW w:w="1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18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Incentive Fees</w:t>
            </w:r>
          </w:p>
        </w:tc>
        <w:tc>
          <w:tcPr>
            <w:tcW w:w="15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9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5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528,415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370,919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154,798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Excludes interest payable on borrowings, accrued expenses, and commitments to extend credit to the Company’s portfolio companies.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Amounts represent future principal repayments and not the carrying value of each liability (refer to “Note 7 – Borrowings”).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and RGC are not currently subject to any material legal proceedings, nor, to the Company's knowledge, is any material legal proceeding threatened against the Company or RGC. From time to time, the Company or RGC may be a party to certain legal proceedings in the ordinary course of business, including proceedings relating to the enforcement of their rights under contracts with its portfolio companies. The Company's business is also subject to extensive regulation, which may result in regulatory proceedings against it. While the outcome of any such legal proceedings cannot be predicted with certainty, the Company does not expect that any such proceedings will have a material effect upon its financial condition or results of operations.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the normal course of business, the Company may enter into investment agreements under which it commits to make an investment in a portfolio company at some future date or over a specified period of time. These unfunded contractual commitments to provide funds to portfolio companies are not reflected on our balance sheet. With the exception of the JV, the availability of such unfunded commitments is subject to the specific terms and conditions of each contract, which may include, among other things, portfolio company performance requirements and time-based cancellation provisions. As a result, only a portion of unfunded commitments is currently eligible to be drawn.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unfunded commitments to provide debt financing to its portfolio companies amounted to $254.2 million and $201.5 million as of June 30, 2024 and December 31, 2023, respectively, shown in the table below (in thousands):</w:t>
      </w:r>
    </w:p>
    <w:tbl>
      <w:tblPr>
        <w:tblW w:w="8877" w:type="dxa"/>
        <w:jc w:val="left"/>
        <w:tblInd w:w="0" w:type="dxa"/>
        <w:tblLayout w:type="fixed"/>
        <w:tblCellMar>
          <w:top w:w="28" w:type="dxa"/>
          <w:left w:w="28" w:type="dxa"/>
          <w:bottom w:w="28" w:type="dxa"/>
          <w:right w:w="28" w:type="dxa"/>
        </w:tblCellMar>
      </w:tblPr>
      <w:tblGrid>
        <w:gridCol w:w="3496"/>
        <w:gridCol w:w="146"/>
        <w:gridCol w:w="1981"/>
        <w:gridCol w:w="146"/>
        <w:gridCol w:w="213"/>
        <w:gridCol w:w="159"/>
        <w:gridCol w:w="753"/>
        <w:gridCol w:w="146"/>
        <w:gridCol w:w="146"/>
        <w:gridCol w:w="284"/>
        <w:gridCol w:w="212"/>
        <w:gridCol w:w="1004"/>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3PL Central LLC (dba Extensiv)</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2"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11,500</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Betterment Holdings, Inc.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14,500</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Brivo,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CarNow, Inc.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EBR Systems,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Interactions Corporation</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Linxup, LLC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Madison Reed, Inc.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Moximed,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Nalu Medical, Inc.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Onward Medical, N.V.</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Route 92 Medical, Inc.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Runway-Cadma I LLC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SetPoint Medical Corporation</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Skillshare,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Snagajob.com, Inc.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6,785</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Snagajob.com,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Convertible Note</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2,035</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Synack, Inc.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unused commitments to extend financing</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254,152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9 – Net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has the authority to issue 100,000,000 shares of common stock, par value $0.01 per share. In October 2015, in connection with the Company's formation, the Company issued and sold 1,667 shares of common stock to R. David Spreng, the President and Chief Executive Officer of the Company and Chairman of the Board of Directors, for an aggregate purchase price of $25 thousand.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Private Common Stock Offerings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December 1, 2017, the Company completed its initial private offering ("Initial Private Offering"), in which the Company had issued 18,241,157 shares of its common stock to stockholders for a total purchase price of $275.0 million in reliance on exemptions from the registration requirements of the Securities Act, and other applicable securities laws.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Beginning October 15, 2019 and ending September 29, 2021, the Company had completed multiple closings under its second private offering (the "Second Private Offering") and had accepted aggregate capital commitments of $181.7 million. In connection with the Second Private Offering the Company has issued 9,617,379 shares of its common stock for a total purchase price of $144.3 million. Concurrent with the IPO, all undrawn commitments under the Second Private Offering were cancelled.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March 31, 2020 and March 24, 2021, the Company had issued in aggregate 22,564 shares as an additional direct investment by Runway Growth Holdings LLC, an affiliate of RGC, at a per share price of $15.00 for total proceeds of $0.3 million in a private offering pursuant to an exemption from registration under Regulation D of the Securities 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October 25, 2021, the Company closed its IPO, issuing 6,850,000 shares of its common stock at a public offering price of $14.60 per share. Net of underwriting fees and offering costs, the Company received net cash proceeds of $93.0 million. The Company’s common stock began trading on the Nasdaq Global Select Market LLC on October 21, 2021 under the symbol “RWAY”.</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Repurchase Program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February 24, 2022, the Board of Directors approved a repurchase program (the “Initial Repurchase Program”) under which the Company was authorized to repurchase up to $25.0 million of its outstanding common stock, prior to its expiration on February 24, 2023. Under the Initial Repurchase Program, the Company could have repurchased shares at management’s discretion from time to time in open-market transactions, in accordance with all applicable securities laws and regulations. The Company had repurchased 871,345 shares of the Company's common stock under the Initial Repurchase Program for an aggregate purchase price of $10.8 million. The Board of Directors did not renew the Initial Repurchase Program, and it expired on February 24, 2023.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November 2, 2023, the Board of Directors approved a new share repurchase program (the "Repurchase Program"), under which the Company may repurchase up to $25.0 million of the Company's outstanding shares of common stock. Under the Repurchase Program, purchases may be made at management’s discretion from time to time in open-market transactions, in accordance with all applicable securities laws and regulations. As of June 30, 2024, the Company had repurchased 1,961,938 shares in connection with the Repurchase Program for an aggregate purchase price of $23.5 million. If not renewed, the Repurchase Program will terminate upon the earlier of (i) November 2, 2024 or (ii) the repurchase of $25.0 million of the Company's shares of common stock.</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Distributions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intends to pay quarterly distributions to its stockholders out of assets legally available for distribution. All distributions will be paid at the discretion of the Board of Directors and will depend on the Company's earnings, financial condition, maintenance of RIC status for income tax purposes, compliance with applicable BDC regulations and such other factors as the Board of Directors may deem relevant from time to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three and six months ended June 30, 2024, the Company declared and paid dividends in the amount of $18.5 million and $37.6 million, respectively, of which $18.2 million and $37.0 million, respectively, were distributed in cash and the remainder distributed in shares to stockholders pursuant to the Company’s Dividend Reinvestment Plan (as defined below). For the three and six months ended June 30, 2023, the Company declared and paid dividends in the amount of $18.2 million and $36.5 million, respectively, of which $17.5 million and $34.9 million, respectively, were distributed in cash and the remainder distributed in shares to stockholders pursuant to the Company’s Dividend Reinvestment Plan.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Dividend Reinvestment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maintains a dividend reinvestment plan for common stockholders (the "Dividend Reinvestment Plan"). The Company's Dividend Reinvestment Plan is administered by its transfer agent on behalf of the Company's record holders and participating brokerage firms. Brokerage firms and other financial intermediaries may decide not to participate in the Company's Dividend Reinvestment Plan but may provide a similar distribution reinvestment plan for their clients. The share requirements of the Dividend Reinvestment Plan may be satisfied through the issuance of new common shares or through open market purchases of common shares by the Company.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During the three and six months ended June 30, 2024, the Company purchased 24,066 and 44,597 shares of common stock in the open market under the Dividend Reinvestment Plan for a total of $0.3 million and $0.6 million, respectively. During the three and six months ended June 30, 2023, the Company purchased 63,290 and 127,504 shares of common stock in the open market and under the Dividend Reinvestment Plan for a total of $0.7 million and $1.5 million,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summarizes the distributions declared and paid since inception through June 30, 2024:</w:t>
      </w:r>
    </w:p>
    <w:tbl>
      <w:tblPr>
        <w:tblW w:w="7829" w:type="dxa"/>
        <w:jc w:val="left"/>
        <w:tblInd w:w="0" w:type="dxa"/>
        <w:tblLayout w:type="fixed"/>
        <w:tblCellMar>
          <w:top w:w="28" w:type="dxa"/>
          <w:left w:w="28" w:type="dxa"/>
          <w:bottom w:w="28" w:type="dxa"/>
          <w:right w:w="28" w:type="dxa"/>
        </w:tblCellMar>
      </w:tblPr>
      <w:tblGrid>
        <w:gridCol w:w="1531"/>
        <w:gridCol w:w="146"/>
        <w:gridCol w:w="1051"/>
        <w:gridCol w:w="146"/>
        <w:gridCol w:w="1516"/>
        <w:gridCol w:w="146"/>
        <w:gridCol w:w="1516"/>
        <w:gridCol w:w="146"/>
        <w:gridCol w:w="370"/>
        <w:gridCol w:w="275"/>
        <w:gridCol w:w="795"/>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Declaration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3, 2018</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15, 2018</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31, 2018</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26, 2018</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15, 2018</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31, 2018</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 2018</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31, 2018</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15, 2018</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22, 2019</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22, 2019</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26, 2019</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 2019</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7, 2019</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21, 2019</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 2019</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31, 2019</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16, 2019</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0.46</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30, 2019</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5, 2019</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26, 2019</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27, 2019</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30, 2019</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12, 2019</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9, 2019</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10, 2019</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23, 2019</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5, 2020</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6, 2020</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 2020</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7, 2020</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8, 2020</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21, 2020</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5, 2020</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6, 2020</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20, 2020</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0.36</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1, 2020</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1, 2020</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12, 2020</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0.38</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4, 2021</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5, 2021</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19, 2021</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0.37</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29, 2021</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30, 2021</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13, 2021</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0.37</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19, 2021</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 2021</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12, 2021</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0.34</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28, 2021</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8, 2021</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22, 2021</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24, 2022</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8, 2022</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22, 2022</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0.27</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28, 2022</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10, 2022</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24, 2022</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0.30</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28, 2022</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9, 2022</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23, 2022</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27, 2022</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8, 2022</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22, 2022</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0.36</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23, 2023</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7, 2023</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21, 2023</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23, 2023</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7, 2023</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21, 2023</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 2023</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15, 2023</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31, 2023</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 2023</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15, 2023</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31, 2023</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2023</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15, 2023</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31, 2023</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2023</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15, 2023</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31, 2023</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 2023</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13, 2023</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28, 2023</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 2023</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13, 2023</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28, 2023</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0.06</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1, 2024</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12, 2024</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28, 2024</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1, 2024</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12, 2024</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28, 2024</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30, 2024</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10, 2024</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24, 2024</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30, 2024</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10, 2024</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24, 2024</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10 – Income 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elected to be treated as a RIC under Subchapter M of the Code starting with its taxable year ended December 31, 2016. The Company currently qualifies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consolidated financial statements of the Company. The Company intends to make sufficient distributions to maintain its RIC status each year and it does not anticipate paying any material United States federal income taxes in the future.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Federal income tax regulations differ from U.S. GAAP, therefore distributions in accordance with tax regulations may differ from net investment income and realized gains recognized for financial reporting purposes. Differences may be permanent or temporary in nature.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sets forth the tax cost basis and the estimated aggregate gross unrealized gain (loss) on investments for federal income tax purposes as of and for the period ended June 30, 2024 and the year ended December 31, 2023 (in thousands):</w:t>
      </w:r>
    </w:p>
    <w:tbl>
      <w:tblPr>
        <w:tblW w:w="6247" w:type="dxa"/>
        <w:jc w:val="left"/>
        <w:tblInd w:w="0" w:type="dxa"/>
        <w:tblLayout w:type="fixed"/>
        <w:tblCellMar>
          <w:top w:w="28" w:type="dxa"/>
          <w:left w:w="28" w:type="dxa"/>
          <w:bottom w:w="28" w:type="dxa"/>
          <w:right w:w="28" w:type="dxa"/>
        </w:tblCellMar>
      </w:tblPr>
      <w:tblGrid>
        <w:gridCol w:w="2911"/>
        <w:gridCol w:w="146"/>
        <w:gridCol w:w="196"/>
        <w:gridCol w:w="146"/>
        <w:gridCol w:w="826"/>
        <w:gridCol w:w="166"/>
        <w:gridCol w:w="146"/>
        <w:gridCol w:w="251"/>
        <w:gridCol w:w="187"/>
        <w:gridCol w:w="1061"/>
        <w:gridCol w:w="2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99"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shd w:fill="FFFFFF" w:val="cle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cost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1,115,957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1,105,481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unrealized gain on a tax basis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7"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11,239</w:t>
            </w:r>
          </w:p>
        </w:tc>
        <w:tc>
          <w:tcPr>
            <w:tcW w:w="21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unrealized loss on a tax basis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gain (loss) on a tax basis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(38,472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 accounts for income taxes in conformity with ASC Topic 740 — Income Taxes ("ASC 740"). ASC 740 provides guidelines for how uncertain tax positions should be recognized, measured, presented and disclosed in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on the Consolidated Statements of Operations. There were no material uncertain income tax positions at June 30, 2024 or December 31, 2023. Although the Company files federal and state tax returns, the Company's major tax jurisdiction is federal. The previous three tax year-ends and the interim tax period since then remain subject to examination by the Internal Revenue Service.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Company does not distribute (or is not deemed to have distributed) each calendar year the sum of (1) 98% of its net ordinary income for each calendar year, (2) 98.2% of its capital gain net income for the one-year period ending October 31 in that calendar year and (3) any income recognized, but not distributed, in preceding years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Company does not qualify to be treated as a RIC for any taxable year, the Company will be taxed as a regular corporation (a “C corporation”) under subchapter C of the Code for such taxable year. If the Company has previously qualified as a RIC but is subsequently unable to qualify,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by the end of the first year that it intends to requalify. If the Company fails to requalify for a period greater than two taxable years, it may be subject to U.S. federal income tax at corporate tax rates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11 – Financial Highlights</w:t>
      </w:r>
    </w:p>
    <w:p>
      <w:pPr>
        <w:pStyle w:val="TextBody"/>
        <w:bidi w:val="0"/>
        <w:spacing w:before="360" w:after="240"/>
        <w:jc w:val="left"/>
        <w:rPr>
          <w:rFonts w:ascii="Times New Roman" w:hAnsi="Times New Roman"/>
          <w:color w:val="000000"/>
          <w:sz w:val="20"/>
        </w:rPr>
      </w:pPr>
      <w:r>
        <w:rPr>
          <w:rFonts w:ascii="Times New Roman" w:hAnsi="Times New Roman"/>
          <w:color w:val="000000"/>
          <w:sz w:val="20"/>
        </w:rPr>
        <w:t>The following table sets forth the financial highlights for the six months ended June 30, 2024 and 2023 (in thousands, except for per share data and ratios):</w:t>
      </w:r>
    </w:p>
    <w:tbl>
      <w:tblPr>
        <w:tblW w:w="9818" w:type="dxa"/>
        <w:jc w:val="left"/>
        <w:tblInd w:w="0" w:type="dxa"/>
        <w:tblLayout w:type="fixed"/>
        <w:tblCellMar>
          <w:top w:w="28" w:type="dxa"/>
          <w:left w:w="28" w:type="dxa"/>
          <w:bottom w:w="28" w:type="dxa"/>
          <w:right w:w="28" w:type="dxa"/>
        </w:tblCellMar>
      </w:tblPr>
      <w:tblGrid>
        <w:gridCol w:w="6596"/>
        <w:gridCol w:w="146"/>
        <w:gridCol w:w="196"/>
        <w:gridCol w:w="146"/>
        <w:gridCol w:w="691"/>
        <w:gridCol w:w="166"/>
        <w:gridCol w:w="146"/>
        <w:gridCol w:w="146"/>
        <w:gridCol w:w="196"/>
        <w:gridCol w:w="146"/>
        <w:gridCol w:w="691"/>
        <w:gridCol w:w="166"/>
        <w:gridCol w:w="386"/>
      </w:tblGrid>
      <w:tr>
        <w:trPr/>
        <w:tc>
          <w:tcPr>
            <w:tcW w:w="6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6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6" w:type="dxa"/>
            <w:gridSpan w:val="11"/>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6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659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Per Share Data</w:t>
            </w:r>
            <w:r>
              <w:rPr>
                <w:rFonts w:ascii="Times New Roman" w:hAnsi="Times New Roman"/>
                <w:b/>
                <w:color w:val="000000"/>
                <w:sz w:val="11"/>
              </w:rPr>
              <w:t>(1)</w:t>
            </w: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r>
      <w:tr>
        <w:trPr/>
        <w:tc>
          <w:tcPr>
            <w:tcW w:w="65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 value at beginning of period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14.22</w:t>
            </w:r>
          </w:p>
        </w:tc>
        <w:tc>
          <w:tcPr>
            <w:tcW w:w="16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firstLine="100"/>
              <w:jc w:val="left"/>
              <w:rPr/>
            </w:pPr>
            <w:r>
              <w:rPr/>
              <w:t> </w:t>
            </w:r>
          </w:p>
        </w:tc>
      </w:tr>
      <w:tr>
        <w:trPr/>
        <w:tc>
          <w:tcPr>
            <w:tcW w:w="65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0.94</w:t>
            </w:r>
          </w:p>
        </w:tc>
        <w:tc>
          <w:tcPr>
            <w:tcW w:w="16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100"/>
              <w:jc w:val="left"/>
              <w:rPr/>
            </w:pPr>
            <w:r>
              <w:rPr/>
              <w:t> </w:t>
            </w:r>
          </w:p>
        </w:tc>
      </w:tr>
      <w:tr>
        <w:trPr/>
        <w:tc>
          <w:tcPr>
            <w:tcW w:w="65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realized gain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FFFFFF" w:val="clear"/>
            <w:vAlign w:val="center"/>
          </w:tcPr>
          <w:p>
            <w:pPr>
              <w:pStyle w:val="TableContents"/>
              <w:bidi w:val="0"/>
              <w:spacing w:before="0" w:after="283"/>
              <w:ind w:left="0" w:right="0" w:firstLine="100"/>
              <w:jc w:val="left"/>
              <w:rPr/>
            </w:pPr>
            <w:r>
              <w:rPr/>
              <w:t> </w:t>
            </w:r>
          </w:p>
        </w:tc>
      </w:tr>
      <w:tr>
        <w:trPr/>
        <w:tc>
          <w:tcPr>
            <w:tcW w:w="65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change in unrealized gain (loss)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CFF0FC" w:val="clear"/>
            <w:vAlign w:val="center"/>
          </w:tcPr>
          <w:p>
            <w:pPr>
              <w:pStyle w:val="TableContents"/>
              <w:bidi w:val="0"/>
              <w:spacing w:before="0" w:after="283"/>
              <w:jc w:val="left"/>
              <w:rPr/>
            </w:pPr>
            <w:r>
              <w:rPr/>
              <w:t> </w:t>
            </w:r>
          </w:p>
        </w:tc>
      </w:tr>
      <w:tr>
        <w:trPr/>
        <w:tc>
          <w:tcPr>
            <w:tcW w:w="65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from investment operations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0.85</w:t>
            </w:r>
          </w:p>
        </w:tc>
        <w:tc>
          <w:tcPr>
            <w:tcW w:w="16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r>
      <w:tr>
        <w:trPr/>
        <w:tc>
          <w:tcPr>
            <w:tcW w:w="65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100"/>
              <w:jc w:val="left"/>
              <w:rPr/>
            </w:pPr>
            <w:r>
              <w:rPr/>
              <w:t> </w:t>
            </w:r>
          </w:p>
        </w:tc>
      </w:tr>
      <w:tr>
        <w:trPr/>
        <w:tc>
          <w:tcPr>
            <w:tcW w:w="65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Distributions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FFFFFF" w:val="clear"/>
            <w:vAlign w:val="center"/>
          </w:tcPr>
          <w:p>
            <w:pPr>
              <w:pStyle w:val="TableContents"/>
              <w:bidi w:val="0"/>
              <w:spacing w:before="0" w:after="283"/>
              <w:ind w:left="0" w:right="0" w:firstLine="100"/>
              <w:jc w:val="left"/>
              <w:rPr/>
            </w:pPr>
            <w:r>
              <w:rPr/>
              <w:t> </w:t>
            </w:r>
          </w:p>
        </w:tc>
      </w:tr>
      <w:tr>
        <w:trPr/>
        <w:tc>
          <w:tcPr>
            <w:tcW w:w="6596" w:type="dxa"/>
            <w:tcBorders/>
            <w:shd w:fill="CFF0FC" w:val="clear"/>
            <w:vAlign w:val="center"/>
          </w:tcPr>
          <w:p>
            <w:pPr>
              <w:pStyle w:val="TableContents"/>
              <w:bidi w:val="0"/>
              <w:spacing w:before="0" w:after="283"/>
              <w:ind w:left="100" w:right="0" w:firstLine="100"/>
              <w:jc w:val="left"/>
              <w:rPr>
                <w:rFonts w:ascii="Times New Roman" w:hAnsi="Times New Roman"/>
                <w:sz w:val="16"/>
              </w:rPr>
            </w:pPr>
            <w:r>
              <w:rPr>
                <w:rFonts w:ascii="Times New Roman" w:hAnsi="Times New Roman"/>
                <w:color w:val="000000"/>
                <w:sz w:val="16"/>
              </w:rPr>
              <w:t xml:space="preserve">Accretion (dilution) </w:t>
            </w:r>
            <w:r>
              <w:rPr>
                <w:rFonts w:ascii="Times New Roman" w:hAnsi="Times New Roman"/>
                <w:color w:val="000000"/>
                <w:sz w:val="11"/>
              </w:rPr>
              <w:t>(2)</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r>
      <w:tr>
        <w:trPr/>
        <w:tc>
          <w:tcPr>
            <w:tcW w:w="65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 value at end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r>
      <w:tr>
        <w:trPr/>
        <w:tc>
          <w:tcPr>
            <w:tcW w:w="65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r>
      <w:tr>
        <w:trPr/>
        <w:tc>
          <w:tcPr>
            <w:tcW w:w="65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Ratio/Supplemental Data:</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firstLine="100"/>
              <w:jc w:val="left"/>
              <w:rPr/>
            </w:pPr>
            <w:r>
              <w:rPr/>
              <w:t> </w:t>
            </w:r>
          </w:p>
        </w:tc>
      </w:tr>
      <w:tr>
        <w:trPr/>
        <w:tc>
          <w:tcPr>
            <w:tcW w:w="6596" w:type="dxa"/>
            <w:tcBorders/>
            <w:shd w:fill="CFF0FC" w:val="clear"/>
            <w:vAlign w:val="center"/>
          </w:tcPr>
          <w:p>
            <w:pPr>
              <w:pStyle w:val="TableContents"/>
              <w:bidi w:val="0"/>
              <w:spacing w:before="0" w:after="283"/>
              <w:ind w:left="100" w:right="0" w:firstLine="100"/>
              <w:jc w:val="left"/>
              <w:rPr>
                <w:rFonts w:ascii="Times New Roman" w:hAnsi="Times New Roman"/>
                <w:sz w:val="16"/>
              </w:rPr>
            </w:pPr>
            <w:r>
              <w:rPr>
                <w:rFonts w:ascii="Times New Roman" w:hAnsi="Times New Roman"/>
                <w:color w:val="000000"/>
                <w:sz w:val="16"/>
              </w:rPr>
              <w:t>Total return based on net asset value</w:t>
            </w:r>
            <w:r>
              <w:rPr>
                <w:rFonts w:ascii="Times New Roman" w:hAnsi="Times New Roman"/>
                <w:color w:val="000000"/>
                <w:sz w:val="11"/>
              </w:rPr>
              <w:t>(3)</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166" w:type="dxa"/>
            <w:tcBorders/>
            <w:shd w:fill="CFF0FC" w:val="clear"/>
            <w:vAlign w:val="center"/>
          </w:tcPr>
          <w:p>
            <w:pPr>
              <w:pStyle w:val="TableContents"/>
              <w:bidi w:val="0"/>
              <w:spacing w:before="0" w:after="283"/>
              <w:jc w:val="left"/>
              <w:rPr/>
            </w:pPr>
            <w:r>
              <w:rPr/>
              <w:t> </w:t>
            </w:r>
          </w:p>
        </w:tc>
        <w:tc>
          <w:tcPr>
            <w:tcW w:w="292"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16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596" w:type="dxa"/>
            <w:tcBorders/>
            <w:shd w:fill="FFFFFF" w:val="clear"/>
            <w:vAlign w:val="center"/>
          </w:tcPr>
          <w:p>
            <w:pPr>
              <w:pStyle w:val="TableContents"/>
              <w:bidi w:val="0"/>
              <w:spacing w:before="0" w:after="283"/>
              <w:ind w:left="100" w:right="0" w:firstLine="100"/>
              <w:jc w:val="left"/>
              <w:rPr>
                <w:rFonts w:ascii="Times New Roman" w:hAnsi="Times New Roman"/>
                <w:sz w:val="16"/>
              </w:rPr>
            </w:pPr>
            <w:r>
              <w:rPr>
                <w:rFonts w:ascii="Times New Roman" w:hAnsi="Times New Roman"/>
                <w:color w:val="000000"/>
                <w:sz w:val="16"/>
              </w:rPr>
              <w:t>Total return based on market value</w:t>
            </w:r>
            <w:r>
              <w:rPr>
                <w:rFonts w:ascii="Times New Roman" w:hAnsi="Times New Roman"/>
                <w:color w:val="000000"/>
                <w:sz w:val="11"/>
              </w:rPr>
              <w:t>(4)</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0.63</w:t>
            </w:r>
          </w:p>
        </w:tc>
        <w:tc>
          <w:tcPr>
            <w:tcW w:w="166"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14.32</w:t>
            </w:r>
          </w:p>
        </w:tc>
        <w:tc>
          <w:tcPr>
            <w:tcW w:w="16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596" w:type="dxa"/>
            <w:tcBorders/>
            <w:shd w:fill="CFF0FC" w:val="clear"/>
            <w:vAlign w:val="center"/>
          </w:tcPr>
          <w:p>
            <w:pPr>
              <w:pStyle w:val="TableContents"/>
              <w:bidi w:val="0"/>
              <w:spacing w:before="0" w:after="283"/>
              <w:ind w:left="100" w:right="0" w:firstLine="100"/>
              <w:jc w:val="left"/>
              <w:rPr>
                <w:rFonts w:ascii="Times New Roman" w:hAnsi="Times New Roman"/>
                <w:sz w:val="16"/>
              </w:rPr>
            </w:pPr>
            <w:r>
              <w:rPr>
                <w:rFonts w:ascii="Times New Roman" w:hAnsi="Times New Roman"/>
                <w:color w:val="000000"/>
                <w:sz w:val="16"/>
              </w:rPr>
              <w:t>Ratio of net investment income to average net assets</w:t>
            </w:r>
            <w:r>
              <w:rPr>
                <w:rFonts w:ascii="Times New Roman" w:hAnsi="Times New Roman"/>
                <w:color w:val="000000"/>
                <w:sz w:val="11"/>
              </w:rPr>
              <w:t>(5)(6)</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12.56</w:t>
            </w:r>
          </w:p>
        </w:tc>
        <w:tc>
          <w:tcPr>
            <w:tcW w:w="166" w:type="dxa"/>
            <w:tcBorders/>
            <w:shd w:fill="CFF0FC" w:val="clear"/>
            <w:vAlign w:val="center"/>
          </w:tcPr>
          <w:p>
            <w:pPr>
              <w:pStyle w:val="TableContents"/>
              <w:bidi w:val="0"/>
              <w:spacing w:before="0" w:after="283"/>
              <w:jc w:val="left"/>
              <w:rPr/>
            </w:pPr>
            <w:r>
              <w:rPr/>
              <w:t> </w:t>
            </w:r>
          </w:p>
        </w:tc>
        <w:tc>
          <w:tcPr>
            <w:tcW w:w="292"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w:t>
            </w:r>
          </w:p>
        </w:tc>
        <w:tc>
          <w:tcPr>
            <w:tcW w:w="16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596" w:type="dxa"/>
            <w:tcBorders/>
            <w:shd w:fill="FFFFFF" w:val="clear"/>
            <w:vAlign w:val="center"/>
          </w:tcPr>
          <w:p>
            <w:pPr>
              <w:pStyle w:val="TableContents"/>
              <w:bidi w:val="0"/>
              <w:spacing w:before="0" w:after="283"/>
              <w:ind w:left="100" w:right="0" w:firstLine="100"/>
              <w:jc w:val="left"/>
              <w:rPr>
                <w:rFonts w:ascii="Times New Roman" w:hAnsi="Times New Roman"/>
                <w:sz w:val="16"/>
              </w:rPr>
            </w:pPr>
            <w:r>
              <w:rPr>
                <w:rFonts w:ascii="Times New Roman" w:hAnsi="Times New Roman"/>
                <w:color w:val="000000"/>
                <w:sz w:val="16"/>
              </w:rPr>
              <w:t>Ratio of total operating expenses to average net assets</w:t>
            </w:r>
            <w:r>
              <w:rPr>
                <w:rFonts w:ascii="Times New Roman" w:hAnsi="Times New Roman"/>
                <w:color w:val="000000"/>
                <w:sz w:val="11"/>
              </w:rPr>
              <w:t>(5)(6)</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15.46</w:t>
            </w:r>
          </w:p>
        </w:tc>
        <w:tc>
          <w:tcPr>
            <w:tcW w:w="166"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15.10</w:t>
            </w:r>
          </w:p>
        </w:tc>
        <w:tc>
          <w:tcPr>
            <w:tcW w:w="16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596" w:type="dxa"/>
            <w:tcBorders/>
            <w:shd w:fill="CFF0FC" w:val="clear"/>
            <w:vAlign w:val="center"/>
          </w:tcPr>
          <w:p>
            <w:pPr>
              <w:pStyle w:val="TableContents"/>
              <w:bidi w:val="0"/>
              <w:spacing w:before="0" w:after="283"/>
              <w:ind w:left="100" w:right="0" w:firstLine="100"/>
              <w:jc w:val="left"/>
              <w:rPr>
                <w:rFonts w:ascii="Times New Roman" w:hAnsi="Times New Roman"/>
                <w:sz w:val="16"/>
              </w:rPr>
            </w:pPr>
            <w:r>
              <w:rPr>
                <w:rFonts w:ascii="Times New Roman" w:hAnsi="Times New Roman"/>
                <w:color w:val="000000"/>
                <w:sz w:val="16"/>
              </w:rPr>
              <w:t>Ratio of total operating expenses, excluding incentive fees, to average net assets</w:t>
            </w:r>
            <w:r>
              <w:rPr>
                <w:rFonts w:ascii="Times New Roman" w:hAnsi="Times New Roman"/>
                <w:color w:val="000000"/>
                <w:sz w:val="11"/>
              </w:rPr>
              <w:t>(5)</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w:t>
            </w:r>
          </w:p>
        </w:tc>
        <w:tc>
          <w:tcPr>
            <w:tcW w:w="166" w:type="dxa"/>
            <w:tcBorders/>
            <w:shd w:fill="CFF0FC" w:val="clear"/>
            <w:vAlign w:val="center"/>
          </w:tcPr>
          <w:p>
            <w:pPr>
              <w:pStyle w:val="TableContents"/>
              <w:bidi w:val="0"/>
              <w:spacing w:before="0" w:after="283"/>
              <w:jc w:val="left"/>
              <w:rPr/>
            </w:pPr>
            <w:r>
              <w:rPr/>
              <w:t> </w:t>
            </w:r>
          </w:p>
        </w:tc>
        <w:tc>
          <w:tcPr>
            <w:tcW w:w="292"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w:t>
            </w:r>
          </w:p>
        </w:tc>
        <w:tc>
          <w:tcPr>
            <w:tcW w:w="16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596" w:type="dxa"/>
            <w:tcBorders/>
            <w:shd w:fill="FFFFFF" w:val="clear"/>
            <w:vAlign w:val="center"/>
          </w:tcPr>
          <w:p>
            <w:pPr>
              <w:pStyle w:val="TableContents"/>
              <w:bidi w:val="0"/>
              <w:spacing w:before="0" w:after="283"/>
              <w:ind w:left="100" w:right="0" w:firstLine="100"/>
              <w:jc w:val="left"/>
              <w:rPr>
                <w:rFonts w:ascii="Times New Roman" w:hAnsi="Times New Roman"/>
                <w:sz w:val="16"/>
              </w:rPr>
            </w:pPr>
            <w:r>
              <w:rPr>
                <w:rFonts w:ascii="Times New Roman" w:hAnsi="Times New Roman"/>
                <w:color w:val="000000"/>
                <w:sz w:val="16"/>
              </w:rPr>
              <w:t>Ratio of net increase (decrease) in net assets resulting from operations to average net assets</w:t>
            </w:r>
            <w:r>
              <w:rPr>
                <w:rFonts w:ascii="Times New Roman" w:hAnsi="Times New Roman"/>
                <w:color w:val="000000"/>
                <w:sz w:val="11"/>
              </w:rPr>
              <w:t>(5)</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w:t>
            </w:r>
          </w:p>
        </w:tc>
        <w:tc>
          <w:tcPr>
            <w:tcW w:w="166"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w:t>
            </w:r>
          </w:p>
        </w:tc>
        <w:tc>
          <w:tcPr>
            <w:tcW w:w="16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596" w:type="dxa"/>
            <w:tcBorders/>
            <w:shd w:fill="CFF0FC" w:val="clear"/>
            <w:vAlign w:val="center"/>
          </w:tcPr>
          <w:p>
            <w:pPr>
              <w:pStyle w:val="TableContents"/>
              <w:bidi w:val="0"/>
              <w:spacing w:before="0" w:after="283"/>
              <w:ind w:left="100" w:right="0" w:firstLine="100"/>
              <w:jc w:val="left"/>
              <w:rPr>
                <w:rFonts w:ascii="Times New Roman" w:hAnsi="Times New Roman"/>
                <w:sz w:val="16"/>
              </w:rPr>
            </w:pPr>
            <w:r>
              <w:rPr>
                <w:rFonts w:ascii="Times New Roman" w:hAnsi="Times New Roman"/>
                <w:color w:val="000000"/>
                <w:sz w:val="16"/>
              </w:rPr>
              <w:t>Portfolio turnover rate</w:t>
            </w:r>
            <w:r>
              <w:rPr>
                <w:rFonts w:ascii="Times New Roman" w:hAnsi="Times New Roman"/>
                <w:color w:val="000000"/>
                <w:sz w:val="11"/>
              </w:rPr>
              <w:t>(7)</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w:t>
            </w:r>
          </w:p>
        </w:tc>
        <w:tc>
          <w:tcPr>
            <w:tcW w:w="166" w:type="dxa"/>
            <w:tcBorders/>
            <w:shd w:fill="CFF0FC" w:val="clear"/>
            <w:vAlign w:val="center"/>
          </w:tcPr>
          <w:p>
            <w:pPr>
              <w:pStyle w:val="TableContents"/>
              <w:bidi w:val="0"/>
              <w:spacing w:before="0" w:after="283"/>
              <w:jc w:val="left"/>
              <w:rPr/>
            </w:pPr>
            <w:r>
              <w:rPr/>
              <w:t> </w:t>
            </w:r>
          </w:p>
        </w:tc>
        <w:tc>
          <w:tcPr>
            <w:tcW w:w="292"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16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59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firstLine="100"/>
              <w:jc w:val="left"/>
              <w:rPr/>
            </w:pPr>
            <w:r>
              <w:rPr/>
              <w:t> </w:t>
            </w:r>
          </w:p>
        </w:tc>
      </w:tr>
      <w:tr>
        <w:trPr/>
        <w:tc>
          <w:tcPr>
            <w:tcW w:w="65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assets at beginning of period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547,071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576,052</w:t>
            </w:r>
          </w:p>
        </w:tc>
        <w:tc>
          <w:tcPr>
            <w:tcW w:w="16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100"/>
              <w:jc w:val="left"/>
              <w:rPr/>
            </w:pPr>
            <w:r>
              <w:rPr/>
              <w:t> </w:t>
            </w:r>
          </w:p>
        </w:tc>
      </w:tr>
      <w:tr>
        <w:trPr/>
        <w:tc>
          <w:tcPr>
            <w:tcW w:w="65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assets at end of period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506,384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573,898</w:t>
            </w:r>
          </w:p>
        </w:tc>
        <w:tc>
          <w:tcPr>
            <w:tcW w:w="16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firstLine="100"/>
              <w:jc w:val="left"/>
              <w:rPr/>
            </w:pPr>
            <w:r>
              <w:rPr/>
              <w:t> </w:t>
            </w:r>
          </w:p>
        </w:tc>
      </w:tr>
      <w:tr>
        <w:trPr/>
        <w:tc>
          <w:tcPr>
            <w:tcW w:w="65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Weighted average net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532,513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577,921</w:t>
            </w:r>
          </w:p>
        </w:tc>
        <w:tc>
          <w:tcPr>
            <w:tcW w:w="16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100"/>
              <w:jc w:val="left"/>
              <w:rPr/>
            </w:pPr>
            <w:r>
              <w:rPr/>
              <w:t> </w:t>
            </w:r>
          </w:p>
        </w:tc>
      </w:tr>
      <w:tr>
        <w:trPr/>
        <w:tc>
          <w:tcPr>
            <w:tcW w:w="65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Weighted average shares outstanding for the period, basic</w:t>
            </w:r>
          </w:p>
        </w:tc>
        <w:tc>
          <w:tcPr>
            <w:tcW w:w="146" w:type="dxa"/>
            <w:tcBorders/>
            <w:shd w:fill="FFFFFF" w:val="clear"/>
            <w:vAlign w:val="center"/>
          </w:tcPr>
          <w:p>
            <w:pPr>
              <w:pStyle w:val="TableContents"/>
              <w:bidi w:val="0"/>
              <w:spacing w:before="0" w:after="283"/>
              <w:jc w:val="left"/>
              <w:rPr/>
            </w:pPr>
            <w:r>
              <w:rPr/>
              <w:t> </w:t>
            </w:r>
          </w:p>
        </w:tc>
        <w:tc>
          <w:tcPr>
            <w:tcW w:w="1033" w:type="dxa"/>
            <w:gridSpan w:val="3"/>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39,786,511</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3" w:type="dxa"/>
            <w:gridSpan w:val="3"/>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40,509,269</w:t>
            </w:r>
          </w:p>
        </w:tc>
        <w:tc>
          <w:tcPr>
            <w:tcW w:w="16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All per share activity, excluding dividends, is calculated based on the weighted-average shares outstanding for the relevant period.</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Accretion (dilution) represents the effect of issuance of common stock and repurchase of treasury stock.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sz w:val="20"/>
        </w:rPr>
      </w:pPr>
      <w:r>
        <w:rPr>
          <w:rFonts w:ascii="Times New Roman" w:hAnsi="Times New Roman"/>
          <w:color w:val="000000"/>
          <w:sz w:val="16"/>
        </w:rPr>
        <w:t>Total return based on net asset value is calculated as the change in net asset value per share during the period plus dividends per share, divided by the beginning net asset values per share. The total returns are not annualized.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Total return based on market value is calculated as the change in market value per share during the period plus dividends per share, divided by the beginning market value per share. The total returns are not annualized.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ratios are calculated based on weighted average net assets for the relevant period and are annualized.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ratio includes annualized incentive fees and as incentive fees are performance driven, the amount expensed in future periods may vary significantly and is dependent on overall investment performance, early terminations, scheduled prepayments and other liquidity events.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both"/>
        <w:rPr>
          <w:rFonts w:ascii="Times New Roman" w:hAnsi="Times New Roman"/>
          <w:sz w:val="20"/>
        </w:rPr>
      </w:pPr>
      <w:r>
        <w:rPr>
          <w:rFonts w:ascii="Times New Roman" w:hAnsi="Times New Roman"/>
          <w:color w:val="000000"/>
          <w:sz w:val="16"/>
        </w:rPr>
        <w:t>The portfolio turnover rate for the period is calculated by taking the lesser of investment portfolio purchases or sales during the period, divided by the average investment portfolio value during the period. As such, portfolio turnover is not annualized.</w:t>
      </w:r>
      <w:r>
        <w:rPr>
          <w:rFonts w:ascii="Times New Roman" w:hAnsi="Times New Roman"/>
          <w:color w:val="000000"/>
          <w:sz w:val="20"/>
        </w:rPr>
        <w:t xml:space="preserve"> </w:t>
      </w:r>
    </w:p>
    <w:p>
      <w:pPr>
        <w:pStyle w:val="TextBody"/>
        <w:bidi w:val="0"/>
        <w:spacing w:before="360" w:after="24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12 - Subsequent Events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evaluated events subsequent to June 30, 2024 through August 8, 2024.</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17, 2024 the Company increased its commitment to Elevate Services Inc. by $20.0 million, of which $3.0 million was funded at close.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30, 2024, the Board of Directors declared a regular distribution of $0.40 per share and a supplemental distribution of $0.05 per share for stockholders of record as of August 12, 2024 payable on or before August 26,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30, 2024, the Board of Directors approved a repurchase program (the “New Repurchase Program”) under which the Company may repurchase up to $15.0 million of its outstanding common stock. Under the New Repurchase Program, purchases may be made at management’s discretion from time to time in open-market transactions, in accordance with all applicable securities laws and regulations. If not renewed, the New Repurchase Program will terminate upon the earlier of (i) July 30, 2025 or (ii) the repurchase of $15.0 million of the Company's shares of common stock.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31, 2024, Cloudpay, Inc. prepaid its outstanding principal balance of $75.0 million on the Company's senior secured loan.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bookmarkStart w:id="12" w:name="item2managementsdiscussionandanalysisoff"/>
      <w:bookmarkEnd w:id="12"/>
      <w:r>
        <w:rPr>
          <w:rFonts w:ascii="Times New Roman" w:hAnsi="Times New Roman"/>
          <w:b/>
          <w:color w:val="000000"/>
          <w:sz w:val="20"/>
        </w:rPr>
        <w:t>Item 2. Management’s Discussion and Analysis of Financial Condition and Results of Operations.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Forward-Looking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quarterly report on Form 10</w:t>
        <w:noBreakHyphen/>
        <w:t>Q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political, economic or industry conditions, the interest rate environment or conditions affecting the financial and capital markets;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 economic downturn or recession, as well as the impairment or failure of financial institutions on both a domestic and global scale, could impair our portfolio companies’ ability to continue to operate, which could lead to the loss of some or all of our investments in such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such an economic downturn could disproportionately impact the companies that we intend to target for investment, potentially causing us to experience a decrease in investment opportunities and diminished demand for capital from these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contraction of available credit and/or an inability to access the equity markets that could impair our lending and investment activities;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interest rate volatility that could adversely affect our results, particularly to the extent that we use leverage as part of our investment strategy;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impact of interest and inflation rates on our business prospects and the prospects of our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business prospects and the prospects of our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contractual arrangements and relationships with third parties;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our portfolio companies to achieve their objectives;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competition with other entities and our affiliates for investment opportunities;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speculative and illiquid nature of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use of borrowed money to finance a portion of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adequacy of our financing sources and working capital;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loss of key personnel and members of our management team;</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timing of cash flows, if any, from the operations of our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our external investment adviser, Runway Growth Capital LLC, to locate suitable investments for us and to monitor and administer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Runway Growth Capital LLC to attract and retain highly talented professionals;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qualify and maintain our qualification as a RIC under Subchapter M of the Code, and as a BDC;</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occurrence of a disaster, such as a cyber-attack against us or against a third party that has access to our data or networks, a natural catastrophe, an industrial accident, failure of our disaster-recovery systems, or consequential employee error;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effect of legal, tax, and regulatory changes;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other risks, uncertainties and other factors we identify under “Risk Factors” in Part I, Item 1A of our annual report on Form 10-K for the year ended December 31, 2023, filed with the Securities and Exchange Commission (the "SEC") on March 7, 2024 and in this quarterly report on Form 10-Q.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Part I, Item 1A of our annual report on Form 10-K for the year ended December 31, 2023, filed with the SEC on March 7, 2024.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based the forward-looking statements included in this quarterly report on Form 10</w:t>
        <w:noBreakHyphen/>
        <w:t>Q on information available to us on the date of this quarterly report on Form 10</w:t>
        <w:noBreakHyphen/>
        <w:t>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w:t>
        <w:noBreakHyphen/>
        <w:t>K, quarterly reports on Form 10</w:t>
        <w:noBreakHyphen/>
        <w:t>Q and current reports on Form 8</w:t>
        <w:noBreakHyphen/>
        <w:t>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analysis of our financial condition and results of operations should be read in conjunction with our consolidated financial statements and the related notes thereto contained elsewhere in this quarterly report on Form 10</w:t>
        <w:noBreakHyphen/>
        <w:t>Q.</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Runway Growth Finance Corp. ("we," "us," "our," or the "Company"), a Maryland corporation formed on August 31, 2015, is structured as an externally managed, non-diversified closed-end management investment company. On August 18, 2021, we changed our name to "Runway Growth Finance Corp." from "Runway Growth Credit Fund Inc." We are a specialty finance company focused on providing senior secured loans to high growth-potential companies in technology, healthcare, business services, financial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gains on our warrants and other equity positions. Our offices are in Chicago, Illinois; Menlo Park, California; and New York, New York.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elected to be regulated as a business development company ("BDC") under the Investment Company Act of 1940, as amended (together with the rules and regulations promulgated thereunder, the "1940 Act"). We have also elected to be treated as regulated investment company ("RIC") under Subchapter M of the Internal Revenue Code of 1986, as amended (the "Code"). While we currently qualify and intend to qualify annually to be treated as a RIC, no assurance can be provided that we will be able to maintain our tax treatment as a RIC. If we fail to qualify for tax treatment as a RIC for any taxable year, we will be subject to U.S. federal income tax at corporate rates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(the “JOBS Act”). We will remain an emerging growth company until the last day of our fiscal year following the fifth anniversary of our IPO, which closed on October 25, 2021 or until the earliest of (i) the last day of the first fiscal year in which we have total annual gross revenue of $1.235 billion or more, (ii) December 31 of the fiscal year in which we become a “large accelerated filer” as defined in Rule 12b-2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We are externally managed by Runway Growth Capital LLC ("RGC"), an investment adviser that has registered with the SEC under the Investment Advisers Act of 1940, as amended. The Administrator, a wholly-owned subsidiary of RGC, provides all the administrative services necessary for us to operate.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August 10, 2020, we, RGC, and certain other funds and accounts sponsored or managed by RGC and/or its affiliates were granted an order (the “Order”), as amended on August 30, 2022,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RGC or its affiliates provides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in respect of us or our stockholders on the part of any person concerned and (2) the transaction is consistent with the interests of our stockholders and is consistent with our investment strategies and policies.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Portfolio Composition and Investment Activity</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Portfolio Composition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At June 30, 2024, we had investments in 55 portfolio companies, representing 25 companies in which we held debt and warrant investments, three companies in which we held debt investments and shares of common stock, preferred stock, or a combination with warrants, three companies in which we held a debt investment only, 16 companies in which we held warrant investments only, and eight companies in which we held shares of common stock, preferred stock, or equity interests only, or a combination with warrants. At December 31, 2023, we had investments in 52 portfolio companies, representing 22 companies in which we held debt and warrant investments, three companies in which we held debt investments and shares of common, preferred stock, or a combination with warrants, four companies in which we held a debt investment only, 16 companies in which we held warrant investments only, and seven companies in which we held shares of common stock, preferred stock, or equity interests only, or a combination with warrants.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following table shows the fair value of our investments, by asset class, as of June 30, 2024 and December 31, 2023 (in thousands): </w:t>
      </w:r>
    </w:p>
    <w:tbl>
      <w:tblPr>
        <w:tblW w:w="10205" w:type="dxa"/>
        <w:jc w:val="left"/>
        <w:tblInd w:w="0" w:type="dxa"/>
        <w:tblLayout w:type="fixed"/>
        <w:tblCellMar>
          <w:top w:w="28" w:type="dxa"/>
          <w:left w:w="28" w:type="dxa"/>
          <w:bottom w:w="28" w:type="dxa"/>
          <w:right w:w="28" w:type="dxa"/>
        </w:tblCellMar>
      </w:tblPr>
      <w:tblGrid>
        <w:gridCol w:w="1255"/>
        <w:gridCol w:w="187"/>
        <w:gridCol w:w="196"/>
        <w:gridCol w:w="146"/>
        <w:gridCol w:w="826"/>
        <w:gridCol w:w="146"/>
        <w:gridCol w:w="146"/>
        <w:gridCol w:w="196"/>
        <w:gridCol w:w="146"/>
        <w:gridCol w:w="826"/>
        <w:gridCol w:w="146"/>
        <w:gridCol w:w="146"/>
        <w:gridCol w:w="150"/>
        <w:gridCol w:w="150"/>
        <w:gridCol w:w="620"/>
        <w:gridCol w:w="150"/>
        <w:gridCol w:w="248"/>
        <w:gridCol w:w="146"/>
        <w:gridCol w:w="196"/>
        <w:gridCol w:w="146"/>
        <w:gridCol w:w="826"/>
        <w:gridCol w:w="146"/>
        <w:gridCol w:w="146"/>
        <w:gridCol w:w="196"/>
        <w:gridCol w:w="146"/>
        <w:gridCol w:w="826"/>
        <w:gridCol w:w="146"/>
        <w:gridCol w:w="146"/>
        <w:gridCol w:w="148"/>
        <w:gridCol w:w="148"/>
        <w:gridCol w:w="613"/>
        <w:gridCol w:w="148"/>
        <w:gridCol w:w="402"/>
      </w:tblGrid>
      <w:tr>
        <w:trPr/>
        <w:tc>
          <w:tcPr>
            <w:tcW w:w="125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255"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4238"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9"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r>
      <w:tr>
        <w:trPr/>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Investments</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r>
      <w:tr>
        <w:trPr/>
        <w:tc>
          <w:tcPr>
            <w:tcW w:w="1442" w:type="dxa"/>
            <w:gridSpan w:val="2"/>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Investments</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770" w:type="dxa"/>
            <w:gridSpan w:val="2"/>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761" w:type="dxa"/>
            <w:gridSpan w:val="2"/>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ind w:left="0" w:right="0" w:firstLine="100"/>
              <w:jc w:val="left"/>
              <w:rPr/>
            </w:pPr>
            <w:r>
              <w:rPr/>
              <w:t> </w:t>
            </w:r>
          </w:p>
        </w:tc>
      </w:tr>
      <w:tr>
        <w:trPr/>
        <w:tc>
          <w:tcPr>
            <w:tcW w:w="1442" w:type="dxa"/>
            <w:gridSpan w:val="2"/>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Senior Secured Term Loans</w:t>
            </w:r>
          </w:p>
        </w:tc>
        <w:tc>
          <w:tcPr>
            <w:tcW w:w="19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1,025,030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1,000,662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94.11</w:t>
            </w:r>
          </w:p>
        </w:tc>
        <w:tc>
          <w:tcPr>
            <w:tcW w:w="15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977,947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964,099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90.35</w:t>
            </w:r>
          </w:p>
        </w:tc>
        <w:tc>
          <w:tcPr>
            <w:tcW w:w="14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442" w:type="dxa"/>
            <w:gridSpan w:val="2"/>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Second Lien Term Loans</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50"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4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ind w:left="0" w:right="0" w:firstLine="100"/>
              <w:jc w:val="left"/>
              <w:rPr/>
            </w:pPr>
            <w:r>
              <w:rPr/>
              <w:t> </w:t>
            </w:r>
          </w:p>
        </w:tc>
      </w:tr>
      <w:tr>
        <w:trPr/>
        <w:tc>
          <w:tcPr>
            <w:tcW w:w="1442" w:type="dxa"/>
            <w:gridSpan w:val="2"/>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Convertible Note</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5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0.13</w:t>
            </w:r>
          </w:p>
        </w:tc>
        <w:tc>
          <w:tcPr>
            <w:tcW w:w="14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ind w:left="0" w:right="0" w:firstLine="100"/>
              <w:jc w:val="left"/>
              <w:rPr/>
            </w:pPr>
            <w:r>
              <w:rPr/>
              <w:t> </w:t>
            </w:r>
          </w:p>
        </w:tc>
      </w:tr>
      <w:tr>
        <w:trPr/>
        <w:tc>
          <w:tcPr>
            <w:tcW w:w="1442" w:type="dxa"/>
            <w:gridSpan w:val="2"/>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Preferred Stocks</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150"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c>
          <w:tcPr>
            <w:tcW w:w="14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ind w:left="0" w:right="0" w:firstLine="100"/>
              <w:jc w:val="left"/>
              <w:rPr/>
            </w:pPr>
            <w:r>
              <w:rPr/>
              <w:t> </w:t>
            </w:r>
          </w:p>
        </w:tc>
      </w:tr>
      <w:tr>
        <w:trPr/>
        <w:tc>
          <w:tcPr>
            <w:tcW w:w="1442" w:type="dxa"/>
            <w:gridSpan w:val="2"/>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Common Stocks</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5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0.13</w:t>
            </w:r>
          </w:p>
        </w:tc>
        <w:tc>
          <w:tcPr>
            <w:tcW w:w="14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ind w:left="0" w:right="0" w:firstLine="100"/>
              <w:jc w:val="left"/>
              <w:rPr/>
            </w:pPr>
            <w:r>
              <w:rPr/>
              <w:t> </w:t>
            </w:r>
          </w:p>
        </w:tc>
      </w:tr>
      <w:tr>
        <w:trPr/>
        <w:tc>
          <w:tcPr>
            <w:tcW w:w="1442" w:type="dxa"/>
            <w:gridSpan w:val="2"/>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Equity Interest</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0.14</w:t>
            </w:r>
          </w:p>
        </w:tc>
        <w:tc>
          <w:tcPr>
            <w:tcW w:w="150"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14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ind w:left="0" w:right="0" w:firstLine="100"/>
              <w:jc w:val="left"/>
              <w:rPr/>
            </w:pPr>
            <w:r>
              <w:rPr/>
              <w:t> </w:t>
            </w:r>
          </w:p>
        </w:tc>
      </w:tr>
      <w:tr>
        <w:trPr/>
        <w:tc>
          <w:tcPr>
            <w:tcW w:w="1442" w:type="dxa"/>
            <w:gridSpan w:val="2"/>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Warrants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42" w:type="dxa"/>
            <w:gridSpan w:val="2"/>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Investments, excluding U.S. Treasury Bills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1,116,081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1,063,324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1,064,835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96.06</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5"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70" w:type="dxa"/>
            <w:gridSpan w:val="2"/>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61" w:type="dxa"/>
            <w:gridSpan w:val="2"/>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left"/>
              <w:rPr/>
            </w:pPr>
            <w:r>
              <w:rPr/>
              <w:t> </w:t>
            </w:r>
          </w:p>
        </w:tc>
      </w:tr>
      <w:tr>
        <w:trPr/>
        <w:tc>
          <w:tcPr>
            <w:tcW w:w="1442"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 Treasury Bill</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42" w:type="dxa"/>
            <w:gridSpan w:val="2"/>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Portfolio Investments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1,116,081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1,063,324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1,106,849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bl>
    <w:p>
      <w:pPr>
        <w:pStyle w:val="TextBody"/>
        <w:bidi w:val="0"/>
        <w:spacing w:before="360" w:after="240"/>
        <w:jc w:val="both"/>
        <w:rPr>
          <w:rFonts w:ascii="Times New Roman" w:hAnsi="Times New Roman"/>
          <w:sz w:val="20"/>
        </w:rPr>
      </w:pPr>
      <w:r>
        <w:rPr>
          <w:rFonts w:ascii="Times New Roman" w:hAnsi="Times New Roman"/>
          <w:color w:val="231F20"/>
          <w:sz w:val="20"/>
        </w:rPr>
        <w:t>For the three and six months ended June 30, 2024, our debt investment portfolio had a dollar-weighted annualized yield of 15.1%</w:t>
      </w:r>
      <w:r>
        <w:rPr>
          <w:rFonts w:ascii="Times New Roman" w:hAnsi="Times New Roman"/>
          <w:color w:val="000000"/>
          <w:sz w:val="20"/>
        </w:rPr>
        <w:t xml:space="preserve"> and 15.9%, respectively</w:t>
      </w:r>
      <w:r>
        <w:rPr>
          <w:rFonts w:ascii="Times New Roman" w:hAnsi="Times New Roman"/>
          <w:color w:val="231F20"/>
          <w:sz w:val="20"/>
        </w:rPr>
        <w:t xml:space="preserve">. For the </w:t>
      </w:r>
      <w:r>
        <w:rPr>
          <w:rFonts w:ascii="Times New Roman" w:hAnsi="Times New Roman"/>
          <w:color w:val="000000"/>
          <w:sz w:val="20"/>
        </w:rPr>
        <w:t>three and six months ended June 30, 2023</w:t>
      </w:r>
      <w:r>
        <w:rPr>
          <w:rFonts w:ascii="Times New Roman" w:hAnsi="Times New Roman"/>
          <w:color w:val="231F20"/>
          <w:sz w:val="20"/>
        </w:rPr>
        <w:t>, our debt investment portfolio had a dollar-weighted annualized yield of 16.7%</w:t>
      </w:r>
      <w:r>
        <w:rPr>
          <w:rFonts w:ascii="Times New Roman" w:hAnsi="Times New Roman"/>
          <w:color w:val="000000"/>
          <w:sz w:val="20"/>
        </w:rPr>
        <w:t xml:space="preserve"> and 15.7%, respectively</w:t>
      </w:r>
      <w:r>
        <w:rPr>
          <w:rFonts w:ascii="Times New Roman" w:hAnsi="Times New Roman"/>
          <w:color w:val="231F20"/>
          <w:sz w:val="20"/>
        </w:rPr>
        <w:t>. We calculate the yield on dollar-weighted debt investments for any period measured as (1) total related investment income during the period divided by (2) the daily average of the fair value of debt investments outstanding during the period, including any debt investments on non-accrual status. As of June 30, 2024, our debt investments had a dollar-weighted average term of 58 months at origination and a dollar-weighted average remaining term of 35 months, or approximately 2.9 years. As of June 30, 2024, substantially all of our debt investments had a committed principal amount of between $6.0 million and $85.0 million and pay cash interest at annual interest rates of between 8.0% and 15.1%.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sz w:val="20"/>
        </w:rPr>
      </w:pPr>
      <w:r>
        <w:rPr>
          <w:rFonts w:ascii="Times New Roman" w:hAnsi="Times New Roman"/>
          <w:color w:val="231F20"/>
          <w:sz w:val="20"/>
        </w:rPr>
        <w:t xml:space="preserve">The following table shows our dollar-weighted annualized yield by investment type for the </w:t>
      </w:r>
      <w:r>
        <w:rPr>
          <w:rFonts w:ascii="Times New Roman" w:hAnsi="Times New Roman"/>
          <w:color w:val="000000"/>
          <w:sz w:val="20"/>
        </w:rPr>
        <w:t>three and six months ended June 30, 2024 and 2023</w:t>
      </w:r>
      <w:r>
        <w:rPr>
          <w:rFonts w:ascii="Times New Roman" w:hAnsi="Times New Roman"/>
          <w:color w:val="231F20"/>
          <w:sz w:val="20"/>
        </w:rPr>
        <w:t>:</w:t>
      </w:r>
    </w:p>
    <w:tbl>
      <w:tblPr>
        <w:tblW w:w="10205" w:type="dxa"/>
        <w:jc w:val="left"/>
        <w:tblInd w:w="0" w:type="dxa"/>
        <w:tblLayout w:type="fixed"/>
        <w:tblCellMar>
          <w:top w:w="28" w:type="dxa"/>
          <w:left w:w="28" w:type="dxa"/>
          <w:bottom w:w="28" w:type="dxa"/>
          <w:right w:w="28" w:type="dxa"/>
        </w:tblCellMar>
      </w:tblPr>
      <w:tblGrid>
        <w:gridCol w:w="1374"/>
        <w:gridCol w:w="157"/>
        <w:gridCol w:w="550"/>
        <w:gridCol w:w="157"/>
        <w:gridCol w:w="259"/>
        <w:gridCol w:w="157"/>
        <w:gridCol w:w="550"/>
        <w:gridCol w:w="157"/>
        <w:gridCol w:w="259"/>
        <w:gridCol w:w="146"/>
        <w:gridCol w:w="511"/>
        <w:gridCol w:w="146"/>
        <w:gridCol w:w="241"/>
        <w:gridCol w:w="146"/>
        <w:gridCol w:w="511"/>
        <w:gridCol w:w="146"/>
        <w:gridCol w:w="241"/>
        <w:gridCol w:w="147"/>
        <w:gridCol w:w="517"/>
        <w:gridCol w:w="147"/>
        <w:gridCol w:w="243"/>
        <w:gridCol w:w="147"/>
        <w:gridCol w:w="147"/>
        <w:gridCol w:w="517"/>
        <w:gridCol w:w="147"/>
        <w:gridCol w:w="243"/>
        <w:gridCol w:w="146"/>
        <w:gridCol w:w="511"/>
        <w:gridCol w:w="146"/>
        <w:gridCol w:w="241"/>
        <w:gridCol w:w="146"/>
        <w:gridCol w:w="511"/>
        <w:gridCol w:w="146"/>
        <w:gridCol w:w="395"/>
      </w:tblGrid>
      <w:tr>
        <w:trPr/>
        <w:tc>
          <w:tcPr>
            <w:tcW w:w="137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374" w:type="dxa"/>
            <w:tcBorders/>
            <w:shd w:fill="FFFFFF" w:val="clear"/>
            <w:vAlign w:val="center"/>
          </w:tcPr>
          <w:p>
            <w:pPr>
              <w:pStyle w:val="TableContents"/>
              <w:bidi w:val="0"/>
              <w:spacing w:before="0" w:after="283"/>
              <w:jc w:val="left"/>
              <w:rPr/>
            </w:pPr>
            <w:r>
              <w:rPr/>
              <w:t> </w:t>
            </w:r>
          </w:p>
        </w:tc>
        <w:tc>
          <w:tcPr>
            <w:tcW w:w="4334"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w:t>
            </w:r>
            <w:r>
              <w:rPr>
                <w:rFonts w:ascii="Times New Roman" w:hAnsi="Times New Roman"/>
                <w:b/>
                <w:color w:val="000000"/>
                <w:sz w:val="11"/>
              </w:rPr>
              <w:t>(1)</w:t>
            </w:r>
          </w:p>
        </w:tc>
        <w:tc>
          <w:tcPr>
            <w:tcW w:w="4497"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Cost</w:t>
            </w:r>
            <w:r>
              <w:rPr>
                <w:rFonts w:ascii="Times New Roman" w:hAnsi="Times New Roman"/>
                <w:b/>
                <w:color w:val="000000"/>
                <w:sz w:val="11"/>
              </w:rPr>
              <w:t>(2)</w:t>
            </w:r>
          </w:p>
        </w:tc>
      </w:tr>
      <w:tr>
        <w:trPr/>
        <w:tc>
          <w:tcPr>
            <w:tcW w:w="1374" w:type="dxa"/>
            <w:tcBorders/>
            <w:shd w:fill="FFFFFF" w:val="clear"/>
            <w:vAlign w:val="center"/>
          </w:tcPr>
          <w:p>
            <w:pPr>
              <w:pStyle w:val="TableContents"/>
              <w:bidi w:val="0"/>
              <w:spacing w:before="0" w:after="283"/>
              <w:jc w:val="left"/>
              <w:rPr/>
            </w:pPr>
            <w:r>
              <w:rPr/>
              <w:t> </w:t>
            </w:r>
          </w:p>
        </w:tc>
        <w:tc>
          <w:tcPr>
            <w:tcW w:w="224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08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25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24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1374" w:type="dxa"/>
            <w:tcBorders/>
            <w:shd w:fill="FFFFFF" w:val="clear"/>
            <w:vAlign w:val="center"/>
          </w:tcPr>
          <w:p>
            <w:pPr>
              <w:pStyle w:val="TableContents"/>
              <w:bidi w:val="0"/>
              <w:spacing w:before="0" w:after="283"/>
              <w:jc w:val="left"/>
              <w:rPr/>
            </w:pPr>
            <w:r>
              <w:rPr/>
              <w:t> </w:t>
            </w:r>
          </w:p>
        </w:tc>
        <w:tc>
          <w:tcPr>
            <w:tcW w:w="112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12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0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19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137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type:</w:t>
            </w:r>
          </w:p>
        </w:tc>
        <w:tc>
          <w:tcPr>
            <w:tcW w:w="707" w:type="dxa"/>
            <w:gridSpan w:val="2"/>
            <w:tcBorders/>
            <w:shd w:fill="CFF0FC" w:val="clear"/>
            <w:vAlign w:val="center"/>
          </w:tcPr>
          <w:p>
            <w:pPr>
              <w:pStyle w:val="TableContents"/>
              <w:bidi w:val="0"/>
              <w:spacing w:before="0" w:after="283"/>
              <w:jc w:val="left"/>
              <w:rPr>
                <w:sz w:val="4"/>
                <w:szCs w:val="4"/>
              </w:rPr>
            </w:pPr>
            <w:r>
              <w:rPr>
                <w:sz w:val="4"/>
                <w:szCs w:val="4"/>
              </w:rPr>
            </w:r>
          </w:p>
        </w:tc>
        <w:tc>
          <w:tcPr>
            <w:tcW w:w="157"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left"/>
              <w:rPr>
                <w:sz w:val="4"/>
                <w:szCs w:val="4"/>
              </w:rPr>
            </w:pPr>
            <w:r>
              <w:rPr>
                <w:sz w:val="4"/>
                <w:szCs w:val="4"/>
              </w:rPr>
            </w:r>
          </w:p>
        </w:tc>
        <w:tc>
          <w:tcPr>
            <w:tcW w:w="157"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664" w:type="dxa"/>
            <w:gridSpan w:val="2"/>
            <w:tcBorders/>
            <w:shd w:fill="CFF0FC" w:val="clear"/>
            <w:vAlign w:val="center"/>
          </w:tcPr>
          <w:p>
            <w:pPr>
              <w:pStyle w:val="TableContents"/>
              <w:bidi w:val="0"/>
              <w:spacing w:before="0" w:after="283"/>
              <w:jc w:val="left"/>
              <w:rPr>
                <w:sz w:val="4"/>
                <w:szCs w:val="4"/>
              </w:rPr>
            </w:pPr>
            <w:r>
              <w:rPr>
                <w:sz w:val="4"/>
                <w:szCs w:val="4"/>
              </w:rPr>
            </w:r>
          </w:p>
        </w:tc>
        <w:tc>
          <w:tcPr>
            <w:tcW w:w="147"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664" w:type="dxa"/>
            <w:gridSpan w:val="2"/>
            <w:tcBorders/>
            <w:shd w:fill="CFF0FC" w:val="clear"/>
            <w:vAlign w:val="center"/>
          </w:tcPr>
          <w:p>
            <w:pPr>
              <w:pStyle w:val="TableContents"/>
              <w:bidi w:val="0"/>
              <w:spacing w:before="0" w:after="283"/>
              <w:jc w:val="left"/>
              <w:rPr>
                <w:sz w:val="4"/>
                <w:szCs w:val="4"/>
              </w:rPr>
            </w:pPr>
            <w:r>
              <w:rPr>
                <w:sz w:val="4"/>
                <w:szCs w:val="4"/>
              </w:rPr>
            </w:r>
          </w:p>
        </w:tc>
        <w:tc>
          <w:tcPr>
            <w:tcW w:w="147"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95" w:type="dxa"/>
            <w:tcBorders/>
            <w:shd w:fill="CFF0FC" w:val="clear"/>
            <w:vAlign w:val="center"/>
          </w:tcPr>
          <w:p>
            <w:pPr>
              <w:pStyle w:val="TableContents"/>
              <w:bidi w:val="0"/>
              <w:spacing w:before="0" w:after="283"/>
              <w:ind w:left="0" w:right="0" w:firstLine="100"/>
              <w:jc w:val="left"/>
              <w:rPr/>
            </w:pPr>
            <w:r>
              <w:rPr/>
              <w:t> </w:t>
            </w:r>
          </w:p>
        </w:tc>
      </w:tr>
      <w:tr>
        <w:trPr/>
        <w:tc>
          <w:tcPr>
            <w:tcW w:w="137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Debt investments</w:t>
            </w:r>
          </w:p>
        </w:tc>
        <w:tc>
          <w:tcPr>
            <w:tcW w:w="157"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15.05</w:t>
            </w:r>
          </w:p>
        </w:tc>
        <w:tc>
          <w:tcPr>
            <w:tcW w:w="157"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7"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16.69</w:t>
            </w:r>
          </w:p>
        </w:tc>
        <w:tc>
          <w:tcPr>
            <w:tcW w:w="157"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15.91</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15.65</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w:t>
            </w:r>
          </w:p>
        </w:tc>
        <w:tc>
          <w:tcPr>
            <w:tcW w:w="147"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16.42</w:t>
            </w:r>
          </w:p>
        </w:tc>
        <w:tc>
          <w:tcPr>
            <w:tcW w:w="147"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15.40</w:t>
            </w:r>
          </w:p>
        </w:tc>
        <w:tc>
          <w:tcPr>
            <w:tcW w:w="146"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37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Equity interest</w:t>
            </w:r>
          </w:p>
        </w:tc>
        <w:tc>
          <w:tcPr>
            <w:tcW w:w="157" w:type="dxa"/>
            <w:tcBorders/>
            <w:shd w:fill="CFF0FC" w:val="clear"/>
            <w:vAlign w:val="center"/>
          </w:tcPr>
          <w:p>
            <w:pPr>
              <w:pStyle w:val="TableContents"/>
              <w:bidi w:val="0"/>
              <w:spacing w:before="0" w:after="283"/>
              <w:jc w:val="left"/>
              <w:rPr/>
            </w:pPr>
            <w:r>
              <w:rPr/>
              <w:t> </w:t>
            </w:r>
          </w:p>
        </w:tc>
        <w:tc>
          <w:tcPr>
            <w:tcW w:w="550" w:type="dxa"/>
            <w:tcBorders/>
            <w:shd w:fill="CFF0FC" w:val="clear"/>
            <w:vAlign w:val="center"/>
          </w:tcPr>
          <w:p>
            <w:pPr>
              <w:pStyle w:val="TableContents"/>
              <w:bidi w:val="0"/>
              <w:spacing w:before="0" w:after="283"/>
              <w:jc w:val="right"/>
              <w:rPr>
                <w:color w:val="000000"/>
              </w:rPr>
            </w:pPr>
            <w:r>
              <w:rPr>
                <w:color w:val="000000"/>
              </w:rPr>
              <w:t>—</w:t>
            </w:r>
          </w:p>
        </w:tc>
        <w:tc>
          <w:tcPr>
            <w:tcW w:w="157"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7" w:type="dxa"/>
            <w:tcBorders/>
            <w:shd w:fill="CFF0FC" w:val="clear"/>
            <w:vAlign w:val="center"/>
          </w:tcPr>
          <w:p>
            <w:pPr>
              <w:pStyle w:val="TableContents"/>
              <w:bidi w:val="0"/>
              <w:spacing w:before="0" w:after="283"/>
              <w:jc w:val="left"/>
              <w:rPr/>
            </w:pPr>
            <w:r>
              <w:rPr/>
              <w:t> </w:t>
            </w:r>
          </w:p>
        </w:tc>
        <w:tc>
          <w:tcPr>
            <w:tcW w:w="55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57"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0.11</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FF0FC" w:val="clear"/>
            <w:vAlign w:val="center"/>
          </w:tcPr>
          <w:p>
            <w:pPr>
              <w:pStyle w:val="TableContents"/>
              <w:bidi w:val="0"/>
              <w:spacing w:before="0" w:after="283"/>
              <w:jc w:val="left"/>
              <w:rPr/>
            </w:pPr>
            <w:r>
              <w:rPr/>
              <w:t> </w:t>
            </w:r>
          </w:p>
        </w:tc>
        <w:tc>
          <w:tcPr>
            <w:tcW w:w="517"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51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147"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46" w:type="dxa"/>
            <w:tcBorders/>
            <w:shd w:fill="CFF0FC" w:val="clear"/>
            <w:vAlign w:val="center"/>
          </w:tcPr>
          <w:p>
            <w:pPr>
              <w:pStyle w:val="TableContents"/>
              <w:bidi w:val="0"/>
              <w:spacing w:before="0" w:after="283"/>
              <w:jc w:val="left"/>
              <w:rPr/>
            </w:pPr>
            <w:r>
              <w:rPr/>
              <w:t> </w:t>
            </w:r>
          </w:p>
        </w:tc>
        <w:tc>
          <w:tcPr>
            <w:tcW w:w="395"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37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All investments</w:t>
            </w:r>
          </w:p>
        </w:tc>
        <w:tc>
          <w:tcPr>
            <w:tcW w:w="157"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14.30</w:t>
            </w:r>
          </w:p>
        </w:tc>
        <w:tc>
          <w:tcPr>
            <w:tcW w:w="157"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7"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57"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15.15</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15.10</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w:t>
            </w:r>
          </w:p>
        </w:tc>
        <w:tc>
          <w:tcPr>
            <w:tcW w:w="147"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15.56</w:t>
            </w:r>
          </w:p>
        </w:tc>
        <w:tc>
          <w:tcPr>
            <w:tcW w:w="147"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14.51</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14.73</w:t>
            </w:r>
          </w:p>
        </w:tc>
        <w:tc>
          <w:tcPr>
            <w:tcW w:w="146"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calculate the dollar-weighted annualized yield on average investment type for any period as (a) total related investment income during the period divided by (b) the daily average of the investment type outstanding during the period, at amortized cost, including any investments on non-accrual status. The dollar-weighted annualized yield represents the portfolio yield and will be higher than what investors will realize because it does not reflect our expenses or any sales load paid by investors.</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Investment Activity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During the six months ended June 30, 2024, we funded $94.4 million in three new portfolio companies, $0.7 million in one joint venture, and $5.0 million in one existing portfolio company, net of upfront loan origination fees and refinances. We also received $59.8 million in loan prepayments from three portfolio companies and $1.7 million in scheduled principal payments from one portfolio company. There were no proceeds from the termination of warrants, sale of preferred stock, sale of equity interest, or sale of common stock. During the six months ended June 30, 2023, we did not fund any new portfolio companies and funded $63.5 million in eight existing portfolio companies, net of upfront loan origination fees and refinances. We also received $98.9 million in loan prepayments from six portfolio companies and $6.8 million in scheduled principal payments from two portfolio companies. There were no proceeds from the termination of warrants, sale of preferred stock, sale of equity interest, or sale of common stock.</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Portfolio Reconciliation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is a reconciliation of our investment portfolio, including U.S. Treasury Bills, for the six months ended June 30, 2024 and 2023 (in thousands):</w:t>
      </w:r>
    </w:p>
    <w:tbl>
      <w:tblPr>
        <w:tblW w:w="7539" w:type="dxa"/>
        <w:jc w:val="left"/>
        <w:tblInd w:w="0" w:type="dxa"/>
        <w:tblLayout w:type="fixed"/>
        <w:tblCellMar>
          <w:top w:w="28" w:type="dxa"/>
          <w:left w:w="28" w:type="dxa"/>
          <w:bottom w:w="28" w:type="dxa"/>
          <w:right w:w="28" w:type="dxa"/>
        </w:tblCellMar>
      </w:tblPr>
      <w:tblGrid>
        <w:gridCol w:w="2451"/>
        <w:gridCol w:w="2229"/>
        <w:gridCol w:w="196"/>
        <w:gridCol w:w="146"/>
        <w:gridCol w:w="826"/>
        <w:gridCol w:w="166"/>
        <w:gridCol w:w="146"/>
        <w:gridCol w:w="196"/>
        <w:gridCol w:w="146"/>
        <w:gridCol w:w="826"/>
        <w:gridCol w:w="211"/>
      </w:tblGrid>
      <w:tr>
        <w:trPr/>
        <w:tc>
          <w:tcPr>
            <w:tcW w:w="2451"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FFFFFF" w:val="clear"/>
            <w:vAlign w:val="center"/>
          </w:tcPr>
          <w:p>
            <w:pPr>
              <w:pStyle w:val="TableContents"/>
              <w:bidi w:val="0"/>
              <w:spacing w:before="0" w:after="283"/>
              <w:jc w:val="left"/>
              <w:rPr/>
            </w:pPr>
            <w:r>
              <w:rPr/>
              <w:t> </w:t>
            </w:r>
          </w:p>
        </w:tc>
        <w:tc>
          <w:tcPr>
            <w:tcW w:w="2229"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shd w:fill="FFFFFF" w:val="clear"/>
            <w:vAlign w:val="center"/>
          </w:tcPr>
          <w:p>
            <w:pPr>
              <w:pStyle w:val="TableContents"/>
              <w:bidi w:val="0"/>
              <w:spacing w:before="0" w:after="283"/>
              <w:jc w:val="center"/>
              <w:rPr/>
            </w:pPr>
            <w:r>
              <w:rPr/>
              <w:t> </w:t>
            </w:r>
          </w:p>
        </w:tc>
      </w:tr>
      <w:tr>
        <w:trPr/>
        <w:tc>
          <w:tcPr>
            <w:tcW w:w="2451" w:type="dxa"/>
            <w:tcBorders/>
            <w:shd w:fill="FFFFFF" w:val="clear"/>
            <w:vAlign w:val="center"/>
          </w:tcPr>
          <w:p>
            <w:pPr>
              <w:pStyle w:val="TableContents"/>
              <w:bidi w:val="0"/>
              <w:spacing w:before="0" w:after="283"/>
              <w:jc w:val="left"/>
              <w:rPr/>
            </w:pPr>
            <w:r>
              <w:rPr/>
              <w:t> </w:t>
            </w:r>
          </w:p>
        </w:tc>
        <w:tc>
          <w:tcPr>
            <w:tcW w:w="2229" w:type="dxa"/>
            <w:tcBorders/>
            <w:shd w:fill="FFFFFF" w:val="cle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680"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 investment portfolio</w:t>
            </w:r>
          </w:p>
        </w:tc>
        <w:tc>
          <w:tcPr>
            <w:tcW w:w="1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1,067,009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1,126,309</w:t>
            </w:r>
          </w:p>
        </w:tc>
        <w:tc>
          <w:tcPr>
            <w:tcW w:w="211" w:type="dxa"/>
            <w:tcBorders/>
            <w:shd w:fill="FFFFFF" w:val="clear"/>
            <w:vAlign w:val="center"/>
          </w:tcPr>
          <w:p>
            <w:pPr>
              <w:pStyle w:val="TableContents"/>
              <w:bidi w:val="0"/>
              <w:spacing w:before="0" w:after="283"/>
              <w:jc w:val="left"/>
              <w:rPr/>
            </w:pPr>
            <w:r>
              <w:rPr/>
              <w:t> </w:t>
            </w:r>
          </w:p>
        </w:tc>
      </w:tr>
      <w:tr>
        <w:trPr/>
        <w:tc>
          <w:tcPr>
            <w:tcW w:w="4680"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investments</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63,540</w:t>
            </w:r>
          </w:p>
        </w:tc>
        <w:tc>
          <w:tcPr>
            <w:tcW w:w="211" w:type="dxa"/>
            <w:tcBorders/>
            <w:shd w:fill="CFF0FC" w:val="clear"/>
            <w:vAlign w:val="center"/>
          </w:tcPr>
          <w:p>
            <w:pPr>
              <w:pStyle w:val="TableContents"/>
              <w:bidi w:val="0"/>
              <w:spacing w:before="0" w:after="283"/>
              <w:jc w:val="left"/>
              <w:rPr/>
            </w:pPr>
            <w:r>
              <w:rPr/>
              <w:t> </w:t>
            </w:r>
          </w:p>
        </w:tc>
      </w:tr>
      <w:tr>
        <w:trPr/>
        <w:tc>
          <w:tcPr>
            <w:tcW w:w="4680"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U.S. Treasury Bills</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34,974</w:t>
            </w:r>
          </w:p>
        </w:tc>
        <w:tc>
          <w:tcPr>
            <w:tcW w:w="211" w:type="dxa"/>
            <w:tcBorders/>
            <w:shd w:fill="FFFFFF" w:val="clear"/>
            <w:vAlign w:val="center"/>
          </w:tcPr>
          <w:p>
            <w:pPr>
              <w:pStyle w:val="TableContents"/>
              <w:bidi w:val="0"/>
              <w:spacing w:before="0" w:after="283"/>
              <w:jc w:val="left"/>
              <w:rPr/>
            </w:pPr>
            <w:r>
              <w:rPr/>
              <w:t> </w:t>
            </w:r>
          </w:p>
        </w:tc>
      </w:tr>
      <w:tr>
        <w:trPr/>
        <w:tc>
          <w:tcPr>
            <w:tcW w:w="4680"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PIK interest</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9,783</w:t>
            </w:r>
          </w:p>
        </w:tc>
        <w:tc>
          <w:tcPr>
            <w:tcW w:w="211" w:type="dxa"/>
            <w:tcBorders/>
            <w:shd w:fill="CFF0FC" w:val="clear"/>
            <w:vAlign w:val="center"/>
          </w:tcPr>
          <w:p>
            <w:pPr>
              <w:pStyle w:val="TableContents"/>
              <w:bidi w:val="0"/>
              <w:spacing w:before="0" w:after="283"/>
              <w:jc w:val="left"/>
              <w:rPr/>
            </w:pPr>
            <w:r>
              <w:rPr/>
              <w:t> </w:t>
            </w:r>
          </w:p>
        </w:tc>
      </w:tr>
      <w:tr>
        <w:trPr/>
        <w:tc>
          <w:tcPr>
            <w:tcW w:w="4680"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prepayments of investments</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(59,761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(98,901</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Scheduled repayments of investments</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(6,771</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maturities of U.S. Treasury Bills</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(42,029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fixed income premiums or accretion of discounts</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5,005</w:t>
            </w:r>
          </w:p>
        </w:tc>
        <w:tc>
          <w:tcPr>
            <w:tcW w:w="211" w:type="dxa"/>
            <w:tcBorders/>
            <w:shd w:fill="CFF0FC" w:val="clear"/>
            <w:vAlign w:val="center"/>
          </w:tcPr>
          <w:p>
            <w:pPr>
              <w:pStyle w:val="TableContents"/>
              <w:bidi w:val="0"/>
              <w:spacing w:before="0" w:after="283"/>
              <w:jc w:val="left"/>
              <w:rPr/>
            </w:pPr>
            <w:r>
              <w:rPr/>
              <w:t> </w:t>
            </w:r>
          </w:p>
        </w:tc>
      </w:tr>
      <w:tr>
        <w:trPr/>
        <w:tc>
          <w:tcPr>
            <w:tcW w:w="4680"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 on investments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 investment portfolio</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1,063,324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1,095,321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Asset Quality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 addition to various risk management and monitoring tools, RGC uses an investment rating system to characterize and monitor the quality of our debt investment portfolio. Equity securities and U.S. Treasury Bills are not graded. This debt investment rating system uses a five-level numeric scale. The following is a description of the conditions associated with each investment rating:</w:t>
      </w:r>
    </w:p>
    <w:tbl>
      <w:tblPr>
        <w:tblW w:w="10205" w:type="dxa"/>
        <w:jc w:val="left"/>
        <w:tblInd w:w="0" w:type="dxa"/>
        <w:tblLayout w:type="fixed"/>
        <w:tblCellMar>
          <w:top w:w="28" w:type="dxa"/>
          <w:left w:w="28" w:type="dxa"/>
          <w:bottom w:w="28" w:type="dxa"/>
          <w:right w:w="28" w:type="dxa"/>
        </w:tblCellMar>
      </w:tblPr>
      <w:tblGrid>
        <w:gridCol w:w="916"/>
        <w:gridCol w:w="109"/>
        <w:gridCol w:w="9180"/>
      </w:tblGrid>
      <w:tr>
        <w:trPr/>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sz w:val="4"/>
                <w:szCs w:val="4"/>
              </w:rPr>
            </w:pPr>
            <w:r>
              <w:rPr>
                <w:sz w:val="4"/>
                <w:szCs w:val="4"/>
              </w:rPr>
            </w:r>
          </w:p>
        </w:tc>
      </w:tr>
      <w:tr>
        <w:trPr/>
        <w:tc>
          <w:tcPr>
            <w:tcW w:w="9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Investment</w:t>
            </w:r>
            <w:r>
              <w:rPr>
                <w:rFonts w:ascii="Times New Roman" w:hAnsi="Times New Roman"/>
                <w:color w:val="000000"/>
                <w:sz w:val="16"/>
              </w:rPr>
              <w:br/>
            </w:r>
            <w:r>
              <w:rPr>
                <w:rFonts w:ascii="Times New Roman" w:hAnsi="Times New Roman"/>
                <w:b/>
                <w:color w:val="000000"/>
                <w:sz w:val="16"/>
              </w:rPr>
              <w:t>Rating</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Rating Definition</w:t>
            </w:r>
          </w:p>
        </w:tc>
      </w:tr>
      <w:tr>
        <w:trPr/>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9180" w:type="dxa"/>
            <w:tcBorders/>
            <w:shd w:fill="CFF0FC"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Performing above plan and/or strong enterprise profile, value, financial performance/coverage. Maintaining full covenant and payment compliance as agreed.</w:t>
            </w:r>
          </w:p>
        </w:tc>
      </w:tr>
      <w:tr>
        <w:trPr/>
        <w:tc>
          <w:tcPr>
            <w:tcW w:w="91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Performing at or reasonably close to plan. Acceptable business prospects, enterprise value, financial coverage. Maintaining key covenant and payment compliance as agreed. Generally, all new loans are initially graded Category 2.</w:t>
            </w:r>
          </w:p>
        </w:tc>
      </w:tr>
      <w:tr>
        <w:trPr/>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9180" w:type="dxa"/>
            <w:tcBorders/>
            <w:shd w:fill="CFF0FC"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Performing below plan of record. Potential elements of concern over performance, trends and business outlook. Loan-to-value remains adequate. Potential key covenant non-compliance. Full payment compliance.</w:t>
            </w:r>
          </w:p>
        </w:tc>
      </w:tr>
      <w:tr>
        <w:trPr/>
        <w:tc>
          <w:tcPr>
            <w:tcW w:w="91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 expected.</w:t>
            </w:r>
          </w:p>
        </w:tc>
      </w:tr>
      <w:tr>
        <w:trPr/>
        <w:tc>
          <w:tcPr>
            <w:tcW w:w="9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9180" w:type="dxa"/>
            <w:tcBorders/>
            <w:shd w:fill="CFF0FC"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Going concern nature in question. Substantial decline in enterprise value and all coverages. Covenant and payment default imminent if not currently present. Investments are nearly always in workout. May experience partial and/or full loss.</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shows the investment ratings of our debt investments at fair value as of June 30, 2024 and December 31, 2023 (dollars in thousands):</w:t>
      </w:r>
    </w:p>
    <w:tbl>
      <w:tblPr>
        <w:tblW w:w="10205" w:type="dxa"/>
        <w:jc w:val="left"/>
        <w:tblInd w:w="0" w:type="dxa"/>
        <w:tblLayout w:type="fixed"/>
        <w:tblCellMar>
          <w:top w:w="28" w:type="dxa"/>
          <w:left w:w="28" w:type="dxa"/>
          <w:bottom w:w="28" w:type="dxa"/>
          <w:right w:w="28" w:type="dxa"/>
        </w:tblCellMar>
      </w:tblPr>
      <w:tblGrid>
        <w:gridCol w:w="1205"/>
        <w:gridCol w:w="196"/>
        <w:gridCol w:w="826"/>
        <w:gridCol w:w="146"/>
        <w:gridCol w:w="146"/>
        <w:gridCol w:w="825"/>
        <w:gridCol w:w="390"/>
        <w:gridCol w:w="146"/>
        <w:gridCol w:w="1722"/>
        <w:gridCol w:w="146"/>
        <w:gridCol w:w="146"/>
        <w:gridCol w:w="196"/>
        <w:gridCol w:w="691"/>
        <w:gridCol w:w="146"/>
        <w:gridCol w:w="146"/>
        <w:gridCol w:w="825"/>
        <w:gridCol w:w="390"/>
        <w:gridCol w:w="146"/>
        <w:gridCol w:w="1771"/>
      </w:tblGrid>
      <w:tr>
        <w:trPr/>
        <w:tc>
          <w:tcPr>
            <w:tcW w:w="12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1205" w:type="dxa"/>
            <w:tcBorders/>
            <w:shd w:fill="FFFFFF" w:val="clear"/>
            <w:vAlign w:val="center"/>
          </w:tcPr>
          <w:p>
            <w:pPr>
              <w:pStyle w:val="TableContents"/>
              <w:bidi w:val="0"/>
              <w:spacing w:before="0" w:after="283"/>
              <w:jc w:val="left"/>
              <w:rPr/>
            </w:pPr>
            <w:r>
              <w:rPr/>
              <w:t> </w:t>
            </w:r>
          </w:p>
        </w:tc>
        <w:tc>
          <w:tcPr>
            <w:tcW w:w="439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1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r>
      <w:tr>
        <w:trPr/>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Rating</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Portfolio Companies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Portfolio Companies</w:t>
            </w:r>
          </w:p>
        </w:tc>
      </w:tr>
      <w:tr>
        <w:trPr/>
        <w:tc>
          <w:tcPr>
            <w:tcW w:w="120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color w:val="000000"/>
              </w:rPr>
            </w:pPr>
            <w:r>
              <w:rPr>
                <w:color w:val="000000"/>
              </w:rPr>
              <w:t>—</w:t>
            </w:r>
          </w:p>
        </w:tc>
        <w:tc>
          <w:tcPr>
            <w:tcW w:w="39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7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color w:val="000000"/>
              </w:rPr>
            </w:pPr>
            <w:r>
              <w:rPr>
                <w:color w:val="000000"/>
              </w:rPr>
              <w:t>—</w:t>
            </w:r>
          </w:p>
        </w:tc>
        <w:tc>
          <w:tcPr>
            <w:tcW w:w="39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771" w:type="dxa"/>
            <w:tcBorders/>
            <w:shd w:fill="CFF0FC" w:val="clear"/>
            <w:vAlign w:val="center"/>
          </w:tcPr>
          <w:p>
            <w:pPr>
              <w:pStyle w:val="TableContents"/>
              <w:bidi w:val="0"/>
              <w:spacing w:before="0" w:after="283"/>
              <w:jc w:val="right"/>
              <w:rPr>
                <w:color w:val="000000"/>
              </w:rPr>
            </w:pPr>
            <w:r>
              <w:rPr>
                <w:color w:val="000000"/>
              </w:rPr>
              <w:t>—</w:t>
            </w:r>
          </w:p>
        </w:tc>
      </w:tr>
      <w:tr>
        <w:trPr/>
        <w:tc>
          <w:tcPr>
            <w:tcW w:w="120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643,623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60.53</w:t>
            </w:r>
          </w:p>
        </w:tc>
        <w:tc>
          <w:tcPr>
            <w:tcW w:w="39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612,709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57.41</w:t>
            </w:r>
          </w:p>
        </w:tc>
        <w:tc>
          <w:tcPr>
            <w:tcW w:w="39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r>
      <w:tr>
        <w:trPr/>
        <w:tc>
          <w:tcPr>
            <w:tcW w:w="120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338,383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31.82</w:t>
            </w:r>
          </w:p>
        </w:tc>
        <w:tc>
          <w:tcPr>
            <w:tcW w:w="39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361,998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33.93</w:t>
            </w:r>
          </w:p>
        </w:tc>
        <w:tc>
          <w:tcPr>
            <w:tcW w:w="39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r>
      <w:tr>
        <w:trPr/>
        <w:tc>
          <w:tcPr>
            <w:tcW w:w="120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color w:val="000000"/>
              </w:rPr>
            </w:pPr>
            <w:r>
              <w:rPr>
                <w:color w:val="000000"/>
              </w:rPr>
              <w:t>—</w:t>
            </w:r>
          </w:p>
        </w:tc>
        <w:tc>
          <w:tcPr>
            <w:tcW w:w="39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0.36</w:t>
            </w:r>
          </w:p>
        </w:tc>
        <w:tc>
          <w:tcPr>
            <w:tcW w:w="39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r>
      <w:tr>
        <w:trPr/>
        <w:tc>
          <w:tcPr>
            <w:tcW w:w="120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205"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1,015,131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95.47</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91.70</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r>
    </w:tbl>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Loans and Debt Securities on Non-Accrual Status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Generally, when interest and/or principal payments on a loan become past due, or if we otherwise do not expect the borrower to be able to service its debt and other obligations, we will place the loan on non-accrual status and will cease recognizing interest income on that loan for financial reporting purposes until all principal and interest have been brought current through payment or due to a restructuring such that the interest income is deemed to be collectible. As of June 30, 2024, we had two senior secured term loans on non-accrual status; one loan to Mingle Healthcare Solutions, Inc. with a cost basis of $5.0 million and a fair value of $3.1 million, and one loan to Snagajob, Inc., with a cost basis of $42.7 million and a fair value of $30.0 million which represent 3.1% our total investment portfolio. From being placed on non-accrual status through June 30, 2024, cumulative interest of $0.4 million would be receivable from Mingle Healthcare Solutions, Inc. and not recorded in "Interest income" on the Consolidated Statements of Operations. From being placed on non-accrual status through June 30, 2024, cumulative interest of $1.8 million would be receivable from Snagajob, Inc. and $0.1 million OID would be accreted into the cost basis, for a total of $1.9 million not recorded in "Interest income" on the Consolidated Statements of Operations. As of December 31, 2023, we had no loans on non-accrual status. As of June 30, 2024, we had reversed interest income of $0.3 million related to the senior secured term loans. As of December 31, 2023, we had not reversed any accrued and uncollected interest income related to the senior secured term loans.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Results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 important measure of our financial performance is "Net increase (decrease) in net assets resulting from operations" on the Consolidated Statement of Operations, which includes "Net investment income (loss)", "Net realized gain (loss) on investments" and "Net change in unrealized gain (loss) on investments". "Net investment income (loss)" is the difference between our income from interest, dividends, fees and other income and our operating expenses, including interest on borrowed funds. "Net realized gain (loss) on investments" is the difference between the proceeds received from dispositions of portfolio investments and U.S. Treasury Bills and their amortized cost. "Net change in unrealized gain (loss) on investments" is the net change in the fair value of our investment portfolio.</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Comparison of the Three and Six Months Ended June 30, 2024 and 2023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is a comparison of the results of our operations for the three and six months ended June 30, 2024 and 2023 (dollars in thousands):</w:t>
      </w:r>
    </w:p>
    <w:tbl>
      <w:tblPr>
        <w:tblW w:w="11347" w:type="dxa"/>
        <w:jc w:val="left"/>
        <w:tblInd w:w="0" w:type="dxa"/>
        <w:tblLayout w:type="fixed"/>
        <w:tblCellMar>
          <w:top w:w="28" w:type="dxa"/>
          <w:left w:w="28" w:type="dxa"/>
          <w:bottom w:w="28" w:type="dxa"/>
          <w:right w:w="28" w:type="dxa"/>
        </w:tblCellMar>
      </w:tblPr>
      <w:tblGrid>
        <w:gridCol w:w="1256"/>
        <w:gridCol w:w="246"/>
        <w:gridCol w:w="246"/>
        <w:gridCol w:w="146"/>
        <w:gridCol w:w="601"/>
        <w:gridCol w:w="166"/>
        <w:gridCol w:w="146"/>
        <w:gridCol w:w="196"/>
        <w:gridCol w:w="146"/>
        <w:gridCol w:w="481"/>
        <w:gridCol w:w="166"/>
        <w:gridCol w:w="146"/>
        <w:gridCol w:w="196"/>
        <w:gridCol w:w="146"/>
        <w:gridCol w:w="601"/>
        <w:gridCol w:w="146"/>
        <w:gridCol w:w="146"/>
        <w:gridCol w:w="196"/>
        <w:gridCol w:w="146"/>
        <w:gridCol w:w="421"/>
        <w:gridCol w:w="146"/>
        <w:gridCol w:w="146"/>
        <w:gridCol w:w="246"/>
        <w:gridCol w:w="246"/>
        <w:gridCol w:w="146"/>
        <w:gridCol w:w="661"/>
        <w:gridCol w:w="166"/>
        <w:gridCol w:w="146"/>
        <w:gridCol w:w="196"/>
        <w:gridCol w:w="146"/>
        <w:gridCol w:w="481"/>
        <w:gridCol w:w="166"/>
        <w:gridCol w:w="146"/>
        <w:gridCol w:w="196"/>
        <w:gridCol w:w="146"/>
        <w:gridCol w:w="601"/>
        <w:gridCol w:w="166"/>
        <w:gridCol w:w="146"/>
        <w:gridCol w:w="196"/>
        <w:gridCol w:w="146"/>
        <w:gridCol w:w="481"/>
        <w:gridCol w:w="291"/>
      </w:tblGrid>
      <w:tr>
        <w:trPr/>
        <w:tc>
          <w:tcPr>
            <w:tcW w:w="12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25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c>
          <w:tcPr>
            <w:tcW w:w="4438"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4578"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shd w:fill="FFFFFF" w:val="clear"/>
            <w:vAlign w:val="center"/>
          </w:tcPr>
          <w:p>
            <w:pPr>
              <w:pStyle w:val="TableContents"/>
              <w:bidi w:val="0"/>
              <w:spacing w:before="0" w:after="283"/>
              <w:jc w:val="center"/>
              <w:rPr/>
            </w:pPr>
            <w:r>
              <w:rPr/>
              <w:t> </w:t>
            </w:r>
          </w:p>
        </w:tc>
      </w:tr>
      <w:tr>
        <w:trPr/>
        <w:tc>
          <w:tcPr>
            <w:tcW w:w="125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12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18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9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256"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fee and dividend income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4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256"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income</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5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investment income</w:t>
            </w:r>
          </w:p>
        </w:tc>
        <w:tc>
          <w:tcPr>
            <w:tcW w:w="2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expenses</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25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Management fees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25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Incentive fees</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25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Interest and other debt financing expenses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0.55</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25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Professional fees</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25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Administration agreement expenses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25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Insurance expense</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25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Tax expense</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25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Other expenses</w:t>
            </w:r>
          </w:p>
        </w:tc>
        <w:tc>
          <w:tcPr>
            <w:tcW w:w="2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5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operating expenses</w:t>
            </w:r>
          </w:p>
        </w:tc>
        <w:tc>
          <w:tcPr>
            <w:tcW w:w="2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2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5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gain (loss) on investments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2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5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change in unrealized gain (loss) on investments</w:t>
            </w:r>
          </w:p>
        </w:tc>
        <w:tc>
          <w:tcPr>
            <w:tcW w:w="2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5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2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40"/>
        <w:jc w:val="both"/>
        <w:rPr>
          <w:rFonts w:ascii="Times New Roman" w:hAnsi="Times New Roman"/>
          <w:color w:val="000000"/>
          <w:sz w:val="16"/>
        </w:rPr>
      </w:pPr>
      <w:r>
        <w:rPr>
          <w:rFonts w:ascii="Times New Roman" w:hAnsi="Times New Roman"/>
          <w:color w:val="000000"/>
          <w:sz w:val="16"/>
        </w:rPr>
        <w:t>The basic per share figures noted above are based on weighted averages of 39,180,767 and 40,509,269 shares outstanding for the three months ended June 30, 2024 and 2023, respectively, and 39,786,511 and 40,509,269 shares outstanding for the six months ended June 30, 2024 and 2023, respectively.</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Investment Income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investment objective is to maximize total return to our stockholders primarily through current income on our loan portfolio, and secondarily through capital gain on our warrants and other equity positions. We intend to achieve our investment objective by investing in high growth-potential, private companies. We typically invest in senior secured loans that generally fall into two strategies: Sponsored Growth Lending and Non-Sponsored Growth Lending. We generally receive warrants and/or other equity from our investments. We expect our investments in loans will generally range from between $10.0 million to $100.0 million, and the upper end of this range may increase as we raise additional capital.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monthly, primarily based on a floating rate index, and subject to certain floors determined by market rates at the time the investment is made. In some cases, some of our investments may provide for deferred interest payments or PIK interest. The principal amount of the debt securities and any accrued but unpaid interest will become due at the maturity date. Any original issue discount ("OID") or market discount or premium will be capitalized, and we will accrete or amortize such amounts as interest income. We record prepayment fees on debt investments as fee income. Dividend income, if any, will be recognized on an accrual basis to the extent that we expect to collect such amounts.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Investment income for the three months ended June 30, 2024 and 2023 was $34.2 million and $41.9 million, respectively, and includes non-recurring income of $0.4 million and $2.8 million, respectively. Non-recurring income includes, but is not limited to, acceleration of unaccreted OID, prepayment fees and amendment fees. The decrease in investment income for the three months ended June 30, 2024 compared to the three months ended June 30, 2023 was primarily due to the decrease in the average outstanding principal on interest-earning debt investments as a result of loan repayments and our loans to Snagajob, Inc., and Mingle Healthcare Solutions, Inc. moving to non-accrual status.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Investment income for the six months ended June 30, 2024 and 2023 was $74.2 million and $81.2 million, respectively, and includes non-recurring income of $4.2 million and $3.4 million, respectively. The decrease in investment income for the six months ended June 30, 2024 compared to the six months ended June 30, 2023 was primarily due to the decrease in the average outstanding principal on interest-earning debt investments as a result of loan repayments and our loans to Snagajob, Inc., and Mingle Healthcare Solutions, Inc. moving to non-accrual status.</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pro-rata portion of fees and expenses related an initial public offering in connection with a Spin-Off transaction (as defined in "Note 3 – Related Party Agreements and Transactions" to our consolidated financial statements in Part I, Item 1 of this Form 10-Q);</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fees and expenses related to public and private offerings, sales and repurchases of our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calculating our net asset value (including the cost and expenses of any independent valuation firm);</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interest payable on debt incurred to finance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sales and purchases of our common stock and other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investment advisory and management fees;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administration fees payable under the Administration Agreement;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transfer agent and custodial fees;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federal and state registration fees;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costs of registration and listing our securities on any securities exchange;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U.S. federal, state and local taxes;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independent directors’ fees and expenses;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costs of preparing and filing reports or other documents required by the SEC, the Financial Industry Regulatory Authority or other regulators;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costs of any reports, proxy statements or other notices to stockholders, including printing costs;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allocable portion of any fidelity bond, directors’ and officers’ errors and omissions liability insurance, and any other insurance premiums;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direct costs and expenses of administration, including printing, mailing, long distance telephone, copying, secretarial and other staff, independent auditors and outside legal costs;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Operating expenses for the three months ended June 30, 2024 and 2023 were $19.6 million and $22.2 million, respectively. Operating expenses decreased for the three months ended June 30, 2024 from the three months ended June 30, 2023 primarily due to decreased performance-based incentive fees and interest expense associated with decreased average outstanding borrowings under the Credit Facility. Operating expenses per share for the three months ended June 30, 2024 and 2023 were $0.50 and $0.55, respectively.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Operating expenses for the six months ended June 30, 2024 and 2023 were $40.9 million and $43.3 million, respectively. Operating expenses decreased for the six months ended June 30, 2024 from the six months ended June 30, 2023 primarily due to a decrease in performance-based incentive fees and interest expense associated with decreased average outstanding borrowings under the Credit Facility. Operating expenses per share for the six months ended June 30, 2024 and 2023 were $1.03 and $1.07, respectively.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Management fees for the three months ended June 30, 2024 and 2023 were $3.9 million and $4.3 million, respectively. Management fees decreased for the three months ended June 30, 2024 from the three months ended June 30, 2023 primarily due to decreased daily average gross assets.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Management fees for the six months ended June 30, 2024 and 2023 were $7.9 million and $8.3 million, respectively. Management fees decreased for the six months ended June 30, 2024 from the six months ended June 30, 2023 primarily due to decreased daily average gross assets.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Incentive fees for the three months ended June 30, 2024 and 2023 were $3.6 million and $4.9 million, respectively. Incentive fees decreased for the three months ended June 30, 2024 from the three months ended June 30, 2023 primarily due to a decrease in net investment income in the current quarter. For the three months ended June 30, 2024, $2.9 million of the incentive fees were payable in cash and $0.7 million were deferred and accrued. For the three months ended June 30, 2023, $3.4 million of the incentive fees were payable in cash, and $1.5 million were deferred and accrued. Incentive fees related to PIK or deferred interest are accrued and payment is deferred until such interest is collected in cash. Incentive fees per share for the three months ended June 30, 2024 and 2023 were $0.09 and $0.12, respectively.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Incentive fees for the six months ended June 30, 2024 and 2023 were $8.3 million and $9.5 million, respectively. Incentive fees decreased for the six months ended June 30, 2024 from the six months ended June 30, 2023 primarily due to a decrease in net investment income. For the six months ended June 30, 2024, $6.5 million of the incentive fees were payable in cash and $1.8 million were deferred and accrued. For the six months ended June 30, 2023, $6.9 million of the incentive fees were payable in cash and $2.6 million were deferred and accrued. Incentive fees per share for the six months ended June 30, 2024 and 2023 were $0.20 and $0.23, respectively.</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Net Investment Income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Net investment income for the three months ended June 30, 2024 and 2023 was $14.6 million and $19.7 million, respectively. Net investment income decreased for the three months ended June 30, 2024 from the three months ended June 30, 2023 primarily due to a decrease in investment income. Net investment income per share for the three months ended June 30, 2024 and 2023 was $0.37 and $0.49, respectively.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Net investment income for the six months ended June 30, 2024 and 2023 was $33.3 million and $37.9 million, respectively. Net investment income decreased for the six months ended June 30, 2024 from the six months ended June 30, 2023 primarily due to a decrease in investment income. Net investment income per share for the six months ended June 30, 2024 and 2023 was $0.84 and $0.94, respectively.</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Net Realized Gain (Loss) on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were no net realized gain (loss) on investments for the three months ended June 30, 2024 and the three months ended June 30, 2023.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were no net realized gain (loss) on investments for the six months ended June 30, 2024. The net realized loss on investments of $1.2 million for the six months ended June 30, 2023 was due to a loss of our investments in the warrants of CareCloud, Inc. and Gynesonics, Inc.</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240" w:after="180"/>
        <w:jc w:val="left"/>
        <w:rPr>
          <w:rFonts w:ascii="Times New Roman" w:hAnsi="Times New Roman"/>
          <w:i/>
          <w:color w:val="000000"/>
          <w:sz w:val="20"/>
        </w:rPr>
      </w:pPr>
      <w:r>
        <w:rPr>
          <w:rFonts w:ascii="Times New Roman" w:hAnsi="Times New Roman"/>
          <w:i/>
          <w:color w:val="000000"/>
          <w:sz w:val="20"/>
        </w:rPr>
        <w:t>Net Change in Unrealized Gain (Loss) on Investments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Net change in unrealized loss on investments of $6.3 million for the three months ended June 30, 2024 was primarily due to a decrease in the fair value of our convertible note investment in Snagajob.com, Inc., our senior secured loans to Snagajob.com, Inc., Vesta Payment Solutions, Inc., and FiscalNote, Inc., offset by increases in our preferred stock investment in Carecloud, Inc., and our senior secured loan to Cloudpay, Inc. The net change in unrealized gain on investments of $2.6 million for the three months ended June 30, 2023 was primarily due to an increase in the fair value of our senior secured loans to Brivo, Inc., as well as a recovery related to the senior secured loan to Pivot3, Inc., which released prior unrealized loss recorded on the investment.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Net change in unrealized loss on investments of $12.9 million for the six months ended June 30, 2024 was primarily due to a decrease in the fair value of our convertible note and senior secured loan to Snagajob.com, Inc., our senior secured loans to FiscalNote, Inc., and Vesta Payment Solutions, Inc., and our common stock investment in Coginiti Corp. The net change in unrealized loss on investments of $2.4 million for the six months ended June 30, 2023 was primarily due to decreases in the fair value of our investments in Gynesonics, Inc., offset by an increase in the fair value of our senior secured loans to Brivo, Inc., as well as a recovery of $1.2 million in liquidation of assets related to the senior secured loan to Pivot3, Inc., which released prior unrealized loss recorded on the investment.</w:t>
      </w:r>
    </w:p>
    <w:p>
      <w:pPr>
        <w:pStyle w:val="TextBody"/>
        <w:bidi w:val="0"/>
        <w:spacing w:before="240" w:after="180"/>
        <w:jc w:val="left"/>
        <w:rPr>
          <w:rFonts w:ascii="Times New Roman" w:hAnsi="Times New Roman"/>
          <w:i/>
          <w:color w:val="000000"/>
          <w:sz w:val="20"/>
        </w:rPr>
      </w:pPr>
      <w:r>
        <w:rPr>
          <w:rFonts w:ascii="Times New Roman" w:hAnsi="Times New Roman"/>
          <w:i/>
          <w:color w:val="000000"/>
          <w:sz w:val="20"/>
        </w:rPr>
        <w:t>Net Increase (Decrease) in Net Assets Resulting from Operations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had a net increase in net assets resulting from operations of $8.3 million for the three months ended June 30, 2024, as compared to a net increase in net assets resulting from operations of $22.3 million for the three months ended June 30, 2023.</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had a net increase in net assets resulting from operations of $20.3 million for the six months ended June 30, 2024, as compared to a net increase in net assets resulting from operations of $34.3 million for the six months ended June 30, 2023.</w:t>
      </w:r>
    </w:p>
    <w:p>
      <w:pPr>
        <w:pStyle w:val="TextBody"/>
        <w:bidi w:val="0"/>
        <w:spacing w:before="320" w:after="200"/>
        <w:jc w:val="left"/>
        <w:rPr>
          <w:rFonts w:ascii="Times New Roman" w:hAnsi="Times New Roman"/>
          <w:b/>
          <w:i/>
          <w:color w:val="000000"/>
          <w:sz w:val="20"/>
        </w:rPr>
      </w:pPr>
      <w:r>
        <w:rPr>
          <w:rFonts w:ascii="Times New Roman" w:hAnsi="Times New Roman"/>
          <w:b/>
          <w:i/>
          <w:color w:val="000000"/>
          <w:sz w:val="20"/>
        </w:rPr>
        <w:t>Financial Condition, Liquidity, Capital Resources and Obligations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liquidity and capital resources are derived from net proceeds from the offering of our securities, debt borrowings and cash flows from operations, including investment sales and repayments, and income earned. We have used, and expect to continue to use, our debt and the proceeds from the turnover of our portfolio and from public and private offerings of securities to finance our investment objectives. We expect that we may also generate cash from any financing arrangements we may enter into in the future and any future offerings of our equity or debt securities. Financing arrangements may come in the form of borrowings from banks or issuances of senior securities, which may be secured or unsecured, through registered offerings or private placements. Our primary use of funds is to make investments in eligible portfolio companies, pay our operating expenses and make distributions to holders of our common stock.</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During the six months ended June 30, 2024, we principally funded our operations from (i) cash receipts from interest, dividend, and fee income from our investment portfolio and (ii) cash proceeds from the realization of portfolio investments through the repayments of debt investments and the sale of debt and equity investments.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During the six months ended June 30, 2024, our operating activities provided $30.0 million of cash and cash equivalents, compared to $71.6 million provided during the six months ended June 30, 2023. The $41.6 million decrease in cash provided by operating activities was primarily due to a $37.1 million decrease in sales and repayments of investments and U.S. Treasury Bills.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six months ended June 30, 2024, our financing activities used $24.1 million of cash, compared to $39.6 million used by financing activities during the six months ended June 30, 2023. The $15.5 million decrease in cash flows used in financing activities was primarily due to increased net borrowing activity of $39.0 million, offset by increased share repurchases of $23.5 million.</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2024, our net assets totaled $506.4 million, with a net asset value per share of $13.14. We intend to continue to operate in order to generate cash flows from operations, including income earned from investments in our portfolio companies. Our primary use of funds will be investments in portfolio companies and cash distributions to holders of our common stock. </w:t>
      </w:r>
    </w:p>
    <w:p>
      <w:pPr>
        <w:pStyle w:val="TextBody"/>
        <w:bidi w:val="0"/>
        <w:spacing w:before="240" w:after="200"/>
        <w:jc w:val="both"/>
        <w:rPr>
          <w:rFonts w:ascii="Times New Roman" w:hAnsi="Times New Roman"/>
          <w:i/>
          <w:color w:val="000000"/>
          <w:sz w:val="20"/>
        </w:rPr>
      </w:pPr>
      <w:r>
        <w:rPr>
          <w:rFonts w:ascii="Times New Roman" w:hAnsi="Times New Roman"/>
          <w:i/>
          <w:color w:val="000000"/>
          <w:sz w:val="20"/>
        </w:rPr>
        <w:t>Available Liquidity and Capital Resources</w:t>
      </w:r>
    </w:p>
    <w:p>
      <w:pPr>
        <w:pStyle w:val="TextBody"/>
        <w:bidi w:val="0"/>
        <w:jc w:val="both"/>
        <w:rPr>
          <w:rFonts w:ascii="Times New Roman" w:hAnsi="Times New Roman"/>
          <w:color w:val="000000"/>
          <w:sz w:val="20"/>
        </w:rPr>
      </w:pPr>
      <w:r>
        <w:rPr>
          <w:rFonts w:ascii="Times New Roman" w:hAnsi="Times New Roman"/>
          <w:color w:val="000000"/>
          <w:sz w:val="20"/>
        </w:rPr>
        <w:t>As of June 30, 2024, we had $249.8 million in available liquidity, including $8.8 million in cash and cash equivalents, and approximately $241.0 million available under our Credit Facility, subject to borrowing base capacity. As of June 30, 2024, we had $309.0 million of secured debt outstanding under our Credit Facility, which are floating interest rate obligations and $247.3 million of unsecured debt outstanding under the 2026 and 2027 Notes, which are all fixed interest rate debt obligations. Refer to "Note 7 – Borrowings" to our consolidated financial statements in Part I, Item 1 of this Form 10-Q for additional discussion of our debt obligations.</w:t>
      </w:r>
    </w:p>
    <w:p>
      <w:pPr>
        <w:pStyle w:val="TextBody"/>
        <w:bidi w:val="0"/>
        <w:jc w:val="both"/>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Pursuant to the 1940 Act, we are permitted to incur borrowings, issue debt securities, or issue preferred stock if, immediately after the borrowings or issuance, the ratio of total assets (less total liabilities other than indebtedness) to total indebtedness plus preferred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0" w:after="180"/>
        <w:jc w:val="both"/>
        <w:rPr>
          <w:rFonts w:ascii="Times New Roman" w:hAnsi="Times New Roman"/>
          <w:color w:val="000000"/>
          <w:sz w:val="20"/>
        </w:rPr>
      </w:pPr>
      <w:r>
        <w:rPr>
          <w:rFonts w:ascii="Times New Roman" w:hAnsi="Times New Roman"/>
          <w:color w:val="000000"/>
          <w:sz w:val="20"/>
        </w:rPr>
        <w:t>is at least 150% (at least 200% prior to June 17, 2022). As of June 30, 2024 and December 31, 2023, our asset coverage ratio was 191% and 205%, respectively.</w:t>
      </w:r>
    </w:p>
    <w:p>
      <w:pPr>
        <w:pStyle w:val="TextBody"/>
        <w:bidi w:val="0"/>
        <w:jc w:val="both"/>
        <w:rPr>
          <w:rFonts w:ascii="Times New Roman" w:hAnsi="Times New Roman"/>
          <w:color w:val="000000"/>
          <w:sz w:val="20"/>
        </w:rPr>
      </w:pPr>
      <w:r>
        <w:rPr>
          <w:rFonts w:ascii="Times New Roman" w:hAnsi="Times New Roman"/>
          <w:color w:val="000000"/>
          <w:sz w:val="20"/>
        </w:rPr>
        <w:t>As detailed above, our diverse and well-structured balance sheet is designed to provide a long-term focused and sustainable investment platform. Currently, we believe we have sufficient liquidity to support our near-term capital requirements.</w:t>
      </w:r>
    </w:p>
    <w:p>
      <w:pPr>
        <w:pStyle w:val="TextBody"/>
        <w:bidi w:val="0"/>
        <w:spacing w:before="240" w:after="180"/>
        <w:jc w:val="both"/>
        <w:rPr>
          <w:rFonts w:ascii="Times New Roman" w:hAnsi="Times New Roman"/>
          <w:i/>
          <w:color w:val="000000"/>
          <w:sz w:val="20"/>
        </w:rPr>
      </w:pPr>
      <w:r>
        <w:rPr>
          <w:rFonts w:ascii="Times New Roman" w:hAnsi="Times New Roman"/>
          <w:i/>
          <w:color w:val="000000"/>
          <w:sz w:val="20"/>
        </w:rPr>
        <w:t>Commitments and Obligations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significant contractual payment obligations relate to our borrowings and deferred incentive fees. As of June 30, 2024, we had $556.3 million of debt outstanding, none of which was due within the next year, $404.0 million within 1 to 3 years, and $152.3 million beyond 3 years. As of June 30, 2024, we had $11.0 million of deferred incentive fees, $0.5 million of which was due within the next year, $7.5 million within 1 to 3 years, and $3.0 million beyond 3 years.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In addition to our on-balance sheet contractual obligations, in the normal course of business, we have future cash requirements related to our financial instruments with off-balance sheet risk. These consist of unfunded commitments to extend credit, in the form of loans, to our portfolio companies. Unfunded commitments to provide funds to portfolio companies are not reflected on our balance sheet.</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unfunded commitments may be significant from time to time. As of June 30, 2024, we had a total of $254.2 million in unfunded commitments which was comprised of $219.8 million to provide debt financing to our portfolio companies and $34.4 million in unfunded commitments to provide equity financing to the Runway-Cadma I LLC. Unfunded contractual commitments depend upon a portfolio company reaching certain milestones before the debt commitment is available to the portfolio company, which is expected to affect our funding levels. These commitments are subject to the same underwriting and ongoing portfolio maintenance as the on-balance sheet financial instruments that we hold. From time to time, unfunded contractual commitments may expire without being drawn and thus do not represent future cash requirements. We maintain sufficient liquidity (through cash on hand and available borrowings under the Credit Facility) to fund such unfunded commitments should the need arise. As of June 30, 2024, we had approximately $42.0 million of available unfunded commitments to portfolio companies that are eligible to be drawn based on achieved milestones and $34.4 million in unfunded capital commitments to Runway-Cadma I LLC. Refer to “Note 8 – Commitments and Contingencies” to our consolidated financial statements in Part I, Item 1 of this Form 10-Q for a summary of unfunded commitments by portfolio company as of June 30, 2024.</w:t>
      </w:r>
    </w:p>
    <w:p>
      <w:pPr>
        <w:pStyle w:val="TextBody"/>
        <w:bidi w:val="0"/>
        <w:spacing w:before="0" w:after="240"/>
        <w:jc w:val="both"/>
        <w:rPr>
          <w:rFonts w:ascii="Times New Roman" w:hAnsi="Times New Roman"/>
          <w:sz w:val="20"/>
        </w:rPr>
      </w:pPr>
      <w:r>
        <w:rPr>
          <w:rFonts w:ascii="Times New Roman" w:hAnsi="Times New Roman"/>
          <w:color w:val="000000"/>
          <w:sz w:val="20"/>
        </w:rPr>
        <w:t>The fair value of our unfunded commitments is considered to be immaterial as the yield determined at the time of underwriting is expected to be materially consistent with the yield upon funding, given that interest rates are generally pegged to market indices and given the existence of milestones, conditions and/or obligations embedded in the borrowing agreements</w:t>
      </w:r>
      <w:r>
        <w:rPr>
          <w:rFonts w:ascii="Times New Roman" w:hAnsi="Times New Roman"/>
          <w:i/>
          <w:color w:val="000000"/>
          <w:sz w:val="20"/>
        </w:rPr>
        <w:t>.</w:t>
      </w:r>
    </w:p>
    <w:p>
      <w:pPr>
        <w:pStyle w:val="TextBody"/>
        <w:bidi w:val="0"/>
        <w:spacing w:before="240" w:after="180"/>
        <w:jc w:val="left"/>
        <w:rPr>
          <w:rFonts w:ascii="Times New Roman" w:hAnsi="Times New Roman"/>
          <w:i/>
          <w:color w:val="000000"/>
          <w:sz w:val="20"/>
        </w:rPr>
      </w:pPr>
      <w:r>
        <w:rPr>
          <w:rFonts w:ascii="Times New Roman" w:hAnsi="Times New Roman"/>
          <w:i/>
          <w:color w:val="000000"/>
          <w:sz w:val="20"/>
        </w:rPr>
        <w:t>Repurchase Program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February 24, 2022, our Board of Directors approved a repurchase program (the “Initial Repurchase Program”) under which we were authorized to repurchase up to $25.0 million of our outstanding common stock, prior to its expiration on February 24, 2023. Under the Initial Repurchase Program, we were authorized to repurchase shares at management’s discretion from time to time in open-market transactions, in accordance with all applicable securities laws and regulations. We had repurchased 871,345 shares of our common stock under the Initial Repurchase Program for an aggregate purchase price of $10.8 million. The Board of Directors did not renew the Initial Repurchase Program, and it expired on February 24, 2023.</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November 2, 2023, our Board of Directors approved a new share repurchase program (the "Repurchase Program"), under which we may repurchase up to $25.0 million of our outstanding shares of common stock. Under the Repurchase Program, purchases may be made at management’s discretion from time to time in open-market transactions, in accordance with all applicable securities laws and regulations. As of June 30, 2024, we had repurchased 1,961,938 shares in connection with the Repurchase Program for an aggregate purchase price of $23.5 million. If not renewed, the Repurchase Program will terminate upon the earlier of (i) November 2, 2024 or (ii) the repurchase of $25.0 million of our shares of common stock.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240" w:after="180"/>
        <w:jc w:val="left"/>
        <w:rPr>
          <w:rFonts w:ascii="Times New Roman" w:hAnsi="Times New Roman"/>
          <w:i/>
          <w:color w:val="000000"/>
          <w:sz w:val="20"/>
        </w:rPr>
      </w:pPr>
      <w:r>
        <w:rPr>
          <w:rFonts w:ascii="Times New Roman" w:hAnsi="Times New Roman"/>
          <w:i/>
          <w:color w:val="000000"/>
          <w:sz w:val="20"/>
        </w:rPr>
        <w:t>Distributions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During the three and six months ended June 30, 2024, we declared and paid dividends in the amount of $18.5 million and $37.6 million, respectively, of which $18.2 million and $37.0 million, respectively, were distributed in cash and the remainder distributed in shares to stockholders pursuant to our Dividend Reinvestment Plan. For the three and six months ended June 30, 2023, we declared dividends in the amount of $18.2 million and $36.5 million, respectively, of which $17.5 million and $34.9 million, respectively, were distributed in cash and the remainder distributed in shares to stockholders pursuant to our Dividend Reinvestment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timing and amount of our distributions, if any, will be determined by our Board of Directors and will be declared out of assets legally available for distribution. Refer to "Note 9 – Net Assets" of our consolidated financial statements in Part I, Item 1 of this Form 10-Q for a summary of the distributions declared and paid since inception.</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Critical Accounting Estimates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preparation of the consolidated financial statements and related disclosures in conformity with U.S. GAAP requires our management to make estimates and assumptions that affect the reported amounts of assets and liabilities, disclosure of contingent assets and liabilities at the date of the consolidated financial statements, and revenues and expenses during the period reports. Actual results could materially differ from those estimates. For a description of our critical accounting policies, including those related to the valuation of investments and our election to be treated, and intent to qualify annually, as a RIC refer to “Note 2 – Summary of Significant Accounting Policies” to our consolidated financial statements in Part I, Item 1 of this Form 10-Q. We consider the most significant accounting policies to be those related to our Fair Value Measurements and Income Taxes.</w:t>
      </w:r>
    </w:p>
    <w:p>
      <w:pPr>
        <w:pStyle w:val="TextBody"/>
        <w:bidi w:val="0"/>
        <w:spacing w:before="360" w:after="240"/>
        <w:jc w:val="left"/>
        <w:rPr>
          <w:rFonts w:ascii="Times New Roman" w:hAnsi="Times New Roman"/>
          <w:b/>
          <w:color w:val="000000"/>
          <w:sz w:val="20"/>
        </w:rPr>
      </w:pPr>
      <w:bookmarkStart w:id="13" w:name="item3quantitativeandqualitativedisclosur"/>
      <w:bookmarkEnd w:id="13"/>
      <w:r>
        <w:rPr>
          <w:rFonts w:ascii="Times New Roman" w:hAnsi="Times New Roman"/>
          <w:b/>
          <w:color w:val="000000"/>
          <w:sz w:val="20"/>
        </w:rPr>
        <w:t>Item 3. Quantitative and Qualitative Disclosures about Market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commenced investment activities in portfolio securities during the quarter ended June 30, 2017, and commenced investment activities in U.S. Treasury Bills during the quarter ended December 31, 2016.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 Uncertainty with respect to the economic efforts of rising interest rates and inflation has introduced significant volatility in the financial markets, and the effects of this volatility could materially impact our market risks.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Valuation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are subject to financial market risks, including changes in interest rates. 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interest rates may affect both our cost of funding and our interest income from portfolio investments, and cash and cash equivalents. Changes in interest rates can also affect our ability to acquire and originate loans and securities and the value of our investment portfolio. Our net investment income is affected by fluctuations in various interest rates, including SOFR and Prime rates. Increasing interest rates could have the effect of increasing our total investment income once interest rates increase above contractual interest rates floors to which our portfolio companies are subject. Conversely, we would expect the cost of our floating rate Credit Facility to increase as well, offsetting the positive effect on our net interest income.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of June 30, 2024, 100.0% of our performing debt portfolio investments bore interest at variable rates, consisting of approximately 68.0% based on SOFR and 32.0% based on Prime. As a policy, any interest above the cash cap, if applicable, as determined on an individual loan basis will accrue to principal and be treated as PIK interest. A hypothetical 200 basis point increase or decrease in the interest rates on our variable-rate debt investments could increase our investment income by a maximum of $19.3 million and decrease our investment income by a maximum of $15.6 million, due to certain floors, on an annual basis.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debt borrowings under the Credit Facility bear interest at a floating rate, all other outstanding debt borrowings bear interest at a fixed rate. Borrowings under the Credit Facility bear interest on a per annum basis equal to the SOFR plus an applicable margin rate that ranges from 2.95% to 3.35% per annum depending on our leverage ratio and number of eligible loans in the collateral pool. For additional information regarding the interest rate associated with each of our debt borrowings, refer to "Note 7 – Borrowings" to our consolidated financial statements in Part I, Item 1 of this Form 10-Q.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Because we currently borrow, and plan to borrow in the future, to originate loans and securities,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pStyle w:val="TextBody"/>
        <w:bidi w:val="0"/>
        <w:jc w:val="both"/>
        <w:rPr>
          <w:rFonts w:ascii="Times New Roman" w:hAnsi="Times New Roman"/>
          <w:color w:val="000000"/>
          <w:sz w:val="20"/>
        </w:rPr>
      </w:pPr>
      <w:r>
        <w:rPr>
          <w:rFonts w:ascii="Times New Roman" w:hAnsi="Times New Roman"/>
          <w:color w:val="000000"/>
          <w:sz w:val="20"/>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current economic conditions and any associated impact on foreign financial markets.</w:t>
      </w:r>
    </w:p>
    <w:p>
      <w:pPr>
        <w:pStyle w:val="TextBody"/>
        <w:bidi w:val="0"/>
        <w:spacing w:before="360" w:after="240"/>
        <w:jc w:val="left"/>
        <w:rPr>
          <w:rFonts w:ascii="Times New Roman" w:hAnsi="Times New Roman"/>
          <w:b/>
          <w:color w:val="000000"/>
          <w:sz w:val="20"/>
        </w:rPr>
      </w:pPr>
      <w:bookmarkStart w:id="14" w:name="item4controlsandprocedures_691536"/>
      <w:bookmarkEnd w:id="14"/>
      <w:r>
        <w:rPr>
          <w:rFonts w:ascii="Times New Roman" w:hAnsi="Times New Roman"/>
          <w:b/>
          <w:color w:val="000000"/>
          <w:sz w:val="20"/>
        </w:rPr>
        <w:t>Item 4. Controls and Procedures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w:t>
        <w:noBreakHyphen/>
        <w:t>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pStyle w:val="TextBody"/>
        <w:bidi w:val="0"/>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center"/>
        <w:rPr>
          <w:rFonts w:ascii="Times New Roman" w:hAnsi="Times New Roman"/>
          <w:b/>
          <w:color w:val="000000"/>
          <w:sz w:val="20"/>
        </w:rPr>
      </w:pPr>
      <w:bookmarkStart w:id="15" w:name="partiiotherinformation_686450"/>
      <w:bookmarkEnd w:id="15"/>
      <w:r>
        <w:rPr>
          <w:rFonts w:ascii="Times New Roman" w:hAnsi="Times New Roman"/>
          <w:b/>
          <w:color w:val="000000"/>
          <w:sz w:val="20"/>
        </w:rPr>
        <w:t>PART II. OTHER INFORMATION</w:t>
      </w:r>
    </w:p>
    <w:p>
      <w:pPr>
        <w:pStyle w:val="TextBody"/>
        <w:bidi w:val="0"/>
        <w:spacing w:before="360" w:after="240"/>
        <w:jc w:val="left"/>
        <w:rPr>
          <w:rFonts w:ascii="Times New Roman" w:hAnsi="Times New Roman"/>
          <w:b/>
          <w:color w:val="000000"/>
          <w:sz w:val="20"/>
        </w:rPr>
      </w:pPr>
      <w:bookmarkStart w:id="16" w:name="item1legalproceedings_844818"/>
      <w:bookmarkEnd w:id="16"/>
      <w:r>
        <w:rPr>
          <w:rFonts w:ascii="Times New Roman" w:hAnsi="Times New Roman"/>
          <w:b/>
          <w:color w:val="000000"/>
          <w:sz w:val="20"/>
        </w:rPr>
        <w:t>Item 1. Legal Proceedings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and RGC are not currently subject to any material legal proceedings, nor, to our knowledge, is any material legal proceeding threatened against us. From time to time, we or RGC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any such legal proceedings cannot be predicted with certainty, we do not expect that any such proceedings will have a material effect upon our financial condition or results of operations.</w:t>
      </w:r>
    </w:p>
    <w:p>
      <w:pPr>
        <w:pStyle w:val="TextBody"/>
        <w:bidi w:val="0"/>
        <w:spacing w:before="360" w:after="240"/>
        <w:jc w:val="left"/>
        <w:rPr>
          <w:rFonts w:ascii="Times New Roman" w:hAnsi="Times New Roman"/>
          <w:b/>
          <w:color w:val="000000"/>
          <w:sz w:val="20"/>
        </w:rPr>
      </w:pPr>
      <w:bookmarkStart w:id="17" w:name="item1ariskfactors_996118"/>
      <w:bookmarkEnd w:id="17"/>
      <w:r>
        <w:rPr>
          <w:rFonts w:ascii="Times New Roman" w:hAnsi="Times New Roman"/>
          <w:b/>
          <w:color w:val="000000"/>
          <w:sz w:val="20"/>
        </w:rPr>
        <w:t>Item 1A. Risk Factors.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should carefully consider the risks described below and all other information contained in this quarterly report on Form 10-Q, including our interim consolidated financial statements and the related notes thereto, before making a decision to purchase our securities. The risks and uncertainties described below are not the only ones we may face. Additional risks and uncertainties not currently known to us or that we currently deem to be immaterial also may materially adversely affect our business, financial condition and/or operating results.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any of the following risks actually occur, our business, financial condition or results of operations could be materially adversely affected. If that happens, you may lose all or part of your investment. There have been no material changes known to us during the period ended June 30, 2024 to the risk factors discussed in “Risk Factors” in Part I, Item 1A of our annual report on Form 10-K for the fiscal year ended December 31, 2023, filed with the SEC on March 7, 2024.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risks and uncertainties described in our annual report on Form 10-K are not the only ones we may face. Additional risks and uncertainties not currently known to us or that we currently deem to be immaterial also may materially adversely affect our business, financial condition and/or operating results. If any of the risks listed in our annual report on Form 10-K actually occur, our business, financial condition or results of operations could be materially adversely affected. If that happens, you may lose all or part of your investment.</w:t>
      </w:r>
    </w:p>
    <w:p>
      <w:pPr>
        <w:pStyle w:val="TextBody"/>
        <w:bidi w:val="0"/>
        <w:spacing w:before="360" w:after="240"/>
        <w:jc w:val="left"/>
        <w:rPr>
          <w:rFonts w:ascii="Times New Roman" w:hAnsi="Times New Roman"/>
          <w:b/>
          <w:color w:val="000000"/>
          <w:sz w:val="20"/>
        </w:rPr>
      </w:pPr>
      <w:bookmarkStart w:id="18" w:name="item2unregisteredsalesofequitysecurities"/>
      <w:bookmarkEnd w:id="18"/>
      <w:r>
        <w:rPr>
          <w:rFonts w:ascii="Times New Roman" w:hAnsi="Times New Roman"/>
          <w:b/>
          <w:color w:val="000000"/>
          <w:sz w:val="20"/>
        </w:rPr>
        <w:t>Item 2. Unregistered Sales of Equity Securities and Use of Proceeds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Other than pursuant to our Dividend Reinvestment Plan, and except as previously reported by us on our current reports on Form 8</w:t>
        <w:noBreakHyphen/>
        <w:t>K, we did not sell any securities during the period covered by this quarterly report on Form 10</w:t>
        <w:noBreakHyphen/>
        <w:t>Q that were not registered under the Securities Act.</w:t>
      </w:r>
    </w:p>
    <w:p>
      <w:pPr>
        <w:pStyle w:val="TextBody"/>
        <w:bidi w:val="0"/>
        <w:spacing w:before="360" w:after="240"/>
        <w:jc w:val="left"/>
        <w:rPr>
          <w:rFonts w:ascii="Times New Roman" w:hAnsi="Times New Roman"/>
          <w:b/>
          <w:color w:val="000000"/>
          <w:sz w:val="20"/>
        </w:rPr>
      </w:pPr>
      <w:bookmarkStart w:id="19" w:name="item3defaultsuponseniorsecurities_59067"/>
      <w:bookmarkEnd w:id="19"/>
      <w:r>
        <w:rPr>
          <w:rFonts w:ascii="Times New Roman" w:hAnsi="Times New Roman"/>
          <w:b/>
          <w:color w:val="000000"/>
          <w:sz w:val="20"/>
        </w:rPr>
        <w:t>Item 3. Defaults Upon Senior Securities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40"/>
        <w:jc w:val="left"/>
        <w:rPr>
          <w:rFonts w:ascii="Times New Roman" w:hAnsi="Times New Roman"/>
          <w:b/>
          <w:color w:val="000000"/>
          <w:sz w:val="20"/>
        </w:rPr>
      </w:pPr>
      <w:bookmarkStart w:id="20" w:name="item4minesafetydisclosures_325402"/>
      <w:bookmarkEnd w:id="20"/>
      <w:r>
        <w:rPr>
          <w:rFonts w:ascii="Times New Roman" w:hAnsi="Times New Roman"/>
          <w:b/>
          <w:color w:val="000000"/>
          <w:sz w:val="20"/>
        </w:rPr>
        <w:t>Item 4. Mine Safety Disclosures</w:t>
      </w:r>
    </w:p>
    <w:p>
      <w:pPr>
        <w:pStyle w:val="TextBody"/>
        <w:bidi w:val="0"/>
        <w:jc w:val="both"/>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bookmarkStart w:id="21" w:name="item5otherinformation_981141"/>
      <w:bookmarkEnd w:id="21"/>
      <w:r>
        <w:rPr>
          <w:rFonts w:ascii="Times New Roman" w:hAnsi="Times New Roman"/>
          <w:b/>
          <w:color w:val="000000"/>
          <w:sz w:val="20"/>
        </w:rPr>
        <w:t>Item 5. Other Information</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(a) None.</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(b) None.</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(c) Rule 10b5-1 Disclosure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part of our Repurchase Program, we maintain a repurchase plan in accordance with Rule 10b5-1 (the "Rule 10b5-1 Plan") promulgated under the Securities Exchange Act of 1934, as amended. During the three and six months ended June 30, 2024, 1,074,842 and 1,961,938 shares were repurchased, respectively, under the Rule 10b5-1 Plan. Future repurchases may be made as open market or privately negotiated transactions as described above. We have no obligation to repurchase stock under this program and may suspend or terminate the Repurchase Program at any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period covered by this Quarterly Report on Form 10-Q, no director or officer of the Company has entered into any (i) contract, instruction or written plan for the purchase or sale of securities of the registrant intended to satisfy the affirmative defense conditions of Rule 10b5-1(c) under the Exchange Act or (ii) any non-Rule 10b5-1 trading arrangement.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bookmarkStart w:id="22" w:name="item6exhibits_524452"/>
      <w:bookmarkEnd w:id="22"/>
      <w:r>
        <w:rPr>
          <w:rFonts w:ascii="Times New Roman" w:hAnsi="Times New Roman"/>
          <w:b/>
          <w:color w:val="000000"/>
          <w:sz w:val="20"/>
        </w:rPr>
        <w:t>Item 6. Exhibits</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The following exhibits are filed as part of this report or hereby incorporated by reference to exhibits previously filed with the SEC:</w:t>
      </w:r>
    </w:p>
    <w:tbl>
      <w:tblPr>
        <w:tblW w:w="10205" w:type="dxa"/>
        <w:jc w:val="left"/>
        <w:tblInd w:w="0" w:type="dxa"/>
        <w:tblLayout w:type="fixed"/>
        <w:tblCellMar>
          <w:top w:w="28" w:type="dxa"/>
          <w:left w:w="28" w:type="dxa"/>
          <w:bottom w:w="28" w:type="dxa"/>
          <w:right w:w="28" w:type="dxa"/>
        </w:tblCellMar>
      </w:tblPr>
      <w:tblGrid>
        <w:gridCol w:w="676"/>
        <w:gridCol w:w="9529"/>
      </w:tblGrid>
      <w:tr>
        <w:trPr/>
        <w:tc>
          <w:tcPr>
            <w:tcW w:w="676" w:type="dxa"/>
            <w:tcBorders/>
            <w:vAlign w:val="center"/>
          </w:tcPr>
          <w:p>
            <w:pPr>
              <w:pStyle w:val="TableContents"/>
              <w:bidi w:val="0"/>
              <w:spacing w:before="0" w:after="283"/>
              <w:jc w:val="left"/>
              <w:rPr>
                <w:sz w:val="4"/>
                <w:szCs w:val="4"/>
              </w:rPr>
            </w:pPr>
            <w:r>
              <w:rPr>
                <w:sz w:val="4"/>
                <w:szCs w:val="4"/>
              </w:rPr>
            </w:r>
          </w:p>
        </w:tc>
        <w:tc>
          <w:tcPr>
            <w:tcW w:w="9529" w:type="dxa"/>
            <w:tcBorders/>
            <w:vAlign w:val="center"/>
          </w:tcPr>
          <w:p>
            <w:pPr>
              <w:pStyle w:val="TableContents"/>
              <w:bidi w:val="0"/>
              <w:spacing w:before="0" w:after="283"/>
              <w:jc w:val="left"/>
              <w:rPr>
                <w:sz w:val="4"/>
                <w:szCs w:val="4"/>
              </w:rPr>
            </w:pPr>
            <w:r>
              <w:rPr>
                <w:sz w:val="4"/>
                <w:szCs w:val="4"/>
              </w:rPr>
            </w:r>
          </w:p>
        </w:tc>
      </w:tr>
      <w:tr>
        <w:trPr/>
        <w:tc>
          <w:tcPr>
            <w:tcW w:w="67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w:t>
            </w:r>
          </w:p>
        </w:tc>
        <w:tc>
          <w:tcPr>
            <w:tcW w:w="9529" w:type="dxa"/>
            <w:tcBorders/>
            <w:vAlign w:val="center"/>
          </w:tcPr>
          <w:p>
            <w:pPr>
              <w:pStyle w:val="TableContents"/>
              <w:bidi w:val="0"/>
              <w:spacing w:before="0" w:after="283"/>
              <w:jc w:val="both"/>
              <w:rPr/>
            </w:pPr>
            <w:hyperlink r:id="rId2">
              <w:r>
                <w:rPr>
                  <w:rStyle w:val="InternetLink"/>
                  <w:rFonts w:ascii="Times New Roman" w:hAnsi="Times New Roman"/>
                  <w:color w:val="0000FF"/>
                  <w:sz w:val="16"/>
                  <w:u w:val="single"/>
                </w:rPr>
                <w:t xml:space="preserve">Articles of Amendment and Restatement </w:t>
              </w:r>
            </w:hyperlink>
            <w:hyperlink r:id="rId3">
              <w:r>
                <w:rPr>
                  <w:rStyle w:val="InternetLink"/>
                  <w:rFonts w:ascii="Times New Roman" w:hAnsi="Times New Roman"/>
                  <w:color w:val="0000FF"/>
                  <w:sz w:val="11"/>
                  <w:u w:val="single"/>
                </w:rPr>
                <w:t>(1)</w:t>
              </w:r>
            </w:hyperlink>
          </w:p>
        </w:tc>
      </w:tr>
      <w:tr>
        <w:trPr/>
        <w:tc>
          <w:tcPr>
            <w:tcW w:w="676" w:type="dxa"/>
            <w:tcBorders/>
            <w:vAlign w:val="center"/>
          </w:tcPr>
          <w:p>
            <w:pPr>
              <w:pStyle w:val="TableContents"/>
              <w:bidi w:val="0"/>
              <w:spacing w:before="0" w:after="283"/>
              <w:jc w:val="left"/>
              <w:rPr>
                <w:sz w:val="4"/>
                <w:szCs w:val="4"/>
              </w:rPr>
            </w:pPr>
            <w:r>
              <w:rPr>
                <w:sz w:val="4"/>
                <w:szCs w:val="4"/>
              </w:rPr>
            </w:r>
          </w:p>
        </w:tc>
        <w:tc>
          <w:tcPr>
            <w:tcW w:w="9529" w:type="dxa"/>
            <w:tcBorders/>
            <w:vAlign w:val="center"/>
          </w:tcPr>
          <w:p>
            <w:pPr>
              <w:pStyle w:val="TableContents"/>
              <w:bidi w:val="0"/>
              <w:spacing w:before="0" w:after="283"/>
              <w:jc w:val="left"/>
              <w:rPr>
                <w:sz w:val="4"/>
                <w:szCs w:val="4"/>
              </w:rPr>
            </w:pPr>
            <w:r>
              <w:rPr>
                <w:sz w:val="4"/>
                <w:szCs w:val="4"/>
              </w:rPr>
            </w:r>
          </w:p>
        </w:tc>
      </w:tr>
      <w:tr>
        <w:trPr/>
        <w:tc>
          <w:tcPr>
            <w:tcW w:w="67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w:t>
            </w:r>
          </w:p>
        </w:tc>
        <w:tc>
          <w:tcPr>
            <w:tcW w:w="9529" w:type="dxa"/>
            <w:tcBorders/>
            <w:vAlign w:val="center"/>
          </w:tcPr>
          <w:p>
            <w:pPr>
              <w:pStyle w:val="TableContents"/>
              <w:bidi w:val="0"/>
              <w:spacing w:before="0" w:after="283"/>
              <w:jc w:val="both"/>
              <w:rPr/>
            </w:pPr>
            <w:hyperlink r:id="rId4">
              <w:r>
                <w:rPr>
                  <w:rStyle w:val="InternetLink"/>
                  <w:rFonts w:ascii="Times New Roman" w:hAnsi="Times New Roman"/>
                  <w:color w:val="0000FF"/>
                  <w:sz w:val="16"/>
                  <w:u w:val="single"/>
                </w:rPr>
                <w:t xml:space="preserve">Articles of Amendment </w:t>
              </w:r>
            </w:hyperlink>
            <w:hyperlink r:id="rId5">
              <w:r>
                <w:rPr>
                  <w:rStyle w:val="InternetLink"/>
                  <w:rFonts w:ascii="Times New Roman" w:hAnsi="Times New Roman"/>
                  <w:color w:val="0000FF"/>
                  <w:sz w:val="11"/>
                  <w:u w:val="single"/>
                </w:rPr>
                <w:t>(2)</w:t>
              </w:r>
            </w:hyperlink>
          </w:p>
        </w:tc>
      </w:tr>
      <w:tr>
        <w:trPr/>
        <w:tc>
          <w:tcPr>
            <w:tcW w:w="676" w:type="dxa"/>
            <w:tcBorders/>
            <w:vAlign w:val="center"/>
          </w:tcPr>
          <w:p>
            <w:pPr>
              <w:pStyle w:val="TableContents"/>
              <w:bidi w:val="0"/>
              <w:spacing w:before="0" w:after="283"/>
              <w:jc w:val="left"/>
              <w:rPr>
                <w:sz w:val="4"/>
                <w:szCs w:val="4"/>
              </w:rPr>
            </w:pPr>
            <w:r>
              <w:rPr>
                <w:sz w:val="4"/>
                <w:szCs w:val="4"/>
              </w:rPr>
            </w:r>
          </w:p>
        </w:tc>
        <w:tc>
          <w:tcPr>
            <w:tcW w:w="9529" w:type="dxa"/>
            <w:tcBorders/>
            <w:vAlign w:val="center"/>
          </w:tcPr>
          <w:p>
            <w:pPr>
              <w:pStyle w:val="TableContents"/>
              <w:bidi w:val="0"/>
              <w:spacing w:before="0" w:after="283"/>
              <w:jc w:val="left"/>
              <w:rPr>
                <w:sz w:val="4"/>
                <w:szCs w:val="4"/>
              </w:rPr>
            </w:pPr>
            <w:r>
              <w:rPr>
                <w:sz w:val="4"/>
                <w:szCs w:val="4"/>
              </w:rPr>
            </w:r>
          </w:p>
        </w:tc>
      </w:tr>
      <w:tr>
        <w:trPr/>
        <w:tc>
          <w:tcPr>
            <w:tcW w:w="676"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3.3</w:t>
            </w:r>
          </w:p>
        </w:tc>
        <w:tc>
          <w:tcPr>
            <w:tcW w:w="9529" w:type="dxa"/>
            <w:tcBorders/>
            <w:vAlign w:val="center"/>
          </w:tcPr>
          <w:p>
            <w:pPr>
              <w:pStyle w:val="TableContents"/>
              <w:bidi w:val="0"/>
              <w:spacing w:before="0" w:after="283"/>
              <w:jc w:val="both"/>
              <w:rPr/>
            </w:pPr>
            <w:hyperlink r:id="rId6">
              <w:r>
                <w:rPr>
                  <w:rStyle w:val="InternetLink"/>
                  <w:rFonts w:ascii="Times New Roman" w:hAnsi="Times New Roman"/>
                  <w:color w:val="0000FF"/>
                  <w:sz w:val="16"/>
                  <w:u w:val="single"/>
                </w:rPr>
                <w:t xml:space="preserve">Second Amended and Restated Bylaws </w:t>
              </w:r>
            </w:hyperlink>
            <w:hyperlink r:id="rId7">
              <w:r>
                <w:rPr>
                  <w:rStyle w:val="InternetLink"/>
                  <w:rFonts w:ascii="Times New Roman" w:hAnsi="Times New Roman"/>
                  <w:color w:val="0000FF"/>
                  <w:sz w:val="11"/>
                  <w:u w:val="single"/>
                </w:rPr>
                <w:t>(2)</w:t>
              </w:r>
            </w:hyperlink>
          </w:p>
        </w:tc>
      </w:tr>
      <w:tr>
        <w:trPr/>
        <w:tc>
          <w:tcPr>
            <w:tcW w:w="676" w:type="dxa"/>
            <w:tcBorders/>
            <w:vAlign w:val="center"/>
          </w:tcPr>
          <w:p>
            <w:pPr>
              <w:pStyle w:val="TableContents"/>
              <w:bidi w:val="0"/>
              <w:spacing w:before="0" w:after="283"/>
              <w:jc w:val="both"/>
              <w:rPr/>
            </w:pPr>
            <w:r>
              <w:rPr/>
              <w:t> </w:t>
            </w:r>
          </w:p>
        </w:tc>
        <w:tc>
          <w:tcPr>
            <w:tcW w:w="9529" w:type="dxa"/>
            <w:tcBorders/>
            <w:vAlign w:val="center"/>
          </w:tcPr>
          <w:p>
            <w:pPr>
              <w:pStyle w:val="TableContents"/>
              <w:bidi w:val="0"/>
              <w:spacing w:before="0" w:after="283"/>
              <w:jc w:val="both"/>
              <w:rPr/>
            </w:pPr>
            <w:r>
              <w:rPr/>
              <w:t> </w:t>
            </w:r>
          </w:p>
        </w:tc>
      </w:tr>
      <w:tr>
        <w:trPr/>
        <w:tc>
          <w:tcPr>
            <w:tcW w:w="67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31.1</w:t>
            </w:r>
          </w:p>
        </w:tc>
        <w:tc>
          <w:tcPr>
            <w:tcW w:w="9529" w:type="dxa"/>
            <w:tcBorders/>
            <w:vAlign w:val="center"/>
          </w:tcPr>
          <w:p>
            <w:pPr>
              <w:pStyle w:val="TableContents"/>
              <w:bidi w:val="0"/>
              <w:spacing w:before="0" w:after="283"/>
              <w:jc w:val="both"/>
              <w:rPr/>
            </w:pPr>
            <w:hyperlink w:anchor="rway-ex31_1.htm">
              <w:r>
                <w:rPr>
                  <w:rStyle w:val="InternetLink"/>
                  <w:rFonts w:ascii="Times New Roman" w:hAnsi="Times New Roman"/>
                  <w:color w:val="0000FF"/>
                  <w:sz w:val="16"/>
                  <w:u w:val="single"/>
                </w:rPr>
                <w:t>Certification of Chief Executive Officer pursuant to Rule 13a</w:t>
                <w:noBreakHyphen/>
                <w:t>14 of the Securities Exchange Act of 1934, as amended*</w:t>
              </w:r>
            </w:hyperlink>
          </w:p>
        </w:tc>
      </w:tr>
      <w:tr>
        <w:trPr/>
        <w:tc>
          <w:tcPr>
            <w:tcW w:w="676" w:type="dxa"/>
            <w:tcBorders/>
            <w:vAlign w:val="center"/>
          </w:tcPr>
          <w:p>
            <w:pPr>
              <w:pStyle w:val="TableContents"/>
              <w:bidi w:val="0"/>
              <w:spacing w:before="0" w:after="283"/>
              <w:jc w:val="left"/>
              <w:rPr>
                <w:sz w:val="4"/>
                <w:szCs w:val="4"/>
              </w:rPr>
            </w:pPr>
            <w:r>
              <w:rPr>
                <w:sz w:val="4"/>
                <w:szCs w:val="4"/>
              </w:rPr>
            </w:r>
          </w:p>
        </w:tc>
        <w:tc>
          <w:tcPr>
            <w:tcW w:w="9529" w:type="dxa"/>
            <w:tcBorders/>
            <w:vAlign w:val="center"/>
          </w:tcPr>
          <w:p>
            <w:pPr>
              <w:pStyle w:val="TableContents"/>
              <w:bidi w:val="0"/>
              <w:spacing w:before="0" w:after="283"/>
              <w:jc w:val="left"/>
              <w:rPr>
                <w:sz w:val="4"/>
                <w:szCs w:val="4"/>
              </w:rPr>
            </w:pPr>
            <w:r>
              <w:rPr>
                <w:sz w:val="4"/>
                <w:szCs w:val="4"/>
              </w:rPr>
            </w:r>
          </w:p>
        </w:tc>
      </w:tr>
      <w:tr>
        <w:trPr/>
        <w:tc>
          <w:tcPr>
            <w:tcW w:w="676"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31.2</w:t>
            </w:r>
          </w:p>
        </w:tc>
        <w:tc>
          <w:tcPr>
            <w:tcW w:w="9529" w:type="dxa"/>
            <w:tcBorders/>
            <w:vAlign w:val="center"/>
          </w:tcPr>
          <w:p>
            <w:pPr>
              <w:pStyle w:val="TableContents"/>
              <w:bidi w:val="0"/>
              <w:spacing w:before="0" w:after="283"/>
              <w:jc w:val="both"/>
              <w:rPr/>
            </w:pPr>
            <w:hyperlink w:anchor="rway-ex31_2.htm">
              <w:r>
                <w:rPr>
                  <w:rStyle w:val="InternetLink"/>
                  <w:rFonts w:ascii="Times New Roman" w:hAnsi="Times New Roman"/>
                  <w:color w:val="0000FF"/>
                  <w:sz w:val="16"/>
                  <w:u w:val="single"/>
                </w:rPr>
                <w:t>Certification of Chief Financial Officer pursuant to Rule 13a</w:t>
                <w:noBreakHyphen/>
                <w:t>14 of the Securities Exchange Act of 1934, as amended*</w:t>
              </w:r>
            </w:hyperlink>
          </w:p>
        </w:tc>
      </w:tr>
      <w:tr>
        <w:trPr/>
        <w:tc>
          <w:tcPr>
            <w:tcW w:w="676" w:type="dxa"/>
            <w:tcBorders/>
            <w:vAlign w:val="center"/>
          </w:tcPr>
          <w:p>
            <w:pPr>
              <w:pStyle w:val="TableContents"/>
              <w:bidi w:val="0"/>
              <w:spacing w:before="0" w:after="283"/>
              <w:jc w:val="left"/>
              <w:rPr>
                <w:sz w:val="4"/>
                <w:szCs w:val="4"/>
              </w:rPr>
            </w:pPr>
            <w:r>
              <w:rPr>
                <w:sz w:val="4"/>
                <w:szCs w:val="4"/>
              </w:rPr>
            </w:r>
          </w:p>
        </w:tc>
        <w:tc>
          <w:tcPr>
            <w:tcW w:w="9529" w:type="dxa"/>
            <w:tcBorders/>
            <w:vAlign w:val="center"/>
          </w:tcPr>
          <w:p>
            <w:pPr>
              <w:pStyle w:val="TableContents"/>
              <w:bidi w:val="0"/>
              <w:spacing w:before="0" w:after="283"/>
              <w:jc w:val="left"/>
              <w:rPr>
                <w:sz w:val="4"/>
                <w:szCs w:val="4"/>
              </w:rPr>
            </w:pPr>
            <w:r>
              <w:rPr>
                <w:sz w:val="4"/>
                <w:szCs w:val="4"/>
              </w:rPr>
            </w:r>
          </w:p>
        </w:tc>
      </w:tr>
      <w:tr>
        <w:trPr/>
        <w:tc>
          <w:tcPr>
            <w:tcW w:w="676"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32.1</w:t>
            </w:r>
          </w:p>
        </w:tc>
        <w:tc>
          <w:tcPr>
            <w:tcW w:w="9529" w:type="dxa"/>
            <w:tcBorders/>
            <w:vAlign w:val="center"/>
          </w:tcPr>
          <w:p>
            <w:pPr>
              <w:pStyle w:val="TableContents"/>
              <w:bidi w:val="0"/>
              <w:spacing w:before="0" w:after="283"/>
              <w:jc w:val="both"/>
              <w:rPr/>
            </w:pPr>
            <w:hyperlink w:anchor="rway-ex32_1.htm">
              <w:r>
                <w:rPr>
                  <w:rStyle w:val="InternetLink"/>
                  <w:rFonts w:ascii="Times New Roman" w:hAnsi="Times New Roman"/>
                  <w:color w:val="0000FF"/>
                  <w:sz w:val="16"/>
                  <w:u w:val="single"/>
                </w:rPr>
                <w:t>Certification of Chief Executive Officer pursuant to Section 906 of the Sarbanes-Oxley Act of 2002*</w:t>
              </w:r>
            </w:hyperlink>
          </w:p>
        </w:tc>
      </w:tr>
      <w:tr>
        <w:trPr/>
        <w:tc>
          <w:tcPr>
            <w:tcW w:w="676" w:type="dxa"/>
            <w:tcBorders/>
            <w:vAlign w:val="center"/>
          </w:tcPr>
          <w:p>
            <w:pPr>
              <w:pStyle w:val="TableContents"/>
              <w:bidi w:val="0"/>
              <w:spacing w:before="0" w:after="283"/>
              <w:jc w:val="left"/>
              <w:rPr>
                <w:sz w:val="4"/>
                <w:szCs w:val="4"/>
              </w:rPr>
            </w:pPr>
            <w:r>
              <w:rPr>
                <w:sz w:val="4"/>
                <w:szCs w:val="4"/>
              </w:rPr>
            </w:r>
          </w:p>
        </w:tc>
        <w:tc>
          <w:tcPr>
            <w:tcW w:w="9529" w:type="dxa"/>
            <w:tcBorders/>
            <w:vAlign w:val="center"/>
          </w:tcPr>
          <w:p>
            <w:pPr>
              <w:pStyle w:val="TableContents"/>
              <w:bidi w:val="0"/>
              <w:spacing w:before="0" w:after="283"/>
              <w:jc w:val="left"/>
              <w:rPr>
                <w:sz w:val="4"/>
                <w:szCs w:val="4"/>
              </w:rPr>
            </w:pPr>
            <w:r>
              <w:rPr>
                <w:sz w:val="4"/>
                <w:szCs w:val="4"/>
              </w:rPr>
            </w:r>
          </w:p>
        </w:tc>
      </w:tr>
      <w:tr>
        <w:trPr/>
        <w:tc>
          <w:tcPr>
            <w:tcW w:w="676"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32.2</w:t>
            </w:r>
          </w:p>
        </w:tc>
        <w:tc>
          <w:tcPr>
            <w:tcW w:w="9529" w:type="dxa"/>
            <w:tcBorders/>
            <w:vAlign w:val="center"/>
          </w:tcPr>
          <w:p>
            <w:pPr>
              <w:pStyle w:val="TableContents"/>
              <w:bidi w:val="0"/>
              <w:spacing w:before="0" w:after="283"/>
              <w:jc w:val="both"/>
              <w:rPr/>
            </w:pPr>
            <w:hyperlink w:anchor="rway-ex32_2.htm">
              <w:r>
                <w:rPr>
                  <w:rStyle w:val="InternetLink"/>
                  <w:rFonts w:ascii="Times New Roman" w:hAnsi="Times New Roman"/>
                  <w:color w:val="0000FF"/>
                  <w:sz w:val="16"/>
                  <w:u w:val="single"/>
                </w:rPr>
                <w:t>Certification of Chief Financial Officer pursuant to Section 906 of the Sarbanes-Oxley Act of 2002*</w:t>
              </w:r>
            </w:hyperlink>
          </w:p>
        </w:tc>
      </w:tr>
      <w:tr>
        <w:trPr/>
        <w:tc>
          <w:tcPr>
            <w:tcW w:w="676" w:type="dxa"/>
            <w:tcBorders/>
            <w:vAlign w:val="center"/>
          </w:tcPr>
          <w:p>
            <w:pPr>
              <w:pStyle w:val="TableContents"/>
              <w:bidi w:val="0"/>
              <w:spacing w:before="0" w:after="283"/>
              <w:jc w:val="both"/>
              <w:rPr/>
            </w:pPr>
            <w:r>
              <w:rPr/>
              <w:t> </w:t>
            </w:r>
          </w:p>
        </w:tc>
        <w:tc>
          <w:tcPr>
            <w:tcW w:w="9529" w:type="dxa"/>
            <w:tcBorders/>
            <w:vAlign w:val="center"/>
          </w:tcPr>
          <w:p>
            <w:pPr>
              <w:pStyle w:val="TableContents"/>
              <w:bidi w:val="0"/>
              <w:spacing w:before="0" w:after="283"/>
              <w:jc w:val="both"/>
              <w:rPr/>
            </w:pPr>
            <w:r>
              <w:rPr/>
              <w:t> </w:t>
            </w:r>
          </w:p>
        </w:tc>
      </w:tr>
      <w:tr>
        <w:trPr/>
        <w:tc>
          <w:tcPr>
            <w:tcW w:w="676"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101.INS</w:t>
            </w:r>
          </w:p>
        </w:tc>
        <w:tc>
          <w:tcPr>
            <w:tcW w:w="9529"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Inline XBRL Instance Document – the instance document does not appear in the Interactive Data File because XBRL tags are embedded within the Inline XBRL document.*</w:t>
            </w:r>
          </w:p>
        </w:tc>
      </w:tr>
      <w:tr>
        <w:trPr/>
        <w:tc>
          <w:tcPr>
            <w:tcW w:w="676" w:type="dxa"/>
            <w:tcBorders/>
            <w:vAlign w:val="center"/>
          </w:tcPr>
          <w:p>
            <w:pPr>
              <w:pStyle w:val="TableContents"/>
              <w:bidi w:val="0"/>
              <w:spacing w:before="0" w:after="283"/>
              <w:jc w:val="both"/>
              <w:rPr/>
            </w:pPr>
            <w:r>
              <w:rPr/>
              <w:t> </w:t>
            </w:r>
          </w:p>
        </w:tc>
        <w:tc>
          <w:tcPr>
            <w:tcW w:w="9529" w:type="dxa"/>
            <w:tcBorders/>
            <w:vAlign w:val="center"/>
          </w:tcPr>
          <w:p>
            <w:pPr>
              <w:pStyle w:val="TableContents"/>
              <w:bidi w:val="0"/>
              <w:spacing w:before="0" w:after="283"/>
              <w:jc w:val="both"/>
              <w:rPr/>
            </w:pPr>
            <w:r>
              <w:rPr/>
              <w:t> </w:t>
            </w:r>
          </w:p>
        </w:tc>
      </w:tr>
      <w:tr>
        <w:trPr/>
        <w:tc>
          <w:tcPr>
            <w:tcW w:w="676"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101.SCH</w:t>
            </w:r>
          </w:p>
        </w:tc>
        <w:tc>
          <w:tcPr>
            <w:tcW w:w="9529"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Inline XBRL Taxonomy Extension Schema With Embedded Linkbase Documents *</w:t>
            </w:r>
          </w:p>
        </w:tc>
      </w:tr>
      <w:tr>
        <w:trPr/>
        <w:tc>
          <w:tcPr>
            <w:tcW w:w="676" w:type="dxa"/>
            <w:tcBorders/>
            <w:vAlign w:val="center"/>
          </w:tcPr>
          <w:p>
            <w:pPr>
              <w:pStyle w:val="TableContents"/>
              <w:bidi w:val="0"/>
              <w:spacing w:before="0" w:after="283"/>
              <w:jc w:val="both"/>
              <w:rPr/>
            </w:pPr>
            <w:r>
              <w:rPr/>
              <w:t> </w:t>
            </w:r>
          </w:p>
        </w:tc>
        <w:tc>
          <w:tcPr>
            <w:tcW w:w="9529" w:type="dxa"/>
            <w:tcBorders/>
            <w:vAlign w:val="center"/>
          </w:tcPr>
          <w:p>
            <w:pPr>
              <w:pStyle w:val="TableContents"/>
              <w:bidi w:val="0"/>
              <w:spacing w:before="0" w:after="283"/>
              <w:jc w:val="both"/>
              <w:rPr/>
            </w:pPr>
            <w:r>
              <w:rPr/>
              <w:t> </w:t>
            </w:r>
          </w:p>
        </w:tc>
      </w:tr>
      <w:tr>
        <w:trPr/>
        <w:tc>
          <w:tcPr>
            <w:tcW w:w="676"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104</w:t>
            </w:r>
          </w:p>
        </w:tc>
        <w:tc>
          <w:tcPr>
            <w:tcW w:w="9529"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cover page from the Company's Quarterly Report on Form 10-Q for the quarter ended June 30, 2024 has been formatted in Inline XBRL.*</w:t>
            </w:r>
          </w:p>
        </w:tc>
      </w:tr>
      <w:tr>
        <w:trPr/>
        <w:tc>
          <w:tcPr>
            <w:tcW w:w="676" w:type="dxa"/>
            <w:tcBorders/>
            <w:vAlign w:val="center"/>
          </w:tcPr>
          <w:p>
            <w:pPr>
              <w:pStyle w:val="TableContents"/>
              <w:bidi w:val="0"/>
              <w:spacing w:before="0" w:after="283"/>
              <w:jc w:val="both"/>
              <w:rPr/>
            </w:pPr>
            <w:r>
              <w:rPr/>
              <w:t> </w:t>
            </w:r>
          </w:p>
        </w:tc>
        <w:tc>
          <w:tcPr>
            <w:tcW w:w="9529" w:type="dxa"/>
            <w:tcBorders/>
            <w:vAlign w:val="center"/>
          </w:tcPr>
          <w:p>
            <w:pPr>
              <w:pStyle w:val="TableContents"/>
              <w:bidi w:val="0"/>
              <w:spacing w:before="0" w:after="283"/>
              <w:jc w:val="both"/>
              <w:rPr/>
            </w:pPr>
            <w:r>
              <w:rPr/>
              <w:t> </w:t>
            </w:r>
          </w:p>
        </w:tc>
      </w:tr>
    </w:tbl>
    <w:p>
      <w:pPr>
        <w:pStyle w:val="TextBody"/>
        <w:bidi w:val="0"/>
        <w:spacing w:before="120" w:after="283"/>
        <w:jc w:val="both"/>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6"/>
        </w:rPr>
        <w:t>Filed herewith.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Previously filed as an exhibit to the Registrant’s Current Report on Form 8</w:t>
        <w:noBreakHyphen/>
        <w:t>K filed with the SEC on December 19, 2016.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Previously filed as an exhibit to the Registrant’s Current Report on Form 8</w:t>
        <w:noBreakHyphen/>
        <w:t>K filed with the SEC on August 19, 2021.</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center"/>
        <w:rPr>
          <w:rFonts w:ascii="Times New Roman" w:hAnsi="Times New Roman"/>
          <w:b/>
          <w:color w:val="000000"/>
          <w:sz w:val="20"/>
        </w:rPr>
      </w:pPr>
      <w:bookmarkStart w:id="23" w:name="signatures_230440"/>
      <w:bookmarkEnd w:id="23"/>
      <w:r>
        <w:rPr>
          <w:rFonts w:ascii="Times New Roman" w:hAnsi="Times New Roman"/>
          <w:b/>
          <w:color w:val="000000"/>
          <w:sz w:val="20"/>
        </w:rPr>
        <w:t>SIGNATURES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tbl>
      <w:tblPr>
        <w:tblW w:w="8388" w:type="dxa"/>
        <w:jc w:val="left"/>
        <w:tblInd w:w="0" w:type="dxa"/>
        <w:tblLayout w:type="fixed"/>
        <w:tblCellMar>
          <w:top w:w="28" w:type="dxa"/>
          <w:left w:w="28" w:type="dxa"/>
          <w:bottom w:w="28" w:type="dxa"/>
          <w:right w:w="28" w:type="dxa"/>
        </w:tblCellMar>
      </w:tblPr>
      <w:tblGrid>
        <w:gridCol w:w="1846"/>
        <w:gridCol w:w="406"/>
        <w:gridCol w:w="613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sz w:val="4"/>
                <w:szCs w:val="4"/>
              </w:rPr>
            </w:pPr>
            <w:r>
              <w:rPr>
                <w:sz w:val="4"/>
                <w:szCs w:val="4"/>
              </w:rPr>
            </w:r>
          </w:p>
        </w:tc>
        <w:tc>
          <w:tcPr>
            <w:tcW w:w="6542"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RUNWAY GROWTH FINANCE CORP.</w:t>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406"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13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David Spreng</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 David Spreng</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Chairman of the Board of Directors</w:t>
            </w:r>
          </w:p>
        </w:tc>
      </w:tr>
      <w:tr>
        <w:trPr/>
        <w:tc>
          <w:tcPr>
            <w:tcW w:w="18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1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13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B. Raterman</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B. Raterman</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Treasurer and Secretary</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rway-ex31_1.htm"/>
      <w:bookmarkStart w:id="25" w:name="ksrwayex31_1"/>
      <w:bookmarkEnd w:id="24"/>
      <w:bookmarkEnd w:id="25"/>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 David Spreng, as Chief Executive Officer,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Runway Growth Finance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92" w:type="dxa"/>
        <w:jc w:val="left"/>
        <w:tblInd w:w="0" w:type="dxa"/>
        <w:tblLayout w:type="fixed"/>
        <w:tblCellMar>
          <w:top w:w="28" w:type="dxa"/>
          <w:left w:w="28" w:type="dxa"/>
          <w:bottom w:w="28" w:type="dxa"/>
          <w:right w:w="28" w:type="dxa"/>
        </w:tblCellMar>
      </w:tblPr>
      <w:tblGrid>
        <w:gridCol w:w="1846"/>
        <w:gridCol w:w="109"/>
        <w:gridCol w:w="406"/>
        <w:gridCol w:w="21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 David Spreng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 David Spreng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rway-ex31_2.htm"/>
      <w:bookmarkStart w:id="27" w:name="ksrwayex31_2"/>
      <w:bookmarkEnd w:id="26"/>
      <w:bookmarkEnd w:id="27"/>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B. Raterman, as Chief Financial Officer,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Runway Growth Finance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62" w:type="dxa"/>
        <w:jc w:val="left"/>
        <w:tblInd w:w="0" w:type="dxa"/>
        <w:tblLayout w:type="fixed"/>
        <w:tblCellMar>
          <w:top w:w="28" w:type="dxa"/>
          <w:left w:w="28" w:type="dxa"/>
          <w:bottom w:w="28" w:type="dxa"/>
          <w:right w:w="28" w:type="dxa"/>
        </w:tblCellMar>
      </w:tblPr>
      <w:tblGrid>
        <w:gridCol w:w="1846"/>
        <w:gridCol w:w="109"/>
        <w:gridCol w:w="406"/>
        <w:gridCol w:w="21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B. Raterman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B. Raterman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rway-ex32_1.htm"/>
      <w:bookmarkStart w:id="29" w:name="ksrwayex32_1"/>
      <w:bookmarkEnd w:id="28"/>
      <w:bookmarkEnd w:id="29"/>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Runway Growth Finance Corp. (the “Company”) on Form 10-Q for the period ended June 30,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492" w:type="dxa"/>
        <w:jc w:val="left"/>
        <w:tblInd w:w="0" w:type="dxa"/>
        <w:tblLayout w:type="fixed"/>
        <w:tblCellMar>
          <w:top w:w="28" w:type="dxa"/>
          <w:left w:w="28" w:type="dxa"/>
          <w:bottom w:w="28" w:type="dxa"/>
          <w:right w:w="28" w:type="dxa"/>
        </w:tblCellMar>
      </w:tblPr>
      <w:tblGrid>
        <w:gridCol w:w="1846"/>
        <w:gridCol w:w="109"/>
        <w:gridCol w:w="406"/>
        <w:gridCol w:w="21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 David Spreng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 David Spreng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rway-ex32_2.htm"/>
      <w:bookmarkStart w:id="31" w:name="ksrwayex32_2"/>
      <w:bookmarkEnd w:id="30"/>
      <w:bookmarkEnd w:id="31"/>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Runway Growth Finance Corp. (the “Company”) on Form 10-Q for the period ended June 30,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462" w:type="dxa"/>
        <w:jc w:val="left"/>
        <w:tblInd w:w="0" w:type="dxa"/>
        <w:tblLayout w:type="fixed"/>
        <w:tblCellMar>
          <w:top w:w="28" w:type="dxa"/>
          <w:left w:w="28" w:type="dxa"/>
          <w:bottom w:w="28" w:type="dxa"/>
          <w:right w:w="28" w:type="dxa"/>
        </w:tblCellMar>
      </w:tblPr>
      <w:tblGrid>
        <w:gridCol w:w="1846"/>
        <w:gridCol w:w="109"/>
        <w:gridCol w:w="406"/>
        <w:gridCol w:w="21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B. Raterman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B. Raterman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3384/000114420416140270/v454968_ex3-1.htm" TargetMode="External"/><Relationship Id="rId3" Type="http://schemas.openxmlformats.org/officeDocument/2006/relationships/hyperlink" Target="https://www.sec.gov/Archives/edgar/data/1653384/000114420416140270/v454968_ex3-1.htm" TargetMode="External"/><Relationship Id="rId4" Type="http://schemas.openxmlformats.org/officeDocument/2006/relationships/hyperlink" Target="https://www.sec.gov/Archives/edgar/data/0001653384/000165338421000016/rgc-20210819ex31cb84ffa.htm" TargetMode="External"/><Relationship Id="rId5" Type="http://schemas.openxmlformats.org/officeDocument/2006/relationships/hyperlink" Target="https://www.sec.gov/Archives/edgar/data/0001653384/000165338421000016/rgc-20210819ex31cb84ffa.htm" TargetMode="External"/><Relationship Id="rId6" Type="http://schemas.openxmlformats.org/officeDocument/2006/relationships/hyperlink" Target="https://www.sec.gov/Archives/edgar/data/0001653384/000165338421000016/rgc-20210819ex32804659c.htm" TargetMode="External"/><Relationship Id="rId7" Type="http://schemas.openxmlformats.org/officeDocument/2006/relationships/hyperlink" Target="https://www.sec.gov/Archives/edgar/data/0001653384/000165338421000016/rgc-20210819ex32804659c.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39419</Words>
  <Characters>214588</Characters>
  <CharactersWithSpaces>267124</CharactersWithSpaces>
  <Paragraphs>25723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