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154305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37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10-Q</w:t>
      </w:r>
    </w:p>
    <w:p>
      <w:pPr>
        <w:spacing w:after="0" w:line="188"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(Mark One)</w:t>
      </w:r>
    </w:p>
    <w:p>
      <w:pPr>
        <w:spacing w:after="0" w:line="33" w:lineRule="exact"/>
        <w:rPr>
          <w:sz w:val="24"/>
          <w:szCs w:val="24"/>
          <w:color w:val="auto"/>
        </w:rPr>
      </w:pPr>
    </w:p>
    <w:p>
      <w:pPr>
        <w:ind w:left="3620" w:right="400" w:hanging="2630"/>
        <w:spacing w:after="0" w:line="445" w:lineRule="auto"/>
        <w:tabs>
          <w:tab w:leader="none" w:pos="212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2023</w:t>
      </w:r>
    </w:p>
    <w:p>
      <w:pPr>
        <w:spacing w:after="0" w:line="25" w:lineRule="exact"/>
        <w:rPr>
          <w:sz w:val="24"/>
          <w:szCs w:val="24"/>
          <w:color w:val="auto"/>
        </w:rPr>
      </w:pPr>
    </w:p>
    <w:p>
      <w:pPr>
        <w:ind w:left="3920" w:right="420" w:hanging="2930"/>
        <w:spacing w:after="0" w:line="434" w:lineRule="auto"/>
        <w:tabs>
          <w:tab w:leader="none" w:pos="2125" w:val="left"/>
        </w:tabs>
        <w:numPr>
          <w:ilvl w:val="0"/>
          <w:numId w:val="2"/>
        </w:numPr>
        <w:rPr>
          <w:rFonts w:ascii="MS PGothic" w:cs="MS PGothic" w:eastAsia="MS PGothic" w:hAnsi="MS PGothic"/>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 Commission File Number: 814-01180</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Runway Growth Finance Corp.</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70"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4040" w:type="dxa"/>
            <w:vAlign w:val="bottom"/>
          </w:tcPr>
          <w:p>
            <w:pPr>
              <w:jc w:val="center"/>
              <w:ind w:right="1282"/>
              <w:spacing w:after="0"/>
              <w:rPr>
                <w:sz w:val="20"/>
                <w:szCs w:val="20"/>
                <w:color w:val="auto"/>
              </w:rPr>
            </w:pPr>
            <w:r>
              <w:rPr>
                <w:rFonts w:ascii="Arial" w:cs="Arial" w:eastAsia="Arial" w:hAnsi="Arial"/>
                <w:sz w:val="16"/>
                <w:szCs w:val="16"/>
                <w:b w:val="1"/>
                <w:bCs w:val="1"/>
                <w:color w:val="auto"/>
                <w:w w:val="96"/>
              </w:rPr>
              <w:t>Maryland</w:t>
            </w:r>
          </w:p>
        </w:tc>
        <w:tc>
          <w:tcPr>
            <w:tcW w:w="3780" w:type="dxa"/>
            <w:vAlign w:val="bottom"/>
          </w:tcPr>
          <w:p>
            <w:pPr>
              <w:jc w:val="right"/>
              <w:ind w:right="702"/>
              <w:spacing w:after="0"/>
              <w:rPr>
                <w:sz w:val="20"/>
                <w:szCs w:val="20"/>
                <w:color w:val="auto"/>
              </w:rPr>
            </w:pPr>
            <w:r>
              <w:rPr>
                <w:rFonts w:ascii="Arial" w:cs="Arial" w:eastAsia="Arial" w:hAnsi="Arial"/>
                <w:sz w:val="16"/>
                <w:szCs w:val="16"/>
                <w:b w:val="1"/>
                <w:bCs w:val="1"/>
                <w:color w:val="auto"/>
              </w:rPr>
              <w:t>47-5049745</w:t>
            </w:r>
          </w:p>
        </w:tc>
      </w:tr>
      <w:tr>
        <w:trPr>
          <w:trHeight w:val="197"/>
        </w:trPr>
        <w:tc>
          <w:tcPr>
            <w:tcW w:w="4040" w:type="dxa"/>
            <w:vAlign w:val="bottom"/>
          </w:tcPr>
          <w:p>
            <w:pPr>
              <w:jc w:val="center"/>
              <w:ind w:right="1302"/>
              <w:spacing w:after="0"/>
              <w:rPr>
                <w:sz w:val="20"/>
                <w:szCs w:val="20"/>
                <w:color w:val="auto"/>
              </w:rPr>
            </w:pPr>
            <w:r>
              <w:rPr>
                <w:rFonts w:ascii="Arial" w:cs="Arial" w:eastAsia="Arial" w:hAnsi="Arial"/>
                <w:sz w:val="16"/>
                <w:szCs w:val="16"/>
                <w:color w:val="auto"/>
                <w:w w:val="97"/>
              </w:rPr>
              <w:t>(State of incorporation)</w:t>
            </w:r>
          </w:p>
        </w:tc>
        <w:tc>
          <w:tcPr>
            <w:tcW w:w="3780" w:type="dxa"/>
            <w:vAlign w:val="bottom"/>
          </w:tcPr>
          <w:p>
            <w:pPr>
              <w:jc w:val="center"/>
              <w:ind w:left="1302"/>
              <w:spacing w:after="0"/>
              <w:rPr>
                <w:sz w:val="20"/>
                <w:szCs w:val="20"/>
                <w:color w:val="auto"/>
              </w:rPr>
            </w:pPr>
            <w:r>
              <w:rPr>
                <w:rFonts w:ascii="Arial" w:cs="Arial" w:eastAsia="Arial" w:hAnsi="Arial"/>
                <w:sz w:val="16"/>
                <w:szCs w:val="16"/>
                <w:color w:val="auto"/>
                <w:w w:val="97"/>
              </w:rPr>
              <w:t>(I.R.S. Employer Identification No.)</w:t>
            </w:r>
          </w:p>
        </w:tc>
      </w:tr>
      <w:tr>
        <w:trPr>
          <w:trHeight w:val="383"/>
        </w:trPr>
        <w:tc>
          <w:tcPr>
            <w:tcW w:w="4040" w:type="dxa"/>
            <w:vAlign w:val="bottom"/>
          </w:tcPr>
          <w:p>
            <w:pPr>
              <w:jc w:val="center"/>
              <w:ind w:right="1282"/>
              <w:spacing w:after="0"/>
              <w:rPr>
                <w:sz w:val="20"/>
                <w:szCs w:val="20"/>
                <w:color w:val="auto"/>
              </w:rPr>
            </w:pPr>
            <w:r>
              <w:rPr>
                <w:rFonts w:ascii="Arial" w:cs="Arial" w:eastAsia="Arial" w:hAnsi="Arial"/>
                <w:sz w:val="16"/>
                <w:szCs w:val="16"/>
                <w:b w:val="1"/>
                <w:bCs w:val="1"/>
                <w:color w:val="auto"/>
                <w:w w:val="97"/>
              </w:rPr>
              <w:t>205 N. Michigan Ave., Suite 4200</w:t>
            </w:r>
          </w:p>
        </w:tc>
        <w:tc>
          <w:tcPr>
            <w:tcW w:w="3780" w:type="dxa"/>
            <w:vAlign w:val="bottom"/>
          </w:tcPr>
          <w:p>
            <w:pPr>
              <w:spacing w:after="0"/>
              <w:rPr>
                <w:sz w:val="24"/>
                <w:szCs w:val="24"/>
                <w:color w:val="auto"/>
              </w:rPr>
            </w:pPr>
          </w:p>
        </w:tc>
      </w:tr>
      <w:tr>
        <w:trPr>
          <w:trHeight w:val="212"/>
        </w:trPr>
        <w:tc>
          <w:tcPr>
            <w:tcW w:w="4040" w:type="dxa"/>
            <w:vAlign w:val="bottom"/>
          </w:tcPr>
          <w:p>
            <w:pPr>
              <w:jc w:val="center"/>
              <w:ind w:right="1282"/>
              <w:spacing w:after="0"/>
              <w:rPr>
                <w:sz w:val="20"/>
                <w:szCs w:val="20"/>
                <w:color w:val="auto"/>
              </w:rPr>
            </w:pPr>
            <w:r>
              <w:rPr>
                <w:rFonts w:ascii="Arial" w:cs="Arial" w:eastAsia="Arial" w:hAnsi="Arial"/>
                <w:sz w:val="16"/>
                <w:szCs w:val="16"/>
                <w:b w:val="1"/>
                <w:bCs w:val="1"/>
                <w:color w:val="auto"/>
                <w:w w:val="97"/>
              </w:rPr>
              <w:t>Chicago, IL</w:t>
            </w:r>
          </w:p>
        </w:tc>
        <w:tc>
          <w:tcPr>
            <w:tcW w:w="3780" w:type="dxa"/>
            <w:vAlign w:val="bottom"/>
          </w:tcPr>
          <w:p>
            <w:pPr>
              <w:jc w:val="right"/>
              <w:ind w:right="902"/>
              <w:spacing w:after="0"/>
              <w:rPr>
                <w:sz w:val="20"/>
                <w:szCs w:val="20"/>
                <w:color w:val="auto"/>
              </w:rPr>
            </w:pPr>
            <w:r>
              <w:rPr>
                <w:rFonts w:ascii="Arial" w:cs="Arial" w:eastAsia="Arial" w:hAnsi="Arial"/>
                <w:sz w:val="16"/>
                <w:szCs w:val="16"/>
                <w:b w:val="1"/>
                <w:bCs w:val="1"/>
                <w:color w:val="auto"/>
              </w:rPr>
              <w:t>60601</w:t>
            </w:r>
          </w:p>
        </w:tc>
      </w:tr>
      <w:tr>
        <w:trPr>
          <w:trHeight w:val="197"/>
        </w:trPr>
        <w:tc>
          <w:tcPr>
            <w:tcW w:w="4040" w:type="dxa"/>
            <w:vAlign w:val="bottom"/>
          </w:tcPr>
          <w:p>
            <w:pPr>
              <w:jc w:val="center"/>
              <w:ind w:right="1282"/>
              <w:spacing w:after="0"/>
              <w:rPr>
                <w:sz w:val="20"/>
                <w:szCs w:val="20"/>
                <w:color w:val="auto"/>
              </w:rPr>
            </w:pPr>
            <w:r>
              <w:rPr>
                <w:rFonts w:ascii="Arial" w:cs="Arial" w:eastAsia="Arial" w:hAnsi="Arial"/>
                <w:sz w:val="16"/>
                <w:szCs w:val="16"/>
                <w:color w:val="auto"/>
                <w:w w:val="97"/>
              </w:rPr>
              <w:t>(Address of principal executive offices)</w:t>
            </w:r>
          </w:p>
        </w:tc>
        <w:tc>
          <w:tcPr>
            <w:tcW w:w="3780" w:type="dxa"/>
            <w:vAlign w:val="bottom"/>
          </w:tcPr>
          <w:p>
            <w:pPr>
              <w:jc w:val="center"/>
              <w:ind w:left="1302"/>
              <w:spacing w:after="0"/>
              <w:rPr>
                <w:sz w:val="20"/>
                <w:szCs w:val="20"/>
                <w:color w:val="auto"/>
              </w:rPr>
            </w:pPr>
            <w:r>
              <w:rPr>
                <w:rFonts w:ascii="Arial" w:cs="Arial" w:eastAsia="Arial" w:hAnsi="Arial"/>
                <w:sz w:val="16"/>
                <w:szCs w:val="16"/>
                <w:color w:val="auto"/>
                <w:w w:val="95"/>
              </w:rPr>
              <w:t>(Zip Code)</w:t>
            </w:r>
          </w:p>
        </w:tc>
      </w:tr>
    </w:tbl>
    <w:p>
      <w:pPr>
        <w:spacing w:after="0" w:line="119" w:lineRule="exact"/>
        <w:rPr>
          <w:sz w:val="24"/>
          <w:szCs w:val="24"/>
          <w:color w:val="auto"/>
        </w:rPr>
      </w:pPr>
    </w:p>
    <w:p>
      <w:pPr>
        <w:jc w:val="center"/>
        <w:ind w:right="-19"/>
        <w:spacing w:after="0" w:line="184" w:lineRule="exact"/>
        <w:rPr>
          <w:sz w:val="20"/>
          <w:szCs w:val="20"/>
          <w:color w:val="auto"/>
        </w:rPr>
      </w:pPr>
      <w:r>
        <w:rPr>
          <w:rFonts w:ascii="Arial" w:cs="Arial" w:eastAsia="Arial" w:hAnsi="Arial"/>
          <w:sz w:val="16"/>
          <w:szCs w:val="16"/>
          <w:b w:val="1"/>
          <w:bCs w:val="1"/>
          <w:color w:val="auto"/>
        </w:rPr>
        <w:t>(312) 281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6270</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0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379"/>
        </w:trPr>
        <w:tc>
          <w:tcPr>
            <w:tcW w:w="4340" w:type="dxa"/>
            <w:vAlign w:val="bottom"/>
          </w:tcPr>
          <w:p>
            <w:pPr>
              <w:jc w:val="center"/>
              <w:ind w:right="122"/>
              <w:spacing w:after="0"/>
              <w:rPr>
                <w:sz w:val="20"/>
                <w:szCs w:val="20"/>
                <w:color w:val="auto"/>
              </w:rPr>
            </w:pPr>
            <w:r>
              <w:rPr>
                <w:rFonts w:ascii="Arial" w:cs="Arial" w:eastAsia="Arial" w:hAnsi="Arial"/>
                <w:sz w:val="16"/>
                <w:szCs w:val="16"/>
                <w:b w:val="1"/>
                <w:bCs w:val="1"/>
                <w:color w:val="auto"/>
                <w:w w:val="97"/>
              </w:rPr>
              <w:t>Title of each class</w:t>
            </w:r>
          </w:p>
        </w:tc>
        <w:tc>
          <w:tcPr>
            <w:tcW w:w="2100" w:type="dxa"/>
            <w:vAlign w:val="bottom"/>
          </w:tcPr>
          <w:p>
            <w:pPr>
              <w:jc w:val="center"/>
              <w:ind w:right="102"/>
              <w:spacing w:after="0"/>
              <w:rPr>
                <w:sz w:val="20"/>
                <w:szCs w:val="20"/>
                <w:color w:val="auto"/>
              </w:rPr>
            </w:pPr>
            <w:r>
              <w:rPr>
                <w:rFonts w:ascii="Arial" w:cs="Arial" w:eastAsia="Arial" w:hAnsi="Arial"/>
                <w:sz w:val="16"/>
                <w:szCs w:val="16"/>
                <w:b w:val="1"/>
                <w:bCs w:val="1"/>
                <w:color w:val="auto"/>
                <w:w w:val="96"/>
              </w:rPr>
              <w:t>Trading Symbol(s)</w:t>
            </w:r>
          </w:p>
        </w:tc>
        <w:tc>
          <w:tcPr>
            <w:tcW w:w="3720" w:type="dxa"/>
            <w:vAlign w:val="bottom"/>
          </w:tcPr>
          <w:p>
            <w:pPr>
              <w:jc w:val="center"/>
              <w:ind w:left="362"/>
              <w:spacing w:after="0"/>
              <w:rPr>
                <w:sz w:val="20"/>
                <w:szCs w:val="20"/>
                <w:color w:val="auto"/>
              </w:rPr>
            </w:pPr>
            <w:r>
              <w:rPr>
                <w:rFonts w:ascii="Arial" w:cs="Arial" w:eastAsia="Arial" w:hAnsi="Arial"/>
                <w:sz w:val="16"/>
                <w:szCs w:val="16"/>
                <w:b w:val="1"/>
                <w:bCs w:val="1"/>
                <w:color w:val="auto"/>
                <w:w w:val="97"/>
              </w:rPr>
              <w:t>Name of each exchange on which registered</w:t>
            </w:r>
          </w:p>
        </w:tc>
      </w:tr>
      <w:tr>
        <w:trPr>
          <w:trHeight w:val="180"/>
        </w:trPr>
        <w:tc>
          <w:tcPr>
            <w:tcW w:w="4340" w:type="dxa"/>
            <w:vAlign w:val="bottom"/>
          </w:tcPr>
          <w:p>
            <w:pPr>
              <w:jc w:val="center"/>
              <w:ind w:right="122"/>
              <w:spacing w:after="0" w:line="180" w:lineRule="exact"/>
              <w:rPr>
                <w:sz w:val="20"/>
                <w:szCs w:val="20"/>
                <w:color w:val="auto"/>
              </w:rPr>
            </w:pPr>
            <w:r>
              <w:rPr>
                <w:rFonts w:ascii="Arial" w:cs="Arial" w:eastAsia="Arial" w:hAnsi="Arial"/>
                <w:sz w:val="16"/>
                <w:szCs w:val="16"/>
                <w:color w:val="auto"/>
                <w:w w:val="97"/>
              </w:rPr>
              <w:t>Common Stock, par value $0.01 per share</w:t>
            </w:r>
          </w:p>
        </w:tc>
        <w:tc>
          <w:tcPr>
            <w:tcW w:w="2100" w:type="dxa"/>
            <w:vAlign w:val="bottom"/>
          </w:tcPr>
          <w:p>
            <w:pPr>
              <w:jc w:val="center"/>
              <w:ind w:right="82"/>
              <w:spacing w:after="0" w:line="180" w:lineRule="exact"/>
              <w:rPr>
                <w:sz w:val="20"/>
                <w:szCs w:val="20"/>
                <w:color w:val="auto"/>
              </w:rPr>
            </w:pPr>
            <w:r>
              <w:rPr>
                <w:rFonts w:ascii="Arial" w:cs="Arial" w:eastAsia="Arial" w:hAnsi="Arial"/>
                <w:sz w:val="16"/>
                <w:szCs w:val="16"/>
                <w:color w:val="auto"/>
                <w:w w:val="95"/>
              </w:rPr>
              <w:t>RWAY</w:t>
            </w:r>
          </w:p>
        </w:tc>
        <w:tc>
          <w:tcPr>
            <w:tcW w:w="3720" w:type="dxa"/>
            <w:vAlign w:val="bottom"/>
          </w:tcPr>
          <w:p>
            <w:pPr>
              <w:jc w:val="center"/>
              <w:ind w:left="362"/>
              <w:spacing w:after="0" w:line="180" w:lineRule="exact"/>
              <w:rPr>
                <w:sz w:val="20"/>
                <w:szCs w:val="20"/>
                <w:color w:val="auto"/>
              </w:rPr>
            </w:pPr>
            <w:r>
              <w:rPr>
                <w:rFonts w:ascii="Arial" w:cs="Arial" w:eastAsia="Arial" w:hAnsi="Arial"/>
                <w:sz w:val="16"/>
                <w:szCs w:val="16"/>
                <w:color w:val="auto"/>
                <w:w w:val="97"/>
              </w:rPr>
              <w:t>Nasdaq Global Select Market LLC</w:t>
            </w:r>
          </w:p>
        </w:tc>
      </w:tr>
      <w:tr>
        <w:trPr>
          <w:trHeight w:val="197"/>
        </w:trPr>
        <w:tc>
          <w:tcPr>
            <w:tcW w:w="4340" w:type="dxa"/>
            <w:vAlign w:val="bottom"/>
          </w:tcPr>
          <w:p>
            <w:pPr>
              <w:jc w:val="center"/>
              <w:ind w:right="122"/>
              <w:spacing w:after="0"/>
              <w:rPr>
                <w:sz w:val="20"/>
                <w:szCs w:val="20"/>
                <w:color w:val="auto"/>
              </w:rPr>
            </w:pPr>
            <w:r>
              <w:rPr>
                <w:rFonts w:ascii="Arial" w:cs="Arial" w:eastAsia="Arial" w:hAnsi="Arial"/>
                <w:sz w:val="16"/>
                <w:szCs w:val="16"/>
                <w:color w:val="auto"/>
                <w:w w:val="97"/>
              </w:rPr>
              <w:t>7.50% Notes due 2027</w:t>
            </w:r>
          </w:p>
        </w:tc>
        <w:tc>
          <w:tcPr>
            <w:tcW w:w="2100" w:type="dxa"/>
            <w:vAlign w:val="bottom"/>
          </w:tcPr>
          <w:p>
            <w:pPr>
              <w:jc w:val="center"/>
              <w:ind w:right="102"/>
              <w:spacing w:after="0"/>
              <w:rPr>
                <w:sz w:val="20"/>
                <w:szCs w:val="20"/>
                <w:color w:val="auto"/>
              </w:rPr>
            </w:pPr>
            <w:r>
              <w:rPr>
                <w:rFonts w:ascii="Arial" w:cs="Arial" w:eastAsia="Arial" w:hAnsi="Arial"/>
                <w:sz w:val="16"/>
                <w:szCs w:val="16"/>
                <w:color w:val="auto"/>
                <w:w w:val="98"/>
              </w:rPr>
              <w:t>RWAYL</w:t>
            </w:r>
          </w:p>
        </w:tc>
        <w:tc>
          <w:tcPr>
            <w:tcW w:w="3720" w:type="dxa"/>
            <w:vAlign w:val="bottom"/>
          </w:tcPr>
          <w:p>
            <w:pPr>
              <w:jc w:val="center"/>
              <w:ind w:left="362"/>
              <w:spacing w:after="0"/>
              <w:rPr>
                <w:sz w:val="20"/>
                <w:szCs w:val="20"/>
                <w:color w:val="auto"/>
              </w:rPr>
            </w:pPr>
            <w:r>
              <w:rPr>
                <w:rFonts w:ascii="Arial" w:cs="Arial" w:eastAsia="Arial" w:hAnsi="Arial"/>
                <w:sz w:val="16"/>
                <w:szCs w:val="16"/>
                <w:color w:val="auto"/>
                <w:w w:val="97"/>
              </w:rPr>
              <w:t>Nasdaq Global Select Market LLC</w:t>
            </w:r>
          </w:p>
        </w:tc>
      </w:tr>
      <w:tr>
        <w:trPr>
          <w:trHeight w:val="204"/>
        </w:trPr>
        <w:tc>
          <w:tcPr>
            <w:tcW w:w="4340" w:type="dxa"/>
            <w:vAlign w:val="bottom"/>
          </w:tcPr>
          <w:p>
            <w:pPr>
              <w:jc w:val="center"/>
              <w:ind w:right="122"/>
              <w:spacing w:after="0"/>
              <w:rPr>
                <w:sz w:val="20"/>
                <w:szCs w:val="20"/>
                <w:color w:val="auto"/>
              </w:rPr>
            </w:pPr>
            <w:r>
              <w:rPr>
                <w:rFonts w:ascii="Arial" w:cs="Arial" w:eastAsia="Arial" w:hAnsi="Arial"/>
                <w:sz w:val="16"/>
                <w:szCs w:val="16"/>
                <w:color w:val="auto"/>
                <w:w w:val="97"/>
              </w:rPr>
              <w:t>8.00% Notes due 2027</w:t>
            </w:r>
          </w:p>
        </w:tc>
        <w:tc>
          <w:tcPr>
            <w:tcW w:w="2100" w:type="dxa"/>
            <w:vAlign w:val="bottom"/>
          </w:tcPr>
          <w:p>
            <w:pPr>
              <w:jc w:val="center"/>
              <w:ind w:right="102"/>
              <w:spacing w:after="0"/>
              <w:rPr>
                <w:sz w:val="20"/>
                <w:szCs w:val="20"/>
                <w:color w:val="auto"/>
              </w:rPr>
            </w:pPr>
            <w:r>
              <w:rPr>
                <w:rFonts w:ascii="Arial" w:cs="Arial" w:eastAsia="Arial" w:hAnsi="Arial"/>
                <w:sz w:val="16"/>
                <w:szCs w:val="16"/>
                <w:color w:val="auto"/>
                <w:w w:val="96"/>
              </w:rPr>
              <w:t>RWAYZ</w:t>
            </w:r>
          </w:p>
        </w:tc>
        <w:tc>
          <w:tcPr>
            <w:tcW w:w="3720" w:type="dxa"/>
            <w:vAlign w:val="bottom"/>
          </w:tcPr>
          <w:p>
            <w:pPr>
              <w:jc w:val="center"/>
              <w:ind w:left="362"/>
              <w:spacing w:after="0"/>
              <w:rPr>
                <w:sz w:val="20"/>
                <w:szCs w:val="20"/>
                <w:color w:val="auto"/>
              </w:rPr>
            </w:pPr>
            <w:r>
              <w:rPr>
                <w:rFonts w:ascii="Arial" w:cs="Arial" w:eastAsia="Arial" w:hAnsi="Arial"/>
                <w:sz w:val="16"/>
                <w:szCs w:val="16"/>
                <w:color w:val="auto"/>
                <w:w w:val="97"/>
              </w:rPr>
              <w:t>Nasdaq Global Select Market LLC</w:t>
            </w:r>
          </w:p>
        </w:tc>
      </w:tr>
    </w:tbl>
    <w:p>
      <w:pPr>
        <w:spacing w:after="0" w:line="151" w:lineRule="exact"/>
        <w:rPr>
          <w:sz w:val="24"/>
          <w:szCs w:val="24"/>
          <w:color w:val="auto"/>
        </w:rPr>
      </w:pPr>
    </w:p>
    <w:p>
      <w:pPr>
        <w:jc w:val="both"/>
        <w:ind w:right="200" w:firstLine="348"/>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ind w:right="20" w:firstLine="348"/>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 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jc w:val="both"/>
        <w:ind w:right="40" w:firstLine="348"/>
        <w:spacing w:after="0" w:line="19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40" w:orient="portrait"/>
          <w:cols w:equalWidth="0" w:num="1">
            <w:col w:w="10540"/>
          </w:cols>
          <w:pgMar w:left="660" w:top="562" w:right="700" w:bottom="1440" w:gutter="0" w:footer="0" w:header="0"/>
        </w:sectPr>
      </w:pPr>
    </w:p>
    <w:p>
      <w:pPr>
        <w:spacing w:after="0" w:line="11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39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102" w:lineRule="exact"/>
        <w:rPr>
          <w:sz w:val="24"/>
          <w:szCs w:val="24"/>
          <w:color w:val="auto"/>
        </w:rPr>
      </w:pPr>
    </w:p>
    <w:p>
      <w:pPr>
        <w:sectPr>
          <w:pgSz w:w="11900" w:h="16840" w:orient="portrait"/>
          <w:cols w:equalWidth="0" w:num="2">
            <w:col w:w="4580" w:space="720"/>
            <w:col w:w="5240"/>
          </w:cols>
          <w:pgMar w:left="660" w:top="562" w:right="700" w:bottom="1440" w:gutter="0" w:footer="0" w:header="0"/>
          <w:type w:val="continuous"/>
        </w:sectPr>
      </w:pPr>
    </w:p>
    <w:p>
      <w:pPr>
        <w:ind w:left="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88" w:lineRule="exact"/>
        <w:rPr>
          <w:sz w:val="24"/>
          <w:szCs w:val="24"/>
          <w:color w:val="auto"/>
        </w:rPr>
      </w:pPr>
    </w:p>
    <w:p>
      <w:pPr>
        <w:sectPr>
          <w:pgSz w:w="11900" w:h="16840" w:orient="portrait"/>
          <w:cols w:equalWidth="0" w:num="2">
            <w:col w:w="4580" w:space="720"/>
            <w:col w:w="5240"/>
          </w:cols>
          <w:pgMar w:left="660" w:top="562" w:right="700" w:bottom="1440" w:gutter="0" w:footer="0" w:header="0"/>
          <w:type w:val="continuous"/>
        </w:sect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40" w:orient="portrait"/>
          <w:cols w:equalWidth="0" w:num="1">
            <w:col w:w="10540"/>
          </w:cols>
          <w:pgMar w:left="660" w:top="562" w:right="700" w:bottom="1440" w:gutter="0" w:footer="0" w:header="0"/>
          <w:type w:val="continuous"/>
        </w:sectPr>
      </w:pPr>
    </w:p>
    <w:p>
      <w:pPr>
        <w:spacing w:after="0" w:line="227" w:lineRule="exact"/>
        <w:rPr>
          <w:sz w:val="24"/>
          <w:szCs w:val="24"/>
          <w:color w:val="auto"/>
        </w:rPr>
      </w:pPr>
    </w:p>
    <w:p>
      <w:pPr>
        <w:ind w:firstLine="348"/>
        <w:spacing w:after="0" w:line="20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60" w:right="1480"/>
        <w:spacing w:after="0" w:line="251"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issuer had 40,509,269 shares of common stock, $0.01 par value per share, outstanding as of August 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393065</wp:posOffset>
            </wp:positionV>
            <wp:extent cx="67329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62" w:right="700" w:bottom="1440" w:gutter="0" w:footer="0" w:header="0"/>
          <w:type w:val="continuous"/>
        </w:sectPr>
      </w:pPr>
    </w:p>
    <w:bookmarkStart w:id="1" w:name="page2"/>
    <w:bookmarkEnd w:id="1"/>
    <w:p>
      <w:pPr>
        <w:spacing w:after="0"/>
        <w:rPr>
          <w:rFonts w:ascii="Arial" w:cs="Arial" w:eastAsia="Arial" w:hAnsi="Arial"/>
          <w:sz w:val="14"/>
          <w:szCs w:val="14"/>
          <w:color w:val="0563C1"/>
        </w:rPr>
      </w:pPr>
      <w:hyperlink w:anchor="page3">
        <w:r>
          <w:rPr>
            <w:rFonts w:ascii="Arial" w:cs="Arial" w:eastAsia="Arial" w:hAnsi="Arial"/>
            <w:sz w:val="14"/>
            <w:szCs w:val="14"/>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6707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214630</wp:posOffset>
            </wp:positionV>
            <wp:extent cx="670750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529590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1270</wp:posOffset>
            </wp:positionV>
            <wp:extent cx="7772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ectPr>
          <w:pgSz w:w="11900" w:h="16840" w:orient="portrait"/>
          <w:cols w:equalWidth="0" w:num="1">
            <w:col w:w="9800"/>
          </w:cols>
          <w:pgMar w:left="660" w:top="562" w:right="1440" w:bottom="1440" w:gutter="0" w:footer="0" w:header="0"/>
        </w:sectPr>
      </w:pPr>
    </w:p>
    <w:bookmarkStart w:id="2" w:name="page3"/>
    <w:bookmarkEnd w:id="2"/>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line="184" w:lineRule="exact"/>
        <w:rPr>
          <w:sz w:val="20"/>
          <w:szCs w:val="20"/>
          <w:color w:val="auto"/>
        </w:rPr>
      </w:pPr>
      <w:r>
        <w:rPr>
          <w:rFonts w:ascii="Arial" w:cs="Arial" w:eastAsia="Arial" w:hAnsi="Arial"/>
          <w:sz w:val="16"/>
          <w:szCs w:val="16"/>
          <w:b w:val="1"/>
          <w:bCs w:val="1"/>
          <w:color w:val="auto"/>
        </w:rPr>
        <w:t>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Q FOR THE QUARTER ENDED June 30, 2023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60" w:type="dxa"/>
            <w:vAlign w:val="bottom"/>
          </w:tcPr>
          <w:p>
            <w:pPr>
              <w:jc w:val="right"/>
              <w:ind w:right="3"/>
              <w:spacing w:after="0"/>
              <w:rPr>
                <w:sz w:val="20"/>
                <w:szCs w:val="20"/>
                <w:color w:val="auto"/>
              </w:rPr>
            </w:pPr>
            <w:r>
              <w:rPr>
                <w:rFonts w:ascii="Arial" w:cs="Arial" w:eastAsia="Arial" w:hAnsi="Arial"/>
                <w:sz w:val="13"/>
                <w:szCs w:val="13"/>
                <w:b w:val="1"/>
                <w:bCs w:val="1"/>
                <w:color w:val="auto"/>
              </w:rPr>
              <w:t>PAGE</w:t>
            </w: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gridSpan w:val="4"/>
          </w:tcPr>
          <w:p>
            <w:pPr>
              <w:spacing w:after="0"/>
              <w:rPr>
                <w:sz w:val="20"/>
                <w:szCs w:val="20"/>
                <w:color w:val="auto"/>
              </w:rPr>
            </w:pPr>
            <w:r>
              <w:rPr>
                <w:rFonts w:ascii="Arial" w:cs="Arial" w:eastAsia="Arial" w:hAnsi="Arial"/>
                <w:sz w:val="13"/>
                <w:szCs w:val="13"/>
                <w:b w:val="1"/>
                <w:bCs w:val="1"/>
                <w:color w:val="auto"/>
              </w:rPr>
              <w:t>INDEX</w:t>
            </w:r>
          </w:p>
        </w:tc>
        <w:tc>
          <w:tcPr>
            <w:tcW w:w="1860" w:type="dxa"/>
            <w:vAlign w:val="bottom"/>
          </w:tcPr>
          <w:p>
            <w:pPr>
              <w:jc w:val="right"/>
              <w:ind w:right="63"/>
              <w:spacing w:after="0"/>
              <w:rPr>
                <w:sz w:val="20"/>
                <w:szCs w:val="20"/>
                <w:color w:val="auto"/>
              </w:rPr>
            </w:pPr>
            <w:r>
              <w:rPr>
                <w:rFonts w:ascii="Arial" w:cs="Arial" w:eastAsia="Arial" w:hAnsi="Arial"/>
                <w:sz w:val="13"/>
                <w:szCs w:val="13"/>
                <w:b w:val="1"/>
                <w:bCs w:val="1"/>
                <w:color w:val="auto"/>
              </w:rPr>
              <w:t>NO.</w:t>
            </w:r>
          </w:p>
        </w:tc>
      </w:tr>
      <w:tr>
        <w:trPr>
          <w:trHeight w:val="204"/>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84"/>
        </w:trPr>
        <w:tc>
          <w:tcPr>
            <w:tcW w:w="1120" w:type="dxa"/>
            <w:vAlign w:val="bottom"/>
            <w:gridSpan w:val="8"/>
            <w:shd w:val="clear" w:color="auto" w:fill="CCEEFF"/>
          </w:tcPr>
          <w:p>
            <w:pPr>
              <w:ind w:left="20"/>
              <w:spacing w:after="0" w:line="168" w:lineRule="exact"/>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PART I.</w:t>
              </w:r>
            </w:hyperlink>
          </w:p>
        </w:tc>
        <w:tc>
          <w:tcPr>
            <w:tcW w:w="7580" w:type="dxa"/>
            <w:vAlign w:val="bottom"/>
            <w:gridSpan w:val="19"/>
            <w:shd w:val="clear" w:color="auto" w:fill="CCEEFF"/>
          </w:tcPr>
          <w:p>
            <w:pPr>
              <w:spacing w:after="0" w:line="168" w:lineRule="exact"/>
              <w:rPr>
                <w:rFonts w:ascii="Arial" w:cs="Arial" w:eastAsia="Arial" w:hAnsi="Arial"/>
                <w:sz w:val="16"/>
                <w:szCs w:val="16"/>
                <w:b w:val="1"/>
                <w:bCs w:val="1"/>
                <w:color w:val="auto"/>
              </w:rPr>
            </w:pPr>
            <w:hyperlink w:anchor="page4">
              <w:r>
                <w:rPr>
                  <w:rFonts w:ascii="Arial" w:cs="Arial" w:eastAsia="Arial" w:hAnsi="Arial"/>
                  <w:sz w:val="16"/>
                  <w:szCs w:val="16"/>
                  <w:b w:val="1"/>
                  <w:bCs w:val="1"/>
                  <w:color w:val="auto"/>
                </w:rPr>
                <w:t>FINANCIAL INFORMATION</w:t>
              </w:r>
            </w:hyperlink>
          </w:p>
        </w:tc>
        <w:tc>
          <w:tcPr>
            <w:tcW w:w="1860" w:type="dxa"/>
            <w:vAlign w:val="bottom"/>
            <w:shd w:val="clear" w:color="auto" w:fill="CCEEFF"/>
          </w:tcPr>
          <w:p>
            <w:pPr>
              <w:spacing w:after="0"/>
              <w:rPr>
                <w:sz w:val="16"/>
                <w:szCs w:val="16"/>
                <w:color w:val="auto"/>
              </w:rPr>
            </w:pP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5"/>
            <w:shd w:val="clear" w:color="auto" w:fill="CCEEFF"/>
          </w:tcPr>
          <w:p>
            <w:pPr>
              <w:spacing w:after="0" w:line="168" w:lineRule="exact"/>
              <w:rPr>
                <w:rFonts w:ascii="Arial" w:cs="Arial" w:eastAsia="Arial" w:hAnsi="Arial"/>
                <w:sz w:val="16"/>
                <w:szCs w:val="16"/>
                <w:color w:val="auto"/>
              </w:rPr>
            </w:pPr>
            <w:hyperlink w:anchor="page4">
              <w:r>
                <w:rPr>
                  <w:rFonts w:ascii="Arial" w:cs="Arial" w:eastAsia="Arial" w:hAnsi="Arial"/>
                  <w:sz w:val="16"/>
                  <w:szCs w:val="16"/>
                  <w:color w:val="auto"/>
                </w:rPr>
                <w:t>Item 1.</w:t>
              </w:r>
            </w:hyperlink>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4">
              <w:r>
                <w:rPr>
                  <w:rFonts w:ascii="Arial" w:cs="Arial" w:eastAsia="Arial" w:hAnsi="Arial"/>
                  <w:sz w:val="16"/>
                  <w:szCs w:val="16"/>
                  <w:color w:val="0000FF"/>
                </w:rPr>
                <w:t>Statements of Assets and Liabilities as of June 30, 2023 (unaudited) and December 31, 2022</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5">
              <w:r>
                <w:rPr>
                  <w:rFonts w:ascii="Arial" w:cs="Arial" w:eastAsia="Arial" w:hAnsi="Arial"/>
                  <w:sz w:val="16"/>
                  <w:szCs w:val="16"/>
                  <w:color w:val="0000FF"/>
                </w:rPr>
                <w:t>Statements of Operations for the three and six months ended June 30, 2023 and 2022 (unaudited)</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580" w:type="dxa"/>
            <w:vAlign w:val="bottom"/>
            <w:tcBorders>
              <w:bottom w:val="single" w:sz="8" w:color="0000FF"/>
            </w:tcBorders>
            <w:gridSpan w:val="19"/>
            <w:shd w:val="clear" w:color="auto" w:fill="CCEEFF"/>
          </w:tcPr>
          <w:p>
            <w:pPr>
              <w:spacing w:after="0" w:line="168" w:lineRule="exact"/>
              <w:rPr>
                <w:rFonts w:ascii="Arial" w:cs="Arial" w:eastAsia="Arial" w:hAnsi="Arial"/>
                <w:sz w:val="16"/>
                <w:szCs w:val="16"/>
                <w:color w:val="0000FF"/>
                <w:w w:val="96"/>
              </w:rPr>
            </w:pPr>
            <w:hyperlink w:anchor="page6">
              <w:r>
                <w:rPr>
                  <w:rFonts w:ascii="Arial" w:cs="Arial" w:eastAsia="Arial" w:hAnsi="Arial"/>
                  <w:sz w:val="16"/>
                  <w:szCs w:val="16"/>
                  <w:color w:val="0000FF"/>
                  <w:w w:val="96"/>
                </w:rPr>
                <w:t>Statements of Changes in Net Assets for the three and six months ended June 30, 2023 and 2022 (unaudited)</w:t>
              </w:r>
            </w:hyperlink>
          </w:p>
        </w:tc>
        <w:tc>
          <w:tcPr>
            <w:tcW w:w="1860" w:type="dxa"/>
            <w:vAlign w:val="bottom"/>
            <w:tcBorders>
              <w:bottom w:val="single" w:sz="8" w:color="CCEEFF"/>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3</w:t>
            </w:r>
          </w:p>
        </w:tc>
      </w:tr>
      <w:tr>
        <w:trPr>
          <w:trHeight w:val="204"/>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7">
              <w:r>
                <w:rPr>
                  <w:rFonts w:ascii="Arial" w:cs="Arial" w:eastAsia="Arial" w:hAnsi="Arial"/>
                  <w:sz w:val="16"/>
                  <w:szCs w:val="16"/>
                  <w:color w:val="0000FF"/>
                </w:rPr>
                <w:t>Statements of Cash Flows for the six months ended June 30, 2023 and 2022 (unaudited)</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4</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8">
              <w:r>
                <w:rPr>
                  <w:rFonts w:ascii="Arial" w:cs="Arial" w:eastAsia="Arial" w:hAnsi="Arial"/>
                  <w:sz w:val="16"/>
                  <w:szCs w:val="16"/>
                  <w:color w:val="0000FF"/>
                </w:rPr>
                <w:t>Schedule of Investments as of June 30, 2023 (unaudited)</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5</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16">
              <w:r>
                <w:rPr>
                  <w:rFonts w:ascii="Arial" w:cs="Arial" w:eastAsia="Arial" w:hAnsi="Arial"/>
                  <w:sz w:val="16"/>
                  <w:szCs w:val="16"/>
                  <w:color w:val="0000FF"/>
                </w:rPr>
                <w:t>Schedule of Investments as of December 31, 2022</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13</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23">
              <w:r>
                <w:rPr>
                  <w:rFonts w:ascii="Arial" w:cs="Arial" w:eastAsia="Arial" w:hAnsi="Arial"/>
                  <w:sz w:val="16"/>
                  <w:szCs w:val="16"/>
                  <w:color w:val="0000FF"/>
                </w:rPr>
                <w:t>Notes to Financial Statements (unaudited)</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20</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20" w:type="dxa"/>
            <w:vAlign w:val="bottom"/>
            <w:gridSpan w:val="24"/>
            <w:shd w:val="clear" w:color="auto" w:fill="CCEEFF"/>
          </w:tcPr>
          <w:p>
            <w:pPr>
              <w:spacing w:after="0" w:line="168" w:lineRule="exact"/>
              <w:rPr>
                <w:rFonts w:ascii="Arial" w:cs="Arial" w:eastAsia="Arial" w:hAnsi="Arial"/>
                <w:sz w:val="16"/>
                <w:szCs w:val="16"/>
                <w:color w:val="auto"/>
              </w:rPr>
            </w:pPr>
            <w:hyperlink w:anchor="page52">
              <w:r>
                <w:rPr>
                  <w:rFonts w:ascii="Arial" w:cs="Arial" w:eastAsia="Arial" w:hAnsi="Arial"/>
                  <w:sz w:val="16"/>
                  <w:szCs w:val="16"/>
                  <w:color w:val="auto"/>
                </w:rPr>
                <w:t xml:space="preserve">Item 2.  </w:t>
              </w:r>
              <w:r>
                <w:rPr>
                  <w:rFonts w:ascii="Arial" w:cs="Arial" w:eastAsia="Arial" w:hAnsi="Arial"/>
                  <w:sz w:val="16"/>
                  <w:szCs w:val="16"/>
                  <w:color w:val="0000FF"/>
                </w:rPr>
                <w:t>Management’s Discussion and Analysis of Financial Condition and Results of Operations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49</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20" w:type="dxa"/>
            <w:vAlign w:val="bottom"/>
            <w:gridSpan w:val="24"/>
            <w:shd w:val="clear" w:color="auto" w:fill="CCEEFF"/>
          </w:tcPr>
          <w:p>
            <w:pPr>
              <w:spacing w:after="0" w:line="168" w:lineRule="exact"/>
              <w:rPr>
                <w:rFonts w:ascii="Arial" w:cs="Arial" w:eastAsia="Arial" w:hAnsi="Arial"/>
                <w:sz w:val="16"/>
                <w:szCs w:val="16"/>
                <w:color w:val="auto"/>
              </w:rPr>
            </w:pPr>
            <w:hyperlink w:anchor="page64">
              <w:r>
                <w:rPr>
                  <w:rFonts w:ascii="Arial" w:cs="Arial" w:eastAsia="Arial" w:hAnsi="Arial"/>
                  <w:sz w:val="16"/>
                  <w:szCs w:val="16"/>
                  <w:color w:val="auto"/>
                </w:rPr>
                <w:t xml:space="preserve">Item 3.  </w:t>
              </w:r>
              <w:r>
                <w:rPr>
                  <w:rFonts w:ascii="Arial" w:cs="Arial" w:eastAsia="Arial" w:hAnsi="Arial"/>
                  <w:sz w:val="16"/>
                  <w:szCs w:val="16"/>
                  <w:color w:val="0000FF"/>
                </w:rPr>
                <w:t>Quantitative and Qualitative Disclosures About Market Risk</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61</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20" w:type="dxa"/>
            <w:vAlign w:val="bottom"/>
            <w:gridSpan w:val="24"/>
            <w:shd w:val="clear" w:color="auto" w:fill="CCEEFF"/>
          </w:tcPr>
          <w:p>
            <w:pPr>
              <w:spacing w:after="0" w:line="168" w:lineRule="exact"/>
              <w:rPr>
                <w:rFonts w:ascii="Arial" w:cs="Arial" w:eastAsia="Arial" w:hAnsi="Arial"/>
                <w:sz w:val="16"/>
                <w:szCs w:val="16"/>
                <w:color w:val="auto"/>
              </w:rPr>
            </w:pPr>
            <w:hyperlink w:anchor="page65">
              <w:r>
                <w:rPr>
                  <w:rFonts w:ascii="Arial" w:cs="Arial" w:eastAsia="Arial" w:hAnsi="Arial"/>
                  <w:sz w:val="16"/>
                  <w:szCs w:val="16"/>
                  <w:color w:val="auto"/>
                </w:rPr>
                <w:t xml:space="preserve">Item 4.  </w:t>
              </w:r>
              <w:r>
                <w:rPr>
                  <w:rFonts w:ascii="Arial" w:cs="Arial" w:eastAsia="Arial" w:hAnsi="Arial"/>
                  <w:sz w:val="16"/>
                  <w:szCs w:val="16"/>
                  <w:color w:val="0000FF"/>
                </w:rPr>
                <w:t>Controls and Procedures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62</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1120" w:type="dxa"/>
            <w:vAlign w:val="bottom"/>
            <w:gridSpan w:val="8"/>
            <w:shd w:val="clear" w:color="auto" w:fill="CCEEFF"/>
          </w:tcPr>
          <w:p>
            <w:pPr>
              <w:ind w:left="20"/>
              <w:spacing w:after="0" w:line="168" w:lineRule="exact"/>
              <w:rPr>
                <w:rFonts w:ascii="Arial" w:cs="Arial" w:eastAsia="Arial" w:hAnsi="Arial"/>
                <w:sz w:val="16"/>
                <w:szCs w:val="16"/>
                <w:b w:val="1"/>
                <w:bCs w:val="1"/>
                <w:color w:val="auto"/>
              </w:rPr>
            </w:pPr>
            <w:hyperlink w:anchor="page66">
              <w:r>
                <w:rPr>
                  <w:rFonts w:ascii="Arial" w:cs="Arial" w:eastAsia="Arial" w:hAnsi="Arial"/>
                  <w:sz w:val="16"/>
                  <w:szCs w:val="16"/>
                  <w:b w:val="1"/>
                  <w:bCs w:val="1"/>
                  <w:color w:val="auto"/>
                </w:rPr>
                <w:t>PART II.</w:t>
              </w:r>
            </w:hyperlink>
          </w:p>
        </w:tc>
        <w:tc>
          <w:tcPr>
            <w:tcW w:w="7580" w:type="dxa"/>
            <w:vAlign w:val="bottom"/>
            <w:gridSpan w:val="19"/>
            <w:shd w:val="clear" w:color="auto" w:fill="CCEEFF"/>
          </w:tcPr>
          <w:p>
            <w:pPr>
              <w:spacing w:after="0" w:line="168" w:lineRule="exact"/>
              <w:rPr>
                <w:rFonts w:ascii="Arial" w:cs="Arial" w:eastAsia="Arial" w:hAnsi="Arial"/>
                <w:sz w:val="16"/>
                <w:szCs w:val="16"/>
                <w:b w:val="1"/>
                <w:bCs w:val="1"/>
                <w:color w:val="auto"/>
              </w:rPr>
            </w:pPr>
            <w:hyperlink w:anchor="page66">
              <w:r>
                <w:rPr>
                  <w:rFonts w:ascii="Arial" w:cs="Arial" w:eastAsia="Arial" w:hAnsi="Arial"/>
                  <w:sz w:val="16"/>
                  <w:szCs w:val="16"/>
                  <w:b w:val="1"/>
                  <w:bCs w:val="1"/>
                  <w:color w:val="auto"/>
                </w:rPr>
                <w:t>OTHER INFORMATION</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63</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5"/>
            <w:shd w:val="clear" w:color="auto" w:fill="CCEEFF"/>
          </w:tcPr>
          <w:p>
            <w:pPr>
              <w:spacing w:after="0" w:line="168" w:lineRule="exact"/>
              <w:rPr>
                <w:rFonts w:ascii="Arial" w:cs="Arial" w:eastAsia="Arial" w:hAnsi="Arial"/>
                <w:sz w:val="16"/>
                <w:szCs w:val="16"/>
                <w:color w:val="auto"/>
              </w:rPr>
            </w:pPr>
            <w:hyperlink w:anchor="page66">
              <w:r>
                <w:rPr>
                  <w:rFonts w:ascii="Arial" w:cs="Arial" w:eastAsia="Arial" w:hAnsi="Arial"/>
                  <w:sz w:val="16"/>
                  <w:szCs w:val="16"/>
                  <w:color w:val="auto"/>
                </w:rPr>
                <w:t>Item 1.</w:t>
              </w:r>
            </w:hyperlink>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66">
              <w:r>
                <w:rPr>
                  <w:rFonts w:ascii="Arial" w:cs="Arial" w:eastAsia="Arial" w:hAnsi="Arial"/>
                  <w:sz w:val="16"/>
                  <w:szCs w:val="16"/>
                  <w:color w:val="0000FF"/>
                </w:rPr>
                <w:t>Legal Proceedings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63</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gridSpan w:val="6"/>
            <w:shd w:val="clear" w:color="auto" w:fill="CCEEFF"/>
          </w:tcPr>
          <w:p>
            <w:pPr>
              <w:spacing w:after="0" w:line="168" w:lineRule="exact"/>
              <w:rPr>
                <w:rFonts w:ascii="Arial" w:cs="Arial" w:eastAsia="Arial" w:hAnsi="Arial"/>
                <w:sz w:val="16"/>
                <w:szCs w:val="16"/>
                <w:color w:val="auto"/>
              </w:rPr>
            </w:pPr>
            <w:hyperlink w:anchor="page66">
              <w:r>
                <w:rPr>
                  <w:rFonts w:ascii="Arial" w:cs="Arial" w:eastAsia="Arial" w:hAnsi="Arial"/>
                  <w:sz w:val="16"/>
                  <w:szCs w:val="16"/>
                  <w:color w:val="auto"/>
                </w:rPr>
                <w:t>Item 1A.</w:t>
              </w:r>
            </w:hyperlink>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66">
              <w:r>
                <w:rPr>
                  <w:rFonts w:ascii="Arial" w:cs="Arial" w:eastAsia="Arial" w:hAnsi="Arial"/>
                  <w:sz w:val="16"/>
                  <w:szCs w:val="16"/>
                  <w:color w:val="0000FF"/>
                </w:rPr>
                <w:t>Risk Factors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63</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20" w:type="dxa"/>
            <w:vAlign w:val="bottom"/>
            <w:gridSpan w:val="24"/>
            <w:shd w:val="clear" w:color="auto" w:fill="CCEEFF"/>
          </w:tcPr>
          <w:p>
            <w:pPr>
              <w:spacing w:after="0" w:line="168" w:lineRule="exact"/>
              <w:rPr>
                <w:rFonts w:ascii="Arial" w:cs="Arial" w:eastAsia="Arial" w:hAnsi="Arial"/>
                <w:sz w:val="16"/>
                <w:szCs w:val="16"/>
                <w:color w:val="auto"/>
              </w:rPr>
            </w:pPr>
            <w:hyperlink w:anchor="page66">
              <w:r>
                <w:rPr>
                  <w:rFonts w:ascii="Arial" w:cs="Arial" w:eastAsia="Arial" w:hAnsi="Arial"/>
                  <w:sz w:val="16"/>
                  <w:szCs w:val="16"/>
                  <w:color w:val="auto"/>
                </w:rPr>
                <w:t xml:space="preserve">Item 2.  </w:t>
              </w:r>
              <w:r>
                <w:rPr>
                  <w:rFonts w:ascii="Arial" w:cs="Arial" w:eastAsia="Arial" w:hAnsi="Arial"/>
                  <w:sz w:val="16"/>
                  <w:szCs w:val="16"/>
                  <w:color w:val="0000FF"/>
                </w:rPr>
                <w:t>Unregistered Sales of Equity Securities and Use of Proceeds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63</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20" w:type="dxa"/>
            <w:vAlign w:val="bottom"/>
            <w:gridSpan w:val="24"/>
            <w:shd w:val="clear" w:color="auto" w:fill="CCEEFF"/>
          </w:tcPr>
          <w:p>
            <w:pPr>
              <w:spacing w:after="0" w:line="168" w:lineRule="exact"/>
              <w:rPr>
                <w:rFonts w:ascii="Arial" w:cs="Arial" w:eastAsia="Arial" w:hAnsi="Arial"/>
                <w:sz w:val="16"/>
                <w:szCs w:val="16"/>
                <w:color w:val="auto"/>
              </w:rPr>
            </w:pPr>
            <w:hyperlink w:anchor="page66">
              <w:r>
                <w:rPr>
                  <w:rFonts w:ascii="Arial" w:cs="Arial" w:eastAsia="Arial" w:hAnsi="Arial"/>
                  <w:sz w:val="16"/>
                  <w:szCs w:val="16"/>
                  <w:color w:val="auto"/>
                </w:rPr>
                <w:t xml:space="preserve">Item 3.  </w:t>
              </w:r>
              <w:r>
                <w:rPr>
                  <w:rFonts w:ascii="Arial" w:cs="Arial" w:eastAsia="Arial" w:hAnsi="Arial"/>
                  <w:sz w:val="16"/>
                  <w:szCs w:val="16"/>
                  <w:color w:val="0000FF"/>
                </w:rPr>
                <w:t>Defaults Upon Senior Securities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63</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20" w:type="dxa"/>
            <w:vAlign w:val="bottom"/>
            <w:gridSpan w:val="24"/>
            <w:shd w:val="clear" w:color="auto" w:fill="CCEEFF"/>
          </w:tcPr>
          <w:p>
            <w:pPr>
              <w:spacing w:after="0" w:line="168" w:lineRule="exact"/>
              <w:rPr>
                <w:rFonts w:ascii="Arial" w:cs="Arial" w:eastAsia="Arial" w:hAnsi="Arial"/>
                <w:sz w:val="16"/>
                <w:szCs w:val="16"/>
                <w:color w:val="auto"/>
              </w:rPr>
            </w:pPr>
            <w:hyperlink w:anchor="page67">
              <w:r>
                <w:rPr>
                  <w:rFonts w:ascii="Arial" w:cs="Arial" w:eastAsia="Arial" w:hAnsi="Arial"/>
                  <w:sz w:val="16"/>
                  <w:szCs w:val="16"/>
                  <w:color w:val="auto"/>
                </w:rPr>
                <w:t xml:space="preserve">Item 4.  </w:t>
              </w:r>
              <w:r>
                <w:rPr>
                  <w:rFonts w:ascii="Arial" w:cs="Arial" w:eastAsia="Arial" w:hAnsi="Arial"/>
                  <w:sz w:val="16"/>
                  <w:szCs w:val="16"/>
                  <w:color w:val="0000FF"/>
                </w:rPr>
                <w:t>Mine Safety Disclosures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64</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5"/>
            <w:shd w:val="clear" w:color="auto" w:fill="CCEEFF"/>
          </w:tcPr>
          <w:p>
            <w:pPr>
              <w:spacing w:after="0" w:line="168" w:lineRule="exact"/>
              <w:rPr>
                <w:rFonts w:ascii="Arial" w:cs="Arial" w:eastAsia="Arial" w:hAnsi="Arial"/>
                <w:sz w:val="16"/>
                <w:szCs w:val="16"/>
                <w:color w:val="auto"/>
              </w:rPr>
            </w:pPr>
            <w:hyperlink w:anchor="page67">
              <w:r>
                <w:rPr>
                  <w:rFonts w:ascii="Arial" w:cs="Arial" w:eastAsia="Arial" w:hAnsi="Arial"/>
                  <w:sz w:val="16"/>
                  <w:szCs w:val="16"/>
                  <w:color w:val="auto"/>
                </w:rPr>
                <w:t>Item 5.</w:t>
              </w:r>
            </w:hyperlink>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67">
              <w:r>
                <w:rPr>
                  <w:rFonts w:ascii="Arial" w:cs="Arial" w:eastAsia="Arial" w:hAnsi="Arial"/>
                  <w:sz w:val="16"/>
                  <w:szCs w:val="16"/>
                  <w:color w:val="0000FF"/>
                </w:rPr>
                <w:t>Other Information</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64</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5"/>
            <w:shd w:val="clear" w:color="auto" w:fill="CCEEFF"/>
          </w:tcPr>
          <w:p>
            <w:pPr>
              <w:spacing w:after="0" w:line="168" w:lineRule="exact"/>
              <w:rPr>
                <w:rFonts w:ascii="Arial" w:cs="Arial" w:eastAsia="Arial" w:hAnsi="Arial"/>
                <w:sz w:val="16"/>
                <w:szCs w:val="16"/>
                <w:color w:val="auto"/>
              </w:rPr>
            </w:pPr>
            <w:hyperlink w:anchor="page68">
              <w:r>
                <w:rPr>
                  <w:rFonts w:ascii="Arial" w:cs="Arial" w:eastAsia="Arial" w:hAnsi="Arial"/>
                  <w:sz w:val="16"/>
                  <w:szCs w:val="16"/>
                  <w:color w:val="auto"/>
                </w:rPr>
                <w:t>Item 6.</w:t>
              </w:r>
            </w:hyperlink>
          </w:p>
        </w:tc>
        <w:tc>
          <w:tcPr>
            <w:tcW w:w="7580" w:type="dxa"/>
            <w:vAlign w:val="bottom"/>
            <w:gridSpan w:val="19"/>
            <w:shd w:val="clear" w:color="auto" w:fill="CCEEFF"/>
          </w:tcPr>
          <w:p>
            <w:pPr>
              <w:spacing w:after="0" w:line="168" w:lineRule="exact"/>
              <w:rPr>
                <w:rFonts w:ascii="Arial" w:cs="Arial" w:eastAsia="Arial" w:hAnsi="Arial"/>
                <w:sz w:val="16"/>
                <w:szCs w:val="16"/>
                <w:color w:val="0000FF"/>
              </w:rPr>
            </w:pPr>
            <w:hyperlink w:anchor="page68">
              <w:r>
                <w:rPr>
                  <w:rFonts w:ascii="Arial" w:cs="Arial" w:eastAsia="Arial" w:hAnsi="Arial"/>
                  <w:sz w:val="16"/>
                  <w:szCs w:val="16"/>
                  <w:color w:val="0000FF"/>
                </w:rPr>
                <w:t>Exhibits</w:t>
              </w:r>
            </w:hyperlink>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65</w:t>
            </w:r>
          </w:p>
        </w:tc>
      </w:tr>
      <w:tr>
        <w:trPr>
          <w:trHeight w:val="204"/>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860" w:type="dxa"/>
            <w:vAlign w:val="bottom"/>
            <w:tcBorders>
              <w:top w:val="single" w:sz="8" w:color="CCEEFF"/>
            </w:tcBorders>
          </w:tcPr>
          <w:p>
            <w:pPr>
              <w:spacing w:after="0"/>
              <w:rPr>
                <w:sz w:val="17"/>
                <w:szCs w:val="17"/>
                <w:color w:val="auto"/>
              </w:rPr>
            </w:pPr>
          </w:p>
        </w:tc>
      </w:tr>
      <w:tr>
        <w:trPr>
          <w:trHeight w:val="184"/>
        </w:trPr>
        <w:tc>
          <w:tcPr>
            <w:tcW w:w="1120" w:type="dxa"/>
            <w:vAlign w:val="bottom"/>
            <w:gridSpan w:val="8"/>
            <w:shd w:val="clear" w:color="auto" w:fill="CCEEFF"/>
          </w:tcPr>
          <w:p>
            <w:pPr>
              <w:ind w:left="20"/>
              <w:spacing w:after="0" w:line="168" w:lineRule="exact"/>
              <w:rPr>
                <w:rFonts w:ascii="Arial" w:cs="Arial" w:eastAsia="Arial" w:hAnsi="Arial"/>
                <w:sz w:val="16"/>
                <w:szCs w:val="16"/>
                <w:b w:val="1"/>
                <w:bCs w:val="1"/>
                <w:color w:val="auto"/>
              </w:rPr>
            </w:pPr>
            <w:hyperlink w:anchor="page69">
              <w:r>
                <w:rPr>
                  <w:rFonts w:ascii="Arial" w:cs="Arial" w:eastAsia="Arial" w:hAnsi="Arial"/>
                  <w:sz w:val="16"/>
                  <w:szCs w:val="16"/>
                  <w:b w:val="1"/>
                  <w:bCs w:val="1"/>
                  <w:color w:val="auto"/>
                </w:rPr>
                <w:t>SIGNATURES</w:t>
              </w:r>
            </w:hyperlink>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66</w:t>
            </w:r>
          </w:p>
        </w:tc>
      </w:tr>
      <w:tr>
        <w:trPr>
          <w:trHeight w:val="684"/>
        </w:trPr>
        <w:tc>
          <w:tcPr>
            <w:tcW w:w="20" w:type="dxa"/>
            <w:vAlign w:val="bottom"/>
            <w:tcBorders>
              <w:top w:val="single" w:sz="8" w:color="CCEEFF"/>
              <w:bottom w:val="single" w:sz="8" w:color="EEEEEE"/>
            </w:tcBorders>
          </w:tcPr>
          <w:p>
            <w:pPr>
              <w:spacing w:after="0"/>
              <w:rPr>
                <w:sz w:val="24"/>
                <w:szCs w:val="24"/>
                <w:color w:val="auto"/>
              </w:rPr>
            </w:pPr>
          </w:p>
        </w:tc>
        <w:tc>
          <w:tcPr>
            <w:tcW w:w="380" w:type="dxa"/>
            <w:vAlign w:val="bottom"/>
            <w:tcBorders>
              <w:top w:val="single" w:sz="8" w:color="0000EE"/>
              <w:bottom w:val="single" w:sz="8" w:color="EEEEEE"/>
            </w:tcBorders>
          </w:tcPr>
          <w:p>
            <w:pPr>
              <w:spacing w:after="0"/>
              <w:rPr>
                <w:sz w:val="24"/>
                <w:szCs w:val="24"/>
                <w:color w:val="auto"/>
              </w:rPr>
            </w:pPr>
          </w:p>
        </w:tc>
        <w:tc>
          <w:tcPr>
            <w:tcW w:w="80" w:type="dxa"/>
            <w:vAlign w:val="bottom"/>
            <w:tcBorders>
              <w:top w:val="single" w:sz="8" w:color="0000EE"/>
              <w:bottom w:val="single" w:sz="8" w:color="EEEEEE"/>
            </w:tcBorders>
          </w:tcPr>
          <w:p>
            <w:pPr>
              <w:spacing w:after="0"/>
              <w:rPr>
                <w:sz w:val="24"/>
                <w:szCs w:val="24"/>
                <w:color w:val="auto"/>
              </w:rPr>
            </w:pPr>
          </w:p>
        </w:tc>
        <w:tc>
          <w:tcPr>
            <w:tcW w:w="10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340" w:type="dxa"/>
            <w:vAlign w:val="bottom"/>
            <w:tcBorders>
              <w:top w:val="single" w:sz="8" w:color="0000EE"/>
              <w:bottom w:val="single" w:sz="8" w:color="EEEEEE"/>
            </w:tcBorders>
          </w:tcPr>
          <w:p>
            <w:pPr>
              <w:spacing w:after="0"/>
              <w:rPr>
                <w:sz w:val="24"/>
                <w:szCs w:val="24"/>
                <w:color w:val="auto"/>
              </w:rPr>
            </w:pPr>
          </w:p>
        </w:tc>
        <w:tc>
          <w:tcPr>
            <w:tcW w:w="12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CCEEFF"/>
              <w:bottom w:val="single" w:sz="8" w:color="EEEEEE"/>
            </w:tcBorders>
          </w:tcPr>
          <w:p>
            <w:pPr>
              <w:spacing w:after="0"/>
              <w:rPr>
                <w:sz w:val="24"/>
                <w:szCs w:val="24"/>
                <w:color w:val="auto"/>
              </w:rPr>
            </w:pPr>
          </w:p>
        </w:tc>
        <w:tc>
          <w:tcPr>
            <w:tcW w:w="540" w:type="dxa"/>
            <w:vAlign w:val="bottom"/>
            <w:tcBorders>
              <w:top w:val="single" w:sz="8" w:color="CCEEFF"/>
              <w:bottom w:val="single" w:sz="8" w:color="EEEEEE"/>
            </w:tcBorders>
          </w:tcPr>
          <w:p>
            <w:pPr>
              <w:spacing w:after="0"/>
              <w:rPr>
                <w:sz w:val="24"/>
                <w:szCs w:val="24"/>
                <w:color w:val="auto"/>
              </w:rPr>
            </w:pPr>
          </w:p>
        </w:tc>
        <w:tc>
          <w:tcPr>
            <w:tcW w:w="320" w:type="dxa"/>
            <w:vAlign w:val="bottom"/>
            <w:tcBorders>
              <w:top w:val="single" w:sz="8" w:color="CCEEFF"/>
              <w:bottom w:val="single" w:sz="8" w:color="EEEEEE"/>
            </w:tcBorders>
          </w:tcPr>
          <w:p>
            <w:pPr>
              <w:spacing w:after="0"/>
              <w:rPr>
                <w:sz w:val="24"/>
                <w:szCs w:val="24"/>
                <w:color w:val="auto"/>
              </w:rPr>
            </w:pPr>
          </w:p>
        </w:tc>
        <w:tc>
          <w:tcPr>
            <w:tcW w:w="340" w:type="dxa"/>
            <w:vAlign w:val="bottom"/>
            <w:tcBorders>
              <w:top w:val="single" w:sz="8" w:color="CCEEFF"/>
              <w:bottom w:val="single" w:sz="8" w:color="EEEEEE"/>
            </w:tcBorders>
          </w:tcPr>
          <w:p>
            <w:pPr>
              <w:spacing w:after="0"/>
              <w:rPr>
                <w:sz w:val="24"/>
                <w:szCs w:val="24"/>
                <w:color w:val="auto"/>
              </w:rPr>
            </w:pPr>
          </w:p>
        </w:tc>
        <w:tc>
          <w:tcPr>
            <w:tcW w:w="80" w:type="dxa"/>
            <w:vAlign w:val="bottom"/>
            <w:tcBorders>
              <w:top w:val="single" w:sz="8" w:color="CCEEFF"/>
              <w:bottom w:val="single" w:sz="8" w:color="EEEEEE"/>
            </w:tcBorders>
          </w:tcPr>
          <w:p>
            <w:pPr>
              <w:spacing w:after="0"/>
              <w:rPr>
                <w:sz w:val="24"/>
                <w:szCs w:val="24"/>
                <w:color w:val="auto"/>
              </w:rPr>
            </w:pPr>
          </w:p>
        </w:tc>
        <w:tc>
          <w:tcPr>
            <w:tcW w:w="160" w:type="dxa"/>
            <w:vAlign w:val="bottom"/>
            <w:tcBorders>
              <w:top w:val="single" w:sz="8" w:color="CCEEFF"/>
              <w:bottom w:val="single" w:sz="8" w:color="EEEEEE"/>
            </w:tcBorders>
          </w:tcPr>
          <w:p>
            <w:pPr>
              <w:spacing w:after="0"/>
              <w:rPr>
                <w:sz w:val="24"/>
                <w:szCs w:val="24"/>
                <w:color w:val="auto"/>
              </w:rPr>
            </w:pPr>
          </w:p>
        </w:tc>
        <w:tc>
          <w:tcPr>
            <w:tcW w:w="220" w:type="dxa"/>
            <w:vAlign w:val="bottom"/>
            <w:tcBorders>
              <w:top w:val="single" w:sz="8" w:color="CCEEFF"/>
              <w:bottom w:val="single" w:sz="8" w:color="EEEEEE"/>
            </w:tcBorders>
          </w:tcPr>
          <w:p>
            <w:pPr>
              <w:spacing w:after="0"/>
              <w:rPr>
                <w:sz w:val="24"/>
                <w:szCs w:val="24"/>
                <w:color w:val="auto"/>
              </w:rPr>
            </w:pPr>
          </w:p>
        </w:tc>
        <w:tc>
          <w:tcPr>
            <w:tcW w:w="20" w:type="dxa"/>
            <w:vAlign w:val="bottom"/>
            <w:tcBorders>
              <w:top w:val="single" w:sz="8" w:color="CCEEFF"/>
              <w:bottom w:val="single" w:sz="8" w:color="EEEEEE"/>
            </w:tcBorders>
          </w:tcPr>
          <w:p>
            <w:pPr>
              <w:spacing w:after="0"/>
              <w:rPr>
                <w:sz w:val="24"/>
                <w:szCs w:val="24"/>
                <w:color w:val="auto"/>
              </w:rPr>
            </w:pPr>
          </w:p>
        </w:tc>
        <w:tc>
          <w:tcPr>
            <w:tcW w:w="40" w:type="dxa"/>
            <w:vAlign w:val="bottom"/>
            <w:tcBorders>
              <w:top w:val="single" w:sz="8" w:color="CCEEFF"/>
              <w:bottom w:val="single" w:sz="8" w:color="EEEEEE"/>
            </w:tcBorders>
          </w:tcPr>
          <w:p>
            <w:pPr>
              <w:spacing w:after="0"/>
              <w:rPr>
                <w:sz w:val="24"/>
                <w:szCs w:val="24"/>
                <w:color w:val="auto"/>
              </w:rPr>
            </w:pPr>
          </w:p>
        </w:tc>
        <w:tc>
          <w:tcPr>
            <w:tcW w:w="260" w:type="dxa"/>
            <w:vAlign w:val="bottom"/>
            <w:tcBorders>
              <w:top w:val="single" w:sz="8" w:color="CCEEFF"/>
              <w:bottom w:val="single" w:sz="8" w:color="EEEEEE"/>
            </w:tcBorders>
          </w:tcPr>
          <w:p>
            <w:pPr>
              <w:spacing w:after="0"/>
              <w:rPr>
                <w:sz w:val="24"/>
                <w:szCs w:val="24"/>
                <w:color w:val="auto"/>
              </w:rPr>
            </w:pPr>
          </w:p>
        </w:tc>
        <w:tc>
          <w:tcPr>
            <w:tcW w:w="220" w:type="dxa"/>
            <w:vAlign w:val="bottom"/>
            <w:tcBorders>
              <w:top w:val="single" w:sz="8" w:color="CCEEFF"/>
              <w:bottom w:val="single" w:sz="8" w:color="EEEEEE"/>
            </w:tcBorders>
          </w:tcPr>
          <w:p>
            <w:pPr>
              <w:spacing w:after="0"/>
              <w:rPr>
                <w:sz w:val="24"/>
                <w:szCs w:val="24"/>
                <w:color w:val="auto"/>
              </w:rPr>
            </w:pPr>
          </w:p>
        </w:tc>
        <w:tc>
          <w:tcPr>
            <w:tcW w:w="700" w:type="dxa"/>
            <w:vAlign w:val="bottom"/>
            <w:tcBorders>
              <w:top w:val="single" w:sz="8" w:color="CCEEFF"/>
              <w:bottom w:val="single" w:sz="8" w:color="EEEEEE"/>
            </w:tcBorders>
          </w:tcPr>
          <w:p>
            <w:pPr>
              <w:spacing w:after="0"/>
              <w:rPr>
                <w:sz w:val="24"/>
                <w:szCs w:val="24"/>
                <w:color w:val="auto"/>
              </w:rPr>
            </w:pPr>
          </w:p>
        </w:tc>
        <w:tc>
          <w:tcPr>
            <w:tcW w:w="600" w:type="dxa"/>
            <w:vAlign w:val="bottom"/>
            <w:tcBorders>
              <w:top w:val="single" w:sz="8" w:color="CCEEFF"/>
              <w:bottom w:val="single" w:sz="8" w:color="EEEEEE"/>
            </w:tcBorders>
          </w:tcPr>
          <w:p>
            <w:pPr>
              <w:spacing w:after="0"/>
              <w:rPr>
                <w:sz w:val="24"/>
                <w:szCs w:val="24"/>
                <w:color w:val="auto"/>
              </w:rPr>
            </w:pPr>
          </w:p>
        </w:tc>
        <w:tc>
          <w:tcPr>
            <w:tcW w:w="440" w:type="dxa"/>
            <w:vAlign w:val="bottom"/>
            <w:tcBorders>
              <w:top w:val="single" w:sz="8" w:color="CCEEFF"/>
              <w:bottom w:val="single" w:sz="8" w:color="EEEEEE"/>
            </w:tcBorders>
          </w:tcPr>
          <w:p>
            <w:pPr>
              <w:spacing w:after="0"/>
              <w:rPr>
                <w:sz w:val="24"/>
                <w:szCs w:val="24"/>
                <w:color w:val="auto"/>
              </w:rPr>
            </w:pPr>
          </w:p>
        </w:tc>
        <w:tc>
          <w:tcPr>
            <w:tcW w:w="140" w:type="dxa"/>
            <w:vAlign w:val="bottom"/>
            <w:tcBorders>
              <w:top w:val="single" w:sz="8" w:color="CCEEFF"/>
              <w:bottom w:val="single" w:sz="8" w:color="EEEEEE"/>
            </w:tcBorders>
          </w:tcPr>
          <w:p>
            <w:pPr>
              <w:spacing w:after="0"/>
              <w:rPr>
                <w:sz w:val="24"/>
                <w:szCs w:val="24"/>
                <w:color w:val="auto"/>
              </w:rPr>
            </w:pPr>
          </w:p>
        </w:tc>
        <w:tc>
          <w:tcPr>
            <w:tcW w:w="120" w:type="dxa"/>
            <w:vAlign w:val="bottom"/>
            <w:tcBorders>
              <w:top w:val="single" w:sz="8" w:color="CCEEFF"/>
              <w:bottom w:val="single" w:sz="8" w:color="EEEEEE"/>
            </w:tcBorders>
          </w:tcPr>
          <w:p>
            <w:pPr>
              <w:spacing w:after="0"/>
              <w:rPr>
                <w:sz w:val="24"/>
                <w:szCs w:val="24"/>
                <w:color w:val="auto"/>
              </w:rPr>
            </w:pPr>
          </w:p>
        </w:tc>
        <w:tc>
          <w:tcPr>
            <w:tcW w:w="1920" w:type="dxa"/>
            <w:vAlign w:val="bottom"/>
            <w:tcBorders>
              <w:top w:val="single" w:sz="8" w:color="CCEEFF"/>
              <w:bottom w:val="single" w:sz="8" w:color="EEEEEE"/>
            </w:tcBorders>
          </w:tcPr>
          <w:p>
            <w:pPr>
              <w:spacing w:after="0"/>
              <w:rPr>
                <w:sz w:val="24"/>
                <w:szCs w:val="24"/>
                <w:color w:val="auto"/>
              </w:rPr>
            </w:pPr>
          </w:p>
        </w:tc>
        <w:tc>
          <w:tcPr>
            <w:tcW w:w="300" w:type="dxa"/>
            <w:vAlign w:val="bottom"/>
            <w:tcBorders>
              <w:top w:val="single" w:sz="8" w:color="CCEEFF"/>
              <w:bottom w:val="single" w:sz="8" w:color="EEEEEE"/>
            </w:tcBorders>
          </w:tcPr>
          <w:p>
            <w:pPr>
              <w:spacing w:after="0"/>
              <w:rPr>
                <w:sz w:val="24"/>
                <w:szCs w:val="24"/>
                <w:color w:val="auto"/>
              </w:rPr>
            </w:pPr>
          </w:p>
        </w:tc>
        <w:tc>
          <w:tcPr>
            <w:tcW w:w="340" w:type="dxa"/>
            <w:vAlign w:val="bottom"/>
            <w:tcBorders>
              <w:top w:val="single" w:sz="8" w:color="CCEEFF"/>
              <w:bottom w:val="single" w:sz="8" w:color="EEEEEE"/>
            </w:tcBorders>
          </w:tcPr>
          <w:p>
            <w:pPr>
              <w:spacing w:after="0"/>
              <w:rPr>
                <w:sz w:val="24"/>
                <w:szCs w:val="24"/>
                <w:color w:val="auto"/>
              </w:rPr>
            </w:pPr>
          </w:p>
        </w:tc>
        <w:tc>
          <w:tcPr>
            <w:tcW w:w="820" w:type="dxa"/>
            <w:vAlign w:val="bottom"/>
            <w:tcBorders>
              <w:top w:val="single" w:sz="8" w:color="CCEEFF"/>
              <w:bottom w:val="single" w:sz="8" w:color="EEEEEE"/>
            </w:tcBorders>
          </w:tcPr>
          <w:p>
            <w:pPr>
              <w:spacing w:after="0"/>
              <w:rPr>
                <w:sz w:val="24"/>
                <w:szCs w:val="24"/>
                <w:color w:val="auto"/>
              </w:rPr>
            </w:pPr>
          </w:p>
        </w:tc>
        <w:tc>
          <w:tcPr>
            <w:tcW w:w="1860" w:type="dxa"/>
            <w:vAlign w:val="bottom"/>
            <w:tcBorders>
              <w:top w:val="single" w:sz="8" w:color="CCEEFF"/>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3" w:name="page4"/>
    <w:bookmarkEnd w:id="3"/>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8"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Statements of Assets and Liabilities</w:t>
      </w: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December 31, 2022</w:t>
            </w:r>
          </w:p>
        </w:tc>
      </w:tr>
      <w:tr>
        <w:trPr>
          <w:trHeight w:val="183"/>
        </w:trPr>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(Unaudited)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0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040" w:type="dxa"/>
            <w:vAlign w:val="bottom"/>
          </w:tcPr>
          <w:p>
            <w:pPr>
              <w:ind w:left="20"/>
              <w:spacing w:after="0"/>
              <w:rPr>
                <w:sz w:val="20"/>
                <w:szCs w:val="20"/>
                <w:color w:val="auto"/>
              </w:rPr>
            </w:pPr>
            <w:r>
              <w:rPr>
                <w:rFonts w:ascii="Arial" w:cs="Arial" w:eastAsia="Arial" w:hAnsi="Arial"/>
                <w:sz w:val="13"/>
                <w:szCs w:val="13"/>
                <w:color w:val="auto"/>
              </w:rPr>
              <w:t>Investments at fair value:</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Non-control/non-affiliate investments at fair value (cost of $1,048,488 and $1,126,879, respectively)</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1,036,661</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1,114,935</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100"/>
              <w:spacing w:after="0"/>
              <w:rPr>
                <w:sz w:val="20"/>
                <w:szCs w:val="20"/>
                <w:color w:val="auto"/>
              </w:rPr>
            </w:pPr>
            <w:r>
              <w:rPr>
                <w:rFonts w:ascii="Arial" w:cs="Arial" w:eastAsia="Arial" w:hAnsi="Arial"/>
                <w:sz w:val="13"/>
                <w:szCs w:val="13"/>
                <w:color w:val="auto"/>
              </w:rPr>
              <w:t>Affiliate investments at fair value (cost of $55,603 and $4,551, respectively)</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47,047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2,084</w:t>
            </w: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Control investments at fair value (cost of $17,963 and $19,172, respectively)</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9,290</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180"/>
              <w:spacing w:after="0"/>
              <w:rPr>
                <w:sz w:val="20"/>
                <w:szCs w:val="20"/>
                <w:color w:val="auto"/>
              </w:rPr>
            </w:pPr>
            <w:r>
              <w:rPr>
                <w:rFonts w:ascii="Arial" w:cs="Arial" w:eastAsia="Arial" w:hAnsi="Arial"/>
                <w:sz w:val="13"/>
                <w:szCs w:val="13"/>
                <w:color w:val="auto"/>
              </w:rPr>
              <w:t>Total investments at fair value (cost of $1,122,054 and $1,150,602, respectively)</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1,095,321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1,126,309</w:t>
            </w: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37,740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5,761</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20"/>
              <w:spacing w:after="0"/>
              <w:rPr>
                <w:sz w:val="20"/>
                <w:szCs w:val="20"/>
                <w:color w:val="auto"/>
              </w:rPr>
            </w:pPr>
            <w:r>
              <w:rPr>
                <w:rFonts w:ascii="Arial" w:cs="Arial" w:eastAsia="Arial" w:hAnsi="Arial"/>
                <w:sz w:val="13"/>
                <w:szCs w:val="13"/>
                <w:color w:val="auto"/>
              </w:rPr>
              <w:t>Interest and fees receivable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8,110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8,766</w:t>
            </w: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assets</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w:t>
            </w:r>
          </w:p>
        </w:tc>
        <w:tc>
          <w:tcPr>
            <w:tcW w:w="80" w:type="dxa"/>
            <w:vAlign w:val="bottom"/>
            <w:shd w:val="clear" w:color="auto" w:fill="CFF0FC"/>
          </w:tcPr>
          <w:p>
            <w:pPr>
              <w:spacing w:after="0"/>
              <w:rPr>
                <w:sz w:val="16"/>
                <w:szCs w:val="16"/>
                <w:color w:val="auto"/>
              </w:rPr>
            </w:pPr>
          </w:p>
        </w:tc>
      </w:tr>
      <w:tr>
        <w:trPr>
          <w:trHeight w:val="180"/>
        </w:trPr>
        <w:tc>
          <w:tcPr>
            <w:tcW w:w="7040" w:type="dxa"/>
            <w:vAlign w:val="bottom"/>
          </w:tcPr>
          <w:p>
            <w:pPr>
              <w:ind w:left="18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1,141,641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1,141,766</w:t>
            </w:r>
          </w:p>
        </w:tc>
        <w:tc>
          <w:tcPr>
            <w:tcW w:w="80" w:type="dxa"/>
            <w:vAlign w:val="bottom"/>
          </w:tcPr>
          <w:p>
            <w:pPr>
              <w:spacing w:after="0"/>
              <w:rPr>
                <w:sz w:val="15"/>
                <w:szCs w:val="15"/>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0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Liabilities</w:t>
            </w: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5"/>
        </w:trPr>
        <w:tc>
          <w:tcPr>
            <w:tcW w:w="7040" w:type="dxa"/>
            <w:vAlign w:val="bottom"/>
          </w:tcPr>
          <w:p>
            <w:pPr>
              <w:ind w:left="20"/>
              <w:spacing w:after="0"/>
              <w:rPr>
                <w:sz w:val="20"/>
                <w:szCs w:val="20"/>
                <w:color w:val="auto"/>
              </w:rPr>
            </w:pPr>
            <w:r>
              <w:rPr>
                <w:rFonts w:ascii="Arial" w:cs="Arial" w:eastAsia="Arial" w:hAnsi="Arial"/>
                <w:sz w:val="13"/>
                <w:szCs w:val="13"/>
                <w:color w:val="auto"/>
              </w:rPr>
              <w:t>Debt:</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Credit facility</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337,000</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100"/>
              <w:spacing w:after="0"/>
              <w:rPr>
                <w:sz w:val="20"/>
                <w:szCs w:val="20"/>
                <w:color w:val="auto"/>
              </w:rPr>
            </w:pPr>
            <w:r>
              <w:rPr>
                <w:rFonts w:ascii="Arial" w:cs="Arial" w:eastAsia="Arial" w:hAnsi="Arial"/>
                <w:sz w:val="13"/>
                <w:szCs w:val="13"/>
                <w:color w:val="auto"/>
              </w:rPr>
              <w:t>2026 Notes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95,000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70,000</w:t>
            </w: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2027 Notes</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152,250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152,250</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100"/>
              <w:spacing w:after="0"/>
              <w:rPr>
                <w:sz w:val="20"/>
                <w:szCs w:val="20"/>
                <w:color w:val="auto"/>
              </w:rPr>
            </w:pPr>
            <w:r>
              <w:rPr>
                <w:rFonts w:ascii="Arial" w:cs="Arial" w:eastAsia="Arial" w:hAnsi="Arial"/>
                <w:sz w:val="13"/>
                <w:szCs w:val="13"/>
                <w:color w:val="auto"/>
              </w:rPr>
              <w:t>Unamortized deferred debt costs</w:t>
            </w:r>
          </w:p>
        </w:tc>
        <w:tc>
          <w:tcPr>
            <w:tcW w:w="24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(9,977 )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3"/>
                <w:szCs w:val="13"/>
                <w:color w:val="auto"/>
              </w:rPr>
              <w:t>(10,293 )</w:t>
            </w:r>
          </w:p>
        </w:tc>
      </w:tr>
      <w:tr>
        <w:trPr>
          <w:trHeight w:val="185"/>
        </w:trPr>
        <w:tc>
          <w:tcPr>
            <w:tcW w:w="704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debt, less unamortized deferred debt costs</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547,273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548,957</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20"/>
              <w:spacing w:after="0"/>
              <w:rPr>
                <w:sz w:val="20"/>
                <w:szCs w:val="20"/>
                <w:color w:val="auto"/>
              </w:rPr>
            </w:pPr>
            <w:r>
              <w:rPr>
                <w:rFonts w:ascii="Arial" w:cs="Arial" w:eastAsia="Arial" w:hAnsi="Arial"/>
                <w:sz w:val="13"/>
                <w:szCs w:val="13"/>
                <w:color w:val="auto"/>
              </w:rPr>
              <w:t>Incentive fees payable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10,817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8,808</w:t>
            </w: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Interest payable</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8,291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6,221</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20"/>
              <w:spacing w:after="0"/>
              <w:rPr>
                <w:sz w:val="20"/>
                <w:szCs w:val="20"/>
                <w:color w:val="auto"/>
              </w:rPr>
            </w:pPr>
            <w:r>
              <w:rPr>
                <w:rFonts w:ascii="Arial" w:cs="Arial" w:eastAsia="Arial" w:hAnsi="Arial"/>
                <w:sz w:val="13"/>
                <w:szCs w:val="13"/>
                <w:color w:val="auto"/>
              </w:rPr>
              <w:t>Accrued expenses and other liabilities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1,362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1,728</w:t>
            </w:r>
          </w:p>
        </w:tc>
        <w:tc>
          <w:tcPr>
            <w:tcW w:w="80" w:type="dxa"/>
            <w:vAlign w:val="bottom"/>
          </w:tcPr>
          <w:p>
            <w:pPr>
              <w:spacing w:after="0"/>
              <w:rPr>
                <w:sz w:val="15"/>
                <w:szCs w:val="15"/>
                <w:color w:val="auto"/>
              </w:rPr>
            </w:pPr>
          </w:p>
        </w:tc>
      </w:tr>
      <w:tr>
        <w:trPr>
          <w:trHeight w:val="225"/>
        </w:trPr>
        <w:tc>
          <w:tcPr>
            <w:tcW w:w="7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b w:val="1"/>
                <w:bCs w:val="1"/>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567,743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565,714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51"/>
        </w:trPr>
        <w:tc>
          <w:tcPr>
            <w:tcW w:w="7040" w:type="dxa"/>
            <w:vAlign w:val="bottom"/>
          </w:tcPr>
          <w:p>
            <w:pPr>
              <w:ind w:left="20"/>
              <w:spacing w:after="0"/>
              <w:rPr>
                <w:sz w:val="20"/>
                <w:szCs w:val="20"/>
                <w:color w:val="auto"/>
              </w:rPr>
            </w:pPr>
            <w:r>
              <w:rPr>
                <w:rFonts w:ascii="Arial" w:cs="Arial" w:eastAsia="Arial" w:hAnsi="Arial"/>
                <w:sz w:val="13"/>
                <w:szCs w:val="13"/>
                <w:color w:val="auto"/>
              </w:rPr>
              <w:t>Commitments and contingencies (Note 8)</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5"/>
        </w:trPr>
        <w:tc>
          <w:tcPr>
            <w:tcW w:w="70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assets</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100"/>
              <w:spacing w:after="0"/>
              <w:rPr>
                <w:sz w:val="20"/>
                <w:szCs w:val="20"/>
                <w:color w:val="auto"/>
              </w:rPr>
            </w:pPr>
            <w:r>
              <w:rPr>
                <w:rFonts w:ascii="Arial" w:cs="Arial" w:eastAsia="Arial" w:hAnsi="Arial"/>
                <w:sz w:val="13"/>
                <w:szCs w:val="13"/>
                <w:color w:val="auto"/>
              </w:rPr>
              <w:t>Common stock, par value</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414</w:t>
            </w: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605,774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605,774</w:t>
            </w:r>
          </w:p>
        </w:tc>
        <w:tc>
          <w:tcPr>
            <w:tcW w:w="80" w:type="dxa"/>
            <w:vAlign w:val="bottom"/>
            <w:shd w:val="clear" w:color="auto" w:fill="CFF0FC"/>
          </w:tcPr>
          <w:p>
            <w:pPr>
              <w:spacing w:after="0"/>
              <w:rPr>
                <w:sz w:val="16"/>
                <w:szCs w:val="16"/>
                <w:color w:val="auto"/>
              </w:rPr>
            </w:pPr>
          </w:p>
        </w:tc>
      </w:tr>
      <w:tr>
        <w:trPr>
          <w:trHeight w:val="175"/>
        </w:trPr>
        <w:tc>
          <w:tcPr>
            <w:tcW w:w="7040" w:type="dxa"/>
            <w:vAlign w:val="bottom"/>
          </w:tcPr>
          <w:p>
            <w:pPr>
              <w:ind w:left="100"/>
              <w:spacing w:after="0"/>
              <w:rPr>
                <w:sz w:val="20"/>
                <w:szCs w:val="20"/>
                <w:color w:val="auto"/>
              </w:rPr>
            </w:pPr>
            <w:r>
              <w:rPr>
                <w:rFonts w:ascii="Arial" w:cs="Arial" w:eastAsia="Arial" w:hAnsi="Arial"/>
                <w:sz w:val="13"/>
                <w:szCs w:val="13"/>
                <w:color w:val="auto"/>
              </w:rPr>
              <w:t>Distributable earnings (losses)</w:t>
            </w:r>
          </w:p>
        </w:tc>
        <w:tc>
          <w:tcPr>
            <w:tcW w:w="24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3"/>
                <w:szCs w:val="13"/>
                <w:color w:val="auto"/>
              </w:rPr>
              <w:t>(21,474 )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3"/>
                <w:szCs w:val="13"/>
                <w:color w:val="auto"/>
              </w:rPr>
              <w:t>(19,320 )</w:t>
            </w:r>
          </w:p>
        </w:tc>
      </w:tr>
      <w:tr>
        <w:trPr>
          <w:trHeight w:val="185"/>
        </w:trPr>
        <w:tc>
          <w:tcPr>
            <w:tcW w:w="7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Treasury stock</w:t>
            </w:r>
          </w:p>
        </w:tc>
        <w:tc>
          <w:tcPr>
            <w:tcW w:w="24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(10,816 )</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(10,816 )</w:t>
            </w:r>
          </w:p>
        </w:tc>
      </w:tr>
      <w:tr>
        <w:trPr>
          <w:trHeight w:val="180"/>
        </w:trPr>
        <w:tc>
          <w:tcPr>
            <w:tcW w:w="7040" w:type="dxa"/>
            <w:vAlign w:val="bottom"/>
          </w:tcPr>
          <w:p>
            <w:pPr>
              <w:ind w:left="180"/>
              <w:spacing w:after="0"/>
              <w:rPr>
                <w:sz w:val="20"/>
                <w:szCs w:val="20"/>
                <w:color w:val="auto"/>
              </w:rPr>
            </w:pPr>
            <w:r>
              <w:rPr>
                <w:rFonts w:ascii="Arial" w:cs="Arial" w:eastAsia="Arial" w:hAnsi="Arial"/>
                <w:sz w:val="13"/>
                <w:szCs w:val="13"/>
                <w:b w:val="1"/>
                <w:bCs w:val="1"/>
                <w:color w:val="auto"/>
              </w:rPr>
              <w:t>Total net assets</w:t>
            </w:r>
          </w:p>
        </w:tc>
        <w:tc>
          <w:tcPr>
            <w:tcW w:w="240" w:type="dxa"/>
            <w:vAlign w:val="bottom"/>
          </w:tcPr>
          <w:p>
            <w:pPr>
              <w:jc w:val="right"/>
              <w:ind w:right="94"/>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573,898</w:t>
            </w:r>
          </w:p>
        </w:tc>
        <w:tc>
          <w:tcPr>
            <w:tcW w:w="120" w:type="dxa"/>
            <w:vAlign w:val="bottom"/>
          </w:tcPr>
          <w:p>
            <w:pPr>
              <w:spacing w:after="0"/>
              <w:rPr>
                <w:sz w:val="15"/>
                <w:szCs w:val="15"/>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576,052</w:t>
            </w:r>
          </w:p>
        </w:tc>
        <w:tc>
          <w:tcPr>
            <w:tcW w:w="80" w:type="dxa"/>
            <w:vAlign w:val="bottom"/>
          </w:tcPr>
          <w:p>
            <w:pPr>
              <w:spacing w:after="0"/>
              <w:rPr>
                <w:sz w:val="15"/>
                <w:szCs w:val="15"/>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5"/>
        </w:trPr>
        <w:tc>
          <w:tcPr>
            <w:tcW w:w="7040" w:type="dxa"/>
            <w:vAlign w:val="bottom"/>
          </w:tcPr>
          <w:p>
            <w:pPr>
              <w:ind w:left="20"/>
              <w:spacing w:after="0"/>
              <w:rPr>
                <w:sz w:val="20"/>
                <w:szCs w:val="20"/>
                <w:color w:val="auto"/>
              </w:rPr>
            </w:pPr>
            <w:r>
              <w:rPr>
                <w:rFonts w:ascii="Arial" w:cs="Arial" w:eastAsia="Arial" w:hAnsi="Arial"/>
                <w:sz w:val="13"/>
                <w:szCs w:val="13"/>
                <w:color w:val="auto"/>
              </w:rPr>
              <w:t>Shares of common stock outstanding ($0.01 par value, 100,000,000 shares authorized)</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40,509,269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40,509,269</w:t>
            </w:r>
          </w:p>
        </w:tc>
        <w:tc>
          <w:tcPr>
            <w:tcW w:w="80" w:type="dxa"/>
            <w:vAlign w:val="bottom"/>
          </w:tcPr>
          <w:p>
            <w:pPr>
              <w:spacing w:after="0"/>
              <w:rPr>
                <w:sz w:val="15"/>
                <w:szCs w:val="15"/>
                <w:color w:val="auto"/>
              </w:rPr>
            </w:pPr>
          </w:p>
        </w:tc>
      </w:tr>
      <w:tr>
        <w:trPr>
          <w:trHeight w:val="185"/>
        </w:trPr>
        <w:tc>
          <w:tcPr>
            <w:tcW w:w="7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asset value per share</w:t>
            </w:r>
          </w:p>
        </w:tc>
        <w:tc>
          <w:tcPr>
            <w:tcW w:w="24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14.17</w:t>
            </w:r>
          </w:p>
        </w:tc>
        <w:tc>
          <w:tcPr>
            <w:tcW w:w="12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w:t>
            </w:r>
          </w:p>
        </w:tc>
        <w:tc>
          <w:tcPr>
            <w:tcW w:w="80" w:type="dxa"/>
            <w:vAlign w:val="bottom"/>
            <w:shd w:val="clear" w:color="auto" w:fill="CFF0FC"/>
          </w:tcPr>
          <w:p>
            <w:pPr>
              <w:spacing w:after="0"/>
              <w:rPr>
                <w:sz w:val="16"/>
                <w:szCs w:val="16"/>
                <w:color w:val="auto"/>
              </w:rPr>
            </w:pPr>
          </w:p>
        </w:tc>
      </w:tr>
    </w:tbl>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40" w:orient="portrait"/>
          <w:cols w:equalWidth="0" w:num="1">
            <w:col w:w="10560"/>
          </w:cols>
          <w:pgMar w:left="660" w:top="562" w:right="680" w:bottom="1440" w:gutter="0" w:footer="0" w:header="0"/>
        </w:sectPr>
      </w:pPr>
    </w:p>
    <w:bookmarkStart w:id="4" w:name="page5"/>
    <w:bookmarkEnd w:id="4"/>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Statements of Operations</w:t>
      </w:r>
    </w:p>
    <w:p>
      <w:pPr>
        <w:jc w:val="center"/>
        <w:ind w:right="-19"/>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Investment income</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From non-control/non-affiliate investments: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Interest income</w:t>
            </w:r>
          </w:p>
        </w:tc>
        <w:tc>
          <w:tcPr>
            <w:tcW w:w="32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33,818</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19,849</w:t>
            </w:r>
          </w:p>
        </w:tc>
        <w:tc>
          <w:tcPr>
            <w:tcW w:w="1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68,671</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80"/>
              <w:spacing w:after="0"/>
              <w:rPr>
                <w:sz w:val="20"/>
                <w:szCs w:val="20"/>
                <w:color w:val="auto"/>
              </w:rPr>
            </w:pPr>
            <w:r>
              <w:rPr>
                <w:rFonts w:ascii="Arial" w:cs="Arial" w:eastAsia="Arial" w:hAnsi="Arial"/>
                <w:sz w:val="13"/>
                <w:szCs w:val="13"/>
                <w:color w:val="auto"/>
              </w:rPr>
              <w:t>Payment in-kind interest income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6,425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10,221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Dividend income</w:t>
            </w: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80"/>
              <w:spacing w:after="0"/>
              <w:rPr>
                <w:sz w:val="20"/>
                <w:szCs w:val="20"/>
                <w:color w:val="auto"/>
              </w:rPr>
            </w:pPr>
            <w:r>
              <w:rPr>
                <w:rFonts w:ascii="Arial" w:cs="Arial" w:eastAsia="Arial" w:hAnsi="Arial"/>
                <w:sz w:val="13"/>
                <w:szCs w:val="13"/>
                <w:color w:val="auto"/>
              </w:rPr>
              <w:t>Fee income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From affiliate investments:</w:t>
            </w: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Payment in-kind interest income</w:t>
            </w: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80"/>
              <w:spacing w:after="0"/>
              <w:rPr>
                <w:sz w:val="20"/>
                <w:szCs w:val="20"/>
                <w:color w:val="auto"/>
              </w:rPr>
            </w:pPr>
            <w:r>
              <w:rPr>
                <w:rFonts w:ascii="Arial" w:cs="Arial" w:eastAsia="Arial" w:hAnsi="Arial"/>
                <w:sz w:val="13"/>
                <w:szCs w:val="13"/>
                <w:color w:val="auto"/>
              </w:rPr>
              <w:t>Fee income</w:t>
            </w:r>
          </w:p>
        </w:tc>
        <w:tc>
          <w:tcPr>
            <w:tcW w:w="3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From control investments:</w:t>
            </w: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3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Payment in-kind interest income</w:t>
            </w: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Other income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investment income</w:t>
            </w: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41,895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81,205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44,257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Management fees</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8,296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5,422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Incentive fees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3,621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9,483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4,965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Interest and other debt financing expenses</w:t>
            </w: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11,410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22,330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Professional fees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Administration agreement expenses</w:t>
            </w: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Insurance expense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Tax expense</w:t>
            </w: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Other expenses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operating expenses</w:t>
            </w: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22,219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10,546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43,283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17,319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Net investment income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19,676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14,479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37,922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26,938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realized and net change in unrealized gain (loss) on</w:t>
            </w: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investments</w:t>
            </w: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Net realized gain (loss) on non-control/non-affiliate investments</w:t>
            </w:r>
          </w:p>
        </w:tc>
        <w:tc>
          <w:tcPr>
            <w:tcW w:w="3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(1,178 )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realized gain (loss) on investments</w:t>
            </w: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(1,178 )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20" w:type="dxa"/>
            <w:vAlign w:val="bottom"/>
          </w:tcPr>
          <w:p>
            <w:pPr>
              <w:ind w:left="100"/>
              <w:spacing w:after="0"/>
              <w:rPr>
                <w:sz w:val="20"/>
                <w:szCs w:val="20"/>
                <w:color w:val="auto"/>
              </w:rPr>
            </w:pPr>
            <w:r>
              <w:rPr>
                <w:rFonts w:ascii="Arial" w:cs="Arial" w:eastAsia="Arial" w:hAnsi="Arial"/>
                <w:sz w:val="13"/>
                <w:szCs w:val="13"/>
                <w:color w:val="auto"/>
              </w:rPr>
              <w:t>Net change in unrealized gain (loss) on non-control/non-affiliate</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Pr>
          <w:p>
            <w:pPr>
              <w:ind w:left="100"/>
              <w:spacing w:after="0"/>
              <w:rPr>
                <w:sz w:val="20"/>
                <w:szCs w:val="20"/>
                <w:color w:val="auto"/>
              </w:rPr>
            </w:pPr>
            <w:r>
              <w:rPr>
                <w:rFonts w:ascii="Arial" w:cs="Arial" w:eastAsia="Arial" w:hAnsi="Arial"/>
                <w:sz w:val="13"/>
                <w:szCs w:val="13"/>
                <w:color w:val="auto"/>
              </w:rPr>
              <w:t>investments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(8,164 )</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(12,318 )</w:t>
            </w:r>
          </w:p>
        </w:tc>
        <w:tc>
          <w:tcPr>
            <w:tcW w:w="0" w:type="dxa"/>
            <w:vAlign w:val="bottom"/>
          </w:tcPr>
          <w:p>
            <w:pPr>
              <w:spacing w:after="0"/>
              <w:rPr>
                <w:sz w:val="1"/>
                <w:szCs w:val="1"/>
                <w:color w:val="auto"/>
              </w:rPr>
            </w:pPr>
          </w:p>
        </w:tc>
      </w:tr>
      <w:tr>
        <w:trPr>
          <w:trHeight w:val="185"/>
        </w:trPr>
        <w:tc>
          <w:tcPr>
            <w:tcW w:w="40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Net change in unrealized gain (loss) on affiliate investments</w:t>
            </w: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(103 )</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(42 )</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(6,089 )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(3,208 )</w:t>
            </w:r>
          </w:p>
        </w:tc>
        <w:tc>
          <w:tcPr>
            <w:tcW w:w="0" w:type="dxa"/>
            <w:vAlign w:val="bottom"/>
          </w:tcPr>
          <w:p>
            <w:pPr>
              <w:spacing w:after="0"/>
              <w:rPr>
                <w:sz w:val="1"/>
                <w:szCs w:val="1"/>
                <w:color w:val="auto"/>
              </w:rPr>
            </w:pPr>
          </w:p>
        </w:tc>
      </w:tr>
      <w:tr>
        <w:trPr>
          <w:trHeight w:val="175"/>
        </w:trPr>
        <w:tc>
          <w:tcPr>
            <w:tcW w:w="4020" w:type="dxa"/>
            <w:vAlign w:val="bottom"/>
          </w:tcPr>
          <w:p>
            <w:pPr>
              <w:ind w:left="100"/>
              <w:spacing w:after="0"/>
              <w:rPr>
                <w:sz w:val="20"/>
                <w:szCs w:val="20"/>
                <w:color w:val="auto"/>
              </w:rPr>
            </w:pPr>
            <w:r>
              <w:rPr>
                <w:rFonts w:ascii="Arial" w:cs="Arial" w:eastAsia="Arial" w:hAnsi="Arial"/>
                <w:sz w:val="13"/>
                <w:szCs w:val="13"/>
                <w:color w:val="auto"/>
              </w:rPr>
              <w:t>Net change in unrealized gain (loss) on control investments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(7,993 )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(9,908 )</w:t>
            </w:r>
          </w:p>
        </w:tc>
        <w:tc>
          <w:tcPr>
            <w:tcW w:w="0" w:type="dxa"/>
            <w:vAlign w:val="bottom"/>
          </w:tcPr>
          <w:p>
            <w:pPr>
              <w:spacing w:after="0"/>
              <w:rPr>
                <w:sz w:val="1"/>
                <w:szCs w:val="1"/>
                <w:color w:val="auto"/>
              </w:rPr>
            </w:pPr>
          </w:p>
        </w:tc>
      </w:tr>
      <w:tr>
        <w:trPr>
          <w:trHeight w:val="257"/>
        </w:trPr>
        <w:tc>
          <w:tcPr>
            <w:tcW w:w="402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change in unrealized gain (loss) on investments</w:t>
            </w:r>
          </w:p>
        </w:tc>
        <w:tc>
          <w:tcPr>
            <w:tcW w:w="3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2,644</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(16,199 )</w:t>
            </w:r>
          </w:p>
        </w:tc>
        <w:tc>
          <w:tcPr>
            <w:tcW w:w="1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40"/>
              <w:spacing w:after="0" w:line="257" w:lineRule="exact"/>
              <w:rPr>
                <w:sz w:val="20"/>
                <w:szCs w:val="20"/>
                <w:color w:val="auto"/>
              </w:rPr>
            </w:pPr>
            <w:r>
              <w:rPr>
                <w:rFonts w:ascii="Arial" w:cs="Arial" w:eastAsia="Arial" w:hAnsi="Arial"/>
                <w:sz w:val="13"/>
                <w:szCs w:val="13"/>
                <w:color w:val="auto"/>
              </w:rPr>
              <w:t xml:space="preserve">(2,440 </w:t>
            </w:r>
            <w:r>
              <w:rPr>
                <w:rFonts w:ascii="Arial" w:cs="Arial" w:eastAsia="Arial" w:hAnsi="Arial"/>
                <w:sz w:val="26"/>
                <w:szCs w:val="26"/>
                <w:color w:val="auto"/>
                <w:vertAlign w:val="subscript"/>
              </w:rPr>
              <w:t>)</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(25,434 )</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Net realized and unrealized gain (loss) on investments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(15,296 )</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(3,618 )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(24,902 )</w:t>
            </w:r>
          </w:p>
        </w:tc>
        <w:tc>
          <w:tcPr>
            <w:tcW w:w="0" w:type="dxa"/>
            <w:vAlign w:val="bottom"/>
          </w:tcPr>
          <w:p>
            <w:pPr>
              <w:spacing w:after="0"/>
              <w:rPr>
                <w:sz w:val="1"/>
                <w:szCs w:val="1"/>
                <w:color w:val="auto"/>
              </w:rPr>
            </w:pPr>
          </w:p>
        </w:tc>
      </w:tr>
      <w:tr>
        <w:trPr>
          <w:trHeight w:val="153"/>
        </w:trPr>
        <w:tc>
          <w:tcPr>
            <w:tcW w:w="4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Net increase (decrease) in net assets resulting from</w:t>
            </w:r>
          </w:p>
        </w:tc>
        <w:tc>
          <w:tcPr>
            <w:tcW w:w="320" w:type="dxa"/>
            <w:vAlign w:val="bottom"/>
            <w:vMerge w:val="restart"/>
            <w:shd w:val="clear" w:color="auto" w:fill="CFF0FC"/>
          </w:tcPr>
          <w:p>
            <w:pPr>
              <w:jc w:val="right"/>
              <w:ind w:right="174"/>
              <w:spacing w:after="0"/>
              <w:rPr>
                <w:sz w:val="20"/>
                <w:szCs w:val="20"/>
                <w:color w:val="auto"/>
              </w:rPr>
            </w:pPr>
            <w:r>
              <w:rPr>
                <w:rFonts w:ascii="Arial" w:cs="Arial" w:eastAsia="Arial" w:hAnsi="Arial"/>
                <w:sz w:val="13"/>
                <w:szCs w:val="13"/>
                <w:color w:val="auto"/>
                <w:w w:val="82"/>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22,320</w:t>
            </w:r>
          </w:p>
        </w:tc>
        <w:tc>
          <w:tcPr>
            <w:tcW w:w="1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340" w:type="dxa"/>
            <w:vAlign w:val="bottom"/>
            <w:vMerge w:val="restart"/>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(817 )</w:t>
            </w:r>
          </w:p>
        </w:tc>
        <w:tc>
          <w:tcPr>
            <w:tcW w:w="480" w:type="dxa"/>
            <w:vAlign w:val="bottom"/>
            <w:gridSpan w:val="2"/>
            <w:vMerge w:val="restart"/>
            <w:shd w:val="clear" w:color="auto" w:fill="CFF0FC"/>
          </w:tcPr>
          <w:p>
            <w:pPr>
              <w:jc w:val="right"/>
              <w:ind w:right="194"/>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34,304</w:t>
            </w:r>
          </w:p>
        </w:tc>
        <w:tc>
          <w:tcPr>
            <w:tcW w:w="100" w:type="dxa"/>
            <w:vAlign w:val="bottom"/>
            <w:shd w:val="clear" w:color="auto" w:fill="CFF0FC"/>
          </w:tcPr>
          <w:p>
            <w:pPr>
              <w:spacing w:after="0"/>
              <w:rPr>
                <w:sz w:val="13"/>
                <w:szCs w:val="13"/>
                <w:color w:val="auto"/>
              </w:rPr>
            </w:pPr>
          </w:p>
        </w:tc>
        <w:tc>
          <w:tcPr>
            <w:tcW w:w="440" w:type="dxa"/>
            <w:vAlign w:val="bottom"/>
            <w:gridSpan w:val="2"/>
            <w:vMerge w:val="restart"/>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2,036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operations</w:t>
            </w:r>
          </w:p>
        </w:tc>
        <w:tc>
          <w:tcPr>
            <w:tcW w:w="320" w:type="dxa"/>
            <w:vAlign w:val="bottom"/>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340" w:type="dxa"/>
            <w:vAlign w:val="bottom"/>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480" w:type="dxa"/>
            <w:vAlign w:val="bottom"/>
            <w:gridSpan w:val="2"/>
            <w:vMerge w:val="continue"/>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11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investment income per common share (basic and diluted)</w:t>
            </w:r>
          </w:p>
        </w:tc>
        <w:tc>
          <w:tcPr>
            <w:tcW w:w="320" w:type="dxa"/>
            <w:vAlign w:val="bottom"/>
            <w:tcBorders>
              <w:top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0.49</w:t>
            </w:r>
          </w:p>
        </w:tc>
        <w:tc>
          <w:tcPr>
            <w:tcW w:w="12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jc w:val="right"/>
              <w:ind w:right="174"/>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0.35</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jc w:val="right"/>
              <w:ind w:right="19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0.94</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jc w:val="right"/>
              <w:ind w:right="174"/>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0.65</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(decrease) in net assets resulting from operations</w:t>
            </w: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FF0FC"/>
          </w:tcPr>
          <w:p>
            <w:pPr>
              <w:ind w:left="20"/>
              <w:spacing w:after="0"/>
              <w:rPr>
                <w:sz w:val="20"/>
                <w:szCs w:val="20"/>
                <w:color w:val="auto"/>
              </w:rPr>
            </w:pPr>
            <w:r>
              <w:rPr>
                <w:rFonts w:ascii="Arial" w:cs="Arial" w:eastAsia="Arial" w:hAnsi="Arial"/>
                <w:sz w:val="13"/>
                <w:szCs w:val="13"/>
                <w:color w:val="auto"/>
              </w:rPr>
              <w:t>per common share (basic and diluted)</w:t>
            </w:r>
          </w:p>
        </w:tc>
        <w:tc>
          <w:tcPr>
            <w:tcW w:w="32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0.55</w:t>
            </w:r>
          </w:p>
        </w:tc>
        <w:tc>
          <w:tcPr>
            <w:tcW w:w="12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(0.02 )</w:t>
            </w:r>
          </w:p>
        </w:tc>
        <w:tc>
          <w:tcPr>
            <w:tcW w:w="480" w:type="dxa"/>
            <w:vAlign w:val="bottom"/>
            <w:gridSpan w:val="2"/>
            <w:shd w:val="clear" w:color="auto" w:fill="CFF0FC"/>
          </w:tcPr>
          <w:p>
            <w:pPr>
              <w:jc w:val="right"/>
              <w:ind w:right="19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0.85</w:t>
            </w:r>
          </w:p>
        </w:tc>
        <w:tc>
          <w:tcPr>
            <w:tcW w:w="10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3"/>
                <w:szCs w:val="13"/>
                <w:color w:val="auto"/>
              </w:rPr>
              <w:t>Weighted average shares outstanding (basic and diluted)</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40,509,269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41,215,664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40,509,269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41,294,985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40" w:orient="portrait"/>
          <w:cols w:equalWidth="0" w:num="1">
            <w:col w:w="10560"/>
          </w:cols>
          <w:pgMar w:left="660" w:top="562" w:right="680" w:bottom="1440" w:gutter="0" w:footer="0" w:header="0"/>
        </w:sectPr>
      </w:pPr>
    </w:p>
    <w:bookmarkStart w:id="5" w:name="page6"/>
    <w:bookmarkEnd w:id="5"/>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Statements of Changes in Net Assets</w:t>
      </w:r>
    </w:p>
    <w:p>
      <w:pPr>
        <w:jc w:val="center"/>
        <w:ind w:right="-19"/>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For the Three Months Ended June 30,</w:t>
            </w:r>
          </w:p>
        </w:tc>
        <w:tc>
          <w:tcPr>
            <w:tcW w:w="80" w:type="dxa"/>
            <w:vAlign w:val="bottom"/>
          </w:tcPr>
          <w:p>
            <w:pPr>
              <w:spacing w:after="0"/>
              <w:rPr>
                <w:sz w:val="13"/>
                <w:szCs w:val="13"/>
                <w:color w:val="auto"/>
              </w:rPr>
            </w:pPr>
          </w:p>
        </w:tc>
        <w:tc>
          <w:tcPr>
            <w:tcW w:w="84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 Excess of Par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Undistributed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Earnings (Losses)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8"/>
              </w:rPr>
              <w:t>Total Net Assets</w:t>
            </w:r>
          </w:p>
        </w:tc>
        <w:tc>
          <w:tcPr>
            <w:tcW w:w="0" w:type="dxa"/>
            <w:vAlign w:val="bottom"/>
          </w:tcPr>
          <w:p>
            <w:pPr>
              <w:spacing w:after="0"/>
              <w:rPr>
                <w:sz w:val="1"/>
                <w:szCs w:val="1"/>
                <w:color w:val="auto"/>
              </w:rPr>
            </w:pPr>
          </w:p>
        </w:tc>
      </w:tr>
      <w:tr>
        <w:trPr>
          <w:trHeight w:val="180"/>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March 31, 2023</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40,509,269</w:t>
            </w:r>
          </w:p>
        </w:tc>
        <w:tc>
          <w:tcPr>
            <w:tcW w:w="1020" w:type="dxa"/>
            <w:vAlign w:val="bottom"/>
            <w:gridSpan w:val="3"/>
            <w:shd w:val="clear" w:color="auto" w:fill="CFF0FC"/>
          </w:tcPr>
          <w:p>
            <w:pPr>
              <w:jc w:val="right"/>
              <w:ind w:right="614"/>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(10,816 )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605,774</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(25,565 )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569,807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3"/>
                <w:szCs w:val="13"/>
                <w:color w:val="auto"/>
              </w:rPr>
              <w:t>Net increase in net assets resulting from</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3"/>
                <w:szCs w:val="13"/>
                <w:color w:val="auto"/>
              </w:rPr>
              <w:t>operations</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22,320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22,320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3"/>
                <w:szCs w:val="13"/>
                <w:color w:val="auto"/>
              </w:rPr>
              <w:t>Reinvestment of dividends</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 of treasury shares</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3"/>
                <w:szCs w:val="13"/>
                <w:color w:val="auto"/>
              </w:rPr>
              <w:t>Refunds (payments) of offering costs</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paid to stockholders</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(18,229 )</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(18,229 )</w:t>
            </w: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Balances at June 30, 2023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40,509,269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14"/>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(10,816 )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605,774</w:t>
            </w:r>
          </w:p>
        </w:tc>
        <w:tc>
          <w:tcPr>
            <w:tcW w:w="100" w:type="dxa"/>
            <w:vAlign w:val="bottom"/>
          </w:tcPr>
          <w:p>
            <w:pPr>
              <w:spacing w:after="0"/>
              <w:rPr>
                <w:sz w:val="15"/>
                <w:szCs w:val="15"/>
                <w:color w:val="auto"/>
              </w:rPr>
            </w:pP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(21,474 )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573,898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4"/>
          </w:tcPr>
          <w:p>
            <w:pPr>
              <w:jc w:val="right"/>
              <w:ind w:right="294"/>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 Excess of Par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Undistributed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For the Six Months Ended June 30, 2023</w:t>
            </w: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Earnings (Losses)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8"/>
              </w:rPr>
              <w:t>Total Net Assets</w:t>
            </w:r>
          </w:p>
        </w:tc>
        <w:tc>
          <w:tcPr>
            <w:tcW w:w="0" w:type="dxa"/>
            <w:vAlign w:val="bottom"/>
          </w:tcPr>
          <w:p>
            <w:pPr>
              <w:spacing w:after="0"/>
              <w:rPr>
                <w:sz w:val="1"/>
                <w:szCs w:val="1"/>
                <w:color w:val="auto"/>
              </w:rPr>
            </w:pPr>
          </w:p>
        </w:tc>
      </w:tr>
      <w:tr>
        <w:trPr>
          <w:trHeight w:val="180"/>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December 31, 2022</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40,509,269</w:t>
            </w:r>
          </w:p>
        </w:tc>
        <w:tc>
          <w:tcPr>
            <w:tcW w:w="1020" w:type="dxa"/>
            <w:vAlign w:val="bottom"/>
            <w:gridSpan w:val="3"/>
            <w:shd w:val="clear" w:color="auto" w:fill="CFF0FC"/>
          </w:tcPr>
          <w:p>
            <w:pPr>
              <w:jc w:val="right"/>
              <w:ind w:right="614"/>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(10,816 )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605,774</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(19,320 )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576,052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rPr>
                <w:sz w:val="20"/>
                <w:szCs w:val="20"/>
                <w:color w:val="auto"/>
              </w:rPr>
            </w:pPr>
            <w:r>
              <w:rPr>
                <w:rFonts w:ascii="Arial" w:cs="Arial" w:eastAsia="Arial" w:hAnsi="Arial"/>
                <w:sz w:val="13"/>
                <w:szCs w:val="13"/>
                <w:color w:val="auto"/>
              </w:rPr>
              <w:t>Net increase in net assets resulting from</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3"/>
                <w:szCs w:val="13"/>
                <w:color w:val="auto"/>
              </w:rPr>
              <w:t>operations</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34,304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34,304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3"/>
                <w:szCs w:val="13"/>
                <w:color w:val="auto"/>
              </w:rPr>
              <w:t>Reinvestment of dividends</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Acquisition of treasury shares</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740" w:type="dxa"/>
            <w:vAlign w:val="bottom"/>
          </w:tcPr>
          <w:p>
            <w:pPr>
              <w:ind w:left="20"/>
              <w:spacing w:after="0"/>
              <w:rPr>
                <w:sz w:val="20"/>
                <w:szCs w:val="20"/>
                <w:color w:val="auto"/>
              </w:rPr>
            </w:pPr>
            <w:r>
              <w:rPr>
                <w:rFonts w:ascii="Arial" w:cs="Arial" w:eastAsia="Arial" w:hAnsi="Arial"/>
                <w:sz w:val="13"/>
                <w:szCs w:val="13"/>
                <w:color w:val="auto"/>
              </w:rPr>
              <w:t>Refunds (payments) of offering costs</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Dividends paid to stockholders</w:t>
            </w: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(36,458 )</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(36,458 )</w:t>
            </w: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rPr>
                <w:sz w:val="20"/>
                <w:szCs w:val="20"/>
                <w:color w:val="auto"/>
              </w:rPr>
            </w:pPr>
            <w:r>
              <w:rPr>
                <w:rFonts w:ascii="Arial" w:cs="Arial" w:eastAsia="Arial" w:hAnsi="Arial"/>
                <w:sz w:val="13"/>
                <w:szCs w:val="13"/>
                <w:b w:val="1"/>
                <w:bCs w:val="1"/>
                <w:color w:val="auto"/>
              </w:rPr>
              <w:t>Balances at June 30, 2023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40,509,269</w:t>
            </w:r>
          </w:p>
        </w:tc>
        <w:tc>
          <w:tcPr>
            <w:tcW w:w="120" w:type="dxa"/>
            <w:vAlign w:val="bottom"/>
          </w:tcPr>
          <w:p>
            <w:pPr>
              <w:spacing w:after="0"/>
              <w:rPr>
                <w:sz w:val="15"/>
                <w:szCs w:val="15"/>
                <w:color w:val="auto"/>
              </w:rPr>
            </w:pPr>
          </w:p>
        </w:tc>
        <w:tc>
          <w:tcPr>
            <w:tcW w:w="900" w:type="dxa"/>
            <w:vAlign w:val="bottom"/>
            <w:gridSpan w:val="2"/>
          </w:tcPr>
          <w:p>
            <w:pPr>
              <w:jc w:val="right"/>
              <w:ind w:right="614"/>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5"/>
                <w:szCs w:val="15"/>
                <w:color w:val="auto"/>
              </w:rPr>
            </w:pPr>
          </w:p>
        </w:tc>
        <w:tc>
          <w:tcPr>
            <w:tcW w:w="460" w:type="dxa"/>
            <w:vAlign w:val="bottom"/>
            <w:gridSpan w:val="2"/>
          </w:tcPr>
          <w:p>
            <w:pPr>
              <w:jc w:val="right"/>
              <w:ind w:right="174"/>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(10,816 )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605,774</w:t>
            </w:r>
          </w:p>
        </w:tc>
        <w:tc>
          <w:tcPr>
            <w:tcW w:w="100" w:type="dxa"/>
            <w:vAlign w:val="bottom"/>
          </w:tcPr>
          <w:p>
            <w:pPr>
              <w:spacing w:after="0"/>
              <w:rPr>
                <w:sz w:val="15"/>
                <w:szCs w:val="15"/>
                <w:color w:val="auto"/>
              </w:rPr>
            </w:pP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(21,474 )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573,898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00" w:hanging="282"/>
        <w:spacing w:after="0"/>
        <w:tabs>
          <w:tab w:leader="none" w:pos="300"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Number of shares is shown net of treasury stock repurchases of 871,345 shares.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6"/>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For the Three Months Ended June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 Excess of Par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Undistributed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Earnings (Losses)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8"/>
              </w:rPr>
              <w:t>Total Net Assets</w:t>
            </w:r>
          </w:p>
        </w:tc>
        <w:tc>
          <w:tcPr>
            <w:tcW w:w="0" w:type="dxa"/>
            <w:vAlign w:val="bottom"/>
          </w:tcPr>
          <w:p>
            <w:pPr>
              <w:spacing w:after="0"/>
              <w:rPr>
                <w:sz w:val="1"/>
                <w:szCs w:val="1"/>
                <w:color w:val="auto"/>
              </w:rPr>
            </w:pPr>
          </w:p>
        </w:tc>
      </w:tr>
      <w:tr>
        <w:trPr>
          <w:trHeight w:val="170"/>
        </w:trPr>
        <w:tc>
          <w:tcPr>
            <w:tcW w:w="2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Balances at March 31, 2022</w:t>
            </w:r>
          </w:p>
        </w:tc>
        <w:tc>
          <w:tcPr>
            <w:tcW w:w="1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41,348,832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(409 )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606,048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(8,587 )</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597,466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decrease in net assets resulting from</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operations</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(817 )</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(817 )</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Reinvestment of dividends</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Acquisition of treasury shares</w:t>
            </w:r>
          </w:p>
        </w:tc>
        <w:tc>
          <w:tcPr>
            <w:tcW w:w="1160" w:type="dxa"/>
            <w:vAlign w:val="bottom"/>
            <w:gridSpan w:val="4"/>
          </w:tcPr>
          <w:p>
            <w:pPr>
              <w:jc w:val="right"/>
              <w:ind w:right="60"/>
              <w:spacing w:after="0"/>
              <w:rPr>
                <w:sz w:val="20"/>
                <w:szCs w:val="20"/>
                <w:color w:val="auto"/>
              </w:rPr>
            </w:pPr>
            <w:r>
              <w:rPr>
                <w:rFonts w:ascii="Arial" w:cs="Arial" w:eastAsia="Arial" w:hAnsi="Arial"/>
                <w:sz w:val="13"/>
                <w:szCs w:val="13"/>
                <w:color w:val="auto"/>
              </w:rPr>
              <w:t>(381,710 )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(4,870 )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(4,870 )</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Refunds (payments) of offering costs</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Dividends paid to stockholders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(12,382 )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(12,382 )</w:t>
            </w:r>
          </w:p>
        </w:tc>
        <w:tc>
          <w:tcPr>
            <w:tcW w:w="0" w:type="dxa"/>
            <w:vAlign w:val="bottom"/>
          </w:tcPr>
          <w:p>
            <w:pPr>
              <w:spacing w:after="0"/>
              <w:rPr>
                <w:sz w:val="1"/>
                <w:szCs w:val="1"/>
                <w:color w:val="auto"/>
              </w:rPr>
            </w:pPr>
          </w:p>
        </w:tc>
      </w:tr>
      <w:tr>
        <w:trPr>
          <w:trHeight w:val="22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2022</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40,967,122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14"/>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(5,279 )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606,064</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(21,786 )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579,413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6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gridSpan w:val="2"/>
          </w:tcPr>
          <w:p>
            <w:pPr>
              <w:spacing w:after="0"/>
              <w:rPr>
                <w:sz w:val="12"/>
                <w:szCs w:val="12"/>
                <w:color w:val="auto"/>
              </w:rPr>
            </w:pPr>
          </w:p>
        </w:tc>
        <w:tc>
          <w:tcPr>
            <w:tcW w:w="104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gridSpan w:val="6"/>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 Excess of Par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Undistributed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For the Six Months Ended June 30, 2022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3"/>
                <w:szCs w:val="13"/>
                <w:b w:val="1"/>
                <w:bCs w:val="1"/>
                <w:color w:val="auto"/>
              </w:rPr>
              <w:t>Earnings (Losses)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8"/>
              </w:rPr>
              <w:t>Total Net Assets</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Balances at December 31, 2021</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41,380,614</w:t>
            </w:r>
          </w:p>
        </w:tc>
        <w:tc>
          <w:tcPr>
            <w:tcW w:w="120" w:type="dxa"/>
            <w:vAlign w:val="bottom"/>
          </w:tcPr>
          <w:p>
            <w:pPr>
              <w:spacing w:after="0"/>
              <w:rPr>
                <w:sz w:val="15"/>
                <w:szCs w:val="15"/>
                <w:color w:val="auto"/>
              </w:rPr>
            </w:pPr>
          </w:p>
        </w:tc>
        <w:tc>
          <w:tcPr>
            <w:tcW w:w="30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414</w:t>
            </w:r>
          </w:p>
        </w:tc>
        <w:tc>
          <w:tcPr>
            <w:tcW w:w="100" w:type="dxa"/>
            <w:vAlign w:val="bottom"/>
          </w:tcPr>
          <w:p>
            <w:pPr>
              <w:spacing w:after="0"/>
              <w:rPr>
                <w:sz w:val="15"/>
                <w:szCs w:val="15"/>
                <w:color w:val="auto"/>
              </w:rPr>
            </w:pPr>
          </w:p>
        </w:tc>
        <w:tc>
          <w:tcPr>
            <w:tcW w:w="50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606,048</w:t>
            </w:r>
          </w:p>
        </w:tc>
        <w:tc>
          <w:tcPr>
            <w:tcW w:w="100" w:type="dxa"/>
            <w:vAlign w:val="bottom"/>
          </w:tcPr>
          <w:p>
            <w:pPr>
              <w:spacing w:after="0"/>
              <w:rPr>
                <w:sz w:val="15"/>
                <w:szCs w:val="15"/>
                <w:color w:val="auto"/>
              </w:rPr>
            </w:pP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color w:val="auto"/>
              </w:rPr>
              <w:t>(267 )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606,195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increase in net assets resulting from</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operations</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Reinvestment of dividends</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3"/>
                <w:szCs w:val="13"/>
                <w:color w:val="auto"/>
              </w:rPr>
              <w:t>Acquisition of treasury shares</w:t>
            </w:r>
          </w:p>
        </w:tc>
        <w:tc>
          <w:tcPr>
            <w:tcW w:w="1160" w:type="dxa"/>
            <w:vAlign w:val="bottom"/>
            <w:gridSpan w:val="4"/>
          </w:tcPr>
          <w:p>
            <w:pPr>
              <w:jc w:val="right"/>
              <w:ind w:right="60"/>
              <w:spacing w:after="0"/>
              <w:rPr>
                <w:sz w:val="20"/>
                <w:szCs w:val="20"/>
                <w:color w:val="auto"/>
              </w:rPr>
            </w:pPr>
            <w:r>
              <w:rPr>
                <w:rFonts w:ascii="Arial" w:cs="Arial" w:eastAsia="Arial" w:hAnsi="Arial"/>
                <w:sz w:val="13"/>
                <w:szCs w:val="13"/>
                <w:color w:val="auto"/>
              </w:rPr>
              <w:t>(413,492 )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(5,279 )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(5,279 )</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Refunds (payments) of offering costs</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620" w:type="dxa"/>
            <w:vAlign w:val="bottom"/>
          </w:tcPr>
          <w:p>
            <w:pPr>
              <w:ind w:left="20"/>
              <w:spacing w:after="0"/>
              <w:rPr>
                <w:sz w:val="20"/>
                <w:szCs w:val="20"/>
                <w:color w:val="auto"/>
              </w:rPr>
            </w:pPr>
            <w:r>
              <w:rPr>
                <w:rFonts w:ascii="Arial" w:cs="Arial" w:eastAsia="Arial" w:hAnsi="Arial"/>
                <w:sz w:val="13"/>
                <w:szCs w:val="13"/>
                <w:color w:val="auto"/>
              </w:rPr>
              <w:t>Dividends paid to stockholders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right"/>
              <w:ind w:right="40"/>
              <w:spacing w:after="0" w:line="252" w:lineRule="exact"/>
              <w:rPr>
                <w:sz w:val="20"/>
                <w:szCs w:val="20"/>
                <w:color w:val="auto"/>
              </w:rPr>
            </w:pPr>
            <w:r>
              <w:rPr>
                <w:rFonts w:ascii="Arial" w:cs="Arial" w:eastAsia="Arial" w:hAnsi="Arial"/>
                <w:sz w:val="13"/>
                <w:szCs w:val="13"/>
                <w:color w:val="auto"/>
              </w:rPr>
              <w:t xml:space="preserve">(23,555 </w:t>
            </w:r>
            <w:r>
              <w:rPr>
                <w:rFonts w:ascii="Arial" w:cs="Arial" w:eastAsia="Arial" w:hAnsi="Arial"/>
                <w:sz w:val="26"/>
                <w:szCs w:val="26"/>
                <w:color w:val="auto"/>
                <w:vertAlign w:val="superscript"/>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tcPr>
          <w:p>
            <w:pPr>
              <w:jc w:val="right"/>
              <w:ind w:right="40"/>
              <w:spacing w:after="0" w:line="252" w:lineRule="exact"/>
              <w:rPr>
                <w:sz w:val="20"/>
                <w:szCs w:val="20"/>
                <w:color w:val="auto"/>
              </w:rPr>
            </w:pPr>
            <w:r>
              <w:rPr>
                <w:rFonts w:ascii="Arial" w:cs="Arial" w:eastAsia="Arial" w:hAnsi="Arial"/>
                <w:sz w:val="13"/>
                <w:szCs w:val="13"/>
                <w:color w:val="auto"/>
              </w:rPr>
              <w:t xml:space="preserve">(23,555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20"/>
        </w:trPr>
        <w:tc>
          <w:tcPr>
            <w:tcW w:w="2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Balances at June 30, 2022</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40,967,122</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w:t>
            </w:r>
          </w:p>
        </w:tc>
        <w:tc>
          <w:tcPr>
            <w:tcW w:w="1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14"/>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(5,279 )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606,064</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(21,786 )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579,413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620" w:type="dxa"/>
            <w:vAlign w:val="bottom"/>
            <w:tcBorders>
              <w:top w:val="single" w:sz="8" w:color="CFF0FC"/>
              <w:bottom w:val="single" w:sz="8" w:color="auto"/>
            </w:tcBorders>
          </w:tcPr>
          <w:p>
            <w:pPr>
              <w:spacing w:after="0"/>
              <w:rPr>
                <w:sz w:val="3"/>
                <w:szCs w:val="3"/>
                <w:color w:val="auto"/>
              </w:rPr>
            </w:pPr>
          </w:p>
        </w:tc>
        <w:tc>
          <w:tcPr>
            <w:tcW w:w="120" w:type="dxa"/>
            <w:vAlign w:val="bottom"/>
            <w:tcBorders>
              <w:top w:val="single" w:sz="8" w:color="CFF0FC"/>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00" w:hanging="282"/>
        <w:spacing w:after="0"/>
        <w:tabs>
          <w:tab w:leader="none" w:pos="300"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Common stock shares shown net of treasury stock activity.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40" w:orient="portrait"/>
          <w:cols w:equalWidth="0" w:num="1">
            <w:col w:w="10560"/>
          </w:cols>
          <w:pgMar w:left="660" w:top="562" w:right="680" w:bottom="1440" w:gutter="0" w:footer="0" w:header="0"/>
        </w:sectPr>
      </w:pPr>
    </w:p>
    <w:bookmarkStart w:id="6" w:name="page7"/>
    <w:bookmarkEnd w:id="6"/>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Statements of Cash Flows</w:t>
      </w:r>
    </w:p>
    <w:p>
      <w:pPr>
        <w:jc w:val="center"/>
        <w:ind w:right="-19"/>
        <w:spacing w:after="0" w:line="234" w:lineRule="auto"/>
        <w:rPr>
          <w:sz w:val="20"/>
          <w:szCs w:val="20"/>
          <w:color w:val="auto"/>
        </w:rPr>
      </w:pPr>
      <w:r>
        <w:rPr>
          <w:rFonts w:ascii="Arial" w:cs="Arial" w:eastAsia="Arial" w:hAnsi="Arial"/>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For the Six Months Ended June 30,</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90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9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6900" w:type="dxa"/>
            <w:vAlign w:val="bottom"/>
          </w:tcPr>
          <w:p>
            <w:pPr>
              <w:ind w:left="100"/>
              <w:spacing w:after="0"/>
              <w:rPr>
                <w:sz w:val="20"/>
                <w:szCs w:val="20"/>
                <w:color w:val="auto"/>
              </w:rPr>
            </w:pPr>
            <w:r>
              <w:rPr>
                <w:rFonts w:ascii="Arial" w:cs="Arial" w:eastAsia="Arial" w:hAnsi="Arial"/>
                <w:sz w:val="13"/>
                <w:szCs w:val="13"/>
                <w:color w:val="auto"/>
              </w:rPr>
              <w:t>Net increase in net assets resulting from operations</w:t>
            </w:r>
          </w:p>
        </w:tc>
        <w:tc>
          <w:tcPr>
            <w:tcW w:w="1160" w:type="dxa"/>
            <w:vAlign w:val="bottom"/>
            <w:gridSpan w:val="2"/>
          </w:tcPr>
          <w:p>
            <w:pPr>
              <w:jc w:val="right"/>
              <w:ind w:right="85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34,304</w:t>
            </w:r>
          </w:p>
        </w:tc>
        <w:tc>
          <w:tcPr>
            <w:tcW w:w="120" w:type="dxa"/>
            <w:vAlign w:val="bottom"/>
          </w:tcPr>
          <w:p>
            <w:pPr>
              <w:spacing w:after="0"/>
              <w:rPr>
                <w:sz w:val="15"/>
                <w:szCs w:val="15"/>
                <w:color w:val="auto"/>
              </w:rPr>
            </w:pPr>
          </w:p>
        </w:tc>
        <w:tc>
          <w:tcPr>
            <w:tcW w:w="1140" w:type="dxa"/>
            <w:vAlign w:val="bottom"/>
            <w:gridSpan w:val="2"/>
          </w:tcPr>
          <w:p>
            <w:pPr>
              <w:jc w:val="right"/>
              <w:ind w:right="9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2,036</w:t>
            </w:r>
          </w:p>
        </w:tc>
        <w:tc>
          <w:tcPr>
            <w:tcW w:w="80" w:type="dxa"/>
            <w:vAlign w:val="bottom"/>
          </w:tcPr>
          <w:p>
            <w:pPr>
              <w:spacing w:after="0"/>
              <w:rPr>
                <w:sz w:val="15"/>
                <w:szCs w:val="15"/>
                <w:color w:val="auto"/>
              </w:rPr>
            </w:pPr>
          </w:p>
        </w:tc>
      </w:tr>
      <w:tr>
        <w:trPr>
          <w:trHeight w:val="166"/>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Adjustments to reconcile net increase in net assets resulting from operations to net cash provided by (used in)</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76"/>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operating activities:</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6900" w:type="dxa"/>
            <w:vAlign w:val="bottom"/>
          </w:tcPr>
          <w:p>
            <w:pPr>
              <w:ind w:left="180"/>
              <w:spacing w:after="0"/>
              <w:rPr>
                <w:sz w:val="20"/>
                <w:szCs w:val="20"/>
                <w:color w:val="auto"/>
              </w:rPr>
            </w:pPr>
            <w:r>
              <w:rPr>
                <w:rFonts w:ascii="Arial" w:cs="Arial" w:eastAsia="Arial" w:hAnsi="Arial"/>
                <w:sz w:val="13"/>
                <w:szCs w:val="13"/>
                <w:color w:val="auto"/>
              </w:rPr>
              <w:t>Purchases of investments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(63,540 )</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(233,473 )</w:t>
            </w:r>
          </w:p>
        </w:tc>
      </w:tr>
      <w:tr>
        <w:trPr>
          <w:trHeight w:val="185"/>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Purchases of U.S. Treasury Bills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(34,974 )</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6900" w:type="dxa"/>
            <w:vAlign w:val="bottom"/>
          </w:tcPr>
          <w:p>
            <w:pPr>
              <w:ind w:left="180"/>
              <w:spacing w:after="0"/>
              <w:rPr>
                <w:sz w:val="20"/>
                <w:szCs w:val="20"/>
                <w:color w:val="auto"/>
              </w:rPr>
            </w:pPr>
            <w:r>
              <w:rPr>
                <w:rFonts w:ascii="Arial" w:cs="Arial" w:eastAsia="Arial" w:hAnsi="Arial"/>
                <w:sz w:val="13"/>
                <w:szCs w:val="13"/>
                <w:color w:val="auto"/>
              </w:rPr>
              <w:t>Payment in-kind interest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(9,783 )</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(5,130 )</w:t>
            </w:r>
          </w:p>
        </w:tc>
      </w:tr>
      <w:tr>
        <w:trPr>
          <w:trHeight w:val="185"/>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Sales or repayments of investments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105,672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94,059</w:t>
            </w:r>
          </w:p>
        </w:tc>
        <w:tc>
          <w:tcPr>
            <w:tcW w:w="80" w:type="dxa"/>
            <w:vAlign w:val="bottom"/>
            <w:shd w:val="clear" w:color="auto" w:fill="CFF0FC"/>
          </w:tcPr>
          <w:p>
            <w:pPr>
              <w:spacing w:after="0"/>
              <w:rPr>
                <w:sz w:val="16"/>
                <w:szCs w:val="16"/>
                <w:color w:val="auto"/>
              </w:rPr>
            </w:pPr>
          </w:p>
        </w:tc>
      </w:tr>
      <w:tr>
        <w:trPr>
          <w:trHeight w:val="175"/>
        </w:trPr>
        <w:tc>
          <w:tcPr>
            <w:tcW w:w="6900" w:type="dxa"/>
            <w:vAlign w:val="bottom"/>
          </w:tcPr>
          <w:p>
            <w:pPr>
              <w:ind w:left="180"/>
              <w:spacing w:after="0"/>
              <w:rPr>
                <w:sz w:val="20"/>
                <w:szCs w:val="20"/>
                <w:color w:val="auto"/>
              </w:rPr>
            </w:pPr>
            <w:r>
              <w:rPr>
                <w:rFonts w:ascii="Arial" w:cs="Arial" w:eastAsia="Arial" w:hAnsi="Arial"/>
                <w:sz w:val="13"/>
                <w:szCs w:val="13"/>
                <w:color w:val="auto"/>
              </w:rPr>
              <w:t>Sales or maturities of U.S. Treasury Bills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45,000</w:t>
            </w:r>
          </w:p>
        </w:tc>
        <w:tc>
          <w:tcPr>
            <w:tcW w:w="80" w:type="dxa"/>
            <w:vAlign w:val="bottom"/>
          </w:tcPr>
          <w:p>
            <w:pPr>
              <w:spacing w:after="0"/>
              <w:rPr>
                <w:sz w:val="15"/>
                <w:szCs w:val="15"/>
                <w:color w:val="auto"/>
              </w:rPr>
            </w:pPr>
          </w:p>
        </w:tc>
      </w:tr>
      <w:tr>
        <w:trPr>
          <w:trHeight w:val="197"/>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realized (gain) loss on investments</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(532 )</w:t>
            </w:r>
          </w:p>
        </w:tc>
      </w:tr>
      <w:tr>
        <w:trPr>
          <w:trHeight w:val="175"/>
        </w:trPr>
        <w:tc>
          <w:tcPr>
            <w:tcW w:w="6900" w:type="dxa"/>
            <w:vAlign w:val="bottom"/>
          </w:tcPr>
          <w:p>
            <w:pPr>
              <w:ind w:left="180"/>
              <w:spacing w:after="0"/>
              <w:rPr>
                <w:sz w:val="20"/>
                <w:szCs w:val="20"/>
                <w:color w:val="auto"/>
              </w:rPr>
            </w:pPr>
            <w:r>
              <w:rPr>
                <w:rFonts w:ascii="Arial" w:cs="Arial" w:eastAsia="Arial" w:hAnsi="Arial"/>
                <w:sz w:val="13"/>
                <w:szCs w:val="13"/>
                <w:color w:val="auto"/>
              </w:rPr>
              <w:t>Net change in unrealized (gain) loss on investments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25,434</w:t>
            </w:r>
          </w:p>
        </w:tc>
        <w:tc>
          <w:tcPr>
            <w:tcW w:w="80" w:type="dxa"/>
            <w:vAlign w:val="bottom"/>
          </w:tcPr>
          <w:p>
            <w:pPr>
              <w:spacing w:after="0"/>
              <w:rPr>
                <w:sz w:val="15"/>
                <w:szCs w:val="15"/>
                <w:color w:val="auto"/>
              </w:rPr>
            </w:pPr>
          </w:p>
        </w:tc>
      </w:tr>
      <w:tr>
        <w:trPr>
          <w:trHeight w:val="185"/>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fixed income premiums or accretion of discounts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(5,005 )</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(3,571 )</w:t>
            </w:r>
          </w:p>
        </w:tc>
      </w:tr>
      <w:tr>
        <w:trPr>
          <w:trHeight w:val="211"/>
        </w:trPr>
        <w:tc>
          <w:tcPr>
            <w:tcW w:w="6900" w:type="dxa"/>
            <w:vAlign w:val="bottom"/>
          </w:tcPr>
          <w:p>
            <w:pPr>
              <w:ind w:left="180"/>
              <w:spacing w:after="0"/>
              <w:rPr>
                <w:sz w:val="20"/>
                <w:szCs w:val="20"/>
                <w:color w:val="auto"/>
              </w:rPr>
            </w:pPr>
            <w:r>
              <w:rPr>
                <w:rFonts w:ascii="Arial" w:cs="Arial" w:eastAsia="Arial" w:hAnsi="Arial"/>
                <w:sz w:val="13"/>
                <w:szCs w:val="13"/>
                <w:color w:val="auto"/>
              </w:rPr>
              <w:t>Amortization of deferred debt costs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394</w:t>
            </w:r>
          </w:p>
        </w:tc>
        <w:tc>
          <w:tcPr>
            <w:tcW w:w="80" w:type="dxa"/>
            <w:vAlign w:val="bottom"/>
          </w:tcPr>
          <w:p>
            <w:pPr>
              <w:spacing w:after="0"/>
              <w:rPr>
                <w:sz w:val="18"/>
                <w:szCs w:val="18"/>
                <w:color w:val="auto"/>
              </w:rPr>
            </w:pPr>
          </w:p>
        </w:tc>
      </w:tr>
      <w:tr>
        <w:trPr>
          <w:trHeight w:val="185"/>
        </w:trPr>
        <w:tc>
          <w:tcPr>
            <w:tcW w:w="6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Changes in operating assets and liabilities: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6900" w:type="dxa"/>
            <w:vAlign w:val="bottom"/>
          </w:tcPr>
          <w:p>
            <w:pPr>
              <w:ind w:left="180"/>
              <w:spacing w:after="0"/>
              <w:rPr>
                <w:sz w:val="20"/>
                <w:szCs w:val="20"/>
                <w:color w:val="auto"/>
              </w:rPr>
            </w:pPr>
            <w:r>
              <w:rPr>
                <w:rFonts w:ascii="Arial" w:cs="Arial" w:eastAsia="Arial" w:hAnsi="Arial"/>
                <w:sz w:val="13"/>
                <w:szCs w:val="13"/>
                <w:color w:val="auto"/>
              </w:rPr>
              <w:t>(Increase) decrease in interest and fees receivable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(515 )</w:t>
            </w:r>
          </w:p>
        </w:tc>
      </w:tr>
      <w:tr>
        <w:trPr>
          <w:trHeight w:val="185"/>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(Increase) decrease in other assets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w:t>
            </w:r>
          </w:p>
        </w:tc>
        <w:tc>
          <w:tcPr>
            <w:tcW w:w="80" w:type="dxa"/>
            <w:vAlign w:val="bottom"/>
            <w:shd w:val="clear" w:color="auto" w:fill="CFF0FC"/>
          </w:tcPr>
          <w:p>
            <w:pPr>
              <w:spacing w:after="0"/>
              <w:rPr>
                <w:sz w:val="16"/>
                <w:szCs w:val="16"/>
                <w:color w:val="auto"/>
              </w:rPr>
            </w:pPr>
          </w:p>
        </w:tc>
      </w:tr>
      <w:tr>
        <w:trPr>
          <w:trHeight w:val="175"/>
        </w:trPr>
        <w:tc>
          <w:tcPr>
            <w:tcW w:w="6900" w:type="dxa"/>
            <w:vAlign w:val="bottom"/>
          </w:tcPr>
          <w:p>
            <w:pPr>
              <w:ind w:left="180"/>
              <w:spacing w:after="0"/>
              <w:rPr>
                <w:sz w:val="20"/>
                <w:szCs w:val="20"/>
                <w:color w:val="auto"/>
              </w:rPr>
            </w:pPr>
            <w:r>
              <w:rPr>
                <w:rFonts w:ascii="Arial" w:cs="Arial" w:eastAsia="Arial" w:hAnsi="Arial"/>
                <w:sz w:val="13"/>
                <w:szCs w:val="13"/>
                <w:color w:val="auto"/>
              </w:rPr>
              <w:t>Increase (decrease) in deferred revenue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Increase (decrease) in incentive fees payable</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1,405</w:t>
            </w:r>
          </w:p>
        </w:tc>
        <w:tc>
          <w:tcPr>
            <w:tcW w:w="80" w:type="dxa"/>
            <w:vAlign w:val="bottom"/>
            <w:shd w:val="clear" w:color="auto" w:fill="CFF0FC"/>
          </w:tcPr>
          <w:p>
            <w:pPr>
              <w:spacing w:after="0"/>
              <w:rPr>
                <w:sz w:val="16"/>
                <w:szCs w:val="16"/>
                <w:color w:val="auto"/>
              </w:rPr>
            </w:pPr>
          </w:p>
        </w:tc>
      </w:tr>
      <w:tr>
        <w:trPr>
          <w:trHeight w:val="175"/>
        </w:trPr>
        <w:tc>
          <w:tcPr>
            <w:tcW w:w="6900" w:type="dxa"/>
            <w:vAlign w:val="bottom"/>
          </w:tcPr>
          <w:p>
            <w:pPr>
              <w:ind w:left="180"/>
              <w:spacing w:after="0"/>
              <w:rPr>
                <w:sz w:val="20"/>
                <w:szCs w:val="20"/>
                <w:color w:val="auto"/>
              </w:rPr>
            </w:pPr>
            <w:r>
              <w:rPr>
                <w:rFonts w:ascii="Arial" w:cs="Arial" w:eastAsia="Arial" w:hAnsi="Arial"/>
                <w:sz w:val="13"/>
                <w:szCs w:val="13"/>
                <w:color w:val="auto"/>
              </w:rPr>
              <w:t>Increase (decrease) in interest payable</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1,227</w:t>
            </w:r>
          </w:p>
        </w:tc>
        <w:tc>
          <w:tcPr>
            <w:tcW w:w="80" w:type="dxa"/>
            <w:vAlign w:val="bottom"/>
          </w:tcPr>
          <w:p>
            <w:pPr>
              <w:spacing w:after="0"/>
              <w:rPr>
                <w:sz w:val="15"/>
                <w:szCs w:val="15"/>
                <w:color w:val="auto"/>
              </w:rPr>
            </w:pPr>
          </w:p>
        </w:tc>
      </w:tr>
      <w:tr>
        <w:trPr>
          <w:trHeight w:val="185"/>
        </w:trPr>
        <w:tc>
          <w:tcPr>
            <w:tcW w:w="69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Increase (decrease) in accrued expenses and other liabilities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(366 )</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(99 )</w:t>
            </w:r>
          </w:p>
        </w:tc>
      </w:tr>
      <w:tr>
        <w:trPr>
          <w:trHeight w:val="180"/>
        </w:trPr>
        <w:tc>
          <w:tcPr>
            <w:tcW w:w="6900" w:type="dxa"/>
            <w:vAlign w:val="bottom"/>
          </w:tcPr>
          <w:p>
            <w:pPr>
              <w:ind w:left="26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71,591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(73,017 )</w:t>
            </w:r>
          </w:p>
        </w:tc>
      </w:tr>
      <w:tr>
        <w:trPr>
          <w:trHeight w:val="180"/>
        </w:trPr>
        <w:tc>
          <w:tcPr>
            <w:tcW w:w="69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6900" w:type="dxa"/>
            <w:vAlign w:val="bottom"/>
          </w:tcPr>
          <w:p>
            <w:pPr>
              <w:ind w:left="100"/>
              <w:spacing w:after="0"/>
              <w:rPr>
                <w:sz w:val="20"/>
                <w:szCs w:val="20"/>
                <w:color w:val="auto"/>
              </w:rPr>
            </w:pPr>
            <w:r>
              <w:rPr>
                <w:rFonts w:ascii="Arial" w:cs="Arial" w:eastAsia="Arial" w:hAnsi="Arial"/>
                <w:sz w:val="13"/>
                <w:szCs w:val="13"/>
                <w:color w:val="auto"/>
              </w:rPr>
              <w:t>Payments of deferred debt costs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(1,154 )</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(3,277 )</w:t>
            </w:r>
          </w:p>
        </w:tc>
      </w:tr>
      <w:tr>
        <w:trPr>
          <w:trHeight w:val="185"/>
        </w:trPr>
        <w:tc>
          <w:tcPr>
            <w:tcW w:w="6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Borrowings under credit facility</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173,000</w:t>
            </w:r>
          </w:p>
        </w:tc>
        <w:tc>
          <w:tcPr>
            <w:tcW w:w="80" w:type="dxa"/>
            <w:vAlign w:val="bottom"/>
            <w:shd w:val="clear" w:color="auto" w:fill="CFF0FC"/>
          </w:tcPr>
          <w:p>
            <w:pPr>
              <w:spacing w:after="0"/>
              <w:rPr>
                <w:sz w:val="16"/>
                <w:szCs w:val="16"/>
                <w:color w:val="auto"/>
              </w:rPr>
            </w:pPr>
          </w:p>
        </w:tc>
      </w:tr>
      <w:tr>
        <w:trPr>
          <w:trHeight w:val="175"/>
        </w:trPr>
        <w:tc>
          <w:tcPr>
            <w:tcW w:w="6900" w:type="dxa"/>
            <w:vAlign w:val="bottom"/>
          </w:tcPr>
          <w:p>
            <w:pPr>
              <w:ind w:left="100"/>
              <w:spacing w:after="0"/>
              <w:rPr>
                <w:sz w:val="20"/>
                <w:szCs w:val="20"/>
                <w:color w:val="auto"/>
              </w:rPr>
            </w:pPr>
            <w:r>
              <w:rPr>
                <w:rFonts w:ascii="Arial" w:cs="Arial" w:eastAsia="Arial" w:hAnsi="Arial"/>
                <w:sz w:val="13"/>
                <w:szCs w:val="13"/>
                <w:color w:val="auto"/>
              </w:rPr>
              <w:t>Repayments under credit facility</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(100,000 )</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(71,000 )</w:t>
            </w:r>
          </w:p>
        </w:tc>
      </w:tr>
      <w:tr>
        <w:trPr>
          <w:trHeight w:val="185"/>
        </w:trPr>
        <w:tc>
          <w:tcPr>
            <w:tcW w:w="6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Proceeds from 2026 Notes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80" w:type="dxa"/>
            <w:vAlign w:val="bottom"/>
            <w:shd w:val="clear" w:color="auto" w:fill="CFF0FC"/>
          </w:tcPr>
          <w:p>
            <w:pPr>
              <w:spacing w:after="0"/>
              <w:rPr>
                <w:sz w:val="16"/>
                <w:szCs w:val="16"/>
                <w:color w:val="auto"/>
              </w:rPr>
            </w:pPr>
          </w:p>
        </w:tc>
      </w:tr>
      <w:tr>
        <w:trPr>
          <w:trHeight w:val="175"/>
        </w:trPr>
        <w:tc>
          <w:tcPr>
            <w:tcW w:w="6900" w:type="dxa"/>
            <w:vAlign w:val="bottom"/>
          </w:tcPr>
          <w:p>
            <w:pPr>
              <w:ind w:left="100"/>
              <w:spacing w:after="0"/>
              <w:rPr>
                <w:sz w:val="20"/>
                <w:szCs w:val="20"/>
                <w:color w:val="auto"/>
              </w:rPr>
            </w:pPr>
            <w:r>
              <w:rPr>
                <w:rFonts w:ascii="Arial" w:cs="Arial" w:eastAsia="Arial" w:hAnsi="Arial"/>
                <w:sz w:val="13"/>
                <w:szCs w:val="13"/>
                <w:color w:val="auto"/>
              </w:rPr>
              <w:t>Repayments of reverse repurchase agreements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(44,775 )</w:t>
            </w:r>
          </w:p>
        </w:tc>
      </w:tr>
      <w:tr>
        <w:trPr>
          <w:trHeight w:val="185"/>
        </w:trPr>
        <w:tc>
          <w:tcPr>
            <w:tcW w:w="6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Acquisition of treasury shares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(5,279 )</w:t>
            </w:r>
          </w:p>
        </w:tc>
      </w:tr>
      <w:tr>
        <w:trPr>
          <w:trHeight w:val="175"/>
        </w:trPr>
        <w:tc>
          <w:tcPr>
            <w:tcW w:w="6900" w:type="dxa"/>
            <w:vAlign w:val="bottom"/>
          </w:tcPr>
          <w:p>
            <w:pPr>
              <w:ind w:left="100"/>
              <w:spacing w:after="0"/>
              <w:rPr>
                <w:sz w:val="20"/>
                <w:szCs w:val="20"/>
                <w:color w:val="auto"/>
              </w:rPr>
            </w:pPr>
            <w:r>
              <w:rPr>
                <w:rFonts w:ascii="Arial" w:cs="Arial" w:eastAsia="Arial" w:hAnsi="Arial"/>
                <w:sz w:val="13"/>
                <w:szCs w:val="13"/>
                <w:color w:val="auto"/>
              </w:rPr>
              <w:t>Dividends paid to stockholders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(36,458 )</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(23,555 )</w:t>
            </w:r>
          </w:p>
        </w:tc>
      </w:tr>
      <w:tr>
        <w:trPr>
          <w:trHeight w:val="175"/>
        </w:trPr>
        <w:tc>
          <w:tcPr>
            <w:tcW w:w="6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Refunds (payments) of offering costs</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FF0FC"/>
          </w:tcPr>
          <w:p>
            <w:pPr>
              <w:spacing w:after="0"/>
              <w:rPr>
                <w:sz w:val="15"/>
                <w:szCs w:val="15"/>
                <w:color w:val="auto"/>
              </w:rPr>
            </w:pPr>
          </w:p>
        </w:tc>
      </w:tr>
      <w:tr>
        <w:trPr>
          <w:trHeight w:val="190"/>
        </w:trPr>
        <w:tc>
          <w:tcPr>
            <w:tcW w:w="6900" w:type="dxa"/>
            <w:vAlign w:val="bottom"/>
            <w:shd w:val="clear" w:color="auto" w:fill="CFF0FC"/>
          </w:tcPr>
          <w:p>
            <w:pPr>
              <w:ind w:left="260"/>
              <w:spacing w:after="0"/>
              <w:rPr>
                <w:sz w:val="20"/>
                <w:szCs w:val="20"/>
                <w:color w:val="auto"/>
              </w:rPr>
            </w:pPr>
            <w:r>
              <w:rPr>
                <w:rFonts w:ascii="Arial" w:cs="Arial" w:eastAsia="Arial" w:hAnsi="Arial"/>
                <w:sz w:val="13"/>
                <w:szCs w:val="13"/>
                <w:b w:val="1"/>
                <w:bCs w:val="1"/>
                <w:color w:val="auto"/>
              </w:rPr>
              <w:t>Net cash (used in) provided by financing activities</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(39,612 )</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75,130</w:t>
            </w:r>
          </w:p>
        </w:tc>
        <w:tc>
          <w:tcPr>
            <w:tcW w:w="80" w:type="dxa"/>
            <w:vAlign w:val="bottom"/>
            <w:shd w:val="clear" w:color="auto" w:fill="CFF0FC"/>
          </w:tcPr>
          <w:p>
            <w:pPr>
              <w:spacing w:after="0"/>
              <w:rPr>
                <w:sz w:val="16"/>
                <w:szCs w:val="16"/>
                <w:color w:val="auto"/>
              </w:rPr>
            </w:pPr>
          </w:p>
        </w:tc>
      </w:tr>
      <w:tr>
        <w:trPr>
          <w:trHeight w:val="175"/>
        </w:trPr>
        <w:tc>
          <w:tcPr>
            <w:tcW w:w="6900" w:type="dxa"/>
            <w:vAlign w:val="bottom"/>
          </w:tcPr>
          <w:p>
            <w:pPr>
              <w:ind w:left="20"/>
              <w:spacing w:after="0"/>
              <w:rPr>
                <w:sz w:val="20"/>
                <w:szCs w:val="20"/>
                <w:color w:val="auto"/>
              </w:rPr>
            </w:pPr>
            <w:r>
              <w:rPr>
                <w:rFonts w:ascii="Arial" w:cs="Arial" w:eastAsia="Arial" w:hAnsi="Arial"/>
                <w:sz w:val="13"/>
                <w:szCs w:val="13"/>
                <w:color w:val="auto"/>
              </w:rPr>
              <w:t>Net increase (decrease) in cash</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31,979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2,113</w:t>
            </w:r>
          </w:p>
        </w:tc>
        <w:tc>
          <w:tcPr>
            <w:tcW w:w="80" w:type="dxa"/>
            <w:vAlign w:val="bottom"/>
          </w:tcPr>
          <w:p>
            <w:pPr>
              <w:spacing w:after="0"/>
              <w:rPr>
                <w:sz w:val="15"/>
                <w:szCs w:val="15"/>
                <w:color w:val="auto"/>
              </w:rPr>
            </w:pPr>
          </w:p>
        </w:tc>
      </w:tr>
      <w:tr>
        <w:trPr>
          <w:trHeight w:val="185"/>
        </w:trPr>
        <w:tc>
          <w:tcPr>
            <w:tcW w:w="6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Cash and cash equivalents at beginning of period</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4,697</w:t>
            </w:r>
          </w:p>
        </w:tc>
        <w:tc>
          <w:tcPr>
            <w:tcW w:w="80" w:type="dxa"/>
            <w:vAlign w:val="bottom"/>
            <w:shd w:val="clear" w:color="auto" w:fill="CFF0FC"/>
          </w:tcPr>
          <w:p>
            <w:pPr>
              <w:spacing w:after="0"/>
              <w:rPr>
                <w:sz w:val="16"/>
                <w:szCs w:val="16"/>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3"/>
                <w:szCs w:val="13"/>
                <w:b w:val="1"/>
                <w:bCs w:val="1"/>
                <w:color w:val="auto"/>
              </w:rPr>
              <w:t>Cash and cash equivalents at end of period</w:t>
            </w:r>
          </w:p>
        </w:tc>
        <w:tc>
          <w:tcPr>
            <w:tcW w:w="1160" w:type="dxa"/>
            <w:vAlign w:val="bottom"/>
            <w:gridSpan w:val="2"/>
          </w:tcPr>
          <w:p>
            <w:pPr>
              <w:jc w:val="right"/>
              <w:ind w:right="85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37,740</w:t>
            </w:r>
          </w:p>
        </w:tc>
        <w:tc>
          <w:tcPr>
            <w:tcW w:w="120" w:type="dxa"/>
            <w:vAlign w:val="bottom"/>
          </w:tcPr>
          <w:p>
            <w:pPr>
              <w:spacing w:after="0"/>
              <w:rPr>
                <w:sz w:val="15"/>
                <w:szCs w:val="15"/>
                <w:color w:val="auto"/>
              </w:rPr>
            </w:pPr>
          </w:p>
        </w:tc>
        <w:tc>
          <w:tcPr>
            <w:tcW w:w="1140" w:type="dxa"/>
            <w:vAlign w:val="bottom"/>
            <w:gridSpan w:val="2"/>
          </w:tcPr>
          <w:p>
            <w:pPr>
              <w:jc w:val="right"/>
              <w:ind w:right="9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6,810</w:t>
            </w:r>
          </w:p>
        </w:tc>
        <w:tc>
          <w:tcPr>
            <w:tcW w:w="80" w:type="dxa"/>
            <w:vAlign w:val="bottom"/>
          </w:tcPr>
          <w:p>
            <w:pPr>
              <w:spacing w:after="0"/>
              <w:rPr>
                <w:sz w:val="15"/>
                <w:szCs w:val="15"/>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9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and non-cash financing cash flow information:</w:t>
            </w: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5"/>
        </w:trPr>
        <w:tc>
          <w:tcPr>
            <w:tcW w:w="6900" w:type="dxa"/>
            <w:vAlign w:val="bottom"/>
          </w:tcPr>
          <w:p>
            <w:pPr>
              <w:ind w:left="100"/>
              <w:spacing w:after="0"/>
              <w:rPr>
                <w:sz w:val="20"/>
                <w:szCs w:val="20"/>
                <w:color w:val="auto"/>
              </w:rPr>
            </w:pPr>
            <w:r>
              <w:rPr>
                <w:rFonts w:ascii="Arial" w:cs="Arial" w:eastAsia="Arial" w:hAnsi="Arial"/>
                <w:sz w:val="13"/>
                <w:szCs w:val="13"/>
                <w:color w:val="auto"/>
              </w:rPr>
              <w:t>Taxes paid</w:t>
            </w:r>
          </w:p>
        </w:tc>
        <w:tc>
          <w:tcPr>
            <w:tcW w:w="1160" w:type="dxa"/>
            <w:vAlign w:val="bottom"/>
            <w:gridSpan w:val="2"/>
          </w:tcPr>
          <w:p>
            <w:pPr>
              <w:jc w:val="right"/>
              <w:ind w:right="854"/>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9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r>
      <w:tr>
        <w:trPr>
          <w:trHeight w:val="185"/>
        </w:trPr>
        <w:tc>
          <w:tcPr>
            <w:tcW w:w="6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Interest paid</w:t>
            </w: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18,368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1,701</w:t>
            </w:r>
          </w:p>
        </w:tc>
        <w:tc>
          <w:tcPr>
            <w:tcW w:w="80" w:type="dxa"/>
            <w:vAlign w:val="bottom"/>
            <w:shd w:val="clear" w:color="auto" w:fill="CFF0FC"/>
          </w:tcPr>
          <w:p>
            <w:pPr>
              <w:spacing w:after="0"/>
              <w:rPr>
                <w:sz w:val="16"/>
                <w:szCs w:val="16"/>
                <w:color w:val="auto"/>
              </w:rPr>
            </w:pPr>
          </w:p>
        </w:tc>
      </w:tr>
      <w:tr>
        <w:trPr>
          <w:trHeight w:val="180"/>
        </w:trPr>
        <w:tc>
          <w:tcPr>
            <w:tcW w:w="6900" w:type="dxa"/>
            <w:vAlign w:val="bottom"/>
          </w:tcPr>
          <w:p>
            <w:pPr>
              <w:ind w:left="100"/>
              <w:spacing w:after="0"/>
              <w:rPr>
                <w:sz w:val="20"/>
                <w:szCs w:val="20"/>
                <w:color w:val="auto"/>
              </w:rPr>
            </w:pPr>
            <w:r>
              <w:rPr>
                <w:rFonts w:ascii="Arial" w:cs="Arial" w:eastAsia="Arial" w:hAnsi="Arial"/>
                <w:sz w:val="13"/>
                <w:szCs w:val="13"/>
                <w:color w:val="auto"/>
              </w:rPr>
              <w:t>Non-cash portfolio purchases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1,743</w:t>
            </w:r>
          </w:p>
        </w:tc>
        <w:tc>
          <w:tcPr>
            <w:tcW w:w="80" w:type="dxa"/>
            <w:vAlign w:val="bottom"/>
          </w:tcPr>
          <w:p>
            <w:pPr>
              <w:spacing w:after="0"/>
              <w:rPr>
                <w:sz w:val="15"/>
                <w:szCs w:val="15"/>
                <w:color w:val="auto"/>
              </w:rPr>
            </w:pPr>
          </w:p>
        </w:tc>
      </w:tr>
    </w:tbl>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10560"/>
          </w:cols>
          <w:pgMar w:left="660" w:top="562" w:right="680" w:bottom="1440" w:gutter="0" w:footer="0" w:header="0"/>
        </w:sectPr>
      </w:pPr>
    </w:p>
    <w:bookmarkStart w:id="7" w:name="page8"/>
    <w:bookmarkEnd w:id="7"/>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Schedule of Investments (Unaudited)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June 30, 2023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234"/>
              <w:spacing w:after="0" w:line="146" w:lineRule="exact"/>
              <w:rPr>
                <w:sz w:val="20"/>
                <w:szCs w:val="20"/>
                <w:color w:val="auto"/>
              </w:rPr>
            </w:pPr>
            <w:r>
              <w:rPr>
                <w:rFonts w:ascii="Arial" w:cs="Arial" w:eastAsia="Arial" w:hAnsi="Arial"/>
                <w:sz w:val="13"/>
                <w:szCs w:val="13"/>
                <w:b w:val="1"/>
                <w:bCs w:val="1"/>
                <w:color w:val="auto"/>
              </w:rPr>
              <w:t>Investment</w:t>
            </w: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Acquisition</w:t>
            </w:r>
          </w:p>
        </w:tc>
        <w:tc>
          <w:tcPr>
            <w:tcW w:w="1040" w:type="dxa"/>
            <w:vAlign w:val="bottom"/>
          </w:tcPr>
          <w:p>
            <w:pPr>
              <w:spacing w:after="0"/>
              <w:rPr>
                <w:sz w:val="12"/>
                <w:szCs w:val="12"/>
                <w:color w:val="auto"/>
              </w:rPr>
            </w:pPr>
          </w:p>
        </w:tc>
        <w:tc>
          <w:tcPr>
            <w:tcW w:w="1200" w:type="dxa"/>
            <w:vAlign w:val="bottom"/>
          </w:tcPr>
          <w:p>
            <w:pPr>
              <w:jc w:val="right"/>
              <w:ind w:right="214"/>
              <w:spacing w:after="0" w:line="146" w:lineRule="exact"/>
              <w:rPr>
                <w:sz w:val="20"/>
                <w:szCs w:val="20"/>
                <w:color w:val="auto"/>
              </w:rPr>
            </w:pPr>
            <w:r>
              <w:rPr>
                <w:rFonts w:ascii="Arial" w:cs="Arial" w:eastAsia="Arial" w:hAnsi="Arial"/>
                <w:sz w:val="13"/>
                <w:szCs w:val="13"/>
                <w:b w:val="1"/>
                <w:bCs w:val="1"/>
                <w:color w:val="auto"/>
              </w:rPr>
              <w:t>Principal ($) /</w:t>
            </w:r>
          </w:p>
        </w:tc>
        <w:tc>
          <w:tcPr>
            <w:tcW w:w="1100" w:type="dxa"/>
            <w:vAlign w:val="bottom"/>
          </w:tcPr>
          <w:p>
            <w:pPr>
              <w:spacing w:after="0"/>
              <w:rPr>
                <w:sz w:val="12"/>
                <w:szCs w:val="12"/>
                <w:color w:val="auto"/>
              </w:rPr>
            </w:pPr>
          </w:p>
        </w:tc>
        <w:tc>
          <w:tcPr>
            <w:tcW w:w="1100" w:type="dxa"/>
            <w:vAlign w:val="bottom"/>
          </w:tcPr>
          <w:p>
            <w:pPr>
              <w:jc w:val="right"/>
              <w:ind w:right="414"/>
              <w:spacing w:after="0" w:line="146" w:lineRule="exact"/>
              <w:rPr>
                <w:sz w:val="20"/>
                <w:szCs w:val="20"/>
                <w:color w:val="auto"/>
              </w:rPr>
            </w:pPr>
            <w:r>
              <w:rPr>
                <w:rFonts w:ascii="Arial" w:cs="Arial" w:eastAsia="Arial" w:hAnsi="Arial"/>
                <w:sz w:val="13"/>
                <w:szCs w:val="13"/>
                <w:b w:val="1"/>
                <w:bCs w:val="1"/>
                <w:color w:val="auto"/>
              </w:rPr>
              <w:t>Fair</w:t>
            </w:r>
          </w:p>
        </w:tc>
        <w:tc>
          <w:tcPr>
            <w:tcW w:w="880" w:type="dxa"/>
            <w:vAlign w:val="bottom"/>
          </w:tcPr>
          <w:p>
            <w:pPr>
              <w:spacing w:after="0"/>
              <w:rPr>
                <w:sz w:val="12"/>
                <w:szCs w:val="12"/>
                <w:color w:val="auto"/>
              </w:rPr>
            </w:pPr>
          </w:p>
        </w:tc>
      </w:tr>
      <w:tr>
        <w:trPr>
          <w:trHeight w:val="194"/>
        </w:trPr>
        <w:tc>
          <w:tcPr>
            <w:tcW w:w="218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240" w:type="dxa"/>
            <w:vAlign w:val="bottom"/>
          </w:tcPr>
          <w:p>
            <w:pPr>
              <w:spacing w:after="0"/>
              <w:rPr>
                <w:sz w:val="16"/>
                <w:szCs w:val="16"/>
                <w:color w:val="auto"/>
              </w:rPr>
            </w:pPr>
          </w:p>
        </w:tc>
        <w:tc>
          <w:tcPr>
            <w:tcW w:w="1880" w:type="dxa"/>
            <w:vAlign w:val="bottom"/>
          </w:tcPr>
          <w:p>
            <w:pPr>
              <w:jc w:val="center"/>
              <w:ind w:right="214"/>
              <w:spacing w:after="0"/>
              <w:rPr>
                <w:sz w:val="20"/>
                <w:szCs w:val="20"/>
                <w:color w:val="auto"/>
              </w:rPr>
            </w:pPr>
            <w:r>
              <w:rPr>
                <w:rFonts w:ascii="Arial" w:cs="Arial" w:eastAsia="Arial" w:hAnsi="Arial"/>
                <w:sz w:val="13"/>
                <w:szCs w:val="13"/>
                <w:b w:val="1"/>
                <w:bCs w:val="1"/>
                <w:color w:val="auto"/>
                <w:w w:val="92"/>
              </w:rPr>
              <w:t>Description</w:t>
            </w:r>
            <w:r>
              <w:rPr>
                <w:rFonts w:ascii="Arial" w:cs="Arial" w:eastAsia="Arial" w:hAnsi="Arial"/>
                <w:sz w:val="16"/>
                <w:szCs w:val="16"/>
                <w:b w:val="1"/>
                <w:bCs w:val="1"/>
                <w:color w:val="auto"/>
                <w:w w:val="92"/>
                <w:vertAlign w:val="superscript"/>
              </w:rPr>
              <w:t>(1),(2),(4)</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Maturity Date</w:t>
            </w:r>
          </w:p>
        </w:tc>
        <w:tc>
          <w:tcPr>
            <w:tcW w:w="1200" w:type="dxa"/>
            <w:vAlign w:val="bottom"/>
          </w:tcPr>
          <w:p>
            <w:pPr>
              <w:jc w:val="right"/>
              <w:ind w:right="414"/>
              <w:spacing w:after="0"/>
              <w:rPr>
                <w:sz w:val="20"/>
                <w:szCs w:val="20"/>
                <w:color w:val="auto"/>
              </w:rPr>
            </w:pPr>
            <w:r>
              <w:rPr>
                <w:rFonts w:ascii="Arial" w:cs="Arial" w:eastAsia="Arial" w:hAnsi="Arial"/>
                <w:sz w:val="13"/>
                <w:szCs w:val="13"/>
                <w:b w:val="1"/>
                <w:bCs w:val="1"/>
                <w:color w:val="auto"/>
              </w:rPr>
              <w:t>Shares</w:t>
            </w:r>
          </w:p>
        </w:tc>
        <w:tc>
          <w:tcPr>
            <w:tcW w:w="1100" w:type="dxa"/>
            <w:vAlign w:val="bottom"/>
          </w:tcPr>
          <w:p>
            <w:pPr>
              <w:jc w:val="right"/>
              <w:ind w:right="334"/>
              <w:spacing w:after="0"/>
              <w:rPr>
                <w:sz w:val="20"/>
                <w:szCs w:val="20"/>
                <w:color w:val="auto"/>
              </w:rPr>
            </w:pPr>
            <w:r>
              <w:rPr>
                <w:rFonts w:ascii="Arial" w:cs="Arial" w:eastAsia="Arial" w:hAnsi="Arial"/>
                <w:sz w:val="13"/>
                <w:szCs w:val="13"/>
                <w:b w:val="1"/>
                <w:bCs w:val="1"/>
                <w:color w:val="auto"/>
              </w:rPr>
              <w:t>Cost ($)</w:t>
            </w: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(3)</w:t>
            </w:r>
          </w:p>
        </w:tc>
        <w:tc>
          <w:tcPr>
            <w:tcW w:w="880" w:type="dxa"/>
            <w:vAlign w:val="bottom"/>
          </w:tcPr>
          <w:p>
            <w:pPr>
              <w:ind w:left="18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4300" w:type="dxa"/>
            <w:vAlign w:val="bottom"/>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9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16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240" w:type="dxa"/>
            <w:vAlign w:val="bottom"/>
            <w:tcBorders>
              <w:top w:val="single" w:sz="8" w:color="auto"/>
            </w:tcBorders>
          </w:tcPr>
          <w:p>
            <w:pPr>
              <w:spacing w:after="0"/>
              <w:rPr>
                <w:sz w:val="15"/>
                <w:szCs w:val="15"/>
                <w:color w:val="auto"/>
              </w:rPr>
            </w:pPr>
          </w:p>
        </w:tc>
        <w:tc>
          <w:tcPr>
            <w:tcW w:w="188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2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60" w:type="dxa"/>
            <w:vAlign w:val="bottom"/>
          </w:tcPr>
          <w:p>
            <w:pPr>
              <w:ind w:left="220"/>
              <w:spacing w:after="0"/>
              <w:rPr>
                <w:sz w:val="20"/>
                <w:szCs w:val="20"/>
                <w:color w:val="auto"/>
              </w:rPr>
            </w:pPr>
            <w:r>
              <w:rPr>
                <w:rFonts w:ascii="Arial" w:cs="Arial" w:eastAsia="Arial" w:hAnsi="Arial"/>
                <w:sz w:val="13"/>
                <w:szCs w:val="13"/>
                <w:color w:val="auto"/>
              </w:rPr>
              <w:t>Circadence Corporation</w:t>
            </w: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SOFR+9.50% PIK, 12.26% floor,</w:t>
            </w:r>
          </w:p>
        </w:tc>
        <w:tc>
          <w:tcPr>
            <w:tcW w:w="940" w:type="dxa"/>
            <w:vAlign w:val="bottom"/>
          </w:tcPr>
          <w:p>
            <w:pPr>
              <w:jc w:val="center"/>
              <w:spacing w:after="0"/>
              <w:rPr>
                <w:sz w:val="20"/>
                <w:szCs w:val="20"/>
                <w:color w:val="auto"/>
              </w:rPr>
            </w:pPr>
            <w:r>
              <w:rPr>
                <w:rFonts w:ascii="Arial" w:cs="Arial" w:eastAsia="Arial" w:hAnsi="Arial"/>
                <w:sz w:val="13"/>
                <w:szCs w:val="13"/>
                <w:color w:val="auto"/>
              </w:rPr>
              <w:t>12/20/2018</w:t>
            </w:r>
          </w:p>
        </w:tc>
        <w:tc>
          <w:tcPr>
            <w:tcW w:w="1040" w:type="dxa"/>
            <w:vAlign w:val="bottom"/>
          </w:tcPr>
          <w:p>
            <w:pPr>
              <w:jc w:val="center"/>
              <w:spacing w:after="0"/>
              <w:rPr>
                <w:sz w:val="20"/>
                <w:szCs w:val="20"/>
                <w:color w:val="auto"/>
              </w:rPr>
            </w:pPr>
            <w:r>
              <w:rPr>
                <w:rFonts w:ascii="Arial" w:cs="Arial" w:eastAsia="Arial" w:hAnsi="Arial"/>
                <w:sz w:val="13"/>
                <w:szCs w:val="13"/>
                <w:color w:val="auto"/>
              </w:rPr>
              <w:t>12/15/2023</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21,446</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22,793</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18,355</w:t>
            </w:r>
          </w:p>
        </w:tc>
        <w:tc>
          <w:tcPr>
            <w:tcW w:w="880" w:type="dxa"/>
            <w:vAlign w:val="bottom"/>
          </w:tcPr>
          <w:p>
            <w:pPr>
              <w:ind w:left="100"/>
              <w:spacing w:after="0"/>
              <w:rPr>
                <w:sz w:val="20"/>
                <w:szCs w:val="20"/>
                <w:color w:val="auto"/>
              </w:rPr>
            </w:pPr>
            <w:r>
              <w:rPr>
                <w:rFonts w:ascii="Arial" w:cs="Arial" w:eastAsia="Arial" w:hAnsi="Arial"/>
                <w:sz w:val="13"/>
                <w:szCs w:val="13"/>
                <w:color w:val="auto"/>
              </w:rPr>
              <w:t>(9) (10)</w:t>
            </w: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7.50% ETP</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Dtex Systems, Inc.</w:t>
            </w: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SOFR+9.25%, 9.75% floor,</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6/1/2021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6/1/2025</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10,000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10,069</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10,069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 (11)</w:t>
            </w:r>
          </w:p>
        </w:tc>
      </w:tr>
      <w:tr>
        <w:trPr>
          <w:trHeight w:val="176"/>
        </w:trPr>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1.75% ETP</w:t>
            </w: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60" w:type="dxa"/>
            <w:vAlign w:val="bottom"/>
          </w:tcPr>
          <w:p>
            <w:pPr>
              <w:ind w:left="220"/>
              <w:spacing w:after="0"/>
              <w:rPr>
                <w:sz w:val="20"/>
                <w:szCs w:val="20"/>
                <w:color w:val="auto"/>
              </w:rPr>
            </w:pPr>
            <w:r>
              <w:rPr>
                <w:rFonts w:ascii="Arial" w:cs="Arial" w:eastAsia="Arial" w:hAnsi="Arial"/>
                <w:sz w:val="13"/>
                <w:szCs w:val="13"/>
                <w:color w:val="auto"/>
              </w:rPr>
              <w:t>FiscalNote, Inc.</w:t>
            </w: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PRIME+5.00%, 9.00% floor,</w:t>
            </w:r>
          </w:p>
        </w:tc>
        <w:tc>
          <w:tcPr>
            <w:tcW w:w="940" w:type="dxa"/>
            <w:vAlign w:val="bottom"/>
          </w:tcPr>
          <w:p>
            <w:pPr>
              <w:jc w:val="center"/>
              <w:spacing w:after="0"/>
              <w:rPr>
                <w:sz w:val="20"/>
                <w:szCs w:val="20"/>
                <w:color w:val="auto"/>
              </w:rPr>
            </w:pPr>
            <w:r>
              <w:rPr>
                <w:rFonts w:ascii="Arial" w:cs="Arial" w:eastAsia="Arial" w:hAnsi="Arial"/>
                <w:sz w:val="13"/>
                <w:szCs w:val="13"/>
                <w:color w:val="auto"/>
              </w:rPr>
              <w:t>10/19/2020</w:t>
            </w:r>
          </w:p>
        </w:tc>
        <w:tc>
          <w:tcPr>
            <w:tcW w:w="1040" w:type="dxa"/>
            <w:vAlign w:val="bottom"/>
          </w:tcPr>
          <w:p>
            <w:pPr>
              <w:jc w:val="center"/>
              <w:spacing w:after="0"/>
              <w:rPr>
                <w:sz w:val="20"/>
                <w:szCs w:val="20"/>
                <w:color w:val="auto"/>
              </w:rPr>
            </w:pPr>
            <w:r>
              <w:rPr>
                <w:rFonts w:ascii="Arial" w:cs="Arial" w:eastAsia="Arial" w:hAnsi="Arial"/>
                <w:sz w:val="13"/>
                <w:szCs w:val="13"/>
                <w:color w:val="auto"/>
              </w:rPr>
              <w:t>7/15/2027</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65,582</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65,118</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65,118</w:t>
            </w:r>
          </w:p>
        </w:tc>
        <w:tc>
          <w:tcPr>
            <w:tcW w:w="880" w:type="dxa"/>
            <w:vAlign w:val="bottom"/>
          </w:tcPr>
          <w:p>
            <w:pPr>
              <w:ind w:left="100"/>
              <w:spacing w:after="0"/>
              <w:rPr>
                <w:sz w:val="20"/>
                <w:szCs w:val="20"/>
                <w:color w:val="auto"/>
              </w:rPr>
            </w:pPr>
            <w:r>
              <w:rPr>
                <w:rFonts w:ascii="Arial" w:cs="Arial" w:eastAsia="Arial" w:hAnsi="Arial"/>
                <w:sz w:val="13"/>
                <w:szCs w:val="13"/>
                <w:color w:val="auto"/>
              </w:rPr>
              <w:t>(9) (10) (11)</w:t>
            </w: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1.00% PIK, 4.25% ETP</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VTX Intermediate Holdings, Inc.</w:t>
            </w: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SOFR+9.00%, 9.50% floor,</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12/28/2021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12/28/2026</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85,937</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86,323</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85,414</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(9) (10) (11)</w:t>
            </w:r>
          </w:p>
        </w:tc>
      </w:tr>
      <w:tr>
        <w:trPr>
          <w:trHeight w:val="176"/>
        </w:trPr>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(dba VertexOne)</w:t>
            </w: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10.00% cash cap, 4.50% ETP</w:t>
            </w: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8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Application Software - 31.18%*</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184,303</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178,956</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gridSpan w:val="2"/>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80" w:type="dxa"/>
            <w:vAlign w:val="bottom"/>
            <w:gridSpan w:val="3"/>
          </w:tcPr>
          <w:p>
            <w:pPr>
              <w:ind w:left="220"/>
              <w:spacing w:after="0"/>
              <w:rPr>
                <w:sz w:val="20"/>
                <w:szCs w:val="20"/>
                <w:color w:val="auto"/>
              </w:rPr>
            </w:pPr>
            <w:r>
              <w:rPr>
                <w:rFonts w:ascii="Arial" w:cs="Arial" w:eastAsia="Arial" w:hAnsi="Arial"/>
                <w:sz w:val="13"/>
                <w:szCs w:val="13"/>
                <w:b w:val="1"/>
                <w:bCs w:val="1"/>
                <w:color w:val="auto"/>
              </w:rPr>
              <w:t>Data Processing &amp; Outsourced Services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Interactions Corporation</w:t>
            </w: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SOFR+9.26%, 9.76% floor,</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6/24/2022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6/15/2027</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40,000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39,702</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39,702</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 (11)</w:t>
            </w:r>
          </w:p>
        </w:tc>
      </w:tr>
      <w:tr>
        <w:trPr>
          <w:trHeight w:val="176"/>
        </w:trPr>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3.4375% ETP</w:t>
            </w: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60" w:type="dxa"/>
            <w:vAlign w:val="bottom"/>
          </w:tcPr>
          <w:p>
            <w:pPr>
              <w:ind w:left="220"/>
              <w:spacing w:after="0"/>
              <w:rPr>
                <w:sz w:val="20"/>
                <w:szCs w:val="20"/>
                <w:color w:val="auto"/>
              </w:rPr>
            </w:pPr>
            <w:r>
              <w:rPr>
                <w:rFonts w:ascii="Arial" w:cs="Arial" w:eastAsia="Arial" w:hAnsi="Arial"/>
                <w:sz w:val="13"/>
                <w:szCs w:val="13"/>
                <w:color w:val="auto"/>
              </w:rPr>
              <w:t>ShareThis, Inc.</w:t>
            </w: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SOFR+9.25%, 11.86% floor,</w:t>
            </w:r>
          </w:p>
        </w:tc>
        <w:tc>
          <w:tcPr>
            <w:tcW w:w="940" w:type="dxa"/>
            <w:vAlign w:val="bottom"/>
          </w:tcPr>
          <w:p>
            <w:pPr>
              <w:jc w:val="center"/>
              <w:spacing w:after="0"/>
              <w:rPr>
                <w:sz w:val="20"/>
                <w:szCs w:val="20"/>
                <w:color w:val="auto"/>
              </w:rPr>
            </w:pPr>
            <w:r>
              <w:rPr>
                <w:rFonts w:ascii="Arial" w:cs="Arial" w:eastAsia="Arial" w:hAnsi="Arial"/>
                <w:sz w:val="13"/>
                <w:szCs w:val="13"/>
                <w:color w:val="auto"/>
              </w:rPr>
              <w:t>12/3/2018</w:t>
            </w:r>
          </w:p>
        </w:tc>
        <w:tc>
          <w:tcPr>
            <w:tcW w:w="1040" w:type="dxa"/>
            <w:vAlign w:val="bottom"/>
          </w:tcPr>
          <w:p>
            <w:pPr>
              <w:jc w:val="center"/>
              <w:spacing w:after="0"/>
              <w:rPr>
                <w:sz w:val="20"/>
                <w:szCs w:val="20"/>
                <w:color w:val="auto"/>
              </w:rPr>
            </w:pPr>
            <w:r>
              <w:rPr>
                <w:rFonts w:ascii="Arial" w:cs="Arial" w:eastAsia="Arial" w:hAnsi="Arial"/>
                <w:sz w:val="13"/>
                <w:szCs w:val="13"/>
                <w:color w:val="auto"/>
              </w:rPr>
              <w:t>7/15/2025</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20,475</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21,001</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20,392</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3.00% ETP</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SOFR+8.25%, 10.86% floor,</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8/18/2020</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7/15/2025</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975</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1,002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971</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 (11)</w:t>
            </w:r>
          </w:p>
        </w:tc>
      </w:tr>
      <w:tr>
        <w:trPr>
          <w:trHeight w:val="176"/>
        </w:trPr>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3.00% ETP</w:t>
            </w: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60" w:type="dxa"/>
            <w:vAlign w:val="bottom"/>
          </w:tcPr>
          <w:p>
            <w:pPr>
              <w:ind w:left="220"/>
              <w:spacing w:after="0"/>
              <w:rPr>
                <w:sz w:val="20"/>
                <w:szCs w:val="20"/>
                <w:color w:val="auto"/>
              </w:rPr>
            </w:pPr>
            <w:r>
              <w:rPr>
                <w:rFonts w:ascii="Arial" w:cs="Arial" w:eastAsia="Arial" w:hAnsi="Arial"/>
                <w:sz w:val="13"/>
                <w:szCs w:val="13"/>
                <w:color w:val="auto"/>
              </w:rPr>
              <w:t>Vesta Payment Solutions, Inc.</w:t>
            </w: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SOFR+7.00%, 9.00% floor,</w:t>
            </w:r>
          </w:p>
        </w:tc>
        <w:tc>
          <w:tcPr>
            <w:tcW w:w="940" w:type="dxa"/>
            <w:vAlign w:val="bottom"/>
          </w:tcPr>
          <w:p>
            <w:pPr>
              <w:jc w:val="center"/>
              <w:spacing w:after="0"/>
              <w:rPr>
                <w:sz w:val="20"/>
                <w:szCs w:val="20"/>
                <w:color w:val="auto"/>
              </w:rPr>
            </w:pPr>
            <w:r>
              <w:rPr>
                <w:rFonts w:ascii="Arial" w:cs="Arial" w:eastAsia="Arial" w:hAnsi="Arial"/>
                <w:sz w:val="13"/>
                <w:szCs w:val="13"/>
                <w:color w:val="auto"/>
              </w:rPr>
              <w:t>11/29/2022</w:t>
            </w:r>
          </w:p>
        </w:tc>
        <w:tc>
          <w:tcPr>
            <w:tcW w:w="1040" w:type="dxa"/>
            <w:vAlign w:val="bottom"/>
          </w:tcPr>
          <w:p>
            <w:pPr>
              <w:jc w:val="center"/>
              <w:spacing w:after="0"/>
              <w:rPr>
                <w:sz w:val="20"/>
                <w:szCs w:val="20"/>
                <w:color w:val="auto"/>
              </w:rPr>
            </w:pPr>
            <w:r>
              <w:rPr>
                <w:rFonts w:ascii="Arial" w:cs="Arial" w:eastAsia="Arial" w:hAnsi="Arial"/>
                <w:sz w:val="13"/>
                <w:szCs w:val="13"/>
                <w:color w:val="auto"/>
              </w:rPr>
              <w:t>11/15/2026</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25,000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24,640</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24,640</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3.00% ETP</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28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Data Processing &amp; Outsourced Services - 14.93%*</w:t>
            </w:r>
          </w:p>
        </w:tc>
        <w:tc>
          <w:tcPr>
            <w:tcW w:w="9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86,345</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85,705</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Education Services</w:t>
            </w:r>
          </w:p>
        </w:tc>
        <w:tc>
          <w:tcPr>
            <w:tcW w:w="24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60" w:type="dxa"/>
            <w:vAlign w:val="bottom"/>
          </w:tcPr>
          <w:p>
            <w:pPr>
              <w:ind w:left="220"/>
              <w:spacing w:after="0"/>
              <w:rPr>
                <w:sz w:val="20"/>
                <w:szCs w:val="20"/>
                <w:color w:val="auto"/>
              </w:rPr>
            </w:pPr>
            <w:r>
              <w:rPr>
                <w:rFonts w:ascii="Arial" w:cs="Arial" w:eastAsia="Arial" w:hAnsi="Arial"/>
                <w:sz w:val="13"/>
                <w:szCs w:val="13"/>
                <w:color w:val="auto"/>
              </w:rPr>
              <w:t>Turning Tech Intermediate, Inc.</w:t>
            </w: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SOFR+8.50%, 9.00% floor,</w:t>
            </w:r>
          </w:p>
        </w:tc>
        <w:tc>
          <w:tcPr>
            <w:tcW w:w="940" w:type="dxa"/>
            <w:vAlign w:val="bottom"/>
          </w:tcPr>
          <w:p>
            <w:pPr>
              <w:jc w:val="center"/>
              <w:spacing w:after="0"/>
              <w:rPr>
                <w:sz w:val="20"/>
                <w:szCs w:val="20"/>
                <w:color w:val="auto"/>
              </w:rPr>
            </w:pPr>
            <w:r>
              <w:rPr>
                <w:rFonts w:ascii="Arial" w:cs="Arial" w:eastAsia="Arial" w:hAnsi="Arial"/>
                <w:sz w:val="13"/>
                <w:szCs w:val="13"/>
                <w:color w:val="auto"/>
              </w:rPr>
              <w:t>6/22/2021</w:t>
            </w:r>
          </w:p>
        </w:tc>
        <w:tc>
          <w:tcPr>
            <w:tcW w:w="1040" w:type="dxa"/>
            <w:vAlign w:val="bottom"/>
          </w:tcPr>
          <w:p>
            <w:pPr>
              <w:jc w:val="center"/>
              <w:spacing w:after="0"/>
              <w:rPr>
                <w:sz w:val="20"/>
                <w:szCs w:val="20"/>
                <w:color w:val="auto"/>
              </w:rPr>
            </w:pPr>
            <w:r>
              <w:rPr>
                <w:rFonts w:ascii="Arial" w:cs="Arial" w:eastAsia="Arial" w:hAnsi="Arial"/>
                <w:sz w:val="13"/>
                <w:szCs w:val="13"/>
                <w:color w:val="auto"/>
              </w:rPr>
              <w:t>12/14/2025</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25,076</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25,486</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25,486</w:t>
            </w:r>
          </w:p>
        </w:tc>
        <w:tc>
          <w:tcPr>
            <w:tcW w:w="880" w:type="dxa"/>
            <w:vAlign w:val="bottom"/>
          </w:tcPr>
          <w:p>
            <w:pPr>
              <w:ind w:left="100"/>
              <w:spacing w:after="0"/>
              <w:rPr>
                <w:sz w:val="20"/>
                <w:szCs w:val="20"/>
                <w:color w:val="auto"/>
              </w:rPr>
            </w:pPr>
            <w:r>
              <w:rPr>
                <w:rFonts w:ascii="Arial" w:cs="Arial" w:eastAsia="Arial" w:hAnsi="Arial"/>
                <w:sz w:val="13"/>
                <w:szCs w:val="13"/>
                <w:color w:val="auto"/>
              </w:rPr>
              <w:t>(9) (10) (11)</w:t>
            </w:r>
          </w:p>
        </w:tc>
      </w:tr>
      <w:tr>
        <w:trPr>
          <w:trHeight w:val="171"/>
        </w:trPr>
        <w:tc>
          <w:tcPr>
            <w:tcW w:w="2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Arial" w:cs="Arial" w:eastAsia="Arial" w:hAnsi="Arial"/>
                <w:sz w:val="13"/>
                <w:szCs w:val="13"/>
                <w:color w:val="auto"/>
              </w:rPr>
              <w:t>(dba Echo 360, Inc.)</w:t>
            </w: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13.00% cash cap, 3.00% ETP</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28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Education Services - 4.44%*</w:t>
            </w:r>
          </w:p>
        </w:tc>
        <w:tc>
          <w:tcPr>
            <w:tcW w:w="9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25,486</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25,486</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gridSpan w:val="2"/>
          </w:tcPr>
          <w:p>
            <w:pPr>
              <w:spacing w:after="0"/>
              <w:rPr>
                <w:sz w:val="15"/>
                <w:szCs w:val="15"/>
                <w:color w:val="auto"/>
              </w:rPr>
            </w:pPr>
          </w:p>
        </w:tc>
        <w:tc>
          <w:tcPr>
            <w:tcW w:w="1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28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Electronic Equipment &amp; Instruments</w:t>
            </w: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60" w:type="dxa"/>
            <w:vAlign w:val="bottom"/>
          </w:tcPr>
          <w:p>
            <w:pPr>
              <w:ind w:left="220"/>
              <w:spacing w:after="0"/>
              <w:rPr>
                <w:sz w:val="20"/>
                <w:szCs w:val="20"/>
                <w:color w:val="auto"/>
              </w:rPr>
            </w:pPr>
            <w:r>
              <w:rPr>
                <w:rFonts w:ascii="Arial" w:cs="Arial" w:eastAsia="Arial" w:hAnsi="Arial"/>
                <w:sz w:val="13"/>
                <w:szCs w:val="13"/>
                <w:color w:val="auto"/>
              </w:rPr>
              <w:t>Brivo, Inc.</w:t>
            </w: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SOFR+6.85%, 10.89% floor,</w:t>
            </w:r>
          </w:p>
        </w:tc>
        <w:tc>
          <w:tcPr>
            <w:tcW w:w="940" w:type="dxa"/>
            <w:vAlign w:val="bottom"/>
          </w:tcPr>
          <w:p>
            <w:pPr>
              <w:jc w:val="center"/>
              <w:spacing w:after="0"/>
              <w:rPr>
                <w:sz w:val="20"/>
                <w:szCs w:val="20"/>
                <w:color w:val="auto"/>
              </w:rPr>
            </w:pPr>
            <w:r>
              <w:rPr>
                <w:rFonts w:ascii="Arial" w:cs="Arial" w:eastAsia="Arial" w:hAnsi="Arial"/>
                <w:sz w:val="13"/>
                <w:szCs w:val="13"/>
                <w:color w:val="auto"/>
              </w:rPr>
              <w:t>10/20/2022</w:t>
            </w:r>
          </w:p>
        </w:tc>
        <w:tc>
          <w:tcPr>
            <w:tcW w:w="1040" w:type="dxa"/>
            <w:vAlign w:val="bottom"/>
          </w:tcPr>
          <w:p>
            <w:pPr>
              <w:jc w:val="center"/>
              <w:spacing w:after="0"/>
              <w:rPr>
                <w:sz w:val="20"/>
                <w:szCs w:val="20"/>
                <w:color w:val="auto"/>
              </w:rPr>
            </w:pPr>
            <w:r>
              <w:rPr>
                <w:rFonts w:ascii="Arial" w:cs="Arial" w:eastAsia="Arial" w:hAnsi="Arial"/>
                <w:sz w:val="13"/>
                <w:szCs w:val="13"/>
                <w:color w:val="auto"/>
              </w:rPr>
              <w:t>10/20/2027</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49,531</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49,215</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51,017</w:t>
            </w:r>
          </w:p>
        </w:tc>
        <w:tc>
          <w:tcPr>
            <w:tcW w:w="880" w:type="dxa"/>
            <w:vAlign w:val="bottom"/>
          </w:tcPr>
          <w:p>
            <w:pPr>
              <w:ind w:left="100"/>
              <w:spacing w:after="0"/>
              <w:rPr>
                <w:sz w:val="20"/>
                <w:szCs w:val="20"/>
                <w:color w:val="auto"/>
              </w:rPr>
            </w:pPr>
            <w:r>
              <w:rPr>
                <w:rFonts w:ascii="Arial" w:cs="Arial" w:eastAsia="Arial" w:hAnsi="Arial"/>
                <w:sz w:val="13"/>
                <w:szCs w:val="13"/>
                <w:color w:val="auto"/>
              </w:rPr>
              <w:t>(9) (10) (11)</w:t>
            </w:r>
          </w:p>
        </w:tc>
      </w:tr>
      <w:tr>
        <w:trPr>
          <w:trHeight w:val="170"/>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20" w:type="dxa"/>
            <w:vAlign w:val="bottom"/>
            <w:gridSpan w:val="2"/>
          </w:tcPr>
          <w:p>
            <w:pPr>
              <w:ind w:left="100"/>
              <w:spacing w:after="0"/>
              <w:rPr>
                <w:sz w:val="20"/>
                <w:szCs w:val="20"/>
                <w:color w:val="auto"/>
              </w:rPr>
            </w:pPr>
            <w:r>
              <w:rPr>
                <w:rFonts w:ascii="Arial" w:cs="Arial" w:eastAsia="Arial" w:hAnsi="Arial"/>
                <w:sz w:val="13"/>
                <w:szCs w:val="13"/>
                <w:color w:val="auto"/>
              </w:rPr>
              <w:t>25% of interest PIK, 3.00% ETP</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Intellisite Holdings, Inc. (dba</w:t>
            </w: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SOFR+9.75%, 10.25% floor,</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12/17/2021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12/17/2025</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40,000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39,759</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39,759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w:t>
            </w:r>
          </w:p>
        </w:tc>
      </w:tr>
      <w:tr>
        <w:trPr>
          <w:trHeight w:val="176"/>
        </w:trPr>
        <w:tc>
          <w:tcPr>
            <w:tcW w:w="20" w:type="dxa"/>
            <w:vAlign w:val="bottom"/>
            <w:shd w:val="clear" w:color="auto" w:fill="CFF0FC"/>
          </w:tcPr>
          <w:p>
            <w:pPr>
              <w:spacing w:after="0"/>
              <w:rPr>
                <w:sz w:val="15"/>
                <w:szCs w:val="15"/>
                <w:color w:val="auto"/>
              </w:rPr>
            </w:pPr>
          </w:p>
        </w:tc>
        <w:tc>
          <w:tcPr>
            <w:tcW w:w="2160" w:type="dxa"/>
            <w:vAlign w:val="bottom"/>
            <w:shd w:val="clear" w:color="auto" w:fill="CFF0FC"/>
          </w:tcPr>
          <w:p>
            <w:pPr>
              <w:ind w:left="220"/>
              <w:spacing w:after="0"/>
              <w:rPr>
                <w:sz w:val="20"/>
                <w:szCs w:val="20"/>
                <w:color w:val="auto"/>
              </w:rPr>
            </w:pPr>
            <w:r>
              <w:rPr>
                <w:rFonts w:ascii="Arial" w:cs="Arial" w:eastAsia="Arial" w:hAnsi="Arial"/>
                <w:sz w:val="13"/>
                <w:szCs w:val="13"/>
                <w:color w:val="auto"/>
              </w:rPr>
              <w:t>Epic IO Technologies, Inc.)</w:t>
            </w:r>
          </w:p>
        </w:tc>
        <w:tc>
          <w:tcPr>
            <w:tcW w:w="21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2.00% ETP</w:t>
            </w:r>
          </w:p>
        </w:tc>
        <w:tc>
          <w:tcPr>
            <w:tcW w:w="9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28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Electronic Equipment &amp; Instruments - 15.82%*</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88,974</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90,776</w:t>
            </w:r>
          </w:p>
        </w:tc>
        <w:tc>
          <w:tcPr>
            <w:tcW w:w="880" w:type="dxa"/>
            <w:vAlign w:val="bottom"/>
          </w:tcPr>
          <w:p>
            <w:pPr>
              <w:spacing w:after="0"/>
              <w:rPr>
                <w:sz w:val="15"/>
                <w:szCs w:val="15"/>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8" w:name="page9"/>
    <w:bookmarkEnd w:id="8"/>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(Unaudited)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June 30,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jc w:val="center"/>
              <w:ind w:right="228"/>
              <w:spacing w:after="0" w:line="146" w:lineRule="exact"/>
              <w:rPr>
                <w:sz w:val="20"/>
                <w:szCs w:val="20"/>
                <w:color w:val="auto"/>
              </w:rPr>
            </w:pPr>
            <w:r>
              <w:rPr>
                <w:rFonts w:ascii="Arial" w:cs="Arial" w:eastAsia="Arial" w:hAnsi="Arial"/>
                <w:sz w:val="13"/>
                <w:szCs w:val="13"/>
                <w:b w:val="1"/>
                <w:bCs w:val="1"/>
                <w:color w:val="auto"/>
              </w:rPr>
              <w:t>Investment</w:t>
            </w: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Acquisition</w:t>
            </w:r>
          </w:p>
        </w:tc>
        <w:tc>
          <w:tcPr>
            <w:tcW w:w="1040" w:type="dxa"/>
            <w:vAlign w:val="bottom"/>
          </w:tcPr>
          <w:p>
            <w:pPr>
              <w:spacing w:after="0"/>
              <w:rPr>
                <w:sz w:val="12"/>
                <w:szCs w:val="12"/>
                <w:color w:val="auto"/>
              </w:rPr>
            </w:pPr>
          </w:p>
        </w:tc>
        <w:tc>
          <w:tcPr>
            <w:tcW w:w="1200" w:type="dxa"/>
            <w:vAlign w:val="bottom"/>
          </w:tcPr>
          <w:p>
            <w:pPr>
              <w:jc w:val="right"/>
              <w:ind w:right="214"/>
              <w:spacing w:after="0" w:line="146" w:lineRule="exact"/>
              <w:rPr>
                <w:sz w:val="20"/>
                <w:szCs w:val="20"/>
                <w:color w:val="auto"/>
              </w:rPr>
            </w:pPr>
            <w:r>
              <w:rPr>
                <w:rFonts w:ascii="Arial" w:cs="Arial" w:eastAsia="Arial" w:hAnsi="Arial"/>
                <w:sz w:val="13"/>
                <w:szCs w:val="13"/>
                <w:b w:val="1"/>
                <w:bCs w:val="1"/>
                <w:color w:val="auto"/>
              </w:rPr>
              <w:t>Principal ($) /</w:t>
            </w:r>
          </w:p>
        </w:tc>
        <w:tc>
          <w:tcPr>
            <w:tcW w:w="1100" w:type="dxa"/>
            <w:vAlign w:val="bottom"/>
          </w:tcPr>
          <w:p>
            <w:pPr>
              <w:spacing w:after="0"/>
              <w:rPr>
                <w:sz w:val="12"/>
                <w:szCs w:val="12"/>
                <w:color w:val="auto"/>
              </w:rPr>
            </w:pPr>
          </w:p>
        </w:tc>
        <w:tc>
          <w:tcPr>
            <w:tcW w:w="1100" w:type="dxa"/>
            <w:vAlign w:val="bottom"/>
          </w:tcPr>
          <w:p>
            <w:pPr>
              <w:jc w:val="right"/>
              <w:ind w:right="414"/>
              <w:spacing w:after="0" w:line="146" w:lineRule="exact"/>
              <w:rPr>
                <w:sz w:val="20"/>
                <w:szCs w:val="20"/>
                <w:color w:val="auto"/>
              </w:rPr>
            </w:pPr>
            <w:r>
              <w:rPr>
                <w:rFonts w:ascii="Arial" w:cs="Arial" w:eastAsia="Arial" w:hAnsi="Arial"/>
                <w:sz w:val="13"/>
                <w:szCs w:val="13"/>
                <w:b w:val="1"/>
                <w:bCs w:val="1"/>
                <w:color w:val="auto"/>
              </w:rPr>
              <w:t>Fair</w:t>
            </w:r>
          </w:p>
        </w:tc>
        <w:tc>
          <w:tcPr>
            <w:tcW w:w="880" w:type="dxa"/>
            <w:vAlign w:val="bottom"/>
          </w:tcPr>
          <w:p>
            <w:pPr>
              <w:spacing w:after="0"/>
              <w:rPr>
                <w:sz w:val="12"/>
                <w:szCs w:val="12"/>
                <w:color w:val="auto"/>
              </w:rPr>
            </w:pPr>
          </w:p>
        </w:tc>
      </w:tr>
      <w:tr>
        <w:trPr>
          <w:trHeight w:val="194"/>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300" w:type="dxa"/>
            <w:vAlign w:val="bottom"/>
          </w:tcPr>
          <w:p>
            <w:pPr>
              <w:spacing w:after="0"/>
              <w:rPr>
                <w:sz w:val="16"/>
                <w:szCs w:val="16"/>
                <w:color w:val="auto"/>
              </w:rPr>
            </w:pPr>
          </w:p>
        </w:tc>
        <w:tc>
          <w:tcPr>
            <w:tcW w:w="1860" w:type="dxa"/>
            <w:vAlign w:val="bottom"/>
          </w:tcPr>
          <w:p>
            <w:pPr>
              <w:jc w:val="center"/>
              <w:ind w:right="208"/>
              <w:spacing w:after="0" w:line="194" w:lineRule="exact"/>
              <w:rPr>
                <w:sz w:val="20"/>
                <w:szCs w:val="20"/>
                <w:color w:val="auto"/>
              </w:rPr>
            </w:pPr>
            <w:r>
              <w:rPr>
                <w:rFonts w:ascii="Arial" w:cs="Arial" w:eastAsia="Arial" w:hAnsi="Arial"/>
                <w:sz w:val="22"/>
                <w:szCs w:val="22"/>
                <w:b w:val="1"/>
                <w:bCs w:val="1"/>
                <w:color w:val="auto"/>
                <w:w w:val="94"/>
                <w:vertAlign w:val="subscript"/>
              </w:rPr>
              <w:t>Description</w:t>
            </w:r>
            <w:r>
              <w:rPr>
                <w:rFonts w:ascii="Arial" w:cs="Arial" w:eastAsia="Arial" w:hAnsi="Arial"/>
                <w:sz w:val="8"/>
                <w:szCs w:val="8"/>
                <w:b w:val="1"/>
                <w:bCs w:val="1"/>
                <w:color w:val="auto"/>
                <w:w w:val="94"/>
              </w:rPr>
              <w:t>(1),(2),(4)</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Maturity Date</w:t>
            </w:r>
          </w:p>
        </w:tc>
        <w:tc>
          <w:tcPr>
            <w:tcW w:w="1200" w:type="dxa"/>
            <w:vAlign w:val="bottom"/>
          </w:tcPr>
          <w:p>
            <w:pPr>
              <w:jc w:val="right"/>
              <w:ind w:right="414"/>
              <w:spacing w:after="0"/>
              <w:rPr>
                <w:sz w:val="20"/>
                <w:szCs w:val="20"/>
                <w:color w:val="auto"/>
              </w:rPr>
            </w:pPr>
            <w:r>
              <w:rPr>
                <w:rFonts w:ascii="Arial" w:cs="Arial" w:eastAsia="Arial" w:hAnsi="Arial"/>
                <w:sz w:val="13"/>
                <w:szCs w:val="13"/>
                <w:b w:val="1"/>
                <w:bCs w:val="1"/>
                <w:color w:val="auto"/>
              </w:rPr>
              <w:t>Shares</w:t>
            </w:r>
          </w:p>
        </w:tc>
        <w:tc>
          <w:tcPr>
            <w:tcW w:w="1100" w:type="dxa"/>
            <w:vAlign w:val="bottom"/>
          </w:tcPr>
          <w:p>
            <w:pPr>
              <w:jc w:val="right"/>
              <w:ind w:right="334"/>
              <w:spacing w:after="0"/>
              <w:rPr>
                <w:sz w:val="20"/>
                <w:szCs w:val="20"/>
                <w:color w:val="auto"/>
              </w:rPr>
            </w:pPr>
            <w:r>
              <w:rPr>
                <w:rFonts w:ascii="Arial" w:cs="Arial" w:eastAsia="Arial" w:hAnsi="Arial"/>
                <w:sz w:val="13"/>
                <w:szCs w:val="13"/>
                <w:b w:val="1"/>
                <w:bCs w:val="1"/>
                <w:color w:val="auto"/>
              </w:rPr>
              <w:t>Cost ($)</w:t>
            </w: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(3)</w:t>
            </w:r>
          </w:p>
        </w:tc>
        <w:tc>
          <w:tcPr>
            <w:tcW w:w="880" w:type="dxa"/>
            <w:vAlign w:val="bottom"/>
          </w:tcPr>
          <w:p>
            <w:pPr>
              <w:ind w:left="18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4280" w:type="dxa"/>
            <w:vAlign w:val="bottom"/>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9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300" w:type="dxa"/>
            <w:vAlign w:val="bottom"/>
            <w:tcBorders>
              <w:top w:val="single" w:sz="8" w:color="auto"/>
            </w:tcBorders>
          </w:tcPr>
          <w:p>
            <w:pPr>
              <w:spacing w:after="0"/>
              <w:rPr>
                <w:sz w:val="15"/>
                <w:szCs w:val="15"/>
                <w:color w:val="auto"/>
              </w:rPr>
            </w:pPr>
          </w:p>
        </w:tc>
        <w:tc>
          <w:tcPr>
            <w:tcW w:w="186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Health Care Equipment</w:t>
            </w:r>
          </w:p>
        </w:tc>
        <w:tc>
          <w:tcPr>
            <w:tcW w:w="30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Moximed, Inc.</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PRIME+5.25%, 8.75%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6/24/2022</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7/1/2027</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15,000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14,845</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14,845</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3.50% ETP</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26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Health Care Equipment - 2.59%*</w:t>
            </w:r>
          </w:p>
        </w:tc>
        <w:tc>
          <w:tcPr>
            <w:tcW w:w="9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14,845</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14,845</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300" w:type="dxa"/>
            <w:vAlign w:val="bottom"/>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Allurion Technologies, Inc.</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PRIME+6.44%, 9.50%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12/30/2021</w:t>
            </w:r>
          </w:p>
        </w:tc>
        <w:tc>
          <w:tcPr>
            <w:tcW w:w="1040" w:type="dxa"/>
            <w:vAlign w:val="bottom"/>
          </w:tcPr>
          <w:p>
            <w:pPr>
              <w:jc w:val="center"/>
              <w:spacing w:after="0"/>
              <w:rPr>
                <w:sz w:val="20"/>
                <w:szCs w:val="20"/>
                <w:color w:val="auto"/>
              </w:rPr>
            </w:pPr>
            <w:r>
              <w:rPr>
                <w:rFonts w:ascii="Arial" w:cs="Arial" w:eastAsia="Arial" w:hAnsi="Arial"/>
                <w:sz w:val="13"/>
                <w:szCs w:val="13"/>
                <w:color w:val="auto"/>
              </w:rPr>
              <w:t>12/30/2026</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55,000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54,903</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57,680</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3.00% ETP</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EBR Systems, Inc.</w:t>
            </w: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PRIME+4.90%, 8.90%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6/30/2022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6/15/2027</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40,000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39,245</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39,245</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 (11)</w:t>
            </w:r>
          </w:p>
        </w:tc>
      </w:tr>
      <w:tr>
        <w:trPr>
          <w:trHeight w:val="176"/>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4.50% ETP</w:t>
            </w: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Mingle Healthcare Solutions,</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SOFR+9.50%, 12.01%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8/15/2018</w:t>
            </w:r>
          </w:p>
        </w:tc>
        <w:tc>
          <w:tcPr>
            <w:tcW w:w="1040" w:type="dxa"/>
            <w:vAlign w:val="bottom"/>
          </w:tcPr>
          <w:p>
            <w:pPr>
              <w:jc w:val="center"/>
              <w:spacing w:after="0"/>
              <w:rPr>
                <w:sz w:val="20"/>
                <w:szCs w:val="20"/>
                <w:color w:val="auto"/>
              </w:rPr>
            </w:pPr>
            <w:r>
              <w:rPr>
                <w:rFonts w:ascii="Arial" w:cs="Arial" w:eastAsia="Arial" w:hAnsi="Arial"/>
                <w:sz w:val="13"/>
                <w:szCs w:val="13"/>
                <w:color w:val="auto"/>
              </w:rPr>
              <w:t>12/15/2023</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4,326</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4,943</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4,161</w:t>
            </w:r>
          </w:p>
        </w:tc>
        <w:tc>
          <w:tcPr>
            <w:tcW w:w="880" w:type="dxa"/>
            <w:vAlign w:val="bottom"/>
          </w:tcPr>
          <w:p>
            <w:pPr>
              <w:ind w:left="100"/>
              <w:spacing w:after="0"/>
              <w:rPr>
                <w:sz w:val="20"/>
                <w:szCs w:val="20"/>
                <w:color w:val="auto"/>
              </w:rPr>
            </w:pPr>
            <w:r>
              <w:rPr>
                <w:rFonts w:ascii="Arial" w:cs="Arial" w:eastAsia="Arial" w:hAnsi="Arial"/>
                <w:sz w:val="13"/>
                <w:szCs w:val="13"/>
                <w:color w:val="auto"/>
              </w:rPr>
              <w:t>(9) (10) (11)</w:t>
            </w:r>
          </w:p>
        </w:tc>
      </w:tr>
      <w:tr>
        <w:trPr>
          <w:trHeight w:val="171"/>
        </w:trPr>
        <w:tc>
          <w:tcPr>
            <w:tcW w:w="20" w:type="dxa"/>
            <w:vAlign w:val="bottom"/>
          </w:tcPr>
          <w:p>
            <w:pPr>
              <w:spacing w:after="0"/>
              <w:rPr>
                <w:sz w:val="14"/>
                <w:szCs w:val="14"/>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Inc.</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.25% PIK, 10.50% ETP</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Nalu Medical, Inc.</w:t>
            </w: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PRIME+2.70%, 6.70%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10/12/2022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10/12/2027</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20,275</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20,076</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20,076</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(9) (10) (11)</w:t>
            </w:r>
          </w:p>
        </w:tc>
      </w:tr>
      <w:tr>
        <w:trPr>
          <w:trHeight w:val="176"/>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2.00% PIK, 4.50% ETP</w:t>
            </w: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Route 92 Medical, Inc.</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SOFR+8.48%, 8.98%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8/17/2021</w:t>
            </w: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7/1/2026</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13,436</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13,345</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13,345</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3.95% ETP</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SetPoint Medical Corporation</w:t>
            </w: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SOFR+5.75%, 9.00%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12/29/2022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12/1/2027</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25,000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24,908</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24,908</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 (11)</w:t>
            </w:r>
          </w:p>
        </w:tc>
      </w:tr>
      <w:tr>
        <w:trPr>
          <w:trHeight w:val="176"/>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4.00% ETP</w:t>
            </w: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VERO Biotech LLC</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SOFR+9.05%, 9.55%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12/29/2020</w:t>
            </w:r>
          </w:p>
        </w:tc>
        <w:tc>
          <w:tcPr>
            <w:tcW w:w="1040" w:type="dxa"/>
            <w:vAlign w:val="bottom"/>
          </w:tcPr>
          <w:p>
            <w:pPr>
              <w:jc w:val="center"/>
              <w:spacing w:after="0"/>
              <w:rPr>
                <w:sz w:val="20"/>
                <w:szCs w:val="20"/>
                <w:color w:val="auto"/>
              </w:rPr>
            </w:pPr>
            <w:r>
              <w:rPr>
                <w:rFonts w:ascii="Arial" w:cs="Arial" w:eastAsia="Arial" w:hAnsi="Arial"/>
                <w:sz w:val="13"/>
                <w:szCs w:val="13"/>
                <w:color w:val="auto"/>
              </w:rPr>
              <w:t>12/1/2024</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40,000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40,608</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40,608</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3.00% ETP</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26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Health Care Technology - 34.85%*</w:t>
            </w:r>
          </w:p>
        </w:tc>
        <w:tc>
          <w:tcPr>
            <w:tcW w:w="9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198,028</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200,023</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gridSpan w:val="2"/>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26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Human Resource &amp; Employment Services</w:t>
            </w: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CloudPay, Inc.</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PRIME+6.25%, 10.25%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9/26/2022</w:t>
            </w:r>
          </w:p>
        </w:tc>
        <w:tc>
          <w:tcPr>
            <w:tcW w:w="1040" w:type="dxa"/>
            <w:vAlign w:val="bottom"/>
          </w:tcPr>
          <w:p>
            <w:pPr>
              <w:jc w:val="center"/>
              <w:spacing w:after="0"/>
              <w:rPr>
                <w:sz w:val="20"/>
                <w:szCs w:val="20"/>
                <w:color w:val="auto"/>
              </w:rPr>
            </w:pPr>
            <w:r>
              <w:rPr>
                <w:rFonts w:ascii="Arial" w:cs="Arial" w:eastAsia="Arial" w:hAnsi="Arial"/>
                <w:sz w:val="13"/>
                <w:szCs w:val="13"/>
                <w:color w:val="auto"/>
              </w:rPr>
              <w:t>8/17/2027</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75,000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74,764</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74,764</w:t>
            </w:r>
          </w:p>
        </w:tc>
        <w:tc>
          <w:tcPr>
            <w:tcW w:w="880" w:type="dxa"/>
            <w:vAlign w:val="bottom"/>
          </w:tcPr>
          <w:p>
            <w:pPr>
              <w:ind w:left="100"/>
              <w:spacing w:after="0"/>
              <w:rPr>
                <w:sz w:val="20"/>
                <w:szCs w:val="20"/>
                <w:color w:val="auto"/>
              </w:rPr>
            </w:pPr>
            <w:r>
              <w:rPr>
                <w:rFonts w:ascii="Arial" w:cs="Arial" w:eastAsia="Arial" w:hAnsi="Arial"/>
                <w:sz w:val="13"/>
                <w:szCs w:val="13"/>
                <w:color w:val="auto"/>
              </w:rPr>
              <w:t>(7) (8) (10)</w:t>
            </w:r>
          </w:p>
        </w:tc>
      </w:tr>
      <w:tr>
        <w:trPr>
          <w:trHeight w:val="170"/>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2.00% ETP</w:t>
            </w: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(11)</w:t>
            </w:r>
          </w:p>
        </w:tc>
      </w:tr>
      <w:tr>
        <w:trPr>
          <w:trHeight w:val="166"/>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Snagajob.com, Inc.</w:t>
            </w: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SOFR+8.50%, 9.00% floor, 50%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9/29/2021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9/1/2025</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38,699</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38,852</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37,315</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(9) (10) (11)</w:t>
            </w:r>
          </w:p>
        </w:tc>
      </w:tr>
      <w:tr>
        <w:trPr>
          <w:trHeight w:val="176"/>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of interest PIK, 2.75% ETP</w:t>
            </w: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6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Human Resource &amp; Employment Services - 19.53%*</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113,616</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112,079</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gridSpan w:val="2"/>
            <w:shd w:val="clear" w:color="auto" w:fill="CFF0FC"/>
          </w:tcPr>
          <w:p>
            <w:pPr>
              <w:spacing w:after="0"/>
              <w:rPr>
                <w:sz w:val="15"/>
                <w:szCs w:val="15"/>
                <w:color w:val="auto"/>
              </w:rPr>
            </w:pPr>
          </w:p>
        </w:tc>
        <w:tc>
          <w:tcPr>
            <w:tcW w:w="18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60" w:type="dxa"/>
            <w:vAlign w:val="bottom"/>
            <w:gridSpan w:val="3"/>
          </w:tcPr>
          <w:p>
            <w:pPr>
              <w:ind w:left="220"/>
              <w:spacing w:after="0"/>
              <w:rPr>
                <w:sz w:val="20"/>
                <w:szCs w:val="20"/>
                <w:color w:val="auto"/>
              </w:rPr>
            </w:pPr>
            <w:r>
              <w:rPr>
                <w:rFonts w:ascii="Arial" w:cs="Arial" w:eastAsia="Arial" w:hAnsi="Arial"/>
                <w:sz w:val="13"/>
                <w:szCs w:val="13"/>
                <w:b w:val="1"/>
                <w:bCs w:val="1"/>
                <w:color w:val="auto"/>
              </w:rPr>
              <w:t>Internet &amp; Direct Marketing Retail</w:t>
            </w: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Madison Reed, Inc.</w:t>
            </w: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PRIME+4.75%, 11.00%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12/16/2022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12/16/2026</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9,600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9,415</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9,415</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(9) (10) (11)</w:t>
            </w:r>
          </w:p>
        </w:tc>
      </w:tr>
      <w:tr>
        <w:trPr>
          <w:trHeight w:val="176"/>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11.00% cash cap, 3.00% ETP</w:t>
            </w:r>
          </w:p>
        </w:tc>
        <w:tc>
          <w:tcPr>
            <w:tcW w:w="9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Marley Spoon AG</w:t>
            </w:r>
          </w:p>
        </w:tc>
        <w:tc>
          <w:tcPr>
            <w:tcW w:w="2160" w:type="dxa"/>
            <w:vAlign w:val="bottom"/>
            <w:gridSpan w:val="2"/>
          </w:tcPr>
          <w:p>
            <w:pPr>
              <w:ind w:left="160"/>
              <w:spacing w:after="0"/>
              <w:rPr>
                <w:sz w:val="20"/>
                <w:szCs w:val="20"/>
                <w:color w:val="auto"/>
              </w:rPr>
            </w:pPr>
            <w:r>
              <w:rPr>
                <w:rFonts w:ascii="Arial" w:cs="Arial" w:eastAsia="Arial" w:hAnsi="Arial"/>
                <w:sz w:val="13"/>
                <w:szCs w:val="13"/>
                <w:color w:val="auto"/>
              </w:rPr>
              <w:t>SOFR+8.50% PIK, 9.26%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6/30/2021</w:t>
            </w:r>
          </w:p>
        </w:tc>
        <w:tc>
          <w:tcPr>
            <w:tcW w:w="1040" w:type="dxa"/>
            <w:vAlign w:val="bottom"/>
          </w:tcPr>
          <w:p>
            <w:pPr>
              <w:jc w:val="center"/>
              <w:spacing w:after="0"/>
              <w:rPr>
                <w:sz w:val="20"/>
                <w:szCs w:val="20"/>
                <w:color w:val="auto"/>
              </w:rPr>
            </w:pPr>
            <w:r>
              <w:rPr>
                <w:rFonts w:ascii="Arial" w:cs="Arial" w:eastAsia="Arial" w:hAnsi="Arial"/>
                <w:sz w:val="13"/>
                <w:szCs w:val="13"/>
                <w:color w:val="auto"/>
              </w:rPr>
              <w:t>6/15/2026</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48,527</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48,357</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48,357</w:t>
            </w:r>
          </w:p>
        </w:tc>
        <w:tc>
          <w:tcPr>
            <w:tcW w:w="880" w:type="dxa"/>
            <w:vAlign w:val="bottom"/>
          </w:tcPr>
          <w:p>
            <w:pPr>
              <w:ind w:left="100"/>
              <w:spacing w:after="0"/>
              <w:rPr>
                <w:sz w:val="20"/>
                <w:szCs w:val="20"/>
                <w:color w:val="auto"/>
              </w:rPr>
            </w:pPr>
            <w:r>
              <w:rPr>
                <w:rFonts w:ascii="Arial" w:cs="Arial" w:eastAsia="Arial" w:hAnsi="Arial"/>
                <w:sz w:val="13"/>
                <w:szCs w:val="13"/>
                <w:color w:val="auto"/>
              </w:rPr>
              <w:t>(6) (8) (9)</w:t>
            </w:r>
          </w:p>
        </w:tc>
      </w:tr>
      <w:tr>
        <w:trPr>
          <w:trHeight w:val="170"/>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(11)</w:t>
            </w:r>
          </w:p>
        </w:tc>
      </w:tr>
      <w:tr>
        <w:trPr>
          <w:trHeight w:val="185"/>
        </w:trPr>
        <w:tc>
          <w:tcPr>
            <w:tcW w:w="20" w:type="dxa"/>
            <w:vAlign w:val="bottom"/>
            <w:shd w:val="clear" w:color="auto" w:fill="CFF0FC"/>
          </w:tcPr>
          <w:p>
            <w:pPr>
              <w:spacing w:after="0"/>
              <w:rPr>
                <w:sz w:val="16"/>
                <w:szCs w:val="16"/>
                <w:color w:val="auto"/>
              </w:rPr>
            </w:pPr>
          </w:p>
        </w:tc>
        <w:tc>
          <w:tcPr>
            <w:tcW w:w="426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Internet &amp; Direct Marketing Retail - 10.07%*</w:t>
            </w:r>
          </w:p>
        </w:tc>
        <w:tc>
          <w:tcPr>
            <w:tcW w:w="9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57,772</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57,772</w:t>
            </w:r>
          </w:p>
        </w:tc>
        <w:tc>
          <w:tcPr>
            <w:tcW w:w="880" w:type="dxa"/>
            <w:vAlign w:val="bottom"/>
            <w:shd w:val="clear" w:color="auto" w:fill="CFF0FC"/>
          </w:tcPr>
          <w:p>
            <w:pPr>
              <w:spacing w:after="0"/>
              <w:rPr>
                <w:sz w:val="16"/>
                <w:szCs w:val="16"/>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9" w:name="page10"/>
    <w:bookmarkEnd w:id="9"/>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(Unaudited)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June 30,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shd w:val="clear" w:color="auto" w:fill="CFF0FC"/>
          </w:tcPr>
          <w:p>
            <w:pPr>
              <w:spacing w:after="0"/>
              <w:rPr>
                <w:sz w:val="13"/>
                <w:szCs w:val="13"/>
                <w:color w:val="auto"/>
              </w:rPr>
            </w:pPr>
          </w:p>
        </w:tc>
        <w:tc>
          <w:tcPr>
            <w:tcW w:w="2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b w:val="1"/>
                <w:bCs w:val="1"/>
                <w:color w:val="auto"/>
              </w:rPr>
              <w:t>Initial</w:t>
            </w:r>
          </w:p>
        </w:tc>
        <w:tc>
          <w:tcPr>
            <w:tcW w:w="10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45"/>
        </w:trPr>
        <w:tc>
          <w:tcPr>
            <w:tcW w:w="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840" w:type="dxa"/>
            <w:vAlign w:val="bottom"/>
            <w:shd w:val="clear" w:color="auto" w:fill="CFF0FC"/>
          </w:tcPr>
          <w:p>
            <w:pPr>
              <w:jc w:val="center"/>
              <w:ind w:right="208"/>
              <w:spacing w:after="0" w:line="146" w:lineRule="exact"/>
              <w:rPr>
                <w:sz w:val="20"/>
                <w:szCs w:val="20"/>
                <w:color w:val="auto"/>
              </w:rPr>
            </w:pPr>
            <w:r>
              <w:rPr>
                <w:rFonts w:ascii="Arial" w:cs="Arial" w:eastAsia="Arial" w:hAnsi="Arial"/>
                <w:sz w:val="13"/>
                <w:szCs w:val="13"/>
                <w:b w:val="1"/>
                <w:bCs w:val="1"/>
                <w:color w:val="auto"/>
              </w:rPr>
              <w:t>Investment</w:t>
            </w:r>
          </w:p>
        </w:tc>
        <w:tc>
          <w:tcPr>
            <w:tcW w:w="980" w:type="dxa"/>
            <w:vAlign w:val="bottom"/>
            <w:shd w:val="clear" w:color="auto" w:fill="CFF0FC"/>
          </w:tcPr>
          <w:p>
            <w:pPr>
              <w:jc w:val="center"/>
              <w:spacing w:after="0" w:line="146" w:lineRule="exact"/>
              <w:rPr>
                <w:sz w:val="20"/>
                <w:szCs w:val="20"/>
                <w:color w:val="auto"/>
              </w:rPr>
            </w:pPr>
            <w:r>
              <w:rPr>
                <w:rFonts w:ascii="Arial" w:cs="Arial" w:eastAsia="Arial" w:hAnsi="Arial"/>
                <w:sz w:val="13"/>
                <w:szCs w:val="13"/>
                <w:b w:val="1"/>
                <w:bCs w:val="1"/>
                <w:color w:val="auto"/>
              </w:rPr>
              <w:t>Acquisition</w:t>
            </w:r>
          </w:p>
        </w:tc>
        <w:tc>
          <w:tcPr>
            <w:tcW w:w="1000" w:type="dxa"/>
            <w:vAlign w:val="bottom"/>
            <w:shd w:val="clear" w:color="auto" w:fill="CFF0FC"/>
          </w:tcPr>
          <w:p>
            <w:pPr>
              <w:jc w:val="center"/>
              <w:ind w:right="14"/>
              <w:spacing w:after="0" w:line="146" w:lineRule="exact"/>
              <w:rPr>
                <w:sz w:val="20"/>
                <w:szCs w:val="20"/>
                <w:color w:val="auto"/>
              </w:rPr>
            </w:pPr>
            <w:r>
              <w:rPr>
                <w:rFonts w:ascii="Arial" w:cs="Arial" w:eastAsia="Arial" w:hAnsi="Arial"/>
                <w:sz w:val="13"/>
                <w:szCs w:val="13"/>
                <w:b w:val="1"/>
                <w:bCs w:val="1"/>
                <w:color w:val="auto"/>
              </w:rPr>
              <w:t>Maturity</w:t>
            </w:r>
          </w:p>
        </w:tc>
        <w:tc>
          <w:tcPr>
            <w:tcW w:w="1240" w:type="dxa"/>
            <w:vAlign w:val="bottom"/>
            <w:shd w:val="clear" w:color="auto" w:fill="CFF0FC"/>
          </w:tcPr>
          <w:p>
            <w:pPr>
              <w:jc w:val="right"/>
              <w:ind w:right="194"/>
              <w:spacing w:after="0" w:line="146" w:lineRule="exact"/>
              <w:rPr>
                <w:sz w:val="20"/>
                <w:szCs w:val="20"/>
                <w:color w:val="auto"/>
              </w:rPr>
            </w:pPr>
            <w:r>
              <w:rPr>
                <w:rFonts w:ascii="Arial" w:cs="Arial" w:eastAsia="Arial" w:hAnsi="Arial"/>
                <w:sz w:val="13"/>
                <w:szCs w:val="13"/>
                <w:b w:val="1"/>
                <w:bCs w:val="1"/>
                <w:color w:val="auto"/>
              </w:rPr>
              <w:t>Principal ($) /</w:t>
            </w:r>
          </w:p>
        </w:tc>
        <w:tc>
          <w:tcPr>
            <w:tcW w:w="1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14"/>
              <w:spacing w:after="0" w:line="146" w:lineRule="exact"/>
              <w:rPr>
                <w:sz w:val="20"/>
                <w:szCs w:val="20"/>
                <w:color w:val="auto"/>
              </w:rPr>
            </w:pPr>
            <w:r>
              <w:rPr>
                <w:rFonts w:ascii="Arial" w:cs="Arial" w:eastAsia="Arial" w:hAnsi="Arial"/>
                <w:sz w:val="13"/>
                <w:szCs w:val="13"/>
                <w:b w:val="1"/>
                <w:bCs w:val="1"/>
                <w:color w:val="auto"/>
              </w:rPr>
              <w:t>Fair</w:t>
            </w:r>
          </w:p>
        </w:tc>
        <w:tc>
          <w:tcPr>
            <w:tcW w:w="880" w:type="dxa"/>
            <w:vAlign w:val="bottom"/>
            <w:shd w:val="clear" w:color="auto" w:fill="CFF0FC"/>
          </w:tcPr>
          <w:p>
            <w:pPr>
              <w:spacing w:after="0"/>
              <w:rPr>
                <w:sz w:val="12"/>
                <w:szCs w:val="12"/>
                <w:color w:val="auto"/>
              </w:rPr>
            </w:pPr>
          </w:p>
        </w:tc>
      </w:tr>
      <w:tr>
        <w:trPr>
          <w:trHeight w:val="194"/>
        </w:trPr>
        <w:tc>
          <w:tcPr>
            <w:tcW w:w="226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Portfolio Company</w:t>
            </w:r>
          </w:p>
        </w:tc>
        <w:tc>
          <w:tcPr>
            <w:tcW w:w="160" w:type="dxa"/>
            <w:vAlign w:val="bottom"/>
            <w:shd w:val="clear" w:color="auto" w:fill="CFF0FC"/>
          </w:tcPr>
          <w:p>
            <w:pPr>
              <w:spacing w:after="0"/>
              <w:rPr>
                <w:sz w:val="16"/>
                <w:szCs w:val="16"/>
                <w:color w:val="auto"/>
              </w:rPr>
            </w:pPr>
          </w:p>
        </w:tc>
        <w:tc>
          <w:tcPr>
            <w:tcW w:w="1840" w:type="dxa"/>
            <w:vAlign w:val="bottom"/>
            <w:shd w:val="clear" w:color="auto" w:fill="CFF0FC"/>
          </w:tcPr>
          <w:p>
            <w:pPr>
              <w:jc w:val="center"/>
              <w:ind w:right="188"/>
              <w:spacing w:after="0" w:line="194" w:lineRule="exact"/>
              <w:rPr>
                <w:sz w:val="20"/>
                <w:szCs w:val="20"/>
                <w:color w:val="auto"/>
              </w:rPr>
            </w:pPr>
            <w:r>
              <w:rPr>
                <w:rFonts w:ascii="Arial" w:cs="Arial" w:eastAsia="Arial" w:hAnsi="Arial"/>
                <w:sz w:val="22"/>
                <w:szCs w:val="22"/>
                <w:b w:val="1"/>
                <w:bCs w:val="1"/>
                <w:color w:val="auto"/>
                <w:w w:val="94"/>
                <w:vertAlign w:val="subscript"/>
              </w:rPr>
              <w:t>Description</w:t>
            </w:r>
            <w:r>
              <w:rPr>
                <w:rFonts w:ascii="Arial" w:cs="Arial" w:eastAsia="Arial" w:hAnsi="Arial"/>
                <w:sz w:val="8"/>
                <w:szCs w:val="8"/>
                <w:b w:val="1"/>
                <w:bCs w:val="1"/>
                <w:color w:val="auto"/>
                <w:w w:val="94"/>
              </w:rPr>
              <w:t>(1),(2),(4)</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b w:val="1"/>
                <w:bCs w:val="1"/>
                <w:color w:val="auto"/>
                <w:w w:val="99"/>
              </w:rPr>
              <w:t>Date</w:t>
            </w:r>
          </w:p>
        </w:tc>
        <w:tc>
          <w:tcPr>
            <w:tcW w:w="1240" w:type="dxa"/>
            <w:vAlign w:val="bottom"/>
            <w:shd w:val="clear" w:color="auto" w:fill="CFF0FC"/>
          </w:tcPr>
          <w:p>
            <w:pPr>
              <w:jc w:val="right"/>
              <w:ind w:right="394"/>
              <w:spacing w:after="0"/>
              <w:rPr>
                <w:sz w:val="20"/>
                <w:szCs w:val="20"/>
                <w:color w:val="auto"/>
              </w:rPr>
            </w:pPr>
            <w:r>
              <w:rPr>
                <w:rFonts w:ascii="Arial" w:cs="Arial" w:eastAsia="Arial" w:hAnsi="Arial"/>
                <w:sz w:val="13"/>
                <w:szCs w:val="13"/>
                <w:b w:val="1"/>
                <w:bCs w:val="1"/>
                <w:color w:val="auto"/>
              </w:rPr>
              <w:t>Shares</w:t>
            </w:r>
          </w:p>
        </w:tc>
        <w:tc>
          <w:tcPr>
            <w:tcW w:w="1100" w:type="dxa"/>
            <w:vAlign w:val="bottom"/>
            <w:shd w:val="clear" w:color="auto" w:fill="CFF0FC"/>
          </w:tcPr>
          <w:p>
            <w:pPr>
              <w:jc w:val="right"/>
              <w:ind w:right="314"/>
              <w:spacing w:after="0"/>
              <w:rPr>
                <w:sz w:val="20"/>
                <w:szCs w:val="20"/>
                <w:color w:val="auto"/>
              </w:rPr>
            </w:pPr>
            <w:r>
              <w:rPr>
                <w:rFonts w:ascii="Arial" w:cs="Arial" w:eastAsia="Arial" w:hAnsi="Arial"/>
                <w:sz w:val="13"/>
                <w:szCs w:val="13"/>
                <w:b w:val="1"/>
                <w:bCs w:val="1"/>
                <w:color w:val="auto"/>
              </w:rPr>
              <w:t>Cost ($)</w:t>
            </w:r>
          </w:p>
        </w:tc>
        <w:tc>
          <w:tcPr>
            <w:tcW w:w="1100" w:type="dxa"/>
            <w:vAlign w:val="bottom"/>
            <w:shd w:val="clear" w:color="auto" w:fill="CFF0FC"/>
          </w:tcPr>
          <w:p>
            <w:pPr>
              <w:jc w:val="right"/>
              <w:ind w:right="1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(3)</w:t>
            </w:r>
          </w:p>
        </w:tc>
        <w:tc>
          <w:tcPr>
            <w:tcW w:w="880" w:type="dxa"/>
            <w:vAlign w:val="bottom"/>
            <w:shd w:val="clear" w:color="auto" w:fill="CFF0FC"/>
          </w:tcPr>
          <w:p>
            <w:pPr>
              <w:ind w:left="180"/>
              <w:spacing w:after="0"/>
              <w:rPr>
                <w:sz w:val="20"/>
                <w:szCs w:val="20"/>
                <w:color w:val="auto"/>
              </w:rPr>
            </w:pPr>
            <w:r>
              <w:rPr>
                <w:rFonts w:ascii="Arial" w:cs="Arial" w:eastAsia="Arial" w:hAnsi="Arial"/>
                <w:sz w:val="13"/>
                <w:szCs w:val="13"/>
                <w:b w:val="1"/>
                <w:bCs w:val="1"/>
                <w:color w:val="auto"/>
              </w:rPr>
              <w:t>Footnotes</w:t>
            </w:r>
          </w:p>
        </w:tc>
      </w:tr>
      <w:tr>
        <w:trPr>
          <w:trHeight w:val="152"/>
        </w:trPr>
        <w:tc>
          <w:tcPr>
            <w:tcW w:w="426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22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160" w:type="dxa"/>
            <w:vAlign w:val="bottom"/>
            <w:tcBorders>
              <w:top w:val="single" w:sz="8" w:color="auto"/>
            </w:tcBorders>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240" w:type="dxa"/>
            <w:vAlign w:val="bottom"/>
          </w:tcPr>
          <w:p>
            <w:pPr>
              <w:ind w:left="220"/>
              <w:spacing w:after="0"/>
              <w:rPr>
                <w:sz w:val="20"/>
                <w:szCs w:val="20"/>
                <w:color w:val="auto"/>
              </w:rPr>
            </w:pPr>
            <w:r>
              <w:rPr>
                <w:rFonts w:ascii="Arial" w:cs="Arial" w:eastAsia="Arial" w:hAnsi="Arial"/>
                <w:sz w:val="13"/>
                <w:szCs w:val="13"/>
                <w:b w:val="1"/>
                <w:bCs w:val="1"/>
                <w:color w:val="auto"/>
              </w:rPr>
              <w:t>Internet Software and Services</w:t>
            </w: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Bombora, Inc.</w:t>
            </w:r>
          </w:p>
        </w:tc>
        <w:tc>
          <w:tcPr>
            <w:tcW w:w="20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SOFR+5.00%, 5.76% floor,</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3/31/2021</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3/31/2025</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21,749</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21,844</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21,844</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(9) (10) (11)</w:t>
            </w:r>
          </w:p>
        </w:tc>
      </w:tr>
      <w:tr>
        <w:trPr>
          <w:trHeight w:val="176"/>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20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3.75% PIK, 2.00% ETP</w:t>
            </w: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240" w:type="dxa"/>
            <w:vAlign w:val="bottom"/>
          </w:tcPr>
          <w:p>
            <w:pPr>
              <w:ind w:left="220"/>
              <w:spacing w:after="0"/>
              <w:rPr>
                <w:sz w:val="20"/>
                <w:szCs w:val="20"/>
                <w:color w:val="auto"/>
              </w:rPr>
            </w:pPr>
            <w:r>
              <w:rPr>
                <w:rFonts w:ascii="Arial" w:cs="Arial" w:eastAsia="Arial" w:hAnsi="Arial"/>
                <w:sz w:val="13"/>
                <w:szCs w:val="13"/>
                <w:color w:val="auto"/>
              </w:rPr>
              <w:t>Fidelis Cybersecurity, Inc.</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SOFR+11.00%, 12.00% floor,</w:t>
            </w:r>
          </w:p>
        </w:tc>
        <w:tc>
          <w:tcPr>
            <w:tcW w:w="980" w:type="dxa"/>
            <w:vAlign w:val="bottom"/>
          </w:tcPr>
          <w:p>
            <w:pPr>
              <w:jc w:val="center"/>
              <w:spacing w:after="0"/>
              <w:rPr>
                <w:sz w:val="20"/>
                <w:szCs w:val="20"/>
                <w:color w:val="auto"/>
              </w:rPr>
            </w:pPr>
            <w:r>
              <w:rPr>
                <w:rFonts w:ascii="Arial" w:cs="Arial" w:eastAsia="Arial" w:hAnsi="Arial"/>
                <w:sz w:val="13"/>
                <w:szCs w:val="13"/>
                <w:color w:val="auto"/>
              </w:rPr>
              <w:t>5/13/2021</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5/13/2024</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14,931</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15,329</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15,072</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2.81% ETP</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Skillshare, Inc.</w:t>
            </w:r>
          </w:p>
        </w:tc>
        <w:tc>
          <w:tcPr>
            <w:tcW w:w="20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SOFR+6.50%, 10.72% floor,</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11/8/2022</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11/8/2026</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25,000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24,604</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24,604</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 (11)</w:t>
            </w:r>
          </w:p>
        </w:tc>
      </w:tr>
      <w:tr>
        <w:trPr>
          <w:trHeight w:val="176"/>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20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3.00% ETP</w:t>
            </w: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240" w:type="dxa"/>
            <w:vAlign w:val="bottom"/>
          </w:tcPr>
          <w:p>
            <w:pPr>
              <w:ind w:left="220"/>
              <w:spacing w:after="0"/>
              <w:rPr>
                <w:sz w:val="20"/>
                <w:szCs w:val="20"/>
                <w:color w:val="auto"/>
              </w:rPr>
            </w:pPr>
            <w:r>
              <w:rPr>
                <w:rFonts w:ascii="Arial" w:cs="Arial" w:eastAsia="Arial" w:hAnsi="Arial"/>
                <w:sz w:val="13"/>
                <w:szCs w:val="13"/>
                <w:color w:val="auto"/>
              </w:rPr>
              <w:t>Synack, Inc.</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PRIME+4.25%, 8.25% floor</w:t>
            </w:r>
          </w:p>
        </w:tc>
        <w:tc>
          <w:tcPr>
            <w:tcW w:w="980" w:type="dxa"/>
            <w:vAlign w:val="bottom"/>
          </w:tcPr>
          <w:p>
            <w:pPr>
              <w:jc w:val="center"/>
              <w:spacing w:after="0"/>
              <w:rPr>
                <w:sz w:val="20"/>
                <w:szCs w:val="20"/>
                <w:color w:val="auto"/>
              </w:rPr>
            </w:pPr>
            <w:r>
              <w:rPr>
                <w:rFonts w:ascii="Arial" w:cs="Arial" w:eastAsia="Arial" w:hAnsi="Arial"/>
                <w:sz w:val="13"/>
                <w:szCs w:val="13"/>
                <w:color w:val="auto"/>
              </w:rPr>
              <w:t>6/30/2022</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6/30/2027</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36,520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36,445</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36,445</w:t>
            </w:r>
          </w:p>
        </w:tc>
        <w:tc>
          <w:tcPr>
            <w:tcW w:w="880" w:type="dxa"/>
            <w:vAlign w:val="bottom"/>
          </w:tcPr>
          <w:p>
            <w:pPr>
              <w:ind w:left="100"/>
              <w:spacing w:after="0"/>
              <w:rPr>
                <w:sz w:val="20"/>
                <w:szCs w:val="20"/>
                <w:color w:val="auto"/>
              </w:rPr>
            </w:pPr>
            <w:r>
              <w:rPr>
                <w:rFonts w:ascii="Arial" w:cs="Arial" w:eastAsia="Arial" w:hAnsi="Arial"/>
                <w:sz w:val="13"/>
                <w:szCs w:val="13"/>
                <w:color w:val="auto"/>
              </w:rPr>
              <w:t>(11)</w:t>
            </w:r>
          </w:p>
        </w:tc>
      </w:tr>
      <w:tr>
        <w:trPr>
          <w:trHeight w:val="185"/>
        </w:trPr>
        <w:tc>
          <w:tcPr>
            <w:tcW w:w="20" w:type="dxa"/>
            <w:vAlign w:val="bottom"/>
            <w:shd w:val="clear" w:color="auto" w:fill="CFF0FC"/>
          </w:tcPr>
          <w:p>
            <w:pPr>
              <w:spacing w:after="0"/>
              <w:rPr>
                <w:sz w:val="16"/>
                <w:szCs w:val="16"/>
                <w:color w:val="auto"/>
              </w:rPr>
            </w:pPr>
          </w:p>
        </w:tc>
        <w:tc>
          <w:tcPr>
            <w:tcW w:w="424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Internet Software and Services - 17.07%*</w:t>
            </w: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98,222</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97,965</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Property &amp; Casualty Insurance</w:t>
            </w:r>
          </w:p>
        </w:tc>
        <w:tc>
          <w:tcPr>
            <w:tcW w:w="16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240" w:type="dxa"/>
            <w:vAlign w:val="bottom"/>
          </w:tcPr>
          <w:p>
            <w:pPr>
              <w:ind w:left="220"/>
              <w:spacing w:after="0"/>
              <w:rPr>
                <w:sz w:val="20"/>
                <w:szCs w:val="20"/>
                <w:color w:val="auto"/>
              </w:rPr>
            </w:pPr>
            <w:r>
              <w:rPr>
                <w:rFonts w:ascii="Arial" w:cs="Arial" w:eastAsia="Arial" w:hAnsi="Arial"/>
                <w:sz w:val="13"/>
                <w:szCs w:val="13"/>
                <w:color w:val="auto"/>
              </w:rPr>
              <w:t>Kin Insurance, Inc.</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PRIME+6.25%, 12.50% floor,</w:t>
            </w:r>
          </w:p>
        </w:tc>
        <w:tc>
          <w:tcPr>
            <w:tcW w:w="980" w:type="dxa"/>
            <w:vAlign w:val="bottom"/>
          </w:tcPr>
          <w:p>
            <w:pPr>
              <w:jc w:val="center"/>
              <w:spacing w:after="0"/>
              <w:rPr>
                <w:sz w:val="20"/>
                <w:szCs w:val="20"/>
                <w:color w:val="auto"/>
              </w:rPr>
            </w:pPr>
            <w:r>
              <w:rPr>
                <w:rFonts w:ascii="Arial" w:cs="Arial" w:eastAsia="Arial" w:hAnsi="Arial"/>
                <w:sz w:val="13"/>
                <w:szCs w:val="13"/>
                <w:color w:val="auto"/>
              </w:rPr>
              <w:t>9/26/2022</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9/15/2026</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63,889</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63,327</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63,313</w:t>
            </w: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3.00% ETP</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24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Property &amp; Casualty Insurance - 11.03%*</w:t>
            </w: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63,327</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63,313</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System Software</w:t>
            </w:r>
          </w:p>
        </w:tc>
        <w:tc>
          <w:tcPr>
            <w:tcW w:w="16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240" w:type="dxa"/>
            <w:vAlign w:val="bottom"/>
          </w:tcPr>
          <w:p>
            <w:pPr>
              <w:ind w:left="220"/>
              <w:spacing w:after="0"/>
              <w:rPr>
                <w:sz w:val="20"/>
                <w:szCs w:val="20"/>
                <w:color w:val="auto"/>
              </w:rPr>
            </w:pPr>
            <w:r>
              <w:rPr>
                <w:rFonts w:ascii="Arial" w:cs="Arial" w:eastAsia="Arial" w:hAnsi="Arial"/>
                <w:sz w:val="13"/>
                <w:szCs w:val="13"/>
                <w:color w:val="auto"/>
              </w:rPr>
              <w:t>3PL Central LLC (dba Extensiv)</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SOFR+4.50%, 6.50 floor, 2.50%</w:t>
            </w:r>
          </w:p>
        </w:tc>
        <w:tc>
          <w:tcPr>
            <w:tcW w:w="980" w:type="dxa"/>
            <w:vAlign w:val="bottom"/>
          </w:tcPr>
          <w:p>
            <w:pPr>
              <w:jc w:val="center"/>
              <w:spacing w:after="0"/>
              <w:rPr>
                <w:sz w:val="20"/>
                <w:szCs w:val="20"/>
                <w:color w:val="auto"/>
              </w:rPr>
            </w:pPr>
            <w:r>
              <w:rPr>
                <w:rFonts w:ascii="Arial" w:cs="Arial" w:eastAsia="Arial" w:hAnsi="Arial"/>
                <w:sz w:val="13"/>
                <w:szCs w:val="13"/>
                <w:color w:val="auto"/>
              </w:rPr>
              <w:t>11/9/2022</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11/9/2027</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69,010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68,479</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68,479</w:t>
            </w:r>
          </w:p>
        </w:tc>
        <w:tc>
          <w:tcPr>
            <w:tcW w:w="880" w:type="dxa"/>
            <w:vAlign w:val="bottom"/>
          </w:tcPr>
          <w:p>
            <w:pPr>
              <w:ind w:left="100"/>
              <w:spacing w:after="0"/>
              <w:rPr>
                <w:sz w:val="20"/>
                <w:szCs w:val="20"/>
                <w:color w:val="auto"/>
              </w:rPr>
            </w:pPr>
            <w:r>
              <w:rPr>
                <w:rFonts w:ascii="Arial" w:cs="Arial" w:eastAsia="Arial" w:hAnsi="Arial"/>
                <w:sz w:val="13"/>
                <w:szCs w:val="13"/>
                <w:color w:val="auto"/>
              </w:rPr>
              <w:t>(9) (10) (11)</w:t>
            </w: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PIK, 2.00% ETP</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w w:val="99"/>
              </w:rPr>
              <w:t>Total System Software - 11.93%*</w:t>
            </w:r>
          </w:p>
        </w:tc>
        <w:tc>
          <w:tcPr>
            <w:tcW w:w="16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68,479</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68,479</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gridSpan w:val="2"/>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3"/>
        </w:trPr>
        <w:tc>
          <w:tcPr>
            <w:tcW w:w="20" w:type="dxa"/>
            <w:vAlign w:val="bottom"/>
            <w:shd w:val="clear" w:color="auto" w:fill="CFF0FC"/>
          </w:tcPr>
          <w:p>
            <w:pPr>
              <w:spacing w:after="0"/>
              <w:rPr>
                <w:sz w:val="15"/>
                <w:szCs w:val="15"/>
                <w:color w:val="auto"/>
              </w:rPr>
            </w:pPr>
          </w:p>
        </w:tc>
        <w:tc>
          <w:tcPr>
            <w:tcW w:w="4240" w:type="dxa"/>
            <w:vAlign w:val="bottom"/>
            <w:gridSpan w:val="3"/>
            <w:shd w:val="clear" w:color="auto" w:fill="CFF0FC"/>
          </w:tcPr>
          <w:p>
            <w:pPr>
              <w:ind w:left="100"/>
              <w:spacing w:after="0"/>
              <w:rPr>
                <w:sz w:val="20"/>
                <w:szCs w:val="20"/>
                <w:color w:val="auto"/>
              </w:rPr>
            </w:pPr>
            <w:r>
              <w:rPr>
                <w:rFonts w:ascii="Arial" w:cs="Arial" w:eastAsia="Arial" w:hAnsi="Arial"/>
                <w:sz w:val="13"/>
                <w:szCs w:val="13"/>
                <w:b w:val="1"/>
                <w:bCs w:val="1"/>
                <w:color w:val="auto"/>
              </w:rPr>
              <w:t>Total Senior Secured Term Loans - 173.44%*</w:t>
            </w: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999,397</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995,399</w:t>
            </w:r>
          </w:p>
        </w:tc>
        <w:tc>
          <w:tcPr>
            <w:tcW w:w="880" w:type="dxa"/>
            <w:vAlign w:val="bottom"/>
            <w:shd w:val="clear" w:color="auto" w:fill="CFF0FC"/>
          </w:tcPr>
          <w:p>
            <w:pPr>
              <w:spacing w:after="0"/>
              <w:rPr>
                <w:sz w:val="15"/>
                <w:szCs w:val="15"/>
                <w:color w:val="auto"/>
              </w:rPr>
            </w:pPr>
          </w:p>
        </w:tc>
      </w:tr>
      <w:tr>
        <w:trPr>
          <w:trHeight w:val="105"/>
        </w:trPr>
        <w:tc>
          <w:tcPr>
            <w:tcW w:w="20" w:type="dxa"/>
            <w:vAlign w:val="bottom"/>
            <w:shd w:val="clear" w:color="auto" w:fill="CFF0FC"/>
          </w:tcPr>
          <w:p>
            <w:pPr>
              <w:spacing w:after="0"/>
              <w:rPr>
                <w:sz w:val="9"/>
                <w:szCs w:val="9"/>
                <w:color w:val="auto"/>
              </w:rPr>
            </w:pPr>
          </w:p>
        </w:tc>
        <w:tc>
          <w:tcPr>
            <w:tcW w:w="2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Second Lien Term Loans</w:t>
            </w:r>
          </w:p>
        </w:tc>
        <w:tc>
          <w:tcPr>
            <w:tcW w:w="16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40" w:type="dxa"/>
            <w:vAlign w:val="bottom"/>
          </w:tcPr>
          <w:p>
            <w:pPr>
              <w:ind w:left="220"/>
              <w:spacing w:after="0"/>
              <w:rPr>
                <w:sz w:val="20"/>
                <w:szCs w:val="20"/>
                <w:color w:val="auto"/>
              </w:rPr>
            </w:pPr>
            <w:r>
              <w:rPr>
                <w:rFonts w:ascii="Arial" w:cs="Arial" w:eastAsia="Arial" w:hAnsi="Arial"/>
                <w:sz w:val="13"/>
                <w:szCs w:val="13"/>
                <w:b w:val="1"/>
                <w:bCs w:val="1"/>
                <w:color w:val="auto"/>
              </w:rPr>
              <w:t>System Software</w:t>
            </w: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Dejero Labs Inc.</w:t>
            </w:r>
          </w:p>
        </w:tc>
        <w:tc>
          <w:tcPr>
            <w:tcW w:w="20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SOFR+5.00%, 5.50 floor, 5.00%</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12/22/2021</w:t>
            </w:r>
          </w:p>
        </w:tc>
        <w:tc>
          <w:tcPr>
            <w:tcW w:w="10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12/22/2025</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14,010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14,058</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14,064</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(5) (8) (9)</w:t>
            </w:r>
          </w:p>
        </w:tc>
      </w:tr>
      <w:tr>
        <w:trPr>
          <w:trHeight w:val="176"/>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20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PIK, 3.00% ETP</w:t>
            </w: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(10) (11)</w:t>
            </w:r>
          </w:p>
        </w:tc>
      </w:tr>
      <w:tr>
        <w:trPr>
          <w:trHeight w:val="180"/>
        </w:trPr>
        <w:tc>
          <w:tcPr>
            <w:tcW w:w="20" w:type="dxa"/>
            <w:vAlign w:val="bottom"/>
          </w:tcPr>
          <w:p>
            <w:pPr>
              <w:spacing w:after="0"/>
              <w:rPr>
                <w:sz w:val="15"/>
                <w:szCs w:val="15"/>
                <w:color w:val="auto"/>
              </w:rPr>
            </w:pPr>
          </w:p>
        </w:tc>
        <w:tc>
          <w:tcPr>
            <w:tcW w:w="2240" w:type="dxa"/>
            <w:vAlign w:val="bottom"/>
          </w:tcPr>
          <w:p>
            <w:pPr>
              <w:ind w:left="220"/>
              <w:spacing w:after="0"/>
              <w:rPr>
                <w:sz w:val="20"/>
                <w:szCs w:val="20"/>
                <w:color w:val="auto"/>
              </w:rPr>
            </w:pPr>
            <w:r>
              <w:rPr>
                <w:rFonts w:ascii="Arial" w:cs="Arial" w:eastAsia="Arial" w:hAnsi="Arial"/>
                <w:sz w:val="13"/>
                <w:szCs w:val="13"/>
                <w:b w:val="1"/>
                <w:bCs w:val="1"/>
                <w:color w:val="auto"/>
              </w:rPr>
              <w:t>Total System Software - 2.45%*</w:t>
            </w: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14,058</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14,064</w:t>
            </w:r>
          </w:p>
        </w:tc>
        <w:tc>
          <w:tcPr>
            <w:tcW w:w="880" w:type="dxa"/>
            <w:vAlign w:val="bottom"/>
          </w:tcPr>
          <w:p>
            <w:pPr>
              <w:spacing w:after="0"/>
              <w:rPr>
                <w:sz w:val="15"/>
                <w:szCs w:val="15"/>
                <w:color w:val="auto"/>
              </w:rPr>
            </w:pPr>
          </w:p>
        </w:tc>
      </w:tr>
      <w:tr>
        <w:trPr>
          <w:trHeight w:val="240"/>
        </w:trPr>
        <w:tc>
          <w:tcPr>
            <w:tcW w:w="20" w:type="dxa"/>
            <w:vAlign w:val="bottom"/>
            <w:shd w:val="clear" w:color="auto" w:fill="CFF0FC"/>
          </w:tcPr>
          <w:p>
            <w:pPr>
              <w:spacing w:after="0"/>
              <w:rPr>
                <w:sz w:val="20"/>
                <w:szCs w:val="20"/>
                <w:color w:val="auto"/>
              </w:rPr>
            </w:pPr>
          </w:p>
        </w:tc>
        <w:tc>
          <w:tcPr>
            <w:tcW w:w="2400" w:type="dxa"/>
            <w:vAlign w:val="bottom"/>
            <w:gridSpan w:val="2"/>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424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 Second Lien Term Loans - 2.45%*</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14,058</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14,064</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40" w:type="dxa"/>
            <w:vAlign w:val="bottom"/>
          </w:tcPr>
          <w:p>
            <w:pPr>
              <w:ind w:left="100"/>
              <w:spacing w:after="0"/>
              <w:rPr>
                <w:sz w:val="20"/>
                <w:szCs w:val="20"/>
                <w:color w:val="auto"/>
              </w:rPr>
            </w:pPr>
            <w:r>
              <w:rPr>
                <w:rFonts w:ascii="Arial" w:cs="Arial" w:eastAsia="Arial" w:hAnsi="Arial"/>
                <w:sz w:val="13"/>
                <w:szCs w:val="13"/>
                <w:b w:val="1"/>
                <w:bCs w:val="1"/>
                <w:color w:val="auto"/>
              </w:rPr>
              <w:t>Preferred Stocks</w:t>
            </w: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16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240" w:type="dxa"/>
            <w:vAlign w:val="bottom"/>
          </w:tcPr>
          <w:p>
            <w:pPr>
              <w:ind w:left="220"/>
              <w:spacing w:after="0"/>
              <w:rPr>
                <w:sz w:val="20"/>
                <w:szCs w:val="20"/>
                <w:color w:val="auto"/>
              </w:rPr>
            </w:pPr>
            <w:r>
              <w:rPr>
                <w:rFonts w:ascii="Arial" w:cs="Arial" w:eastAsia="Arial" w:hAnsi="Arial"/>
                <w:sz w:val="13"/>
                <w:szCs w:val="13"/>
                <w:color w:val="auto"/>
              </w:rPr>
              <w:t>Aria Systems, Inc.</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Series G Preferred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7/10/2018</w:t>
            </w:r>
          </w:p>
        </w:tc>
        <w:tc>
          <w:tcPr>
            <w:tcW w:w="1000" w:type="dxa"/>
            <w:vAlign w:val="bottom"/>
          </w:tcPr>
          <w:p>
            <w:pPr>
              <w:ind w:left="7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289,419</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250</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254</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424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Application Software - 0.04%*</w:t>
            </w: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250</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254</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16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240" w:type="dxa"/>
            <w:vAlign w:val="bottom"/>
          </w:tcPr>
          <w:p>
            <w:pPr>
              <w:ind w:left="220"/>
              <w:spacing w:after="0"/>
              <w:rPr>
                <w:sz w:val="20"/>
                <w:szCs w:val="20"/>
                <w:color w:val="auto"/>
              </w:rPr>
            </w:pPr>
            <w:r>
              <w:rPr>
                <w:rFonts w:ascii="Arial" w:cs="Arial" w:eastAsia="Arial" w:hAnsi="Arial"/>
                <w:sz w:val="13"/>
                <w:szCs w:val="13"/>
                <w:color w:val="auto"/>
              </w:rPr>
              <w:t>CareCloud, Inc.</w:t>
            </w:r>
          </w:p>
        </w:tc>
        <w:tc>
          <w:tcPr>
            <w:tcW w:w="2000" w:type="dxa"/>
            <w:vAlign w:val="bottom"/>
            <w:gridSpan w:val="2"/>
          </w:tcPr>
          <w:p>
            <w:pPr>
              <w:ind w:left="60"/>
              <w:spacing w:after="0"/>
              <w:rPr>
                <w:sz w:val="20"/>
                <w:szCs w:val="20"/>
                <w:color w:val="auto"/>
              </w:rPr>
            </w:pPr>
            <w:r>
              <w:rPr>
                <w:rFonts w:ascii="Arial" w:cs="Arial" w:eastAsia="Arial" w:hAnsi="Arial"/>
                <w:sz w:val="13"/>
                <w:szCs w:val="13"/>
                <w:color w:val="auto"/>
              </w:rPr>
              <w:t>11% Series A Cumulative</w:t>
            </w:r>
          </w:p>
        </w:tc>
        <w:tc>
          <w:tcPr>
            <w:tcW w:w="980" w:type="dxa"/>
            <w:vAlign w:val="bottom"/>
          </w:tcPr>
          <w:p>
            <w:pPr>
              <w:jc w:val="center"/>
              <w:spacing w:after="0"/>
              <w:rPr>
                <w:sz w:val="20"/>
                <w:szCs w:val="20"/>
                <w:color w:val="auto"/>
              </w:rPr>
            </w:pPr>
            <w:r>
              <w:rPr>
                <w:rFonts w:ascii="Arial" w:cs="Arial" w:eastAsia="Arial" w:hAnsi="Arial"/>
                <w:sz w:val="13"/>
                <w:szCs w:val="13"/>
                <w:color w:val="auto"/>
              </w:rPr>
              <w:t>1/8/2020</w:t>
            </w:r>
          </w:p>
        </w:tc>
        <w:tc>
          <w:tcPr>
            <w:tcW w:w="1000" w:type="dxa"/>
            <w:vAlign w:val="bottom"/>
          </w:tcPr>
          <w:p>
            <w:pPr>
              <w:ind w:left="7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462,064</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12,132</w:t>
            </w:r>
          </w:p>
        </w:tc>
        <w:tc>
          <w:tcPr>
            <w:tcW w:w="1100" w:type="dxa"/>
            <w:vAlign w:val="bottom"/>
          </w:tcPr>
          <w:p>
            <w:pPr>
              <w:jc w:val="right"/>
              <w:ind w:right="54"/>
              <w:spacing w:after="0"/>
              <w:rPr>
                <w:sz w:val="20"/>
                <w:szCs w:val="20"/>
                <w:color w:val="auto"/>
              </w:rPr>
            </w:pPr>
            <w:r>
              <w:rPr>
                <w:rFonts w:ascii="Arial" w:cs="Arial" w:eastAsia="Arial" w:hAnsi="Arial"/>
                <w:sz w:val="13"/>
                <w:szCs w:val="13"/>
                <w:color w:val="auto"/>
              </w:rPr>
              <w:t>12,938</w:t>
            </w:r>
          </w:p>
        </w:tc>
        <w:tc>
          <w:tcPr>
            <w:tcW w:w="880" w:type="dxa"/>
            <w:vAlign w:val="bottom"/>
          </w:tcPr>
          <w:p>
            <w:pPr>
              <w:ind w:left="100"/>
              <w:spacing w:after="0"/>
              <w:rPr>
                <w:sz w:val="20"/>
                <w:szCs w:val="20"/>
                <w:color w:val="auto"/>
              </w:rPr>
            </w:pPr>
            <w:r>
              <w:rPr>
                <w:rFonts w:ascii="Arial" w:cs="Arial" w:eastAsia="Arial" w:hAnsi="Arial"/>
                <w:sz w:val="13"/>
                <w:szCs w:val="13"/>
                <w:color w:val="auto"/>
              </w:rPr>
              <w:t>(14) (15)</w:t>
            </w:r>
          </w:p>
        </w:tc>
      </w:tr>
      <w:tr>
        <w:trPr>
          <w:trHeight w:val="156"/>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Redeemable Perpetual</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Preferred Stock</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24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Health Care Technology - 2.25%*</w:t>
            </w: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12,132</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12,938</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Total Preferred Stocks - 2.29%*</w:t>
            </w:r>
          </w:p>
        </w:tc>
        <w:tc>
          <w:tcPr>
            <w:tcW w:w="16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12,382</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13,192</w:t>
            </w:r>
          </w:p>
        </w:tc>
        <w:tc>
          <w:tcPr>
            <w:tcW w:w="880" w:type="dxa"/>
            <w:vAlign w:val="bottom"/>
            <w:shd w:val="clear" w:color="auto" w:fill="CFF0FC"/>
          </w:tcPr>
          <w:p>
            <w:pPr>
              <w:spacing w:after="0"/>
              <w:rPr>
                <w:sz w:val="15"/>
                <w:szCs w:val="15"/>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0" w:name="page11"/>
    <w:bookmarkEnd w:id="10"/>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(Unaudited)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June 30,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Initial</w:t>
            </w: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jc w:val="center"/>
              <w:ind w:right="194"/>
              <w:spacing w:after="0" w:line="146" w:lineRule="exact"/>
              <w:rPr>
                <w:sz w:val="20"/>
                <w:szCs w:val="20"/>
                <w:color w:val="auto"/>
              </w:rPr>
            </w:pPr>
            <w:r>
              <w:rPr>
                <w:rFonts w:ascii="Arial" w:cs="Arial" w:eastAsia="Arial" w:hAnsi="Arial"/>
                <w:sz w:val="13"/>
                <w:szCs w:val="13"/>
                <w:b w:val="1"/>
                <w:bCs w:val="1"/>
                <w:color w:val="auto"/>
              </w:rPr>
              <w:t>Investment</w:t>
            </w: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Acquisition</w:t>
            </w:r>
          </w:p>
        </w:tc>
        <w:tc>
          <w:tcPr>
            <w:tcW w:w="1000" w:type="dxa"/>
            <w:vAlign w:val="bottom"/>
          </w:tcPr>
          <w:p>
            <w:pPr>
              <w:jc w:val="center"/>
              <w:ind w:right="14"/>
              <w:spacing w:after="0" w:line="146" w:lineRule="exact"/>
              <w:rPr>
                <w:sz w:val="20"/>
                <w:szCs w:val="20"/>
                <w:color w:val="auto"/>
              </w:rPr>
            </w:pPr>
            <w:r>
              <w:rPr>
                <w:rFonts w:ascii="Arial" w:cs="Arial" w:eastAsia="Arial" w:hAnsi="Arial"/>
                <w:sz w:val="13"/>
                <w:szCs w:val="13"/>
                <w:b w:val="1"/>
                <w:bCs w:val="1"/>
                <w:color w:val="auto"/>
              </w:rPr>
              <w:t>Maturity</w:t>
            </w:r>
          </w:p>
        </w:tc>
        <w:tc>
          <w:tcPr>
            <w:tcW w:w="124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Principal ($) /</w:t>
            </w:r>
          </w:p>
        </w:tc>
        <w:tc>
          <w:tcPr>
            <w:tcW w:w="1100" w:type="dxa"/>
            <w:vAlign w:val="bottom"/>
          </w:tcPr>
          <w:p>
            <w:pPr>
              <w:spacing w:after="0"/>
              <w:rPr>
                <w:sz w:val="12"/>
                <w:szCs w:val="12"/>
                <w:color w:val="auto"/>
              </w:rPr>
            </w:pPr>
          </w:p>
        </w:tc>
        <w:tc>
          <w:tcPr>
            <w:tcW w:w="1100" w:type="dxa"/>
            <w:vAlign w:val="bottom"/>
          </w:tcPr>
          <w:p>
            <w:pPr>
              <w:jc w:val="right"/>
              <w:ind w:right="414"/>
              <w:spacing w:after="0" w:line="146" w:lineRule="exact"/>
              <w:rPr>
                <w:sz w:val="20"/>
                <w:szCs w:val="20"/>
                <w:color w:val="auto"/>
              </w:rPr>
            </w:pPr>
            <w:r>
              <w:rPr>
                <w:rFonts w:ascii="Arial" w:cs="Arial" w:eastAsia="Arial" w:hAnsi="Arial"/>
                <w:sz w:val="13"/>
                <w:szCs w:val="13"/>
                <w:b w:val="1"/>
                <w:bCs w:val="1"/>
                <w:color w:val="auto"/>
              </w:rPr>
              <w:t>Fair</w:t>
            </w:r>
          </w:p>
        </w:tc>
        <w:tc>
          <w:tcPr>
            <w:tcW w:w="880" w:type="dxa"/>
            <w:vAlign w:val="bottom"/>
          </w:tcPr>
          <w:p>
            <w:pPr>
              <w:spacing w:after="0"/>
              <w:rPr>
                <w:sz w:val="12"/>
                <w:szCs w:val="12"/>
                <w:color w:val="auto"/>
              </w:rPr>
            </w:pPr>
          </w:p>
        </w:tc>
      </w:tr>
      <w:tr>
        <w:trPr>
          <w:trHeight w:val="194"/>
        </w:trPr>
        <w:tc>
          <w:tcPr>
            <w:tcW w:w="220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220" w:type="dxa"/>
            <w:vAlign w:val="bottom"/>
          </w:tcPr>
          <w:p>
            <w:pPr>
              <w:spacing w:after="0"/>
              <w:rPr>
                <w:sz w:val="16"/>
                <w:szCs w:val="16"/>
                <w:color w:val="auto"/>
              </w:rPr>
            </w:pPr>
          </w:p>
        </w:tc>
        <w:tc>
          <w:tcPr>
            <w:tcW w:w="1840" w:type="dxa"/>
            <w:vAlign w:val="bottom"/>
          </w:tcPr>
          <w:p>
            <w:pPr>
              <w:jc w:val="center"/>
              <w:ind w:right="174"/>
              <w:spacing w:after="0"/>
              <w:rPr>
                <w:sz w:val="20"/>
                <w:szCs w:val="20"/>
                <w:color w:val="auto"/>
              </w:rPr>
            </w:pPr>
            <w:r>
              <w:rPr>
                <w:rFonts w:ascii="Arial" w:cs="Arial" w:eastAsia="Arial" w:hAnsi="Arial"/>
                <w:sz w:val="13"/>
                <w:szCs w:val="13"/>
                <w:b w:val="1"/>
                <w:bCs w:val="1"/>
                <w:color w:val="auto"/>
                <w:w w:val="92"/>
              </w:rPr>
              <w:t>Description</w:t>
            </w:r>
            <w:r>
              <w:rPr>
                <w:rFonts w:ascii="Arial" w:cs="Arial" w:eastAsia="Arial" w:hAnsi="Arial"/>
                <w:sz w:val="16"/>
                <w:szCs w:val="16"/>
                <w:b w:val="1"/>
                <w:bCs w:val="1"/>
                <w:color w:val="auto"/>
                <w:w w:val="92"/>
                <w:vertAlign w:val="superscript"/>
              </w:rPr>
              <w:t>(1),(2),(4)</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0" w:type="dxa"/>
            <w:vAlign w:val="bottom"/>
          </w:tcPr>
          <w:p>
            <w:pPr>
              <w:jc w:val="center"/>
              <w:ind w:right="14"/>
              <w:spacing w:after="0"/>
              <w:rPr>
                <w:sz w:val="20"/>
                <w:szCs w:val="20"/>
                <w:color w:val="auto"/>
              </w:rPr>
            </w:pPr>
            <w:r>
              <w:rPr>
                <w:rFonts w:ascii="Arial" w:cs="Arial" w:eastAsia="Arial" w:hAnsi="Arial"/>
                <w:sz w:val="13"/>
                <w:szCs w:val="13"/>
                <w:b w:val="1"/>
                <w:bCs w:val="1"/>
                <w:color w:val="auto"/>
                <w:w w:val="99"/>
              </w:rPr>
              <w:t>Date</w:t>
            </w:r>
          </w:p>
        </w:tc>
        <w:tc>
          <w:tcPr>
            <w:tcW w:w="1240" w:type="dxa"/>
            <w:vAlign w:val="bottom"/>
          </w:tcPr>
          <w:p>
            <w:pPr>
              <w:jc w:val="right"/>
              <w:ind w:right="394"/>
              <w:spacing w:after="0"/>
              <w:rPr>
                <w:sz w:val="20"/>
                <w:szCs w:val="20"/>
                <w:color w:val="auto"/>
              </w:rPr>
            </w:pPr>
            <w:r>
              <w:rPr>
                <w:rFonts w:ascii="Arial" w:cs="Arial" w:eastAsia="Arial" w:hAnsi="Arial"/>
                <w:sz w:val="13"/>
                <w:szCs w:val="13"/>
                <w:b w:val="1"/>
                <w:bCs w:val="1"/>
                <w:color w:val="auto"/>
              </w:rPr>
              <w:t>Shares</w:t>
            </w:r>
          </w:p>
        </w:tc>
        <w:tc>
          <w:tcPr>
            <w:tcW w:w="1100" w:type="dxa"/>
            <w:vAlign w:val="bottom"/>
          </w:tcPr>
          <w:p>
            <w:pPr>
              <w:jc w:val="right"/>
              <w:ind w:right="314"/>
              <w:spacing w:after="0"/>
              <w:rPr>
                <w:sz w:val="20"/>
                <w:szCs w:val="20"/>
                <w:color w:val="auto"/>
              </w:rPr>
            </w:pPr>
            <w:r>
              <w:rPr>
                <w:rFonts w:ascii="Arial" w:cs="Arial" w:eastAsia="Arial" w:hAnsi="Arial"/>
                <w:sz w:val="13"/>
                <w:szCs w:val="13"/>
                <w:b w:val="1"/>
                <w:bCs w:val="1"/>
                <w:color w:val="auto"/>
              </w:rPr>
              <w:t>Cost ($)</w:t>
            </w: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(3)</w:t>
            </w:r>
          </w:p>
        </w:tc>
        <w:tc>
          <w:tcPr>
            <w:tcW w:w="880" w:type="dxa"/>
            <w:vAlign w:val="bottom"/>
          </w:tcPr>
          <w:p>
            <w:pPr>
              <w:ind w:left="18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4260" w:type="dxa"/>
            <w:vAlign w:val="bottom"/>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9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18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Common Stocks</w:t>
            </w:r>
          </w:p>
        </w:tc>
        <w:tc>
          <w:tcPr>
            <w:tcW w:w="220" w:type="dxa"/>
            <w:vAlign w:val="bottom"/>
            <w:tcBorders>
              <w:top w:val="single" w:sz="8" w:color="auto"/>
            </w:tcBorders>
          </w:tcPr>
          <w:p>
            <w:pPr>
              <w:spacing w:after="0"/>
              <w:rPr>
                <w:sz w:val="15"/>
                <w:szCs w:val="15"/>
                <w:color w:val="auto"/>
              </w:rPr>
            </w:pPr>
          </w:p>
        </w:tc>
        <w:tc>
          <w:tcPr>
            <w:tcW w:w="184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24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22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FiscalNote, Inc.</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Common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10/19/2020</w:t>
            </w:r>
          </w:p>
        </w:tc>
        <w:tc>
          <w:tcPr>
            <w:tcW w:w="1000" w:type="dxa"/>
            <w:vAlign w:val="bottom"/>
          </w:tcPr>
          <w:p>
            <w:pPr>
              <w:ind w:left="7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230,881</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438</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840</w:t>
            </w:r>
          </w:p>
        </w:tc>
        <w:tc>
          <w:tcPr>
            <w:tcW w:w="880" w:type="dxa"/>
            <w:vAlign w:val="bottom"/>
          </w:tcPr>
          <w:p>
            <w:pPr>
              <w:ind w:left="100"/>
              <w:spacing w:after="0"/>
              <w:rPr>
                <w:sz w:val="20"/>
                <w:szCs w:val="20"/>
                <w:color w:val="auto"/>
              </w:rPr>
            </w:pPr>
            <w:r>
              <w:rPr>
                <w:rFonts w:ascii="Arial" w:cs="Arial" w:eastAsia="Arial" w:hAnsi="Arial"/>
                <w:sz w:val="13"/>
                <w:szCs w:val="13"/>
                <w:color w:val="auto"/>
              </w:rPr>
              <w:t>(12) (13)</w:t>
            </w: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(15)</w:t>
            </w:r>
          </w:p>
        </w:tc>
      </w:tr>
      <w:tr>
        <w:trPr>
          <w:trHeight w:val="185"/>
        </w:trPr>
        <w:tc>
          <w:tcPr>
            <w:tcW w:w="20" w:type="dxa"/>
            <w:vAlign w:val="bottom"/>
            <w:shd w:val="clear" w:color="auto" w:fill="CFF0FC"/>
          </w:tcPr>
          <w:p>
            <w:pPr>
              <w:spacing w:after="0"/>
              <w:rPr>
                <w:sz w:val="16"/>
                <w:szCs w:val="16"/>
                <w:color w:val="auto"/>
              </w:rPr>
            </w:pPr>
          </w:p>
        </w:tc>
        <w:tc>
          <w:tcPr>
            <w:tcW w:w="424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Application Software - 0.15%*</w:t>
            </w: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438</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840</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gridSpan w:val="2"/>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24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Technology Hardware, Storage &amp; Peripherals</w:t>
            </w: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Quantum Corporation</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Common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8/13/2021</w:t>
            </w:r>
          </w:p>
        </w:tc>
        <w:tc>
          <w:tcPr>
            <w:tcW w:w="1000" w:type="dxa"/>
            <w:vAlign w:val="bottom"/>
          </w:tcPr>
          <w:p>
            <w:pPr>
              <w:ind w:left="7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459,720</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2,607</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496</w:t>
            </w:r>
          </w:p>
        </w:tc>
        <w:tc>
          <w:tcPr>
            <w:tcW w:w="880" w:type="dxa"/>
            <w:vAlign w:val="bottom"/>
          </w:tcPr>
          <w:p>
            <w:pPr>
              <w:ind w:left="100"/>
              <w:spacing w:after="0"/>
              <w:rPr>
                <w:sz w:val="20"/>
                <w:szCs w:val="20"/>
                <w:color w:val="auto"/>
              </w:rPr>
            </w:pPr>
            <w:r>
              <w:rPr>
                <w:rFonts w:ascii="Arial" w:cs="Arial" w:eastAsia="Arial" w:hAnsi="Arial"/>
                <w:sz w:val="13"/>
                <w:szCs w:val="13"/>
                <w:color w:val="auto"/>
              </w:rPr>
              <w:t>(8) (12) (14)</w:t>
            </w:r>
          </w:p>
        </w:tc>
      </w:t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(15)</w:t>
            </w:r>
          </w:p>
        </w:tc>
      </w:tr>
      <w:tr>
        <w:trPr>
          <w:trHeight w:val="185"/>
        </w:trPr>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zSpace, Inc.</w:t>
            </w:r>
          </w:p>
        </w:tc>
        <w:tc>
          <w:tcPr>
            <w:tcW w:w="20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Common Stock</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12/31/2020</w:t>
            </w:r>
          </w:p>
        </w:tc>
        <w:tc>
          <w:tcPr>
            <w:tcW w:w="10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6,078,499</w:t>
            </w: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1,119</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0"/>
        </w:trPr>
        <w:tc>
          <w:tcPr>
            <w:tcW w:w="20" w:type="dxa"/>
            <w:vAlign w:val="bottom"/>
          </w:tcPr>
          <w:p>
            <w:pPr>
              <w:spacing w:after="0"/>
              <w:rPr>
                <w:sz w:val="15"/>
                <w:szCs w:val="15"/>
                <w:color w:val="auto"/>
              </w:rPr>
            </w:pPr>
          </w:p>
        </w:tc>
        <w:tc>
          <w:tcPr>
            <w:tcW w:w="424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Technology Hardware, Storage &amp; Peripherals - 0.09%*</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3,726</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496</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Arial" w:cs="Arial" w:eastAsia="Arial" w:hAnsi="Arial"/>
                <w:sz w:val="13"/>
                <w:szCs w:val="13"/>
                <w:b w:val="1"/>
                <w:bCs w:val="1"/>
                <w:color w:val="auto"/>
              </w:rPr>
              <w:t>Total Common Stocks - 0.24%*</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4,164</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1,336</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2180" w:type="dxa"/>
            <w:vAlign w:val="bottom"/>
          </w:tcPr>
          <w:p>
            <w:pPr>
              <w:ind w:left="100"/>
              <w:spacing w:after="0"/>
              <w:rPr>
                <w:sz w:val="20"/>
                <w:szCs w:val="20"/>
                <w:color w:val="auto"/>
              </w:rPr>
            </w:pPr>
            <w:r>
              <w:rPr>
                <w:rFonts w:ascii="Arial" w:cs="Arial" w:eastAsia="Arial" w:hAnsi="Arial"/>
                <w:sz w:val="13"/>
                <w:szCs w:val="13"/>
                <w:b w:val="1"/>
                <w:bCs w:val="1"/>
                <w:color w:val="auto"/>
              </w:rPr>
              <w:t>Warrants</w:t>
            </w: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4"/>
        </w:trPr>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Advertising</w:t>
            </w:r>
          </w:p>
        </w:tc>
        <w:tc>
          <w:tcPr>
            <w:tcW w:w="22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STN Video Inc.</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Class B Non-Voting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6/30/2017</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6/30/2027</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191,500</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246</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(5) (8) (12)</w:t>
            </w:r>
          </w:p>
        </w:tc>
      </w:tr>
      <w:tr>
        <w:trPr>
          <w:trHeight w:val="185"/>
        </w:trPr>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Total Advertising - 0.00%*</w:t>
            </w:r>
          </w:p>
        </w:tc>
        <w:tc>
          <w:tcPr>
            <w:tcW w:w="22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246</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22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3DNA Corp. (dba NationBuilder)</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Series C-1 Preferred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12/28/2018</w:t>
            </w:r>
          </w:p>
        </w:tc>
        <w:tc>
          <w:tcPr>
            <w:tcW w:w="1000" w:type="dxa"/>
            <w:vAlign w:val="bottom"/>
          </w:tcPr>
          <w:p>
            <w:pPr>
              <w:jc w:val="center"/>
              <w:spacing w:after="0"/>
              <w:rPr>
                <w:sz w:val="20"/>
                <w:szCs w:val="20"/>
                <w:color w:val="auto"/>
              </w:rPr>
            </w:pPr>
            <w:r>
              <w:rPr>
                <w:rFonts w:ascii="Arial" w:cs="Arial" w:eastAsia="Arial" w:hAnsi="Arial"/>
                <w:sz w:val="13"/>
                <w:szCs w:val="13"/>
                <w:color w:val="auto"/>
              </w:rPr>
              <w:t>12/28/2028</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273,164</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104</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Aria Systems, Inc.</w:t>
            </w:r>
          </w:p>
        </w:tc>
        <w:tc>
          <w:tcPr>
            <w:tcW w:w="20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Series G Preferred Stock</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6/29/2018</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6/29/2028</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2,387,705</w:t>
            </w: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1,048</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2,099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Circadence Corporation</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Series A-6 Preferred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12/20/2018</w:t>
            </w:r>
          </w:p>
        </w:tc>
        <w:tc>
          <w:tcPr>
            <w:tcW w:w="1000" w:type="dxa"/>
            <w:vAlign w:val="bottom"/>
          </w:tcPr>
          <w:p>
            <w:pPr>
              <w:jc w:val="center"/>
              <w:spacing w:after="0"/>
              <w:rPr>
                <w:sz w:val="20"/>
                <w:szCs w:val="20"/>
                <w:color w:val="auto"/>
              </w:rPr>
            </w:pPr>
            <w:r>
              <w:rPr>
                <w:rFonts w:ascii="Arial" w:cs="Arial" w:eastAsia="Arial" w:hAnsi="Arial"/>
                <w:sz w:val="13"/>
                <w:szCs w:val="13"/>
                <w:color w:val="auto"/>
              </w:rPr>
              <w:t>12/20/2028</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1,538,462</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3,630</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98</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20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Series A-6 Preferred Stock</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10/31/2019</w:t>
            </w:r>
          </w:p>
        </w:tc>
        <w:tc>
          <w:tcPr>
            <w:tcW w:w="10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10/31/2029</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384,615</w:t>
            </w: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846</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25</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Dtex Systems, Inc.</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Series C-Prime Preferred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6/1/2018</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6/1/2025</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500,000</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59</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235</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20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Series C-Prime Preferred Stock</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7/11/2019</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7/11/2026</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833,333</w:t>
            </w: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115</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392</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61"/>
        </w:trPr>
        <w:tc>
          <w:tcPr>
            <w:tcW w:w="20" w:type="dxa"/>
            <w:vAlign w:val="bottom"/>
          </w:tcPr>
          <w:p>
            <w:pPr>
              <w:spacing w:after="0"/>
              <w:rPr>
                <w:sz w:val="13"/>
                <w:szCs w:val="13"/>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FiscalNote, Inc.</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Earnout</w:t>
            </w:r>
          </w:p>
        </w:tc>
        <w:tc>
          <w:tcPr>
            <w:tcW w:w="980" w:type="dxa"/>
            <w:vAlign w:val="bottom"/>
          </w:tcPr>
          <w:p>
            <w:pPr>
              <w:jc w:val="center"/>
              <w:spacing w:after="0"/>
              <w:rPr>
                <w:sz w:val="20"/>
                <w:szCs w:val="20"/>
                <w:color w:val="auto"/>
              </w:rPr>
            </w:pPr>
            <w:r>
              <w:rPr>
                <w:rFonts w:ascii="Arial" w:cs="Arial" w:eastAsia="Arial" w:hAnsi="Arial"/>
                <w:sz w:val="13"/>
                <w:szCs w:val="13"/>
                <w:color w:val="auto"/>
              </w:rPr>
              <w:t>7/29/2022</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7/29/2027</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127</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135</w:t>
            </w:r>
          </w:p>
        </w:tc>
        <w:tc>
          <w:tcPr>
            <w:tcW w:w="880" w:type="dxa"/>
            <w:vAlign w:val="bottom"/>
          </w:tcPr>
          <w:p>
            <w:pPr>
              <w:ind w:left="100"/>
              <w:spacing w:after="0"/>
              <w:rPr>
                <w:sz w:val="20"/>
                <w:szCs w:val="20"/>
                <w:color w:val="auto"/>
              </w:rPr>
            </w:pPr>
            <w:r>
              <w:rPr>
                <w:rFonts w:ascii="Arial" w:cs="Arial" w:eastAsia="Arial" w:hAnsi="Arial"/>
                <w:sz w:val="13"/>
                <w:szCs w:val="13"/>
                <w:color w:val="auto"/>
              </w:rPr>
              <w:t>(12) (13)</w:t>
            </w:r>
          </w:p>
        </w:tc>
      </w:tr>
      <w:tr>
        <w:trPr>
          <w:trHeight w:val="170"/>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(17)</w:t>
            </w:r>
          </w:p>
        </w:tc>
      </w:tr>
      <w:tr>
        <w:trPr>
          <w:trHeight w:val="166"/>
        </w:trPr>
        <w:tc>
          <w:tcPr>
            <w:tcW w:w="20" w:type="dxa"/>
            <w:vAlign w:val="bottom"/>
            <w:shd w:val="clear" w:color="auto" w:fill="CFF0FC"/>
          </w:tcPr>
          <w:p>
            <w:pPr>
              <w:spacing w:after="0"/>
              <w:rPr>
                <w:sz w:val="14"/>
                <w:szCs w:val="14"/>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Porch Group, Inc.</w:t>
            </w:r>
          </w:p>
        </w:tc>
        <w:tc>
          <w:tcPr>
            <w:tcW w:w="20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Earnout</w:t>
            </w:r>
          </w:p>
        </w:tc>
        <w:tc>
          <w:tcPr>
            <w:tcW w:w="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12/23/2020</w:t>
            </w:r>
          </w:p>
        </w:tc>
        <w:tc>
          <w:tcPr>
            <w:tcW w:w="10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12/23/2023</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 (14)</w:t>
            </w:r>
          </w:p>
        </w:tc>
      </w:tr>
      <w:tr>
        <w:trPr>
          <w:trHeight w:val="176"/>
        </w:trPr>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(17)</w:t>
            </w:r>
          </w:p>
        </w:tc>
      </w:tr>
      <w:tr>
        <w:trPr>
          <w:trHeight w:val="180"/>
        </w:trPr>
        <w:tc>
          <w:tcPr>
            <w:tcW w:w="20" w:type="dxa"/>
            <w:vAlign w:val="bottom"/>
          </w:tcPr>
          <w:p>
            <w:pPr>
              <w:spacing w:after="0"/>
              <w:rPr>
                <w:sz w:val="15"/>
                <w:szCs w:val="15"/>
                <w:color w:val="auto"/>
              </w:rPr>
            </w:pPr>
          </w:p>
        </w:tc>
        <w:tc>
          <w:tcPr>
            <w:tcW w:w="424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Application Software - 0.52%*</w:t>
            </w: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5,929</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2,984</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180" w:type="dxa"/>
            <w:vAlign w:val="bottom"/>
          </w:tcPr>
          <w:p>
            <w:pPr>
              <w:ind w:left="220"/>
              <w:spacing w:after="0"/>
              <w:rPr>
                <w:sz w:val="20"/>
                <w:szCs w:val="20"/>
                <w:color w:val="auto"/>
              </w:rPr>
            </w:pPr>
            <w:r>
              <w:rPr>
                <w:rFonts w:ascii="Arial" w:cs="Arial" w:eastAsia="Arial" w:hAnsi="Arial"/>
                <w:sz w:val="13"/>
                <w:szCs w:val="13"/>
                <w:b w:val="1"/>
                <w:bCs w:val="1"/>
                <w:color w:val="auto"/>
              </w:rPr>
              <w:t>Biotechnology</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3"/>
                <w:szCs w:val="13"/>
                <w:color w:val="auto"/>
              </w:rPr>
              <w:t>Mustang Bio, Inc.</w:t>
            </w:r>
          </w:p>
        </w:tc>
        <w:tc>
          <w:tcPr>
            <w:tcW w:w="206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3"/>
                <w:szCs w:val="13"/>
                <w:color w:val="auto"/>
              </w:rPr>
              <w:t>Common Stock</w:t>
            </w:r>
          </w:p>
        </w:tc>
        <w:tc>
          <w:tcPr>
            <w:tcW w:w="9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rPr>
              <w:t>3/4/2022</w:t>
            </w:r>
          </w:p>
        </w:tc>
        <w:tc>
          <w:tcPr>
            <w:tcW w:w="1000" w:type="dxa"/>
            <w:vAlign w:val="bottom"/>
            <w:tcBorders>
              <w:bottom w:val="single" w:sz="8" w:color="CFF0FC"/>
            </w:tcBorders>
            <w:shd w:val="clear" w:color="auto" w:fill="CFF0FC"/>
          </w:tcPr>
          <w:p>
            <w:pPr>
              <w:jc w:val="center"/>
              <w:ind w:right="14"/>
              <w:spacing w:after="0"/>
              <w:rPr>
                <w:sz w:val="20"/>
                <w:szCs w:val="20"/>
                <w:color w:val="auto"/>
              </w:rPr>
            </w:pPr>
            <w:r>
              <w:rPr>
                <w:rFonts w:ascii="Arial" w:cs="Arial" w:eastAsia="Arial" w:hAnsi="Arial"/>
                <w:sz w:val="13"/>
                <w:szCs w:val="13"/>
                <w:color w:val="auto"/>
              </w:rPr>
              <w:t>3/4/2032</w:t>
            </w:r>
          </w:p>
        </w:tc>
        <w:tc>
          <w:tcPr>
            <w:tcW w:w="124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3"/>
                <w:szCs w:val="13"/>
                <w:color w:val="auto"/>
              </w:rPr>
              <w:t>748,036</w:t>
            </w:r>
          </w:p>
        </w:tc>
        <w:tc>
          <w:tcPr>
            <w:tcW w:w="110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3"/>
                <w:szCs w:val="13"/>
                <w:color w:val="auto"/>
              </w:rPr>
              <w:t>315</w:t>
            </w:r>
          </w:p>
        </w:tc>
        <w:tc>
          <w:tcPr>
            <w:tcW w:w="11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3"/>
                <w:szCs w:val="13"/>
                <w:color w:val="auto"/>
              </w:rPr>
              <w:t>94</w:t>
            </w:r>
          </w:p>
        </w:tc>
        <w:tc>
          <w:tcPr>
            <w:tcW w:w="8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TRACON Pharmaceuticals, Inc.</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Common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9/2/2022</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9/2/2032</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150,753</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226</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23</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Total Biotechnology - 0.02%*</w:t>
            </w:r>
          </w:p>
        </w:tc>
        <w:tc>
          <w:tcPr>
            <w:tcW w:w="220" w:type="dxa"/>
            <w:vAlign w:val="bottom"/>
            <w:shd w:val="clear" w:color="auto" w:fill="CFF0FC"/>
          </w:tcPr>
          <w:p>
            <w:pPr>
              <w:spacing w:after="0"/>
              <w:rPr>
                <w:sz w:val="16"/>
                <w:szCs w:val="16"/>
                <w:color w:val="auto"/>
              </w:rPr>
            </w:pPr>
          </w:p>
        </w:tc>
        <w:tc>
          <w:tcPr>
            <w:tcW w:w="18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541</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117</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8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Computer &amp; Electronics Retail</w:t>
            </w:r>
          </w:p>
        </w:tc>
        <w:tc>
          <w:tcPr>
            <w:tcW w:w="220" w:type="dxa"/>
            <w:vAlign w:val="bottom"/>
            <w:shd w:val="clear" w:color="auto" w:fill="CFF0FC"/>
          </w:tcPr>
          <w:p>
            <w:pPr>
              <w:spacing w:after="0"/>
              <w:rPr>
                <w:sz w:val="15"/>
                <w:szCs w:val="15"/>
                <w:color w:val="auto"/>
              </w:rPr>
            </w:pPr>
          </w:p>
        </w:tc>
        <w:tc>
          <w:tcPr>
            <w:tcW w:w="18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180" w:type="dxa"/>
            <w:vAlign w:val="bottom"/>
          </w:tcPr>
          <w:p>
            <w:pPr>
              <w:ind w:left="220"/>
              <w:spacing w:after="0"/>
              <w:rPr>
                <w:sz w:val="20"/>
                <w:szCs w:val="20"/>
                <w:color w:val="auto"/>
              </w:rPr>
            </w:pPr>
            <w:r>
              <w:rPr>
                <w:rFonts w:ascii="Arial" w:cs="Arial" w:eastAsia="Arial" w:hAnsi="Arial"/>
                <w:sz w:val="13"/>
                <w:szCs w:val="13"/>
                <w:color w:val="auto"/>
              </w:rPr>
              <w:t>Massdrop, Inc.</w:t>
            </w:r>
          </w:p>
        </w:tc>
        <w:tc>
          <w:tcPr>
            <w:tcW w:w="2060" w:type="dxa"/>
            <w:vAlign w:val="bottom"/>
            <w:gridSpan w:val="2"/>
          </w:tcPr>
          <w:p>
            <w:pPr>
              <w:ind w:left="80"/>
              <w:spacing w:after="0"/>
              <w:rPr>
                <w:sz w:val="20"/>
                <w:szCs w:val="20"/>
                <w:color w:val="auto"/>
              </w:rPr>
            </w:pPr>
            <w:r>
              <w:rPr>
                <w:rFonts w:ascii="Arial" w:cs="Arial" w:eastAsia="Arial" w:hAnsi="Arial"/>
                <w:sz w:val="13"/>
                <w:szCs w:val="13"/>
                <w:color w:val="auto"/>
              </w:rPr>
              <w:t>Series B Preferred Stock</w:t>
            </w:r>
          </w:p>
        </w:tc>
        <w:tc>
          <w:tcPr>
            <w:tcW w:w="980" w:type="dxa"/>
            <w:vAlign w:val="bottom"/>
          </w:tcPr>
          <w:p>
            <w:pPr>
              <w:jc w:val="center"/>
              <w:spacing w:after="0"/>
              <w:rPr>
                <w:sz w:val="20"/>
                <w:szCs w:val="20"/>
                <w:color w:val="auto"/>
              </w:rPr>
            </w:pPr>
            <w:r>
              <w:rPr>
                <w:rFonts w:ascii="Arial" w:cs="Arial" w:eastAsia="Arial" w:hAnsi="Arial"/>
                <w:sz w:val="13"/>
                <w:szCs w:val="13"/>
                <w:color w:val="auto"/>
              </w:rPr>
              <w:t>7/22/2019</w:t>
            </w:r>
          </w:p>
        </w:tc>
        <w:tc>
          <w:tcPr>
            <w:tcW w:w="1000" w:type="dxa"/>
            <w:vAlign w:val="bottom"/>
          </w:tcPr>
          <w:p>
            <w:pPr>
              <w:jc w:val="center"/>
              <w:ind w:right="14"/>
              <w:spacing w:after="0"/>
              <w:rPr>
                <w:sz w:val="20"/>
                <w:szCs w:val="20"/>
                <w:color w:val="auto"/>
              </w:rPr>
            </w:pPr>
            <w:r>
              <w:rPr>
                <w:rFonts w:ascii="Arial" w:cs="Arial" w:eastAsia="Arial" w:hAnsi="Arial"/>
                <w:sz w:val="13"/>
                <w:szCs w:val="13"/>
                <w:color w:val="auto"/>
              </w:rPr>
              <w:t>7/22/2029</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848,093</w:t>
            </w:r>
          </w:p>
        </w:tc>
        <w:tc>
          <w:tcPr>
            <w:tcW w:w="1100" w:type="dxa"/>
            <w:vAlign w:val="bottom"/>
          </w:tcPr>
          <w:p>
            <w:pPr>
              <w:jc w:val="right"/>
              <w:ind w:right="94"/>
              <w:spacing w:after="0"/>
              <w:rPr>
                <w:sz w:val="20"/>
                <w:szCs w:val="20"/>
                <w:color w:val="auto"/>
              </w:rPr>
            </w:pPr>
            <w:r>
              <w:rPr>
                <w:rFonts w:ascii="Arial" w:cs="Arial" w:eastAsia="Arial" w:hAnsi="Arial"/>
                <w:sz w:val="13"/>
                <w:szCs w:val="13"/>
                <w:color w:val="auto"/>
              </w:rPr>
              <w:t>183</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424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Computer &amp; Electronics Retail - 0.00%*</w:t>
            </w:r>
          </w:p>
        </w:tc>
        <w:tc>
          <w:tcPr>
            <w:tcW w:w="9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183</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spacing w:after="0"/>
              <w:rPr>
                <w:sz w:val="16"/>
                <w:szCs w:val="16"/>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1" w:name="page12"/>
    <w:bookmarkEnd w:id="11"/>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(Unaudited)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June 30,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20" w:type="dxa"/>
            <w:vAlign w:val="bottom"/>
          </w:tcPr>
          <w:p>
            <w:pPr>
              <w:jc w:val="center"/>
              <w:ind w:left="114"/>
              <w:spacing w:after="0"/>
              <w:rPr>
                <w:sz w:val="20"/>
                <w:szCs w:val="20"/>
                <w:color w:val="auto"/>
              </w:rPr>
            </w:pPr>
            <w:r>
              <w:rPr>
                <w:rFonts w:ascii="Arial" w:cs="Arial" w:eastAsia="Arial" w:hAnsi="Arial"/>
                <w:sz w:val="13"/>
                <w:szCs w:val="13"/>
                <w:b w:val="1"/>
                <w:bCs w:val="1"/>
                <w:color w:val="auto"/>
                <w:w w:val="99"/>
              </w:rPr>
              <w:t>Initial</w:t>
            </w: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jc w:val="center"/>
              <w:ind w:right="54"/>
              <w:spacing w:after="0" w:line="146" w:lineRule="exact"/>
              <w:rPr>
                <w:sz w:val="20"/>
                <w:szCs w:val="20"/>
                <w:color w:val="auto"/>
              </w:rPr>
            </w:pPr>
            <w:r>
              <w:rPr>
                <w:rFonts w:ascii="Arial" w:cs="Arial" w:eastAsia="Arial" w:hAnsi="Arial"/>
                <w:sz w:val="13"/>
                <w:szCs w:val="13"/>
                <w:b w:val="1"/>
                <w:bCs w:val="1"/>
                <w:color w:val="auto"/>
              </w:rPr>
              <w:t>Investment</w:t>
            </w:r>
          </w:p>
        </w:tc>
        <w:tc>
          <w:tcPr>
            <w:tcW w:w="1120" w:type="dxa"/>
            <w:vAlign w:val="bottom"/>
          </w:tcPr>
          <w:p>
            <w:pPr>
              <w:jc w:val="center"/>
              <w:ind w:left="94"/>
              <w:spacing w:after="0" w:line="146" w:lineRule="exact"/>
              <w:rPr>
                <w:sz w:val="20"/>
                <w:szCs w:val="20"/>
                <w:color w:val="auto"/>
              </w:rPr>
            </w:pPr>
            <w:r>
              <w:rPr>
                <w:rFonts w:ascii="Arial" w:cs="Arial" w:eastAsia="Arial" w:hAnsi="Arial"/>
                <w:sz w:val="13"/>
                <w:szCs w:val="13"/>
                <w:b w:val="1"/>
                <w:bCs w:val="1"/>
                <w:color w:val="auto"/>
              </w:rPr>
              <w:t>Acquisition</w:t>
            </w:r>
          </w:p>
        </w:tc>
        <w:tc>
          <w:tcPr>
            <w:tcW w:w="1040" w:type="dxa"/>
            <w:vAlign w:val="bottom"/>
          </w:tcPr>
          <w:p>
            <w:pPr>
              <w:spacing w:after="0"/>
              <w:rPr>
                <w:sz w:val="12"/>
                <w:szCs w:val="12"/>
                <w:color w:val="auto"/>
              </w:rPr>
            </w:pPr>
          </w:p>
        </w:tc>
        <w:tc>
          <w:tcPr>
            <w:tcW w:w="1200" w:type="dxa"/>
            <w:vAlign w:val="bottom"/>
          </w:tcPr>
          <w:p>
            <w:pPr>
              <w:jc w:val="right"/>
              <w:ind w:right="214"/>
              <w:spacing w:after="0" w:line="146" w:lineRule="exact"/>
              <w:rPr>
                <w:sz w:val="20"/>
                <w:szCs w:val="20"/>
                <w:color w:val="auto"/>
              </w:rPr>
            </w:pPr>
            <w:r>
              <w:rPr>
                <w:rFonts w:ascii="Arial" w:cs="Arial" w:eastAsia="Arial" w:hAnsi="Arial"/>
                <w:sz w:val="13"/>
                <w:szCs w:val="13"/>
                <w:b w:val="1"/>
                <w:bCs w:val="1"/>
                <w:color w:val="auto"/>
              </w:rPr>
              <w:t>Principal ($) /</w:t>
            </w:r>
          </w:p>
        </w:tc>
        <w:tc>
          <w:tcPr>
            <w:tcW w:w="1100" w:type="dxa"/>
            <w:vAlign w:val="bottom"/>
          </w:tcPr>
          <w:p>
            <w:pPr>
              <w:spacing w:after="0"/>
              <w:rPr>
                <w:sz w:val="12"/>
                <w:szCs w:val="12"/>
                <w:color w:val="auto"/>
              </w:rPr>
            </w:pPr>
          </w:p>
        </w:tc>
        <w:tc>
          <w:tcPr>
            <w:tcW w:w="1100" w:type="dxa"/>
            <w:vAlign w:val="bottom"/>
          </w:tcPr>
          <w:p>
            <w:pPr>
              <w:jc w:val="right"/>
              <w:ind w:right="414"/>
              <w:spacing w:after="0" w:line="146" w:lineRule="exact"/>
              <w:rPr>
                <w:sz w:val="20"/>
                <w:szCs w:val="20"/>
                <w:color w:val="auto"/>
              </w:rPr>
            </w:pPr>
            <w:r>
              <w:rPr>
                <w:rFonts w:ascii="Arial" w:cs="Arial" w:eastAsia="Arial" w:hAnsi="Arial"/>
                <w:sz w:val="13"/>
                <w:szCs w:val="13"/>
                <w:b w:val="1"/>
                <w:bCs w:val="1"/>
                <w:color w:val="auto"/>
              </w:rPr>
              <w:t>Fair</w:t>
            </w:r>
          </w:p>
        </w:tc>
        <w:tc>
          <w:tcPr>
            <w:tcW w:w="880" w:type="dxa"/>
            <w:vAlign w:val="bottom"/>
          </w:tcPr>
          <w:p>
            <w:pPr>
              <w:spacing w:after="0"/>
              <w:rPr>
                <w:sz w:val="12"/>
                <w:szCs w:val="12"/>
                <w:color w:val="auto"/>
              </w:rPr>
            </w:pPr>
          </w:p>
        </w:tc>
      </w:tr>
      <w:tr>
        <w:trPr>
          <w:trHeight w:val="194"/>
        </w:trPr>
        <w:tc>
          <w:tcPr>
            <w:tcW w:w="212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300" w:type="dxa"/>
            <w:vAlign w:val="bottom"/>
          </w:tcPr>
          <w:p>
            <w:pPr>
              <w:spacing w:after="0"/>
              <w:rPr>
                <w:sz w:val="16"/>
                <w:szCs w:val="16"/>
                <w:color w:val="auto"/>
              </w:rPr>
            </w:pPr>
          </w:p>
        </w:tc>
        <w:tc>
          <w:tcPr>
            <w:tcW w:w="1700" w:type="dxa"/>
            <w:vAlign w:val="bottom"/>
          </w:tcPr>
          <w:p>
            <w:pPr>
              <w:jc w:val="center"/>
              <w:ind w:right="34"/>
              <w:spacing w:after="0"/>
              <w:rPr>
                <w:sz w:val="20"/>
                <w:szCs w:val="20"/>
                <w:color w:val="auto"/>
              </w:rPr>
            </w:pPr>
            <w:r>
              <w:rPr>
                <w:rFonts w:ascii="Arial" w:cs="Arial" w:eastAsia="Arial" w:hAnsi="Arial"/>
                <w:sz w:val="13"/>
                <w:szCs w:val="13"/>
                <w:b w:val="1"/>
                <w:bCs w:val="1"/>
                <w:color w:val="auto"/>
                <w:w w:val="92"/>
              </w:rPr>
              <w:t>Description</w:t>
            </w:r>
            <w:r>
              <w:rPr>
                <w:rFonts w:ascii="Arial" w:cs="Arial" w:eastAsia="Arial" w:hAnsi="Arial"/>
                <w:sz w:val="16"/>
                <w:szCs w:val="16"/>
                <w:b w:val="1"/>
                <w:bCs w:val="1"/>
                <w:color w:val="auto"/>
                <w:w w:val="92"/>
                <w:vertAlign w:val="superscript"/>
              </w:rPr>
              <w:t>(1),(2),(4)</w:t>
            </w:r>
          </w:p>
        </w:tc>
        <w:tc>
          <w:tcPr>
            <w:tcW w:w="1120" w:type="dxa"/>
            <w:vAlign w:val="bottom"/>
          </w:tcPr>
          <w:p>
            <w:pPr>
              <w:jc w:val="center"/>
              <w:ind w:left="94"/>
              <w:spacing w:after="0"/>
              <w:rPr>
                <w:sz w:val="20"/>
                <w:szCs w:val="20"/>
                <w:color w:val="auto"/>
              </w:rPr>
            </w:pPr>
            <w:r>
              <w:rPr>
                <w:rFonts w:ascii="Arial" w:cs="Arial" w:eastAsia="Arial" w:hAnsi="Arial"/>
                <w:sz w:val="13"/>
                <w:szCs w:val="13"/>
                <w:b w:val="1"/>
                <w:bCs w:val="1"/>
                <w:color w:val="auto"/>
                <w:w w:val="99"/>
              </w:rPr>
              <w:t>Date</w:t>
            </w:r>
          </w:p>
        </w:tc>
        <w:tc>
          <w:tcPr>
            <w:tcW w:w="1040" w:type="dxa"/>
            <w:vAlign w:val="bottom"/>
          </w:tcPr>
          <w:p>
            <w:pPr>
              <w:ind w:left="120"/>
              <w:spacing w:after="0"/>
              <w:rPr>
                <w:sz w:val="20"/>
                <w:szCs w:val="20"/>
                <w:color w:val="auto"/>
              </w:rPr>
            </w:pPr>
            <w:r>
              <w:rPr>
                <w:rFonts w:ascii="Arial" w:cs="Arial" w:eastAsia="Arial" w:hAnsi="Arial"/>
                <w:sz w:val="13"/>
                <w:szCs w:val="13"/>
                <w:b w:val="1"/>
                <w:bCs w:val="1"/>
                <w:color w:val="auto"/>
              </w:rPr>
              <w:t>Maturity Date</w:t>
            </w:r>
          </w:p>
        </w:tc>
        <w:tc>
          <w:tcPr>
            <w:tcW w:w="1200" w:type="dxa"/>
            <w:vAlign w:val="bottom"/>
          </w:tcPr>
          <w:p>
            <w:pPr>
              <w:jc w:val="right"/>
              <w:ind w:right="414"/>
              <w:spacing w:after="0"/>
              <w:rPr>
                <w:sz w:val="20"/>
                <w:szCs w:val="20"/>
                <w:color w:val="auto"/>
              </w:rPr>
            </w:pPr>
            <w:r>
              <w:rPr>
                <w:rFonts w:ascii="Arial" w:cs="Arial" w:eastAsia="Arial" w:hAnsi="Arial"/>
                <w:sz w:val="13"/>
                <w:szCs w:val="13"/>
                <w:b w:val="1"/>
                <w:bCs w:val="1"/>
                <w:color w:val="auto"/>
              </w:rPr>
              <w:t>Shares</w:t>
            </w:r>
          </w:p>
        </w:tc>
        <w:tc>
          <w:tcPr>
            <w:tcW w:w="1100" w:type="dxa"/>
            <w:vAlign w:val="bottom"/>
          </w:tcPr>
          <w:p>
            <w:pPr>
              <w:jc w:val="right"/>
              <w:ind w:right="334"/>
              <w:spacing w:after="0"/>
              <w:rPr>
                <w:sz w:val="20"/>
                <w:szCs w:val="20"/>
                <w:color w:val="auto"/>
              </w:rPr>
            </w:pPr>
            <w:r>
              <w:rPr>
                <w:rFonts w:ascii="Arial" w:cs="Arial" w:eastAsia="Arial" w:hAnsi="Arial"/>
                <w:sz w:val="13"/>
                <w:szCs w:val="13"/>
                <w:b w:val="1"/>
                <w:bCs w:val="1"/>
                <w:color w:val="auto"/>
              </w:rPr>
              <w:t>Cost ($)</w:t>
            </w:r>
          </w:p>
        </w:tc>
        <w:tc>
          <w:tcPr>
            <w:tcW w:w="1100" w:type="dxa"/>
            <w:vAlign w:val="bottom"/>
          </w:tcPr>
          <w:p>
            <w:pPr>
              <w:jc w:val="right"/>
              <w:ind w:right="1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(3)</w:t>
            </w:r>
          </w:p>
        </w:tc>
        <w:tc>
          <w:tcPr>
            <w:tcW w:w="880" w:type="dxa"/>
            <w:vAlign w:val="bottom"/>
          </w:tcPr>
          <w:p>
            <w:pPr>
              <w:ind w:left="18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4120" w:type="dxa"/>
            <w:vAlign w:val="bottom"/>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1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1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Warrants</w:t>
            </w:r>
          </w:p>
        </w:tc>
        <w:tc>
          <w:tcPr>
            <w:tcW w:w="300" w:type="dxa"/>
            <w:vAlign w:val="bottom"/>
            <w:tcBorders>
              <w:top w:val="single" w:sz="8" w:color="auto"/>
            </w:tcBorders>
          </w:tcPr>
          <w:p>
            <w:pPr>
              <w:spacing w:after="0"/>
              <w:rPr>
                <w:sz w:val="15"/>
                <w:szCs w:val="15"/>
                <w:color w:val="auto"/>
              </w:rPr>
            </w:pPr>
          </w:p>
        </w:tc>
        <w:tc>
          <w:tcPr>
            <w:tcW w:w="1700" w:type="dxa"/>
            <w:vAlign w:val="bottom"/>
            <w:tcBorders>
              <w:top w:val="single" w:sz="8" w:color="CFF0FC"/>
            </w:tcBorders>
          </w:tcPr>
          <w:p>
            <w:pPr>
              <w:spacing w:after="0"/>
              <w:rPr>
                <w:sz w:val="15"/>
                <w:szCs w:val="15"/>
                <w:color w:val="auto"/>
              </w:rPr>
            </w:pPr>
          </w:p>
        </w:tc>
        <w:tc>
          <w:tcPr>
            <w:tcW w:w="112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10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Data Processing &amp; Outsourced Services</w:t>
            </w:r>
          </w:p>
        </w:tc>
        <w:tc>
          <w:tcPr>
            <w:tcW w:w="1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Interactions Corporation</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Common Stock</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6/24/2022</w:t>
            </w:r>
          </w:p>
        </w:tc>
        <w:tc>
          <w:tcPr>
            <w:tcW w:w="1040" w:type="dxa"/>
            <w:vAlign w:val="bottom"/>
          </w:tcPr>
          <w:p>
            <w:pPr>
              <w:jc w:val="center"/>
              <w:spacing w:after="0"/>
              <w:rPr>
                <w:sz w:val="20"/>
                <w:szCs w:val="20"/>
                <w:color w:val="auto"/>
              </w:rPr>
            </w:pPr>
            <w:r>
              <w:rPr>
                <w:rFonts w:ascii="Arial" w:cs="Arial" w:eastAsia="Arial" w:hAnsi="Arial"/>
                <w:sz w:val="13"/>
                <w:szCs w:val="13"/>
                <w:color w:val="auto"/>
              </w:rPr>
              <w:t>6/24/2032</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189,408</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219</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120</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ShareThis, Inc.</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D-3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12/3/2018</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12/3/2028</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647,615</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2,162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1,079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0"/>
        </w:trPr>
        <w:tc>
          <w:tcPr>
            <w:tcW w:w="20" w:type="dxa"/>
            <w:vAlign w:val="bottom"/>
          </w:tcPr>
          <w:p>
            <w:pPr>
              <w:spacing w:after="0"/>
              <w:rPr>
                <w:sz w:val="15"/>
                <w:szCs w:val="15"/>
                <w:color w:val="auto"/>
              </w:rPr>
            </w:pPr>
          </w:p>
        </w:tc>
        <w:tc>
          <w:tcPr>
            <w:tcW w:w="410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Data Processing &amp; Outsourced Services - 0.21%*</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2,381</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1,199</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gridSpan w:val="2"/>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00" w:type="dxa"/>
            <w:vAlign w:val="bottom"/>
            <w:gridSpan w:val="3"/>
          </w:tcPr>
          <w:p>
            <w:pPr>
              <w:ind w:left="220"/>
              <w:spacing w:after="0"/>
              <w:rPr>
                <w:sz w:val="20"/>
                <w:szCs w:val="20"/>
                <w:color w:val="auto"/>
              </w:rPr>
            </w:pPr>
            <w:r>
              <w:rPr>
                <w:rFonts w:ascii="Arial" w:cs="Arial" w:eastAsia="Arial" w:hAnsi="Arial"/>
                <w:sz w:val="13"/>
                <w:szCs w:val="13"/>
                <w:b w:val="1"/>
                <w:bCs w:val="1"/>
                <w:color w:val="auto"/>
              </w:rPr>
              <w:t>Electronic Equipment &amp; Instruments</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Brivo, Inc.</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A-2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10/20/2022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10/20/2032</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201,000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99</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401</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Epic IO Technologies, Inc.</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Success fee</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12/17/2021</w:t>
            </w:r>
          </w:p>
        </w:tc>
        <w:tc>
          <w:tcPr>
            <w:tcW w:w="1040" w:type="dxa"/>
            <w:vAlign w:val="bottom"/>
          </w:tcPr>
          <w:p>
            <w:pPr>
              <w:jc w:val="center"/>
              <w:spacing w:after="0"/>
              <w:rPr>
                <w:sz w:val="20"/>
                <w:szCs w:val="20"/>
                <w:color w:val="auto"/>
              </w:rPr>
            </w:pPr>
            <w:r>
              <w:rPr>
                <w:rFonts w:ascii="Arial" w:cs="Arial" w:eastAsia="Arial" w:hAnsi="Arial"/>
                <w:sz w:val="13"/>
                <w:szCs w:val="13"/>
                <w:color w:val="auto"/>
              </w:rPr>
              <w:t>12/17/2024</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505</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511</w:t>
            </w:r>
          </w:p>
        </w:tc>
        <w:tc>
          <w:tcPr>
            <w:tcW w:w="880" w:type="dxa"/>
            <w:vAlign w:val="bottom"/>
          </w:tcPr>
          <w:p>
            <w:pPr>
              <w:ind w:left="100"/>
              <w:spacing w:after="0"/>
              <w:rPr>
                <w:sz w:val="20"/>
                <w:szCs w:val="20"/>
                <w:color w:val="auto"/>
              </w:rPr>
            </w:pPr>
            <w:r>
              <w:rPr>
                <w:rFonts w:ascii="Arial" w:cs="Arial" w:eastAsia="Arial" w:hAnsi="Arial"/>
                <w:sz w:val="13"/>
                <w:szCs w:val="13"/>
                <w:color w:val="auto"/>
              </w:rPr>
              <w:t>(12) (17)</w:t>
            </w:r>
          </w:p>
        </w:tc>
      </w:tr>
      <w:tr>
        <w:trPr>
          <w:trHeight w:val="185"/>
        </w:trPr>
        <w:tc>
          <w:tcPr>
            <w:tcW w:w="20" w:type="dxa"/>
            <w:vAlign w:val="bottom"/>
            <w:shd w:val="clear" w:color="auto" w:fill="CFF0FC"/>
          </w:tcPr>
          <w:p>
            <w:pPr>
              <w:spacing w:after="0"/>
              <w:rPr>
                <w:sz w:val="16"/>
                <w:szCs w:val="16"/>
                <w:color w:val="auto"/>
              </w:rPr>
            </w:pPr>
          </w:p>
        </w:tc>
        <w:tc>
          <w:tcPr>
            <w:tcW w:w="410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Electronic Equipment &amp; Instruments - 0.16%*</w:t>
            </w: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604</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912</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Health Care Equipment</w:t>
            </w:r>
          </w:p>
        </w:tc>
        <w:tc>
          <w:tcPr>
            <w:tcW w:w="3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Moximed, Inc.</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Series C Preferred Stock</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6/24/2022</w:t>
            </w:r>
          </w:p>
        </w:tc>
        <w:tc>
          <w:tcPr>
            <w:tcW w:w="1040" w:type="dxa"/>
            <w:vAlign w:val="bottom"/>
          </w:tcPr>
          <w:p>
            <w:pPr>
              <w:jc w:val="center"/>
              <w:spacing w:after="0"/>
              <w:rPr>
                <w:sz w:val="20"/>
                <w:szCs w:val="20"/>
                <w:color w:val="auto"/>
              </w:rPr>
            </w:pPr>
            <w:r>
              <w:rPr>
                <w:rFonts w:ascii="Arial" w:cs="Arial" w:eastAsia="Arial" w:hAnsi="Arial"/>
                <w:sz w:val="13"/>
                <w:szCs w:val="13"/>
                <w:color w:val="auto"/>
              </w:rPr>
              <w:t>6/24/2032</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214,285</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175</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166</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Revelle Aesthetics, Inc.</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A-2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3/30/2022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3/30/2032</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115,591</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126</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109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0"/>
        </w:trPr>
        <w:tc>
          <w:tcPr>
            <w:tcW w:w="20" w:type="dxa"/>
            <w:vAlign w:val="bottom"/>
          </w:tcPr>
          <w:p>
            <w:pPr>
              <w:spacing w:after="0"/>
              <w:rPr>
                <w:sz w:val="15"/>
                <w:szCs w:val="15"/>
                <w:color w:val="auto"/>
              </w:rPr>
            </w:pPr>
          </w:p>
        </w:tc>
        <w:tc>
          <w:tcPr>
            <w:tcW w:w="410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Health Care Equipment - 0.05%*</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301</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275</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Allurion Technologies, Inc.</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C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3/30/2021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3/30/2031</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132,979</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282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403</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Series D-1 Preferred Stock</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6/14/2022</w:t>
            </w:r>
          </w:p>
        </w:tc>
        <w:tc>
          <w:tcPr>
            <w:tcW w:w="1040" w:type="dxa"/>
            <w:vAlign w:val="bottom"/>
          </w:tcPr>
          <w:p>
            <w:pPr>
              <w:jc w:val="center"/>
              <w:spacing w:after="0"/>
              <w:rPr>
                <w:sz w:val="20"/>
                <w:szCs w:val="20"/>
                <w:color w:val="auto"/>
              </w:rPr>
            </w:pPr>
            <w:r>
              <w:rPr>
                <w:rFonts w:ascii="Arial" w:cs="Arial" w:eastAsia="Arial" w:hAnsi="Arial"/>
                <w:sz w:val="13"/>
                <w:szCs w:val="13"/>
                <w:color w:val="auto"/>
              </w:rPr>
              <w:t>6/14/2032</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44,220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141</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15</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D-1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9/15/2022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9/15/2032</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44,220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144</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15</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EBR Systems, Inc.</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Success fee</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6/30/2022</w:t>
            </w:r>
          </w:p>
        </w:tc>
        <w:tc>
          <w:tcPr>
            <w:tcW w:w="1040" w:type="dxa"/>
            <w:vAlign w:val="bottom"/>
          </w:tcPr>
          <w:p>
            <w:pPr>
              <w:jc w:val="center"/>
              <w:spacing w:after="0"/>
              <w:rPr>
                <w:sz w:val="20"/>
                <w:szCs w:val="20"/>
                <w:color w:val="auto"/>
              </w:rPr>
            </w:pPr>
            <w:r>
              <w:rPr>
                <w:rFonts w:ascii="Arial" w:cs="Arial" w:eastAsia="Arial" w:hAnsi="Arial"/>
                <w:sz w:val="13"/>
                <w:szCs w:val="13"/>
                <w:color w:val="auto"/>
              </w:rPr>
              <w:t>6/30/2032</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605</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660</w:t>
            </w:r>
          </w:p>
        </w:tc>
        <w:tc>
          <w:tcPr>
            <w:tcW w:w="880" w:type="dxa"/>
            <w:vAlign w:val="bottom"/>
          </w:tcPr>
          <w:p>
            <w:pPr>
              <w:ind w:left="100"/>
              <w:spacing w:after="0"/>
              <w:rPr>
                <w:sz w:val="20"/>
                <w:szCs w:val="20"/>
                <w:color w:val="auto"/>
              </w:rPr>
            </w:pPr>
            <w:r>
              <w:rPr>
                <w:rFonts w:ascii="Arial" w:cs="Arial" w:eastAsia="Arial" w:hAnsi="Arial"/>
                <w:sz w:val="13"/>
                <w:szCs w:val="13"/>
                <w:color w:val="auto"/>
              </w:rPr>
              <w:t>(12) (17)</w:t>
            </w:r>
          </w:p>
        </w:tc>
      </w:tr>
      <w:tr>
        <w:trPr>
          <w:trHeight w:val="166"/>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Mingle Healthcare Solutions,</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CC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8/15/2018</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8/15/2028</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1,770,973</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492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6"/>
        </w:trPr>
        <w:tc>
          <w:tcPr>
            <w:tcW w:w="20" w:type="dxa"/>
            <w:vAlign w:val="bottom"/>
            <w:shd w:val="clear" w:color="auto" w:fill="CFF0FC"/>
          </w:tcPr>
          <w:p>
            <w:pPr>
              <w:spacing w:after="0"/>
              <w:rPr>
                <w:sz w:val="15"/>
                <w:szCs w:val="15"/>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Inc.</w:t>
            </w:r>
          </w:p>
        </w:tc>
        <w:tc>
          <w:tcPr>
            <w:tcW w:w="30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Nalu Medical, Inc.</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Series D-2 Preferred Stock</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10/12/2022</w:t>
            </w:r>
          </w:p>
        </w:tc>
        <w:tc>
          <w:tcPr>
            <w:tcW w:w="1040" w:type="dxa"/>
            <w:vAlign w:val="bottom"/>
          </w:tcPr>
          <w:p>
            <w:pPr>
              <w:jc w:val="center"/>
              <w:spacing w:after="0"/>
              <w:rPr>
                <w:sz w:val="20"/>
                <w:szCs w:val="20"/>
                <w:color w:val="auto"/>
              </w:rPr>
            </w:pPr>
            <w:r>
              <w:rPr>
                <w:rFonts w:ascii="Arial" w:cs="Arial" w:eastAsia="Arial" w:hAnsi="Arial"/>
                <w:sz w:val="13"/>
                <w:szCs w:val="13"/>
                <w:color w:val="auto"/>
              </w:rPr>
              <w:t>10/12/2032</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91,717</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173</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79</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Route 92 Medical, Inc.</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Success fee</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8/17/2021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8/17/2031</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258</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317</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 (17)</w:t>
            </w: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SetPoint Medical Corporation</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Series B Preferred Stock</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6/29/2021</w:t>
            </w:r>
          </w:p>
        </w:tc>
        <w:tc>
          <w:tcPr>
            <w:tcW w:w="1040" w:type="dxa"/>
            <w:vAlign w:val="bottom"/>
          </w:tcPr>
          <w:p>
            <w:pPr>
              <w:jc w:val="center"/>
              <w:spacing w:after="0"/>
              <w:rPr>
                <w:sz w:val="20"/>
                <w:szCs w:val="20"/>
                <w:color w:val="auto"/>
              </w:rPr>
            </w:pPr>
            <w:r>
              <w:rPr>
                <w:rFonts w:ascii="Arial" w:cs="Arial" w:eastAsia="Arial" w:hAnsi="Arial"/>
                <w:sz w:val="13"/>
                <w:szCs w:val="13"/>
                <w:color w:val="auto"/>
              </w:rPr>
              <w:t>6/29/2031</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400,000</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14</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120</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B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12/29/2022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12/29/2032</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600,000</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74</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180</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VERO Biotech LLC</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Success fee</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12/29/2020</w:t>
            </w:r>
          </w:p>
        </w:tc>
        <w:tc>
          <w:tcPr>
            <w:tcW w:w="1040" w:type="dxa"/>
            <w:vAlign w:val="bottom"/>
          </w:tcPr>
          <w:p>
            <w:pPr>
              <w:jc w:val="center"/>
              <w:spacing w:after="0"/>
              <w:rPr>
                <w:sz w:val="20"/>
                <w:szCs w:val="20"/>
                <w:color w:val="auto"/>
              </w:rPr>
            </w:pPr>
            <w:r>
              <w:rPr>
                <w:rFonts w:ascii="Arial" w:cs="Arial" w:eastAsia="Arial" w:hAnsi="Arial"/>
                <w:sz w:val="13"/>
                <w:szCs w:val="13"/>
                <w:color w:val="auto"/>
              </w:rPr>
              <w:t>12/29/2025</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377</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321</w:t>
            </w:r>
          </w:p>
        </w:tc>
        <w:tc>
          <w:tcPr>
            <w:tcW w:w="880" w:type="dxa"/>
            <w:vAlign w:val="bottom"/>
          </w:tcPr>
          <w:p>
            <w:pPr>
              <w:ind w:left="100"/>
              <w:spacing w:after="0"/>
              <w:rPr>
                <w:sz w:val="20"/>
                <w:szCs w:val="20"/>
                <w:color w:val="auto"/>
              </w:rPr>
            </w:pPr>
            <w:r>
              <w:rPr>
                <w:rFonts w:ascii="Arial" w:cs="Arial" w:eastAsia="Arial" w:hAnsi="Arial"/>
                <w:sz w:val="13"/>
                <w:szCs w:val="13"/>
                <w:color w:val="auto"/>
              </w:rPr>
              <w:t>(12) (17)</w:t>
            </w:r>
          </w:p>
        </w:tc>
      </w:tr>
      <w:tr>
        <w:trPr>
          <w:trHeight w:val="185"/>
        </w:trPr>
        <w:tc>
          <w:tcPr>
            <w:tcW w:w="20" w:type="dxa"/>
            <w:vAlign w:val="bottom"/>
            <w:shd w:val="clear" w:color="auto" w:fill="CFF0FC"/>
          </w:tcPr>
          <w:p>
            <w:pPr>
              <w:spacing w:after="0"/>
              <w:rPr>
                <w:sz w:val="16"/>
                <w:szCs w:val="16"/>
                <w:color w:val="auto"/>
              </w:rPr>
            </w:pPr>
          </w:p>
        </w:tc>
        <w:tc>
          <w:tcPr>
            <w:tcW w:w="410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Health Care Technology - 0.37%*</w:t>
            </w:r>
          </w:p>
        </w:tc>
        <w:tc>
          <w:tcPr>
            <w:tcW w:w="1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2,560</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2,110</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gridSpan w:val="2"/>
          </w:tcPr>
          <w:p>
            <w:pPr>
              <w:spacing w:after="0"/>
              <w:rPr>
                <w:sz w:val="15"/>
                <w:szCs w:val="15"/>
                <w:color w:val="auto"/>
              </w:rPr>
            </w:pPr>
          </w:p>
        </w:tc>
        <w:tc>
          <w:tcPr>
            <w:tcW w:w="1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10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Human Resource &amp; Employment Services</w:t>
            </w:r>
          </w:p>
        </w:tc>
        <w:tc>
          <w:tcPr>
            <w:tcW w:w="1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Arial" w:cs="Arial" w:eastAsia="Arial" w:hAnsi="Arial"/>
                <w:sz w:val="13"/>
                <w:szCs w:val="13"/>
                <w:color w:val="auto"/>
              </w:rPr>
              <w:t>CloudPay, Inc.</w:t>
            </w: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Series B Preferred Stock</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6/30/2020</w:t>
            </w:r>
          </w:p>
        </w:tc>
        <w:tc>
          <w:tcPr>
            <w:tcW w:w="1040" w:type="dxa"/>
            <w:vAlign w:val="bottom"/>
          </w:tcPr>
          <w:p>
            <w:pPr>
              <w:jc w:val="center"/>
              <w:spacing w:after="0"/>
              <w:rPr>
                <w:sz w:val="20"/>
                <w:szCs w:val="20"/>
                <w:color w:val="auto"/>
              </w:rPr>
            </w:pPr>
            <w:r>
              <w:rPr>
                <w:rFonts w:ascii="Arial" w:cs="Arial" w:eastAsia="Arial" w:hAnsi="Arial"/>
                <w:sz w:val="13"/>
                <w:szCs w:val="13"/>
                <w:color w:val="auto"/>
              </w:rPr>
              <w:t>6/30/2030</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11,273</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218</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883</w:t>
            </w:r>
          </w:p>
        </w:tc>
        <w:tc>
          <w:tcPr>
            <w:tcW w:w="880" w:type="dxa"/>
            <w:vAlign w:val="bottom"/>
          </w:tcPr>
          <w:p>
            <w:pPr>
              <w:ind w:left="100"/>
              <w:spacing w:after="0"/>
              <w:rPr>
                <w:sz w:val="20"/>
                <w:szCs w:val="20"/>
                <w:color w:val="auto"/>
              </w:rPr>
            </w:pPr>
            <w:r>
              <w:rPr>
                <w:rFonts w:ascii="Arial" w:cs="Arial" w:eastAsia="Arial" w:hAnsi="Arial"/>
                <w:sz w:val="13"/>
                <w:szCs w:val="13"/>
                <w:color w:val="auto"/>
              </w:rPr>
              <w:t>(7) (8) (12)</w:t>
            </w:r>
          </w:p>
        </w:tc>
      </w:tr>
      <w:tr>
        <w:trPr>
          <w:trHeight w:val="185"/>
        </w:trPr>
        <w:tc>
          <w:tcPr>
            <w:tcW w:w="2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D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8/17/2021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8/17/2031</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6,128</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160</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159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(7) (8) (12)</w:t>
            </w:r>
          </w:p>
        </w:tc>
      </w:tr>
      <w:tr>
        <w:trPr>
          <w:trHeight w:val="175"/>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0" w:type="dxa"/>
            <w:vAlign w:val="bottom"/>
            <w:gridSpan w:val="2"/>
          </w:tcPr>
          <w:p>
            <w:pPr>
              <w:ind w:left="160"/>
              <w:spacing w:after="0"/>
              <w:rPr>
                <w:sz w:val="20"/>
                <w:szCs w:val="20"/>
                <w:color w:val="auto"/>
              </w:rPr>
            </w:pPr>
            <w:r>
              <w:rPr>
                <w:rFonts w:ascii="Arial" w:cs="Arial" w:eastAsia="Arial" w:hAnsi="Arial"/>
                <w:sz w:val="13"/>
                <w:szCs w:val="13"/>
                <w:color w:val="auto"/>
              </w:rPr>
              <w:t>Series D Preferred Stock</w:t>
            </w:r>
          </w:p>
        </w:tc>
        <w:tc>
          <w:tcPr>
            <w:tcW w:w="1120" w:type="dxa"/>
            <w:vAlign w:val="bottom"/>
          </w:tcPr>
          <w:p>
            <w:pPr>
              <w:jc w:val="center"/>
              <w:ind w:left="114"/>
              <w:spacing w:after="0"/>
              <w:rPr>
                <w:sz w:val="20"/>
                <w:szCs w:val="20"/>
                <w:color w:val="auto"/>
              </w:rPr>
            </w:pPr>
            <w:r>
              <w:rPr>
                <w:rFonts w:ascii="Arial" w:cs="Arial" w:eastAsia="Arial" w:hAnsi="Arial"/>
                <w:sz w:val="13"/>
                <w:szCs w:val="13"/>
                <w:color w:val="auto"/>
              </w:rPr>
              <w:t>6/30/2023</w:t>
            </w:r>
          </w:p>
        </w:tc>
        <w:tc>
          <w:tcPr>
            <w:tcW w:w="1040" w:type="dxa"/>
            <w:vAlign w:val="bottom"/>
          </w:tcPr>
          <w:p>
            <w:pPr>
              <w:jc w:val="center"/>
              <w:spacing w:after="0"/>
              <w:rPr>
                <w:sz w:val="20"/>
                <w:szCs w:val="20"/>
                <w:color w:val="auto"/>
              </w:rPr>
            </w:pPr>
            <w:r>
              <w:rPr>
                <w:rFonts w:ascii="Arial" w:cs="Arial" w:eastAsia="Arial" w:hAnsi="Arial"/>
                <w:sz w:val="13"/>
                <w:szCs w:val="13"/>
                <w:color w:val="auto"/>
              </w:rPr>
              <w:t>6/30/2033</w:t>
            </w:r>
          </w:p>
        </w:tc>
        <w:tc>
          <w:tcPr>
            <w:tcW w:w="1200" w:type="dxa"/>
            <w:vAlign w:val="bottom"/>
          </w:tcPr>
          <w:p>
            <w:pPr>
              <w:jc w:val="right"/>
              <w:ind w:right="174"/>
              <w:spacing w:after="0"/>
              <w:rPr>
                <w:sz w:val="20"/>
                <w:szCs w:val="20"/>
                <w:color w:val="auto"/>
              </w:rPr>
            </w:pPr>
            <w:r>
              <w:rPr>
                <w:rFonts w:ascii="Arial" w:cs="Arial" w:eastAsia="Arial" w:hAnsi="Arial"/>
                <w:sz w:val="13"/>
                <w:szCs w:val="13"/>
                <w:color w:val="auto"/>
              </w:rPr>
              <w:t>2,626</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68</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68</w:t>
            </w:r>
          </w:p>
        </w:tc>
        <w:tc>
          <w:tcPr>
            <w:tcW w:w="880" w:type="dxa"/>
            <w:vAlign w:val="bottom"/>
          </w:tcPr>
          <w:p>
            <w:pPr>
              <w:ind w:left="100"/>
              <w:spacing w:after="0"/>
              <w:rPr>
                <w:sz w:val="20"/>
                <w:szCs w:val="20"/>
                <w:color w:val="auto"/>
              </w:rPr>
            </w:pPr>
            <w:r>
              <w:rPr>
                <w:rFonts w:ascii="Arial" w:cs="Arial" w:eastAsia="Arial" w:hAnsi="Arial"/>
                <w:sz w:val="13"/>
                <w:szCs w:val="13"/>
                <w:color w:val="auto"/>
              </w:rPr>
              <w:t>(7) (8) (12)</w:t>
            </w:r>
          </w:p>
        </w:tc>
      </w:tr>
      <w:tr>
        <w:trPr>
          <w:trHeight w:val="185"/>
        </w:trPr>
        <w:tc>
          <w:tcPr>
            <w:tcW w:w="20" w:type="dxa"/>
            <w:vAlign w:val="bottom"/>
            <w:shd w:val="clear" w:color="auto" w:fill="CFF0FC"/>
          </w:tcPr>
          <w:p>
            <w:pPr>
              <w:spacing w:after="0"/>
              <w:rPr>
                <w:sz w:val="16"/>
                <w:szCs w:val="16"/>
                <w:color w:val="auto"/>
              </w:rPr>
            </w:pPr>
          </w:p>
        </w:tc>
        <w:tc>
          <w:tcPr>
            <w:tcW w:w="21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Snagajob.com, Inc.</w:t>
            </w:r>
          </w:p>
        </w:tc>
        <w:tc>
          <w:tcPr>
            <w:tcW w:w="200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Series B-1 Preferred Stock</w:t>
            </w:r>
          </w:p>
        </w:tc>
        <w:tc>
          <w:tcPr>
            <w:tcW w:w="1120" w:type="dxa"/>
            <w:vAlign w:val="bottom"/>
            <w:shd w:val="clear" w:color="auto" w:fill="CFF0FC"/>
          </w:tcPr>
          <w:p>
            <w:pPr>
              <w:jc w:val="center"/>
              <w:ind w:left="114"/>
              <w:spacing w:after="0"/>
              <w:rPr>
                <w:sz w:val="20"/>
                <w:szCs w:val="20"/>
                <w:color w:val="auto"/>
              </w:rPr>
            </w:pPr>
            <w:r>
              <w:rPr>
                <w:rFonts w:ascii="Arial" w:cs="Arial" w:eastAsia="Arial" w:hAnsi="Arial"/>
                <w:sz w:val="13"/>
                <w:szCs w:val="13"/>
                <w:color w:val="auto"/>
              </w:rPr>
              <w:t>9/29/2021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9/29/2031</w:t>
            </w:r>
          </w:p>
        </w:tc>
        <w:tc>
          <w:tcPr>
            <w:tcW w:w="12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763,269</w:t>
            </w:r>
          </w:p>
        </w:tc>
        <w:tc>
          <w:tcPr>
            <w:tcW w:w="110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343</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67</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3"/>
        </w:trPr>
        <w:tc>
          <w:tcPr>
            <w:tcW w:w="20" w:type="dxa"/>
            <w:vAlign w:val="bottom"/>
          </w:tcPr>
          <w:p>
            <w:pPr>
              <w:spacing w:after="0"/>
              <w:rPr>
                <w:sz w:val="15"/>
                <w:szCs w:val="15"/>
                <w:color w:val="auto"/>
              </w:rPr>
            </w:pPr>
          </w:p>
        </w:tc>
        <w:tc>
          <w:tcPr>
            <w:tcW w:w="410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Human Resource &amp; Employment Services - 0.20%*</w:t>
            </w:r>
          </w:p>
        </w:tc>
        <w:tc>
          <w:tcPr>
            <w:tcW w:w="1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789</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1,177</w:t>
            </w:r>
          </w:p>
        </w:tc>
        <w:tc>
          <w:tcPr>
            <w:tcW w:w="880" w:type="dxa"/>
            <w:vAlign w:val="bottom"/>
          </w:tcPr>
          <w:p>
            <w:pPr>
              <w:spacing w:after="0"/>
              <w:rPr>
                <w:sz w:val="15"/>
                <w:szCs w:val="15"/>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2" w:name="page13"/>
    <w:bookmarkEnd w:id="12"/>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(Unaudited)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June 30,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shd w:val="clear" w:color="auto" w:fill="CFF0FC"/>
          </w:tcPr>
          <w:p>
            <w:pPr>
              <w:spacing w:after="0"/>
              <w:rPr>
                <w:sz w:val="13"/>
                <w:szCs w:val="13"/>
                <w:color w:val="auto"/>
              </w:rPr>
            </w:pPr>
          </w:p>
        </w:tc>
        <w:tc>
          <w:tcPr>
            <w:tcW w:w="2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60" w:type="dxa"/>
            <w:vAlign w:val="bottom"/>
            <w:shd w:val="clear" w:color="auto" w:fill="CFF0FC"/>
          </w:tcPr>
          <w:p>
            <w:pPr>
              <w:jc w:val="center"/>
              <w:ind w:left="54"/>
              <w:spacing w:after="0"/>
              <w:rPr>
                <w:sz w:val="20"/>
                <w:szCs w:val="20"/>
                <w:color w:val="auto"/>
              </w:rPr>
            </w:pPr>
            <w:r>
              <w:rPr>
                <w:rFonts w:ascii="Arial" w:cs="Arial" w:eastAsia="Arial" w:hAnsi="Arial"/>
                <w:sz w:val="13"/>
                <w:szCs w:val="13"/>
                <w:b w:val="1"/>
                <w:bCs w:val="1"/>
                <w:color w:val="auto"/>
                <w:w w:val="99"/>
              </w:rPr>
              <w:t>Initial</w:t>
            </w:r>
          </w:p>
        </w:tc>
        <w:tc>
          <w:tcPr>
            <w:tcW w:w="10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45"/>
        </w:trPr>
        <w:tc>
          <w:tcPr>
            <w:tcW w:w="20" w:type="dxa"/>
            <w:vAlign w:val="bottom"/>
            <w:shd w:val="clear" w:color="auto" w:fill="CFF0FC"/>
          </w:tcPr>
          <w:p>
            <w:pPr>
              <w:spacing w:after="0"/>
              <w:rPr>
                <w:sz w:val="12"/>
                <w:szCs w:val="12"/>
                <w:color w:val="auto"/>
              </w:rPr>
            </w:pPr>
          </w:p>
        </w:tc>
        <w:tc>
          <w:tcPr>
            <w:tcW w:w="2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center"/>
              <w:ind w:right="180"/>
              <w:spacing w:after="0" w:line="146" w:lineRule="exact"/>
              <w:rPr>
                <w:sz w:val="20"/>
                <w:szCs w:val="20"/>
                <w:color w:val="auto"/>
              </w:rPr>
            </w:pPr>
            <w:r>
              <w:rPr>
                <w:rFonts w:ascii="Arial" w:cs="Arial" w:eastAsia="Arial" w:hAnsi="Arial"/>
                <w:sz w:val="13"/>
                <w:szCs w:val="13"/>
                <w:b w:val="1"/>
                <w:bCs w:val="1"/>
                <w:color w:val="auto"/>
              </w:rPr>
              <w:t>Investment</w:t>
            </w:r>
          </w:p>
        </w:tc>
        <w:tc>
          <w:tcPr>
            <w:tcW w:w="1060" w:type="dxa"/>
            <w:vAlign w:val="bottom"/>
            <w:shd w:val="clear" w:color="auto" w:fill="CFF0FC"/>
          </w:tcPr>
          <w:p>
            <w:pPr>
              <w:jc w:val="center"/>
              <w:ind w:left="34"/>
              <w:spacing w:after="0" w:line="146" w:lineRule="exact"/>
              <w:rPr>
                <w:sz w:val="20"/>
                <w:szCs w:val="20"/>
                <w:color w:val="auto"/>
              </w:rPr>
            </w:pPr>
            <w:r>
              <w:rPr>
                <w:rFonts w:ascii="Arial" w:cs="Arial" w:eastAsia="Arial" w:hAnsi="Arial"/>
                <w:sz w:val="13"/>
                <w:szCs w:val="13"/>
                <w:b w:val="1"/>
                <w:bCs w:val="1"/>
                <w:color w:val="auto"/>
              </w:rPr>
              <w:t>Acquisition</w:t>
            </w:r>
          </w:p>
        </w:tc>
        <w:tc>
          <w:tcPr>
            <w:tcW w:w="1040" w:type="dxa"/>
            <w:vAlign w:val="bottom"/>
            <w:shd w:val="clear" w:color="auto" w:fill="CFF0FC"/>
          </w:tcPr>
          <w:p>
            <w:pPr>
              <w:spacing w:after="0"/>
              <w:rPr>
                <w:sz w:val="12"/>
                <w:szCs w:val="12"/>
                <w:color w:val="auto"/>
              </w:rPr>
            </w:pPr>
          </w:p>
        </w:tc>
        <w:tc>
          <w:tcPr>
            <w:tcW w:w="1180" w:type="dxa"/>
            <w:vAlign w:val="bottom"/>
            <w:shd w:val="clear" w:color="auto" w:fill="CFF0FC"/>
          </w:tcPr>
          <w:p>
            <w:pPr>
              <w:jc w:val="right"/>
              <w:ind w:right="194"/>
              <w:spacing w:after="0" w:line="146" w:lineRule="exact"/>
              <w:rPr>
                <w:sz w:val="20"/>
                <w:szCs w:val="20"/>
                <w:color w:val="auto"/>
              </w:rPr>
            </w:pPr>
            <w:r>
              <w:rPr>
                <w:rFonts w:ascii="Arial" w:cs="Arial" w:eastAsia="Arial" w:hAnsi="Arial"/>
                <w:sz w:val="13"/>
                <w:szCs w:val="13"/>
                <w:b w:val="1"/>
                <w:bCs w:val="1"/>
                <w:color w:val="auto"/>
              </w:rPr>
              <w:t>Principal ($) /</w:t>
            </w:r>
          </w:p>
        </w:tc>
        <w:tc>
          <w:tcPr>
            <w:tcW w:w="1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14"/>
              <w:spacing w:after="0" w:line="146" w:lineRule="exact"/>
              <w:rPr>
                <w:sz w:val="20"/>
                <w:szCs w:val="20"/>
                <w:color w:val="auto"/>
              </w:rPr>
            </w:pPr>
            <w:r>
              <w:rPr>
                <w:rFonts w:ascii="Arial" w:cs="Arial" w:eastAsia="Arial" w:hAnsi="Arial"/>
                <w:sz w:val="13"/>
                <w:szCs w:val="13"/>
                <w:b w:val="1"/>
                <w:bCs w:val="1"/>
                <w:color w:val="auto"/>
              </w:rPr>
              <w:t>Fair</w:t>
            </w:r>
          </w:p>
        </w:tc>
        <w:tc>
          <w:tcPr>
            <w:tcW w:w="880" w:type="dxa"/>
            <w:vAlign w:val="bottom"/>
            <w:shd w:val="clear" w:color="auto" w:fill="CFF0FC"/>
          </w:tcPr>
          <w:p>
            <w:pPr>
              <w:spacing w:after="0"/>
              <w:rPr>
                <w:sz w:val="12"/>
                <w:szCs w:val="12"/>
                <w:color w:val="auto"/>
              </w:rPr>
            </w:pPr>
          </w:p>
        </w:tc>
      </w:tr>
      <w:tr>
        <w:trPr>
          <w:trHeight w:val="194"/>
        </w:trPr>
        <w:tc>
          <w:tcPr>
            <w:tcW w:w="2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Portfolio Company</w:t>
            </w:r>
          </w:p>
        </w:tc>
        <w:tc>
          <w:tcPr>
            <w:tcW w:w="18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center"/>
              <w:ind w:right="160"/>
              <w:spacing w:after="0"/>
              <w:rPr>
                <w:sz w:val="20"/>
                <w:szCs w:val="20"/>
                <w:color w:val="auto"/>
              </w:rPr>
            </w:pPr>
            <w:r>
              <w:rPr>
                <w:rFonts w:ascii="Arial" w:cs="Arial" w:eastAsia="Arial" w:hAnsi="Arial"/>
                <w:sz w:val="13"/>
                <w:szCs w:val="13"/>
                <w:b w:val="1"/>
                <w:bCs w:val="1"/>
                <w:color w:val="auto"/>
                <w:w w:val="92"/>
              </w:rPr>
              <w:t>Description</w:t>
            </w:r>
            <w:r>
              <w:rPr>
                <w:rFonts w:ascii="Arial" w:cs="Arial" w:eastAsia="Arial" w:hAnsi="Arial"/>
                <w:sz w:val="16"/>
                <w:szCs w:val="16"/>
                <w:b w:val="1"/>
                <w:bCs w:val="1"/>
                <w:color w:val="auto"/>
                <w:w w:val="92"/>
                <w:vertAlign w:val="superscript"/>
              </w:rPr>
              <w:t>(1),(2),(4)</w:t>
            </w:r>
          </w:p>
        </w:tc>
        <w:tc>
          <w:tcPr>
            <w:tcW w:w="1060" w:type="dxa"/>
            <w:vAlign w:val="bottom"/>
            <w:shd w:val="clear" w:color="auto" w:fill="CFF0FC"/>
          </w:tcPr>
          <w:p>
            <w:pPr>
              <w:jc w:val="center"/>
              <w:ind w:left="34"/>
              <w:spacing w:after="0"/>
              <w:rPr>
                <w:sz w:val="20"/>
                <w:szCs w:val="20"/>
                <w:color w:val="auto"/>
              </w:rPr>
            </w:pPr>
            <w:r>
              <w:rPr>
                <w:rFonts w:ascii="Arial" w:cs="Arial" w:eastAsia="Arial" w:hAnsi="Arial"/>
                <w:sz w:val="13"/>
                <w:szCs w:val="13"/>
                <w:b w:val="1"/>
                <w:bCs w:val="1"/>
                <w:color w:val="auto"/>
                <w:w w:val="99"/>
              </w:rPr>
              <w:t>Date</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b w:val="1"/>
                <w:bCs w:val="1"/>
                <w:color w:val="auto"/>
                <w:w w:val="99"/>
              </w:rPr>
              <w:t>Maturity Date</w:t>
            </w:r>
          </w:p>
        </w:tc>
        <w:tc>
          <w:tcPr>
            <w:tcW w:w="1180" w:type="dxa"/>
            <w:vAlign w:val="bottom"/>
            <w:shd w:val="clear" w:color="auto" w:fill="CFF0FC"/>
          </w:tcPr>
          <w:p>
            <w:pPr>
              <w:jc w:val="right"/>
              <w:ind w:right="394"/>
              <w:spacing w:after="0"/>
              <w:rPr>
                <w:sz w:val="20"/>
                <w:szCs w:val="20"/>
                <w:color w:val="auto"/>
              </w:rPr>
            </w:pPr>
            <w:r>
              <w:rPr>
                <w:rFonts w:ascii="Arial" w:cs="Arial" w:eastAsia="Arial" w:hAnsi="Arial"/>
                <w:sz w:val="13"/>
                <w:szCs w:val="13"/>
                <w:b w:val="1"/>
                <w:bCs w:val="1"/>
                <w:color w:val="auto"/>
              </w:rPr>
              <w:t>Shares</w:t>
            </w:r>
          </w:p>
        </w:tc>
        <w:tc>
          <w:tcPr>
            <w:tcW w:w="1120" w:type="dxa"/>
            <w:vAlign w:val="bottom"/>
            <w:shd w:val="clear" w:color="auto" w:fill="CFF0FC"/>
          </w:tcPr>
          <w:p>
            <w:pPr>
              <w:jc w:val="right"/>
              <w:ind w:right="334"/>
              <w:spacing w:after="0"/>
              <w:rPr>
                <w:sz w:val="20"/>
                <w:szCs w:val="20"/>
                <w:color w:val="auto"/>
              </w:rPr>
            </w:pPr>
            <w:r>
              <w:rPr>
                <w:rFonts w:ascii="Arial" w:cs="Arial" w:eastAsia="Arial" w:hAnsi="Arial"/>
                <w:sz w:val="13"/>
                <w:szCs w:val="13"/>
                <w:b w:val="1"/>
                <w:bCs w:val="1"/>
                <w:color w:val="auto"/>
              </w:rPr>
              <w:t>Cost ($)</w:t>
            </w:r>
          </w:p>
        </w:tc>
        <w:tc>
          <w:tcPr>
            <w:tcW w:w="1100" w:type="dxa"/>
            <w:vAlign w:val="bottom"/>
            <w:shd w:val="clear" w:color="auto" w:fill="CFF0FC"/>
          </w:tcPr>
          <w:p>
            <w:pPr>
              <w:jc w:val="right"/>
              <w:ind w:right="1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(3)</w:t>
            </w:r>
          </w:p>
        </w:tc>
        <w:tc>
          <w:tcPr>
            <w:tcW w:w="880" w:type="dxa"/>
            <w:vAlign w:val="bottom"/>
            <w:shd w:val="clear" w:color="auto" w:fill="CFF0FC"/>
          </w:tcPr>
          <w:p>
            <w:pPr>
              <w:ind w:left="180"/>
              <w:spacing w:after="0"/>
              <w:rPr>
                <w:sz w:val="20"/>
                <w:szCs w:val="20"/>
                <w:color w:val="auto"/>
              </w:rPr>
            </w:pPr>
            <w:r>
              <w:rPr>
                <w:rFonts w:ascii="Arial" w:cs="Arial" w:eastAsia="Arial" w:hAnsi="Arial"/>
                <w:sz w:val="13"/>
                <w:szCs w:val="13"/>
                <w:b w:val="1"/>
                <w:bCs w:val="1"/>
                <w:color w:val="auto"/>
              </w:rPr>
              <w:t>Footnotes</w:t>
            </w:r>
          </w:p>
        </w:tc>
      </w:tr>
      <w:tr>
        <w:trPr>
          <w:trHeight w:val="152"/>
        </w:trPr>
        <w:tc>
          <w:tcPr>
            <w:tcW w:w="20" w:type="dxa"/>
            <w:vAlign w:val="bottom"/>
          </w:tcPr>
          <w:p>
            <w:pPr>
              <w:spacing w:after="0"/>
              <w:rPr>
                <w:sz w:val="13"/>
                <w:szCs w:val="13"/>
                <w:color w:val="auto"/>
              </w:rPr>
            </w:pPr>
          </w:p>
        </w:tc>
        <w:tc>
          <w:tcPr>
            <w:tcW w:w="416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0" w:type="dxa"/>
            <w:vAlign w:val="bottom"/>
            <w:shd w:val="clear" w:color="auto" w:fill="CFF0FC"/>
          </w:tcPr>
          <w:p>
            <w:pPr>
              <w:spacing w:after="0"/>
              <w:rPr>
                <w:sz w:val="16"/>
                <w:szCs w:val="16"/>
                <w:color w:val="auto"/>
              </w:rPr>
            </w:pPr>
          </w:p>
        </w:tc>
        <w:tc>
          <w:tcPr>
            <w:tcW w:w="222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3"/>
                <w:szCs w:val="13"/>
                <w:b w:val="1"/>
                <w:bCs w:val="1"/>
                <w:color w:val="auto"/>
              </w:rPr>
              <w:t>Warrants</w:t>
            </w:r>
          </w:p>
        </w:tc>
        <w:tc>
          <w:tcPr>
            <w:tcW w:w="180" w:type="dxa"/>
            <w:vAlign w:val="bottom"/>
            <w:tcBorders>
              <w:top w:val="single" w:sz="8" w:color="auto"/>
            </w:tcBorders>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Internet &amp; Direct Marketing Retail</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Madison Reed, Inc.</w:t>
            </w: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Success fee</w:t>
            </w:r>
          </w:p>
        </w:tc>
        <w:tc>
          <w:tcPr>
            <w:tcW w:w="106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12/16/2022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N/A</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132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139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 (17)</w:t>
            </w: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 Internet &amp; Direct Marketing Retail - 0.02%*</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132</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139</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b w:val="1"/>
                <w:bCs w:val="1"/>
                <w:color w:val="auto"/>
              </w:rPr>
              <w:t>Internet Software and Services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Bombora, Inc.</w:t>
            </w: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3/31/2021</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3/31/2031</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121,581</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175</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102</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color w:val="auto"/>
              </w:rPr>
              <w:t>Fidelis Cybersecurity, Inc.</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3/25/2022</w:t>
            </w:r>
          </w:p>
        </w:tc>
        <w:tc>
          <w:tcPr>
            <w:tcW w:w="1040" w:type="dxa"/>
            <w:vAlign w:val="bottom"/>
          </w:tcPr>
          <w:p>
            <w:pPr>
              <w:jc w:val="center"/>
              <w:spacing w:after="0"/>
              <w:rPr>
                <w:sz w:val="20"/>
                <w:szCs w:val="20"/>
                <w:color w:val="auto"/>
              </w:rPr>
            </w:pPr>
            <w:r>
              <w:rPr>
                <w:rFonts w:ascii="Arial" w:cs="Arial" w:eastAsia="Arial" w:hAnsi="Arial"/>
                <w:sz w:val="13"/>
                <w:szCs w:val="13"/>
                <w:color w:val="auto"/>
              </w:rPr>
              <w:t>3/25/2032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79</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79</w:t>
            </w:r>
          </w:p>
        </w:tc>
        <w:tc>
          <w:tcPr>
            <w:tcW w:w="880" w:type="dxa"/>
            <w:vAlign w:val="bottom"/>
          </w:tcPr>
          <w:p>
            <w:pPr>
              <w:ind w:left="100"/>
              <w:spacing w:after="0"/>
              <w:rPr>
                <w:sz w:val="20"/>
                <w:szCs w:val="20"/>
                <w:color w:val="auto"/>
              </w:rPr>
            </w:pPr>
            <w:r>
              <w:rPr>
                <w:rFonts w:ascii="Arial" w:cs="Arial" w:eastAsia="Arial" w:hAnsi="Arial"/>
                <w:sz w:val="13"/>
                <w:szCs w:val="13"/>
                <w:color w:val="auto"/>
              </w:rPr>
              <w:t>(12) (16)</w:t>
            </w:r>
          </w:p>
        </w:tc>
      </w:tr>
      <w:tr>
        <w:trPr>
          <w:trHeight w:val="185"/>
        </w:trPr>
        <w:tc>
          <w:tcPr>
            <w:tcW w:w="20" w:type="dxa"/>
            <w:vAlign w:val="bottom"/>
            <w:shd w:val="clear" w:color="auto" w:fill="CFF0FC"/>
          </w:tcPr>
          <w:p>
            <w:pPr>
              <w:spacing w:after="0"/>
              <w:rPr>
                <w:sz w:val="16"/>
                <w:szCs w:val="16"/>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INRIX, Inc.</w:t>
            </w: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7/26/2019</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7/26/2029</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150,804</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522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1,145</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61"/>
        </w:trPr>
        <w:tc>
          <w:tcPr>
            <w:tcW w:w="20" w:type="dxa"/>
            <w:vAlign w:val="bottom"/>
          </w:tcPr>
          <w:p>
            <w:pPr>
              <w:spacing w:after="0"/>
              <w:rPr>
                <w:sz w:val="13"/>
                <w:szCs w:val="13"/>
                <w:color w:val="auto"/>
              </w:rPr>
            </w:pPr>
          </w:p>
        </w:tc>
        <w:tc>
          <w:tcPr>
            <w:tcW w:w="2220" w:type="dxa"/>
            <w:vAlign w:val="bottom"/>
          </w:tcPr>
          <w:p>
            <w:pPr>
              <w:ind w:left="220"/>
              <w:spacing w:after="0"/>
              <w:rPr>
                <w:sz w:val="20"/>
                <w:szCs w:val="20"/>
                <w:color w:val="auto"/>
              </w:rPr>
            </w:pPr>
            <w:r>
              <w:rPr>
                <w:rFonts w:ascii="Arial" w:cs="Arial" w:eastAsia="Arial" w:hAnsi="Arial"/>
                <w:sz w:val="13"/>
                <w:szCs w:val="13"/>
                <w:color w:val="auto"/>
              </w:rPr>
              <w:t>Longtail Ad Solutions, Inc. (dba</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12/12/2019</w:t>
            </w:r>
          </w:p>
        </w:tc>
        <w:tc>
          <w:tcPr>
            <w:tcW w:w="1040" w:type="dxa"/>
            <w:vAlign w:val="bottom"/>
          </w:tcPr>
          <w:p>
            <w:pPr>
              <w:jc w:val="center"/>
              <w:spacing w:after="0"/>
              <w:rPr>
                <w:sz w:val="20"/>
                <w:szCs w:val="20"/>
                <w:color w:val="auto"/>
              </w:rPr>
            </w:pPr>
            <w:r>
              <w:rPr>
                <w:rFonts w:ascii="Arial" w:cs="Arial" w:eastAsia="Arial" w:hAnsi="Arial"/>
                <w:sz w:val="13"/>
                <w:szCs w:val="13"/>
                <w:color w:val="auto"/>
              </w:rPr>
              <w:t>12/12/2029</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387,596</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47</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344</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71"/>
        </w:trPr>
        <w:tc>
          <w:tcPr>
            <w:tcW w:w="20" w:type="dxa"/>
            <w:vAlign w:val="bottom"/>
          </w:tcPr>
          <w:p>
            <w:pPr>
              <w:spacing w:after="0"/>
              <w:rPr>
                <w:sz w:val="14"/>
                <w:szCs w:val="14"/>
                <w:color w:val="auto"/>
              </w:rPr>
            </w:pPr>
          </w:p>
        </w:tc>
        <w:tc>
          <w:tcPr>
            <w:tcW w:w="2220" w:type="dxa"/>
            <w:vAlign w:val="bottom"/>
          </w:tcPr>
          <w:p>
            <w:pPr>
              <w:ind w:left="220"/>
              <w:spacing w:after="0"/>
              <w:rPr>
                <w:sz w:val="20"/>
                <w:szCs w:val="20"/>
                <w:color w:val="auto"/>
              </w:rPr>
            </w:pPr>
            <w:r>
              <w:rPr>
                <w:rFonts w:ascii="Arial" w:cs="Arial" w:eastAsia="Arial" w:hAnsi="Arial"/>
                <w:sz w:val="13"/>
                <w:szCs w:val="13"/>
                <w:color w:val="auto"/>
              </w:rPr>
              <w:t>JW Player)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Skillshare, Inc.</w:t>
            </w: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Success fee</w:t>
            </w:r>
          </w:p>
        </w:tc>
        <w:tc>
          <w:tcPr>
            <w:tcW w:w="106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11/8/2022</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11/8/2026</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243</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273</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 (17)</w:t>
            </w:r>
          </w:p>
        </w:tc>
      </w:tr>
      <w:tr>
        <w:trPr>
          <w:trHeight w:val="175"/>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color w:val="auto"/>
              </w:rPr>
              <w:t>Synack, Inc.</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6/30/2022</w:t>
            </w:r>
          </w:p>
        </w:tc>
        <w:tc>
          <w:tcPr>
            <w:tcW w:w="1040" w:type="dxa"/>
            <w:vAlign w:val="bottom"/>
          </w:tcPr>
          <w:p>
            <w:pPr>
              <w:jc w:val="center"/>
              <w:spacing w:after="0"/>
              <w:rPr>
                <w:sz w:val="20"/>
                <w:szCs w:val="20"/>
                <w:color w:val="auto"/>
              </w:rPr>
            </w:pPr>
            <w:r>
              <w:rPr>
                <w:rFonts w:ascii="Arial" w:cs="Arial" w:eastAsia="Arial" w:hAnsi="Arial"/>
                <w:sz w:val="13"/>
                <w:szCs w:val="13"/>
                <w:color w:val="auto"/>
              </w:rPr>
              <w:t>6/30/2032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102,363</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129</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118</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ind w:left="220"/>
              <w:spacing w:after="0"/>
              <w:rPr>
                <w:sz w:val="20"/>
                <w:szCs w:val="20"/>
                <w:color w:val="auto"/>
              </w:rPr>
            </w:pPr>
            <w:r>
              <w:rPr>
                <w:rFonts w:ascii="Arial" w:cs="Arial" w:eastAsia="Arial" w:hAnsi="Arial"/>
                <w:sz w:val="13"/>
                <w:szCs w:val="13"/>
                <w:b w:val="1"/>
                <w:bCs w:val="1"/>
                <w:color w:val="auto"/>
              </w:rPr>
              <w:t>Total Internet Software and Services - 0.36%*</w:t>
            </w:r>
          </w:p>
        </w:tc>
        <w:tc>
          <w:tcPr>
            <w:tcW w:w="10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1,195</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2,061</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Property &amp; Casualty Insurance</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color w:val="auto"/>
              </w:rPr>
              <w:t>Kin Insurance, Inc.</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Series D-3 Preferred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9/26/2022</w:t>
            </w:r>
          </w:p>
        </w:tc>
        <w:tc>
          <w:tcPr>
            <w:tcW w:w="1040" w:type="dxa"/>
            <w:vAlign w:val="bottom"/>
          </w:tcPr>
          <w:p>
            <w:pPr>
              <w:jc w:val="center"/>
              <w:spacing w:after="0"/>
              <w:rPr>
                <w:sz w:val="20"/>
                <w:szCs w:val="20"/>
                <w:color w:val="auto"/>
              </w:rPr>
            </w:pPr>
            <w:r>
              <w:rPr>
                <w:rFonts w:ascii="Arial" w:cs="Arial" w:eastAsia="Arial" w:hAnsi="Arial"/>
                <w:sz w:val="13"/>
                <w:szCs w:val="13"/>
                <w:color w:val="auto"/>
              </w:rPr>
              <w:t>9/26/2032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41,576</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302</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249</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Series D-3 Preferred Stock</w:t>
            </w:r>
          </w:p>
        </w:tc>
        <w:tc>
          <w:tcPr>
            <w:tcW w:w="106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5/5/2023</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5/5/2033</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11,549</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69</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 Property &amp; Casualty Insurance - 0.06%*</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371</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318</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b w:val="1"/>
                <w:bCs w:val="1"/>
                <w:color w:val="auto"/>
              </w:rPr>
              <w:t>Specialized Consumer Services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AllClear ID, Inc.</w:t>
            </w: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9/1/2017</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9/1/2027</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523,893</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1,053</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10/17/2018</w:t>
            </w:r>
          </w:p>
        </w:tc>
        <w:tc>
          <w:tcPr>
            <w:tcW w:w="1040" w:type="dxa"/>
            <w:vAlign w:val="bottom"/>
          </w:tcPr>
          <w:p>
            <w:pPr>
              <w:jc w:val="center"/>
              <w:spacing w:after="0"/>
              <w:rPr>
                <w:sz w:val="20"/>
                <w:szCs w:val="20"/>
                <w:color w:val="auto"/>
              </w:rPr>
            </w:pPr>
            <w:r>
              <w:rPr>
                <w:rFonts w:ascii="Arial" w:cs="Arial" w:eastAsia="Arial" w:hAnsi="Arial"/>
                <w:sz w:val="13"/>
                <w:szCs w:val="13"/>
                <w:color w:val="auto"/>
              </w:rPr>
              <w:t>10/17/2028</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346,621</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697</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Credit Sesame, Inc.</w:t>
            </w: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1/7/2020</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1/7/2030</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191,601</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425</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389</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 Specialized Consumer Services - 0.07%*</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2,175</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389</w:t>
            </w: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b w:val="1"/>
                <w:bCs w:val="1"/>
                <w:color w:val="auto"/>
              </w:rPr>
              <w:t>System Software</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Dejero Labs Inc.</w:t>
            </w: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5/31/2019</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5/31/2029</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333,621</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192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202</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(5) (8) (12)</w:t>
            </w:r>
          </w:p>
        </w:tc>
      </w:tr>
      <w:tr>
        <w:trPr>
          <w:trHeight w:val="175"/>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color w:val="auto"/>
              </w:rPr>
              <w:t>Scale Computing, Inc.</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3/29/2019</w:t>
            </w:r>
          </w:p>
        </w:tc>
        <w:tc>
          <w:tcPr>
            <w:tcW w:w="1040" w:type="dxa"/>
            <w:vAlign w:val="bottom"/>
          </w:tcPr>
          <w:p>
            <w:pPr>
              <w:jc w:val="center"/>
              <w:spacing w:after="0"/>
              <w:rPr>
                <w:sz w:val="20"/>
                <w:szCs w:val="20"/>
                <w:color w:val="auto"/>
              </w:rPr>
            </w:pPr>
            <w:r>
              <w:rPr>
                <w:rFonts w:ascii="Arial" w:cs="Arial" w:eastAsia="Arial" w:hAnsi="Arial"/>
                <w:sz w:val="13"/>
                <w:szCs w:val="13"/>
                <w:color w:val="auto"/>
              </w:rPr>
              <w:t>3/29/2029</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9,665,667</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346</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22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Total System Software - 0.04%*</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538</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202</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160" w:type="dxa"/>
            <w:vAlign w:val="bottom"/>
            <w:gridSpan w:val="4"/>
            <w:shd w:val="clear" w:color="auto" w:fill="CFF0FC"/>
          </w:tcPr>
          <w:p>
            <w:pPr>
              <w:ind w:left="220"/>
              <w:spacing w:after="0"/>
              <w:rPr>
                <w:sz w:val="20"/>
                <w:szCs w:val="20"/>
                <w:color w:val="auto"/>
              </w:rPr>
            </w:pPr>
            <w:r>
              <w:rPr>
                <w:rFonts w:ascii="Arial" w:cs="Arial" w:eastAsia="Arial" w:hAnsi="Arial"/>
                <w:sz w:val="13"/>
                <w:szCs w:val="13"/>
                <w:b w:val="1"/>
                <w:bCs w:val="1"/>
                <w:color w:val="auto"/>
              </w:rPr>
              <w:t>Technology Hardware, Storage &amp; Peripherals</w:t>
            </w: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3"/>
                <w:szCs w:val="13"/>
                <w:color w:val="auto"/>
              </w:rPr>
              <w:t>RealWear, Inc.</w:t>
            </w: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Series A Preferred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10/5/2018</w:t>
            </w:r>
          </w:p>
        </w:tc>
        <w:tc>
          <w:tcPr>
            <w:tcW w:w="1040" w:type="dxa"/>
            <w:vAlign w:val="bottom"/>
          </w:tcPr>
          <w:p>
            <w:pPr>
              <w:jc w:val="center"/>
              <w:spacing w:after="0"/>
              <w:rPr>
                <w:sz w:val="20"/>
                <w:szCs w:val="20"/>
                <w:color w:val="auto"/>
              </w:rPr>
            </w:pPr>
            <w:r>
              <w:rPr>
                <w:rFonts w:ascii="Arial" w:cs="Arial" w:eastAsia="Arial" w:hAnsi="Arial"/>
                <w:sz w:val="13"/>
                <w:szCs w:val="13"/>
                <w:color w:val="auto"/>
              </w:rPr>
              <w:t>10/5/2028</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112,451</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136</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342</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94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Series A Preferred Stock</w:t>
            </w:r>
          </w:p>
        </w:tc>
        <w:tc>
          <w:tcPr>
            <w:tcW w:w="106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12/28/2018</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12/28/2028</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22,491</w:t>
            </w: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25</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68</w:t>
            </w: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75"/>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940" w:type="dxa"/>
            <w:vAlign w:val="bottom"/>
            <w:gridSpan w:val="3"/>
          </w:tcPr>
          <w:p>
            <w:pPr>
              <w:ind w:left="40"/>
              <w:spacing w:after="0"/>
              <w:rPr>
                <w:sz w:val="20"/>
                <w:szCs w:val="20"/>
                <w:color w:val="auto"/>
              </w:rPr>
            </w:pPr>
            <w:r>
              <w:rPr>
                <w:rFonts w:ascii="Arial" w:cs="Arial" w:eastAsia="Arial" w:hAnsi="Arial"/>
                <w:sz w:val="13"/>
                <w:szCs w:val="13"/>
                <w:color w:val="auto"/>
              </w:rPr>
              <w:t>Series A Preferred Stock</w:t>
            </w:r>
          </w:p>
        </w:tc>
        <w:tc>
          <w:tcPr>
            <w:tcW w:w="1060" w:type="dxa"/>
            <w:vAlign w:val="bottom"/>
          </w:tcPr>
          <w:p>
            <w:pPr>
              <w:jc w:val="center"/>
              <w:ind w:left="54"/>
              <w:spacing w:after="0"/>
              <w:rPr>
                <w:sz w:val="20"/>
                <w:szCs w:val="20"/>
                <w:color w:val="auto"/>
              </w:rPr>
            </w:pPr>
            <w:r>
              <w:rPr>
                <w:rFonts w:ascii="Arial" w:cs="Arial" w:eastAsia="Arial" w:hAnsi="Arial"/>
                <w:sz w:val="13"/>
                <w:szCs w:val="13"/>
                <w:color w:val="auto"/>
              </w:rPr>
              <w:t>6/27/2019</w:t>
            </w:r>
          </w:p>
        </w:tc>
        <w:tc>
          <w:tcPr>
            <w:tcW w:w="1040" w:type="dxa"/>
            <w:vAlign w:val="bottom"/>
          </w:tcPr>
          <w:p>
            <w:pPr>
              <w:jc w:val="center"/>
              <w:spacing w:after="0"/>
              <w:rPr>
                <w:sz w:val="20"/>
                <w:szCs w:val="20"/>
                <w:color w:val="auto"/>
              </w:rPr>
            </w:pPr>
            <w:r>
              <w:rPr>
                <w:rFonts w:ascii="Arial" w:cs="Arial" w:eastAsia="Arial" w:hAnsi="Arial"/>
                <w:sz w:val="13"/>
                <w:szCs w:val="13"/>
                <w:color w:val="auto"/>
              </w:rPr>
              <w:t>6/27/2029</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123,894</w:t>
            </w:r>
          </w:p>
        </w:tc>
        <w:tc>
          <w:tcPr>
            <w:tcW w:w="1120" w:type="dxa"/>
            <w:vAlign w:val="bottom"/>
          </w:tcPr>
          <w:p>
            <w:pPr>
              <w:jc w:val="right"/>
              <w:ind w:right="114"/>
              <w:spacing w:after="0"/>
              <w:rPr>
                <w:sz w:val="20"/>
                <w:szCs w:val="20"/>
                <w:color w:val="auto"/>
              </w:rPr>
            </w:pPr>
            <w:r>
              <w:rPr>
                <w:rFonts w:ascii="Arial" w:cs="Arial" w:eastAsia="Arial" w:hAnsi="Arial"/>
                <w:sz w:val="13"/>
                <w:szCs w:val="13"/>
                <w:color w:val="auto"/>
              </w:rPr>
              <w:t>381</w:t>
            </w:r>
          </w:p>
        </w:tc>
        <w:tc>
          <w:tcPr>
            <w:tcW w:w="1100" w:type="dxa"/>
            <w:vAlign w:val="bottom"/>
          </w:tcPr>
          <w:p>
            <w:pPr>
              <w:jc w:val="right"/>
              <w:ind w:right="34"/>
              <w:spacing w:after="0"/>
              <w:rPr>
                <w:sz w:val="20"/>
                <w:szCs w:val="20"/>
                <w:color w:val="auto"/>
              </w:rPr>
            </w:pPr>
            <w:r>
              <w:rPr>
                <w:rFonts w:ascii="Arial" w:cs="Arial" w:eastAsia="Arial" w:hAnsi="Arial"/>
                <w:sz w:val="13"/>
                <w:szCs w:val="13"/>
                <w:color w:val="auto"/>
              </w:rPr>
              <w:t>377</w:t>
            </w: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ind w:left="220"/>
              <w:spacing w:after="0"/>
              <w:rPr>
                <w:sz w:val="20"/>
                <w:szCs w:val="20"/>
                <w:color w:val="auto"/>
              </w:rPr>
            </w:pPr>
            <w:r>
              <w:rPr>
                <w:rFonts w:ascii="Arial" w:cs="Arial" w:eastAsia="Arial" w:hAnsi="Arial"/>
                <w:sz w:val="13"/>
                <w:szCs w:val="13"/>
                <w:b w:val="1"/>
                <w:bCs w:val="1"/>
                <w:color w:val="auto"/>
              </w:rPr>
              <w:t>Total Technology Hardware, Storage &amp; Peripherals - 0.14%*</w:t>
            </w:r>
          </w:p>
        </w:tc>
        <w:tc>
          <w:tcPr>
            <w:tcW w:w="10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542</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787</w:t>
            </w: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Total Warrants - 2.22%*</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rPr>
              <w:t>18,487</w:t>
            </w: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12,670</w:t>
            </w:r>
          </w:p>
        </w:tc>
        <w:tc>
          <w:tcPr>
            <w:tcW w:w="880" w:type="dxa"/>
            <w:vAlign w:val="bottom"/>
            <w:shd w:val="clear" w:color="auto" w:fill="CFF0FC"/>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4160" w:type="dxa"/>
            <w:vAlign w:val="bottom"/>
            <w:gridSpan w:val="4"/>
          </w:tcPr>
          <w:p>
            <w:pPr>
              <w:spacing w:after="0" w:line="144" w:lineRule="exact"/>
              <w:rPr>
                <w:sz w:val="20"/>
                <w:szCs w:val="20"/>
                <w:color w:val="auto"/>
              </w:rPr>
            </w:pPr>
            <w:r>
              <w:rPr>
                <w:rFonts w:ascii="Arial" w:cs="Arial" w:eastAsia="Arial" w:hAnsi="Arial"/>
                <w:sz w:val="13"/>
                <w:szCs w:val="13"/>
                <w:b w:val="1"/>
                <w:bCs w:val="1"/>
                <w:color w:val="auto"/>
              </w:rPr>
              <w:t>Total Non-Control/Non-Affiliate Investments - 180.64%*</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20" w:type="dxa"/>
            <w:vAlign w:val="bottom"/>
          </w:tcPr>
          <w:p>
            <w:pPr>
              <w:jc w:val="right"/>
              <w:ind w:right="114"/>
              <w:spacing w:after="0" w:line="144" w:lineRule="exact"/>
              <w:rPr>
                <w:sz w:val="20"/>
                <w:szCs w:val="20"/>
                <w:color w:val="auto"/>
              </w:rPr>
            </w:pPr>
            <w:r>
              <w:rPr>
                <w:rFonts w:ascii="Arial" w:cs="Arial" w:eastAsia="Arial" w:hAnsi="Arial"/>
                <w:sz w:val="13"/>
                <w:szCs w:val="13"/>
                <w:color w:val="auto"/>
              </w:rPr>
              <w:t>1,048,488</w:t>
            </w:r>
          </w:p>
        </w:tc>
        <w:tc>
          <w:tcPr>
            <w:tcW w:w="1100" w:type="dxa"/>
            <w:vAlign w:val="bottom"/>
          </w:tcPr>
          <w:p>
            <w:pPr>
              <w:jc w:val="right"/>
              <w:ind w:right="34"/>
              <w:spacing w:after="0" w:line="144" w:lineRule="exact"/>
              <w:rPr>
                <w:sz w:val="20"/>
                <w:szCs w:val="20"/>
                <w:color w:val="auto"/>
              </w:rPr>
            </w:pPr>
            <w:r>
              <w:rPr>
                <w:rFonts w:ascii="Arial" w:cs="Arial" w:eastAsia="Arial" w:hAnsi="Arial"/>
                <w:sz w:val="13"/>
                <w:szCs w:val="13"/>
                <w:color w:val="auto"/>
              </w:rPr>
              <w:t>1,036,661</w:t>
            </w:r>
          </w:p>
        </w:tc>
        <w:tc>
          <w:tcPr>
            <w:tcW w:w="88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3" w:name="page14"/>
    <w:bookmarkEnd w:id="13"/>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(Unaudited)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June 30,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Initial</w:t>
            </w:r>
          </w:p>
        </w:tc>
        <w:tc>
          <w:tcPr>
            <w:tcW w:w="1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40" w:type="dxa"/>
            <w:vAlign w:val="bottom"/>
          </w:tcPr>
          <w:p>
            <w:pPr>
              <w:ind w:left="620"/>
              <w:spacing w:after="0" w:line="146" w:lineRule="exact"/>
              <w:rPr>
                <w:sz w:val="20"/>
                <w:szCs w:val="20"/>
                <w:color w:val="auto"/>
              </w:rPr>
            </w:pPr>
            <w:r>
              <w:rPr>
                <w:rFonts w:ascii="Arial" w:cs="Arial" w:eastAsia="Arial" w:hAnsi="Arial"/>
                <w:sz w:val="13"/>
                <w:szCs w:val="13"/>
                <w:b w:val="1"/>
                <w:bCs w:val="1"/>
                <w:color w:val="auto"/>
              </w:rPr>
              <w:t>Investment</w:t>
            </w:r>
          </w:p>
        </w:tc>
        <w:tc>
          <w:tcPr>
            <w:tcW w:w="10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Acquisition</w:t>
            </w:r>
          </w:p>
        </w:tc>
        <w:tc>
          <w:tcPr>
            <w:tcW w:w="1000" w:type="dxa"/>
            <w:vAlign w:val="bottom"/>
          </w:tcPr>
          <w:p>
            <w:pPr>
              <w:jc w:val="center"/>
              <w:ind w:right="14"/>
              <w:spacing w:after="0" w:line="146" w:lineRule="exact"/>
              <w:rPr>
                <w:sz w:val="20"/>
                <w:szCs w:val="20"/>
                <w:color w:val="auto"/>
              </w:rPr>
            </w:pPr>
            <w:r>
              <w:rPr>
                <w:rFonts w:ascii="Arial" w:cs="Arial" w:eastAsia="Arial" w:hAnsi="Arial"/>
                <w:sz w:val="13"/>
                <w:szCs w:val="13"/>
                <w:b w:val="1"/>
                <w:bCs w:val="1"/>
                <w:color w:val="auto"/>
              </w:rPr>
              <w:t>Maturity</w:t>
            </w:r>
          </w:p>
        </w:tc>
        <w:tc>
          <w:tcPr>
            <w:tcW w:w="140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rPr>
              <w:t>Principal ($) /</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Fair</w:t>
            </w:r>
          </w:p>
        </w:tc>
        <w:tc>
          <w:tcPr>
            <w:tcW w:w="880" w:type="dxa"/>
            <w:vAlign w:val="bottom"/>
          </w:tcPr>
          <w:p>
            <w:pPr>
              <w:spacing w:after="0"/>
              <w:rPr>
                <w:sz w:val="12"/>
                <w:szCs w:val="12"/>
                <w:color w:val="auto"/>
              </w:rPr>
            </w:pPr>
          </w:p>
        </w:tc>
      </w:tr>
      <w:tr>
        <w:trPr>
          <w:trHeight w:val="194"/>
        </w:trPr>
        <w:tc>
          <w:tcPr>
            <w:tcW w:w="2240" w:type="dxa"/>
            <w:vAlign w:val="bottom"/>
            <w:gridSpan w:val="4"/>
          </w:tcPr>
          <w:p>
            <w:pPr>
              <w:ind w:left="20"/>
              <w:spacing w:after="0"/>
              <w:rPr>
                <w:sz w:val="20"/>
                <w:szCs w:val="20"/>
                <w:color w:val="auto"/>
              </w:rPr>
            </w:pPr>
            <w:r>
              <w:rPr>
                <w:rFonts w:ascii="Arial" w:cs="Arial" w:eastAsia="Arial" w:hAnsi="Arial"/>
                <w:sz w:val="13"/>
                <w:szCs w:val="13"/>
                <w:b w:val="1"/>
                <w:bCs w:val="1"/>
                <w:color w:val="auto"/>
              </w:rPr>
              <w:t>Portfolio Company</w:t>
            </w:r>
          </w:p>
        </w:tc>
        <w:tc>
          <w:tcPr>
            <w:tcW w:w="1940" w:type="dxa"/>
            <w:vAlign w:val="bottom"/>
          </w:tcPr>
          <w:p>
            <w:pPr>
              <w:ind w:left="440"/>
              <w:spacing w:after="0" w:line="194" w:lineRule="exact"/>
              <w:rPr>
                <w:sz w:val="20"/>
                <w:szCs w:val="20"/>
                <w:color w:val="auto"/>
              </w:rPr>
            </w:pPr>
            <w:r>
              <w:rPr>
                <w:rFonts w:ascii="Arial" w:cs="Arial" w:eastAsia="Arial" w:hAnsi="Arial"/>
                <w:sz w:val="22"/>
                <w:szCs w:val="22"/>
                <w:b w:val="1"/>
                <w:bCs w:val="1"/>
                <w:color w:val="auto"/>
                <w:vertAlign w:val="subscript"/>
              </w:rPr>
              <w:t>Description</w:t>
            </w:r>
            <w:r>
              <w:rPr>
                <w:rFonts w:ascii="Arial" w:cs="Arial" w:eastAsia="Arial" w:hAnsi="Arial"/>
                <w:sz w:val="8"/>
                <w:szCs w:val="8"/>
                <w:b w:val="1"/>
                <w:bCs w:val="1"/>
                <w:color w:val="auto"/>
              </w:rPr>
              <w:t>(1),(2),(4)</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000" w:type="dxa"/>
            <w:vAlign w:val="bottom"/>
          </w:tcPr>
          <w:p>
            <w:pPr>
              <w:jc w:val="center"/>
              <w:ind w:right="14"/>
              <w:spacing w:after="0"/>
              <w:rPr>
                <w:sz w:val="20"/>
                <w:szCs w:val="20"/>
                <w:color w:val="auto"/>
              </w:rPr>
            </w:pPr>
            <w:r>
              <w:rPr>
                <w:rFonts w:ascii="Arial" w:cs="Arial" w:eastAsia="Arial" w:hAnsi="Arial"/>
                <w:sz w:val="13"/>
                <w:szCs w:val="13"/>
                <w:b w:val="1"/>
                <w:bCs w:val="1"/>
                <w:color w:val="auto"/>
                <w:w w:val="99"/>
              </w:rPr>
              <w:t>Date</w:t>
            </w: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ind w:right="154"/>
              <w:spacing w:after="0"/>
              <w:rPr>
                <w:sz w:val="20"/>
                <w:szCs w:val="20"/>
                <w:color w:val="auto"/>
              </w:rPr>
            </w:pPr>
            <w:r>
              <w:rPr>
                <w:rFonts w:ascii="Arial" w:cs="Arial" w:eastAsia="Arial" w:hAnsi="Arial"/>
                <w:sz w:val="13"/>
                <w:szCs w:val="13"/>
                <w:b w:val="1"/>
                <w:bCs w:val="1"/>
                <w:color w:val="auto"/>
              </w:rPr>
              <w:t>Cost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 xml:space="preserve">Value ($) </w:t>
            </w:r>
            <w:r>
              <w:rPr>
                <w:rFonts w:ascii="Arial" w:cs="Arial" w:eastAsia="Arial" w:hAnsi="Arial"/>
                <w:sz w:val="16"/>
                <w:szCs w:val="16"/>
                <w:b w:val="1"/>
                <w:bCs w:val="1"/>
                <w:color w:val="auto"/>
                <w:w w:val="95"/>
                <w:vertAlign w:val="superscript"/>
              </w:rPr>
              <w:t>(3)</w:t>
            </w:r>
          </w:p>
        </w:tc>
        <w:tc>
          <w:tcPr>
            <w:tcW w:w="880" w:type="dxa"/>
            <w:vAlign w:val="bottom"/>
          </w:tcPr>
          <w:p>
            <w:pPr>
              <w:ind w:left="180"/>
              <w:spacing w:after="0"/>
              <w:rPr>
                <w:sz w:val="20"/>
                <w:szCs w:val="20"/>
                <w:color w:val="auto"/>
              </w:rPr>
            </w:pPr>
            <w:r>
              <w:rPr>
                <w:rFonts w:ascii="Arial" w:cs="Arial" w:eastAsia="Arial" w:hAnsi="Arial"/>
                <w:sz w:val="13"/>
                <w:szCs w:val="13"/>
                <w:b w:val="1"/>
                <w:bCs w:val="1"/>
                <w:color w:val="auto"/>
              </w:rPr>
              <w:t>Footnotes</w:t>
            </w:r>
          </w:p>
        </w:tc>
      </w:tr>
      <w:tr>
        <w:trPr>
          <w:trHeight w:val="144"/>
        </w:trPr>
        <w:tc>
          <w:tcPr>
            <w:tcW w:w="2240" w:type="dxa"/>
            <w:vAlign w:val="bottom"/>
            <w:tcBorders>
              <w:right w:val="single" w:sz="8" w:color="CFF0FC"/>
            </w:tcBorders>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Affiliate Investments</w:t>
            </w:r>
          </w:p>
        </w:tc>
        <w:tc>
          <w:tcPr>
            <w:tcW w:w="19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(18)</w:t>
            </w:r>
          </w:p>
        </w:tc>
      </w:tr>
      <w:tr>
        <w:trPr>
          <w:trHeight w:val="36"/>
        </w:trPr>
        <w:tc>
          <w:tcPr>
            <w:tcW w:w="20" w:type="dxa"/>
            <w:vAlign w:val="bottom"/>
            <w:shd w:val="clear" w:color="auto" w:fill="CFF0FC"/>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400" w:type="dxa"/>
            <w:vAlign w:val="bottom"/>
            <w:tcBorders>
              <w:right w:val="single" w:sz="8" w:color="CFF0FC"/>
            </w:tcBorders>
            <w:shd w:val="clear" w:color="auto" w:fill="CFF0FC"/>
          </w:tcPr>
          <w:p>
            <w:pPr>
              <w:spacing w:after="0"/>
              <w:rPr>
                <w:sz w:val="3"/>
                <w:szCs w:val="3"/>
                <w:color w:val="auto"/>
              </w:rPr>
            </w:pPr>
          </w:p>
        </w:tc>
        <w:tc>
          <w:tcPr>
            <w:tcW w:w="19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2220" w:type="dxa"/>
            <w:vAlign w:val="bottom"/>
            <w:gridSpan w:val="3"/>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220" w:type="dxa"/>
            <w:vAlign w:val="bottom"/>
            <w:gridSpan w:val="3"/>
          </w:tcPr>
          <w:p>
            <w:pPr>
              <w:ind w:left="220"/>
              <w:spacing w:after="0"/>
              <w:rPr>
                <w:sz w:val="20"/>
                <w:szCs w:val="20"/>
                <w:color w:val="auto"/>
              </w:rPr>
            </w:pPr>
            <w:r>
              <w:rPr>
                <w:rFonts w:ascii="Arial" w:cs="Arial" w:eastAsia="Arial" w:hAnsi="Arial"/>
                <w:sz w:val="13"/>
                <w:szCs w:val="13"/>
                <w:color w:val="auto"/>
              </w:rPr>
              <w:t>Gynesonics, Inc.</w:t>
            </w:r>
          </w:p>
        </w:tc>
        <w:tc>
          <w:tcPr>
            <w:tcW w:w="1940" w:type="dxa"/>
            <w:vAlign w:val="bottom"/>
          </w:tcPr>
          <w:p>
            <w:pPr>
              <w:ind w:left="40"/>
              <w:spacing w:after="0"/>
              <w:rPr>
                <w:sz w:val="20"/>
                <w:szCs w:val="20"/>
                <w:color w:val="auto"/>
              </w:rPr>
            </w:pPr>
            <w:r>
              <w:rPr>
                <w:rFonts w:ascii="Arial" w:cs="Arial" w:eastAsia="Arial" w:hAnsi="Arial"/>
                <w:sz w:val="13"/>
                <w:szCs w:val="13"/>
                <w:color w:val="auto"/>
              </w:rPr>
              <w:t>SOFR+8.75%, 8.00% ceiling,</w:t>
            </w:r>
          </w:p>
        </w:tc>
        <w:tc>
          <w:tcPr>
            <w:tcW w:w="1060" w:type="dxa"/>
            <w:vAlign w:val="bottom"/>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tcPr>
          <w:p>
            <w:pPr>
              <w:jc w:val="center"/>
              <w:spacing w:after="0"/>
              <w:rPr>
                <w:sz w:val="20"/>
                <w:szCs w:val="20"/>
                <w:color w:val="auto"/>
              </w:rPr>
            </w:pPr>
            <w:r>
              <w:rPr>
                <w:rFonts w:ascii="Arial" w:cs="Arial" w:eastAsia="Arial" w:hAnsi="Arial"/>
                <w:sz w:val="13"/>
                <w:szCs w:val="13"/>
                <w:color w:val="auto"/>
              </w:rPr>
              <w:t>11/30/2026</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25,595</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25,739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23,124</w:t>
            </w:r>
          </w:p>
        </w:tc>
        <w:tc>
          <w:tcPr>
            <w:tcW w:w="10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(11)</w:t>
            </w:r>
          </w:p>
        </w:tc>
      </w:tr>
      <w:tr>
        <w:trPr>
          <w:trHeight w:val="17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Arial" w:cs="Arial" w:eastAsia="Arial" w:hAnsi="Arial"/>
                <w:sz w:val="13"/>
                <w:szCs w:val="13"/>
                <w:color w:val="auto"/>
              </w:rPr>
              <w:t>5.00% ETP</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ind w:left="220"/>
              <w:spacing w:after="0"/>
              <w:rPr>
                <w:sz w:val="20"/>
                <w:szCs w:val="20"/>
                <w:color w:val="auto"/>
              </w:rPr>
            </w:pPr>
            <w:r>
              <w:rPr>
                <w:rFonts w:ascii="Arial" w:cs="Arial" w:eastAsia="Arial" w:hAnsi="Arial"/>
                <w:sz w:val="13"/>
                <w:szCs w:val="13"/>
                <w:b w:val="1"/>
                <w:bCs w:val="1"/>
                <w:color w:val="auto"/>
              </w:rPr>
              <w:t>Total Health Care Technology - 4.03%*</w:t>
            </w:r>
          </w:p>
        </w:tc>
        <w:tc>
          <w:tcPr>
            <w:tcW w:w="10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25,739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23,124</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160" w:type="dxa"/>
            <w:vAlign w:val="bottom"/>
            <w:gridSpan w:val="4"/>
            <w:shd w:val="clear" w:color="auto" w:fill="CFF0FC"/>
          </w:tcPr>
          <w:p>
            <w:pPr>
              <w:ind w:left="100"/>
              <w:spacing w:after="0"/>
              <w:rPr>
                <w:sz w:val="20"/>
                <w:szCs w:val="20"/>
                <w:color w:val="auto"/>
              </w:rPr>
            </w:pPr>
            <w:r>
              <w:rPr>
                <w:rFonts w:ascii="Arial" w:cs="Arial" w:eastAsia="Arial" w:hAnsi="Arial"/>
                <w:sz w:val="13"/>
                <w:szCs w:val="13"/>
                <w:b w:val="1"/>
                <w:bCs w:val="1"/>
                <w:color w:val="auto"/>
              </w:rPr>
              <w:t>Total Senior Secured Term Loans - 4.03%*</w:t>
            </w: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25,739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23,124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100"/>
              <w:spacing w:after="0"/>
              <w:rPr>
                <w:sz w:val="20"/>
                <w:szCs w:val="20"/>
                <w:color w:val="auto"/>
              </w:rPr>
            </w:pPr>
            <w:r>
              <w:rPr>
                <w:rFonts w:ascii="Arial" w:cs="Arial" w:eastAsia="Arial" w:hAnsi="Arial"/>
                <w:sz w:val="13"/>
                <w:szCs w:val="13"/>
                <w:b w:val="1"/>
                <w:bCs w:val="1"/>
                <w:color w:val="auto"/>
              </w:rPr>
              <w:t>Preferred Stocks</w:t>
            </w: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gridSpan w:val="3"/>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3"/>
                <w:szCs w:val="13"/>
                <w:color w:val="auto"/>
              </w:rPr>
              <w:t>Gynesonics, Inc.</w:t>
            </w:r>
          </w:p>
        </w:tc>
        <w:tc>
          <w:tcPr>
            <w:tcW w:w="1940" w:type="dxa"/>
            <w:vAlign w:val="bottom"/>
            <w:shd w:val="clear" w:color="auto" w:fill="CFF0FC"/>
          </w:tcPr>
          <w:p>
            <w:pPr>
              <w:ind w:left="40"/>
              <w:spacing w:after="0"/>
              <w:rPr>
                <w:sz w:val="20"/>
                <w:szCs w:val="20"/>
                <w:color w:val="auto"/>
              </w:rPr>
            </w:pPr>
            <w:r>
              <w:rPr>
                <w:rFonts w:ascii="Arial" w:cs="Arial" w:eastAsia="Arial" w:hAnsi="Arial"/>
                <w:sz w:val="13"/>
                <w:szCs w:val="13"/>
                <w:color w:val="auto"/>
              </w:rPr>
              <w:t>Series A-2 Preferred Stock</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3,266,668</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21,818</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 Health Care Technology - 3.80%*</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21,818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 Preferred Stocks - 3.80%*</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21,818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gridSpan w:val="3"/>
          </w:tcPr>
          <w:p>
            <w:pPr>
              <w:ind w:left="100"/>
              <w:spacing w:after="0"/>
              <w:rPr>
                <w:sz w:val="20"/>
                <w:szCs w:val="20"/>
                <w:color w:val="auto"/>
              </w:rPr>
            </w:pPr>
            <w:r>
              <w:rPr>
                <w:rFonts w:ascii="Arial" w:cs="Arial" w:eastAsia="Arial" w:hAnsi="Arial"/>
                <w:sz w:val="13"/>
                <w:szCs w:val="13"/>
                <w:b w:val="1"/>
                <w:bCs w:val="1"/>
                <w:color w:val="auto"/>
              </w:rPr>
              <w:t>Common Stocks</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220" w:type="dxa"/>
            <w:vAlign w:val="bottom"/>
            <w:gridSpan w:val="3"/>
          </w:tcPr>
          <w:p>
            <w:pPr>
              <w:ind w:left="220"/>
              <w:spacing w:after="0"/>
              <w:rPr>
                <w:sz w:val="20"/>
                <w:szCs w:val="20"/>
                <w:color w:val="auto"/>
              </w:rPr>
            </w:pPr>
            <w:r>
              <w:rPr>
                <w:rFonts w:ascii="Arial" w:cs="Arial" w:eastAsia="Arial" w:hAnsi="Arial"/>
                <w:sz w:val="13"/>
                <w:szCs w:val="13"/>
                <w:color w:val="auto"/>
              </w:rPr>
              <w:t>Coginiti Corp</w:t>
            </w:r>
          </w:p>
        </w:tc>
        <w:tc>
          <w:tcPr>
            <w:tcW w:w="1940" w:type="dxa"/>
            <w:vAlign w:val="bottom"/>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tcPr>
          <w:p>
            <w:pPr>
              <w:jc w:val="center"/>
              <w:spacing w:after="0"/>
              <w:rPr>
                <w:sz w:val="20"/>
                <w:szCs w:val="20"/>
                <w:color w:val="auto"/>
              </w:rPr>
            </w:pPr>
            <w:r>
              <w:rPr>
                <w:rFonts w:ascii="Arial" w:cs="Arial" w:eastAsia="Arial" w:hAnsi="Arial"/>
                <w:sz w:val="13"/>
                <w:szCs w:val="13"/>
                <w:color w:val="auto"/>
              </w:rPr>
              <w:t>3/9/2020</w:t>
            </w:r>
          </w:p>
        </w:tc>
        <w:tc>
          <w:tcPr>
            <w:tcW w:w="1000" w:type="dxa"/>
            <w:vAlign w:val="bottom"/>
          </w:tcPr>
          <w:p>
            <w:pPr>
              <w:ind w:left="74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154"/>
              <w:spacing w:after="0"/>
              <w:rPr>
                <w:sz w:val="20"/>
                <w:szCs w:val="20"/>
                <w:color w:val="auto"/>
              </w:rPr>
            </w:pPr>
            <w:r>
              <w:rPr>
                <w:rFonts w:ascii="Arial" w:cs="Arial" w:eastAsia="Arial" w:hAnsi="Arial"/>
                <w:sz w:val="13"/>
                <w:szCs w:val="13"/>
                <w:color w:val="auto"/>
              </w:rPr>
              <w:t>1,040,160</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5"/>
                <w:szCs w:val="15"/>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(12)</w:t>
            </w:r>
          </w:p>
        </w:tc>
      </w:tr>
      <w:tr>
        <w:trPr>
          <w:trHeight w:val="185"/>
        </w:trPr>
        <w:tc>
          <w:tcPr>
            <w:tcW w:w="20" w:type="dxa"/>
            <w:vAlign w:val="bottom"/>
            <w:shd w:val="clear" w:color="auto" w:fill="CFF0FC"/>
          </w:tcPr>
          <w:p>
            <w:pPr>
              <w:spacing w:after="0"/>
              <w:rPr>
                <w:sz w:val="16"/>
                <w:szCs w:val="16"/>
                <w:color w:val="auto"/>
              </w:rPr>
            </w:pPr>
          </w:p>
        </w:tc>
        <w:tc>
          <w:tcPr>
            <w:tcW w:w="4160" w:type="dxa"/>
            <w:vAlign w:val="bottom"/>
            <w:gridSpan w:val="4"/>
            <w:shd w:val="clear" w:color="auto" w:fill="CFF0FC"/>
          </w:tcPr>
          <w:p>
            <w:pPr>
              <w:ind w:left="220"/>
              <w:spacing w:after="0"/>
              <w:rPr>
                <w:sz w:val="20"/>
                <w:szCs w:val="20"/>
                <w:color w:val="auto"/>
              </w:rPr>
            </w:pPr>
            <w:r>
              <w:rPr>
                <w:rFonts w:ascii="Arial" w:cs="Arial" w:eastAsia="Arial" w:hAnsi="Arial"/>
                <w:sz w:val="13"/>
                <w:szCs w:val="13"/>
                <w:b w:val="1"/>
                <w:bCs w:val="1"/>
                <w:color w:val="auto"/>
              </w:rPr>
              <w:t>Total Application Software - 0.16%*</w:t>
            </w:r>
          </w:p>
        </w:tc>
        <w:tc>
          <w:tcPr>
            <w:tcW w:w="10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100"/>
              <w:spacing w:after="0"/>
              <w:rPr>
                <w:sz w:val="20"/>
                <w:szCs w:val="20"/>
                <w:color w:val="auto"/>
              </w:rPr>
            </w:pPr>
            <w:r>
              <w:rPr>
                <w:rFonts w:ascii="Arial" w:cs="Arial" w:eastAsia="Arial" w:hAnsi="Arial"/>
                <w:sz w:val="13"/>
                <w:szCs w:val="13"/>
                <w:b w:val="1"/>
                <w:bCs w:val="1"/>
                <w:color w:val="auto"/>
              </w:rPr>
              <w:t>Total Common Stocks - 0.16%*</w:t>
            </w: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914</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100"/>
              <w:spacing w:after="0"/>
              <w:rPr>
                <w:sz w:val="20"/>
                <w:szCs w:val="20"/>
                <w:color w:val="auto"/>
              </w:rPr>
            </w:pPr>
            <w:r>
              <w:rPr>
                <w:rFonts w:ascii="Arial" w:cs="Arial" w:eastAsia="Arial" w:hAnsi="Arial"/>
                <w:sz w:val="13"/>
                <w:szCs w:val="13"/>
                <w:b w:val="1"/>
                <w:bCs w:val="1"/>
                <w:color w:val="auto"/>
              </w:rPr>
              <w:t>Warrants</w:t>
            </w: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gridSpan w:val="3"/>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3"/>
                <w:szCs w:val="13"/>
                <w:color w:val="auto"/>
              </w:rPr>
              <w:t>Coginiti Corp</w:t>
            </w:r>
          </w:p>
        </w:tc>
        <w:tc>
          <w:tcPr>
            <w:tcW w:w="1940" w:type="dxa"/>
            <w:vAlign w:val="bottom"/>
            <w:shd w:val="clear" w:color="auto" w:fill="CFF0FC"/>
          </w:tcPr>
          <w:p>
            <w:pPr>
              <w:ind w:left="40"/>
              <w:spacing w:after="0"/>
              <w:rPr>
                <w:sz w:val="20"/>
                <w:szCs w:val="20"/>
                <w:color w:val="auto"/>
              </w:rPr>
            </w:pPr>
            <w:r>
              <w:rPr>
                <w:rFonts w:ascii="Arial" w:cs="Arial" w:eastAsia="Arial" w:hAnsi="Arial"/>
                <w:sz w:val="13"/>
                <w:szCs w:val="13"/>
                <w:color w:val="auto"/>
              </w:rPr>
              <w:t>Common Stock</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3/9/2020</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3/9/2030</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811,770</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w:t>
            </w: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 Application Software - 0.15%*</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gridSpan w:val="3"/>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22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3"/>
                <w:szCs w:val="13"/>
                <w:color w:val="auto"/>
              </w:rPr>
              <w:t>Gynesonics, Inc.</w:t>
            </w:r>
          </w:p>
        </w:tc>
        <w:tc>
          <w:tcPr>
            <w:tcW w:w="1940" w:type="dxa"/>
            <w:vAlign w:val="bottom"/>
            <w:shd w:val="clear" w:color="auto" w:fill="CFF0FC"/>
          </w:tcPr>
          <w:p>
            <w:pPr>
              <w:ind w:left="40"/>
              <w:spacing w:after="0"/>
              <w:rPr>
                <w:sz w:val="20"/>
                <w:szCs w:val="20"/>
                <w:color w:val="auto"/>
              </w:rPr>
            </w:pPr>
            <w:r>
              <w:rPr>
                <w:rFonts w:ascii="Arial" w:cs="Arial" w:eastAsia="Arial" w:hAnsi="Arial"/>
                <w:sz w:val="13"/>
                <w:szCs w:val="13"/>
                <w:color w:val="auto"/>
              </w:rPr>
              <w:t>Success fee</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3/1/2023</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3/1/2030</w:t>
            </w:r>
          </w:p>
        </w:tc>
        <w:tc>
          <w:tcPr>
            <w:tcW w:w="1400" w:type="dxa"/>
            <w:vAlign w:val="bottom"/>
            <w:gridSpan w:val="2"/>
            <w:shd w:val="clear" w:color="auto" w:fill="CFF0FC"/>
          </w:tcPr>
          <w:p>
            <w:pPr>
              <w:jc w:val="right"/>
              <w:ind w:right="3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(12) (17)</w:t>
            </w: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 Health Care Technology - 0.06%*</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2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 Warrants - 0.21%*</w:t>
            </w:r>
          </w:p>
        </w:tc>
        <w:tc>
          <w:tcPr>
            <w:tcW w:w="1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44"/>
        </w:trPr>
        <w:tc>
          <w:tcPr>
            <w:tcW w:w="2240" w:type="dxa"/>
            <w:vAlign w:val="bottom"/>
            <w:tcBorders>
              <w:right w:val="single" w:sz="8" w:color="CFF0FC"/>
            </w:tcBorders>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Total Affiliate Investments - 8.20%*</w:t>
            </w:r>
          </w:p>
        </w:tc>
        <w:tc>
          <w:tcPr>
            <w:tcW w:w="19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55,603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47,047</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r>
      <w:tr>
        <w:trPr>
          <w:trHeight w:val="36"/>
        </w:trPr>
        <w:tc>
          <w:tcPr>
            <w:tcW w:w="20" w:type="dxa"/>
            <w:vAlign w:val="bottom"/>
            <w:shd w:val="clear" w:color="auto" w:fill="CFF0FC"/>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19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r>
      <w:tr>
        <w:trPr>
          <w:trHeight w:val="144"/>
        </w:trPr>
        <w:tc>
          <w:tcPr>
            <w:tcW w:w="224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rPr>
              <w:t>Control Investments</w:t>
            </w:r>
          </w:p>
        </w:tc>
        <w:tc>
          <w:tcPr>
            <w:tcW w:w="1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ind w:left="100"/>
              <w:spacing w:after="0" w:line="144" w:lineRule="exact"/>
              <w:rPr>
                <w:sz w:val="20"/>
                <w:szCs w:val="20"/>
                <w:color w:val="auto"/>
              </w:rPr>
            </w:pPr>
            <w:r>
              <w:rPr>
                <w:rFonts w:ascii="Arial" w:cs="Arial" w:eastAsia="Arial" w:hAnsi="Arial"/>
                <w:sz w:val="13"/>
                <w:szCs w:val="13"/>
                <w:color w:val="auto"/>
              </w:rPr>
              <w:t>(19)</w:t>
            </w:r>
          </w:p>
        </w:tc>
      </w:tr>
      <w:tr>
        <w:trPr>
          <w:trHeight w:val="28"/>
        </w:trPr>
        <w:tc>
          <w:tcPr>
            <w:tcW w:w="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8"/>
        </w:trPr>
        <w:tc>
          <w:tcPr>
            <w:tcW w:w="20" w:type="dxa"/>
            <w:vAlign w:val="bottom"/>
            <w:shd w:val="clear" w:color="auto" w:fill="CFF0FC"/>
          </w:tcPr>
          <w:p>
            <w:pPr>
              <w:spacing w:after="0"/>
              <w:rPr>
                <w:sz w:val="16"/>
                <w:szCs w:val="16"/>
                <w:color w:val="auto"/>
              </w:rPr>
            </w:pPr>
          </w:p>
        </w:tc>
        <w:tc>
          <w:tcPr>
            <w:tcW w:w="2220" w:type="dxa"/>
            <w:vAlign w:val="bottom"/>
            <w:tcBorders>
              <w:right w:val="single" w:sz="8" w:color="CFF0FC"/>
            </w:tcBorders>
            <w:gridSpan w:val="3"/>
            <w:shd w:val="clear" w:color="auto" w:fill="CFF0FC"/>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19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Data Processing &amp; Outsourced Services</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220" w:type="dxa"/>
            <w:vAlign w:val="bottom"/>
            <w:tcBorders>
              <w:right w:val="single" w:sz="8" w:color="CFF0FC"/>
            </w:tcBorders>
            <w:gridSpan w:val="3"/>
            <w:shd w:val="clear" w:color="auto" w:fill="CFF0FC"/>
          </w:tcPr>
          <w:p>
            <w:pPr>
              <w:ind w:left="220"/>
              <w:spacing w:after="0"/>
              <w:rPr>
                <w:sz w:val="20"/>
                <w:szCs w:val="20"/>
                <w:color w:val="auto"/>
              </w:rPr>
            </w:pPr>
            <w:r>
              <w:rPr>
                <w:rFonts w:ascii="Arial" w:cs="Arial" w:eastAsia="Arial" w:hAnsi="Arial"/>
                <w:sz w:val="13"/>
                <w:szCs w:val="13"/>
                <w:color w:val="auto"/>
              </w:rPr>
              <w:t>Pivot3, Inc.</w:t>
            </w:r>
          </w:p>
        </w:tc>
        <w:tc>
          <w:tcPr>
            <w:tcW w:w="1940" w:type="dxa"/>
            <w:vAlign w:val="bottom"/>
            <w:shd w:val="clear" w:color="auto" w:fill="CFF0FC"/>
          </w:tcPr>
          <w:p>
            <w:pPr>
              <w:ind w:left="40"/>
              <w:spacing w:after="0"/>
              <w:rPr>
                <w:sz w:val="20"/>
                <w:szCs w:val="20"/>
                <w:color w:val="auto"/>
              </w:rPr>
            </w:pPr>
            <w:r>
              <w:rPr>
                <w:rFonts w:ascii="Arial" w:cs="Arial" w:eastAsia="Arial" w:hAnsi="Arial"/>
                <w:sz w:val="13"/>
                <w:szCs w:val="13"/>
                <w:color w:val="auto"/>
              </w:rPr>
              <w:t>LIBOR+8.50% PIK, 11.00%</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5/13/2019</w:t>
            </w:r>
          </w:p>
        </w:tc>
        <w:tc>
          <w:tcPr>
            <w:tcW w:w="100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7/15/2023</w:t>
            </w:r>
          </w:p>
        </w:tc>
        <w:tc>
          <w:tcPr>
            <w:tcW w:w="124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17,389</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17,963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11,613</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(9) (10) (12)</w:t>
            </w:r>
          </w:p>
        </w:tc>
      </w:tr>
      <w:tr>
        <w:trPr>
          <w:trHeight w:val="176"/>
        </w:trPr>
        <w:tc>
          <w:tcPr>
            <w:tcW w:w="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1940" w:type="dxa"/>
            <w:vAlign w:val="bottom"/>
            <w:shd w:val="clear" w:color="auto" w:fill="CFF0FC"/>
          </w:tcPr>
          <w:p>
            <w:pPr>
              <w:ind w:left="40"/>
              <w:spacing w:after="0"/>
              <w:rPr>
                <w:sz w:val="20"/>
                <w:szCs w:val="20"/>
                <w:color w:val="auto"/>
              </w:rPr>
            </w:pPr>
            <w:r>
              <w:rPr>
                <w:rFonts w:ascii="Arial" w:cs="Arial" w:eastAsia="Arial" w:hAnsi="Arial"/>
                <w:sz w:val="13"/>
                <w:szCs w:val="13"/>
                <w:color w:val="auto"/>
              </w:rPr>
              <w:t>floor, 4.00% ETP</w:t>
            </w: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60" w:type="dxa"/>
            <w:vAlign w:val="bottom"/>
            <w:gridSpan w:val="4"/>
          </w:tcPr>
          <w:p>
            <w:pPr>
              <w:ind w:left="220"/>
              <w:spacing w:after="0"/>
              <w:rPr>
                <w:sz w:val="20"/>
                <w:szCs w:val="20"/>
                <w:color w:val="auto"/>
              </w:rPr>
            </w:pPr>
            <w:r>
              <w:rPr>
                <w:rFonts w:ascii="Arial" w:cs="Arial" w:eastAsia="Arial" w:hAnsi="Arial"/>
                <w:sz w:val="13"/>
                <w:szCs w:val="13"/>
                <w:b w:val="1"/>
                <w:bCs w:val="1"/>
                <w:color w:val="auto"/>
              </w:rPr>
              <w:t>Total Data Processing &amp; Outsourced Services - 2.02%*</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17,963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11,613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19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160" w:type="dxa"/>
            <w:vAlign w:val="bottom"/>
            <w:gridSpan w:val="4"/>
          </w:tcPr>
          <w:p>
            <w:pPr>
              <w:ind w:left="100"/>
              <w:spacing w:after="0"/>
              <w:rPr>
                <w:sz w:val="20"/>
                <w:szCs w:val="20"/>
                <w:color w:val="auto"/>
              </w:rPr>
            </w:pPr>
            <w:r>
              <w:rPr>
                <w:rFonts w:ascii="Arial" w:cs="Arial" w:eastAsia="Arial" w:hAnsi="Arial"/>
                <w:sz w:val="13"/>
                <w:szCs w:val="13"/>
                <w:b w:val="1"/>
                <w:bCs w:val="1"/>
                <w:color w:val="auto"/>
              </w:rPr>
              <w:t>Total Senior Secured Term Loans - 2.02%*</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17,963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11,613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44"/>
        </w:trPr>
        <w:tc>
          <w:tcPr>
            <w:tcW w:w="2240" w:type="dxa"/>
            <w:vAlign w:val="bottom"/>
            <w:tcBorders>
              <w:right w:val="single" w:sz="8" w:color="CFF0FC"/>
            </w:tcBorders>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Total Control Investments - 2.02%*</w:t>
            </w:r>
          </w:p>
        </w:tc>
        <w:tc>
          <w:tcPr>
            <w:tcW w:w="19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17,963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11,613</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r>
      <w:tr>
        <w:trPr>
          <w:trHeight w:val="36"/>
        </w:trPr>
        <w:tc>
          <w:tcPr>
            <w:tcW w:w="20" w:type="dxa"/>
            <w:vAlign w:val="bottom"/>
            <w:shd w:val="clear" w:color="auto" w:fill="CFF0FC"/>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00" w:type="dxa"/>
            <w:vAlign w:val="bottom"/>
            <w:tcBorders>
              <w:right w:val="single" w:sz="8" w:color="CFF0FC"/>
            </w:tcBorders>
            <w:shd w:val="clear" w:color="auto" w:fill="000000"/>
          </w:tcPr>
          <w:p>
            <w:pPr>
              <w:spacing w:after="0"/>
              <w:rPr>
                <w:sz w:val="3"/>
                <w:szCs w:val="3"/>
                <w:color w:val="auto"/>
              </w:rPr>
            </w:pPr>
          </w:p>
        </w:tc>
        <w:tc>
          <w:tcPr>
            <w:tcW w:w="194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r>
      <w:tr>
        <w:trPr>
          <w:trHeight w:val="336"/>
        </w:trPr>
        <w:tc>
          <w:tcPr>
            <w:tcW w:w="2240" w:type="dxa"/>
            <w:vAlign w:val="bottom"/>
            <w:gridSpan w:val="4"/>
          </w:tcPr>
          <w:p>
            <w:pPr>
              <w:ind w:left="20"/>
              <w:spacing w:after="0"/>
              <w:rPr>
                <w:sz w:val="20"/>
                <w:szCs w:val="20"/>
                <w:color w:val="auto"/>
              </w:rPr>
            </w:pPr>
            <w:r>
              <w:rPr>
                <w:rFonts w:ascii="Arial" w:cs="Arial" w:eastAsia="Arial" w:hAnsi="Arial"/>
                <w:sz w:val="13"/>
                <w:szCs w:val="13"/>
                <w:b w:val="1"/>
                <w:bCs w:val="1"/>
                <w:color w:val="auto"/>
              </w:rPr>
              <w:t>Total Investments - 190.86%*</w:t>
            </w: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1,122,054</w:t>
            </w:r>
          </w:p>
        </w:tc>
        <w:tc>
          <w:tcPr>
            <w:tcW w:w="10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1,095,321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40" w:orient="portrait"/>
          <w:cols w:equalWidth="0" w:num="1">
            <w:col w:w="10560"/>
          </w:cols>
          <w:pgMar w:left="660" w:top="562" w:right="680" w:bottom="1440" w:gutter="0" w:footer="0" w:header="0"/>
        </w:sectPr>
      </w:pPr>
    </w:p>
    <w:bookmarkStart w:id="14" w:name="page15"/>
    <w:bookmarkEnd w:id="14"/>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Schedule of Investments (Unaudited) – (continued)</w:t>
      </w:r>
    </w:p>
    <w:p>
      <w:pPr>
        <w:jc w:val="center"/>
        <w:ind w:right="-19"/>
        <w:spacing w:after="0"/>
        <w:rPr>
          <w:sz w:val="20"/>
          <w:szCs w:val="20"/>
          <w:color w:val="auto"/>
        </w:rPr>
      </w:pPr>
      <w:r>
        <w:rPr>
          <w:rFonts w:ascii="Arial" w:cs="Arial" w:eastAsia="Arial" w:hAnsi="Arial"/>
          <w:sz w:val="16"/>
          <w:szCs w:val="16"/>
          <w:b w:val="1"/>
          <w:bCs w:val="1"/>
          <w:color w:val="auto"/>
        </w:rPr>
        <w:t>June 30, 2023</w:t>
      </w:r>
    </w:p>
    <w:p>
      <w:pPr>
        <w:spacing w:after="0" w:line="118" w:lineRule="exact"/>
        <w:rPr>
          <w:sz w:val="20"/>
          <w:szCs w:val="20"/>
          <w:color w:val="auto"/>
        </w:rPr>
      </w:pPr>
    </w:p>
    <w:p>
      <w:pPr>
        <w:ind w:left="180" w:right="20" w:hanging="144"/>
        <w:spacing w:after="0" w:line="231"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Disclosures of interest rates on notes include cash interest rates and payment-in-kind ("PIK") interest rates, as applicable. Unless otherwise indicated, all of the Company's variable interest rate debt instruments bear interest at a rate that is determined by reference to the 3-Month London Interbank Offered Rate ("LIBOR"), the U.S. Prime Rate, or the 3-month Secured Overnight Financing Rate ("SOFR"). At June 30, 2023, the 3-Month LIBOR was 5.55%, the U.S. Prime Rate was 8.25% and the 3-Month SOFR was 5.27%.</w:t>
      </w:r>
    </w:p>
    <w:p>
      <w:pPr>
        <w:spacing w:after="0" w:line="16" w:lineRule="exact"/>
        <w:rPr>
          <w:rFonts w:ascii="Arial" w:cs="Arial" w:eastAsia="Arial" w:hAnsi="Arial"/>
          <w:sz w:val="17"/>
          <w:szCs w:val="17"/>
          <w:color w:val="auto"/>
          <w:vertAlign w:val="superscript"/>
        </w:rPr>
      </w:pPr>
    </w:p>
    <w:p>
      <w:pPr>
        <w:ind w:left="180" w:right="260" w:hanging="144"/>
        <w:spacing w:after="0" w:line="231"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1" w:lineRule="exact"/>
        <w:rPr>
          <w:rFonts w:ascii="Arial" w:cs="Arial" w:eastAsia="Arial" w:hAnsi="Arial"/>
          <w:sz w:val="17"/>
          <w:szCs w:val="17"/>
          <w:color w:val="auto"/>
          <w:vertAlign w:val="superscript"/>
        </w:rPr>
      </w:pPr>
    </w:p>
    <w:p>
      <w:pPr>
        <w:ind w:left="180" w:hanging="144"/>
        <w:spacing w:after="0" w:line="221"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Investments are held at Fair Value net of the Fair Value of Unfunded Commitments. Refer to "Note 8 – Commitments and Contingencies" for additional detail.</w:t>
      </w:r>
    </w:p>
    <w:p>
      <w:pPr>
        <w:spacing w:after="0" w:line="4" w:lineRule="exact"/>
        <w:rPr>
          <w:rFonts w:ascii="Arial" w:cs="Arial" w:eastAsia="Arial" w:hAnsi="Arial"/>
          <w:sz w:val="17"/>
          <w:szCs w:val="17"/>
          <w:color w:val="auto"/>
          <w:vertAlign w:val="superscript"/>
        </w:rPr>
      </w:pPr>
    </w:p>
    <w:p>
      <w:pPr>
        <w:ind w:left="180" w:hanging="144"/>
        <w:spacing w:after="0" w:line="216"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All portfolio companies are domiciled in the United States, unless otherwise noted.</w:t>
      </w:r>
    </w:p>
    <w:p>
      <w:pPr>
        <w:spacing w:after="0" w:line="4" w:lineRule="exact"/>
        <w:rPr>
          <w:rFonts w:ascii="Arial" w:cs="Arial" w:eastAsia="Arial" w:hAnsi="Arial"/>
          <w:sz w:val="17"/>
          <w:szCs w:val="17"/>
          <w:color w:val="auto"/>
          <w:vertAlign w:val="superscript"/>
        </w:rPr>
      </w:pPr>
    </w:p>
    <w:p>
      <w:pPr>
        <w:ind w:left="180" w:hanging="144"/>
        <w:spacing w:after="0" w:line="216"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Portfolio company is domiciled in Canada.</w:t>
      </w:r>
    </w:p>
    <w:p>
      <w:pPr>
        <w:spacing w:after="0" w:line="4" w:lineRule="exact"/>
        <w:rPr>
          <w:rFonts w:ascii="Arial" w:cs="Arial" w:eastAsia="Arial" w:hAnsi="Arial"/>
          <w:sz w:val="17"/>
          <w:szCs w:val="17"/>
          <w:color w:val="auto"/>
          <w:vertAlign w:val="superscript"/>
        </w:rPr>
      </w:pPr>
    </w:p>
    <w:p>
      <w:pPr>
        <w:ind w:left="180" w:hanging="144"/>
        <w:spacing w:after="0" w:line="216"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Portfolio company is domiciled in Germany</w:t>
      </w:r>
    </w:p>
    <w:p>
      <w:pPr>
        <w:spacing w:after="0" w:line="4" w:lineRule="exact"/>
        <w:rPr>
          <w:rFonts w:ascii="Arial" w:cs="Arial" w:eastAsia="Arial" w:hAnsi="Arial"/>
          <w:sz w:val="17"/>
          <w:szCs w:val="17"/>
          <w:color w:val="auto"/>
          <w:vertAlign w:val="superscript"/>
        </w:rPr>
      </w:pPr>
    </w:p>
    <w:p>
      <w:pPr>
        <w:ind w:left="180" w:hanging="144"/>
        <w:spacing w:after="0" w:line="216"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Portfolio company is domiciled in United Kingdom.</w:t>
      </w:r>
    </w:p>
    <w:p>
      <w:pPr>
        <w:spacing w:after="0" w:line="14" w:lineRule="exact"/>
        <w:rPr>
          <w:rFonts w:ascii="Arial" w:cs="Arial" w:eastAsia="Arial" w:hAnsi="Arial"/>
          <w:sz w:val="17"/>
          <w:szCs w:val="17"/>
          <w:color w:val="auto"/>
          <w:vertAlign w:val="superscript"/>
        </w:rPr>
      </w:pPr>
    </w:p>
    <w:p>
      <w:pPr>
        <w:ind w:left="180" w:hanging="144"/>
        <w:spacing w:after="0" w:line="236"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Investment is not a qualifying investment as defined under Section 55(a) of the Investment Company Act of 1940, as amended. The fair value of Non-qualifying assets represent 12.17% of total assets as of June 30,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ind w:left="180" w:hanging="144"/>
        <w:spacing w:after="0" w:line="184" w:lineRule="auto"/>
        <w:tabs>
          <w:tab w:leader="none" w:pos="18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Represents a PIK security. PIK interest will be accrued and paid at maturity.</w:t>
      </w:r>
    </w:p>
    <w:p>
      <w:pPr>
        <w:spacing w:after="0" w:line="45" w:lineRule="exact"/>
        <w:rPr>
          <w:sz w:val="20"/>
          <w:szCs w:val="20"/>
          <w:color w:val="auto"/>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Disclosures of end-of-term payments ("ETP") are one-time payments stated as a percentage of original principal amount.</w:t>
      </w:r>
    </w:p>
    <w:p>
      <w:pPr>
        <w:spacing w:after="0" w:line="30" w:lineRule="exact"/>
        <w:rPr>
          <w:rFonts w:ascii="Arial" w:cs="Arial" w:eastAsia="Arial" w:hAnsi="Arial"/>
          <w:sz w:val="13"/>
          <w:szCs w:val="13"/>
          <w:color w:val="auto"/>
          <w:vertAlign w:val="superscript"/>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investment is an eligible loan investment in the collateral under the Credit Facility (as defined in "Note 7 – Borrowings").</w:t>
      </w:r>
    </w:p>
    <w:p>
      <w:pPr>
        <w:spacing w:after="0" w:line="30" w:lineRule="exact"/>
        <w:rPr>
          <w:rFonts w:ascii="Arial" w:cs="Arial" w:eastAsia="Arial" w:hAnsi="Arial"/>
          <w:sz w:val="13"/>
          <w:szCs w:val="13"/>
          <w:color w:val="auto"/>
          <w:vertAlign w:val="superscript"/>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Investments are non-income producing.</w:t>
      </w:r>
    </w:p>
    <w:p>
      <w:pPr>
        <w:spacing w:after="0" w:line="30" w:lineRule="exact"/>
        <w:rPr>
          <w:rFonts w:ascii="Arial" w:cs="Arial" w:eastAsia="Arial" w:hAnsi="Arial"/>
          <w:sz w:val="13"/>
          <w:szCs w:val="13"/>
          <w:color w:val="auto"/>
          <w:vertAlign w:val="superscript"/>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Portfolio company is publicly traded and listed on NYSE.</w:t>
      </w:r>
    </w:p>
    <w:p>
      <w:pPr>
        <w:spacing w:after="0" w:line="30" w:lineRule="exact"/>
        <w:rPr>
          <w:rFonts w:ascii="Arial" w:cs="Arial" w:eastAsia="Arial" w:hAnsi="Arial"/>
          <w:sz w:val="13"/>
          <w:szCs w:val="13"/>
          <w:color w:val="auto"/>
          <w:vertAlign w:val="superscript"/>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Portfolio company is publicly traded and listed on NASDAQ.</w:t>
      </w:r>
    </w:p>
    <w:p>
      <w:pPr>
        <w:spacing w:after="0" w:line="30" w:lineRule="exact"/>
        <w:rPr>
          <w:rFonts w:ascii="Arial" w:cs="Arial" w:eastAsia="Arial" w:hAnsi="Arial"/>
          <w:sz w:val="13"/>
          <w:szCs w:val="13"/>
          <w:color w:val="auto"/>
          <w:vertAlign w:val="superscript"/>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Investment is not a "restricted security" under the Securities Act.</w:t>
      </w:r>
    </w:p>
    <w:p>
      <w:pPr>
        <w:spacing w:after="0" w:line="30" w:lineRule="exact"/>
        <w:rPr>
          <w:rFonts w:ascii="Arial" w:cs="Arial" w:eastAsia="Arial" w:hAnsi="Arial"/>
          <w:sz w:val="13"/>
          <w:szCs w:val="13"/>
          <w:color w:val="auto"/>
          <w:vertAlign w:val="superscript"/>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The warrant count is based upon a percentage of ownership of Fidelis Cybersecurity, Inc.</w:t>
      </w:r>
    </w:p>
    <w:p>
      <w:pPr>
        <w:spacing w:after="0" w:line="30" w:lineRule="exact"/>
        <w:rPr>
          <w:rFonts w:ascii="Arial" w:cs="Arial" w:eastAsia="Arial" w:hAnsi="Arial"/>
          <w:sz w:val="13"/>
          <w:szCs w:val="13"/>
          <w:color w:val="auto"/>
          <w:vertAlign w:val="superscript"/>
        </w:rPr>
      </w:pPr>
    </w:p>
    <w:p>
      <w:pPr>
        <w:ind w:left="18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Investment is either a cash success fee payable or earnout of shares based on the consummation of certain trigger events.</w:t>
      </w:r>
    </w:p>
    <w:p>
      <w:pPr>
        <w:spacing w:after="0" w:line="30" w:lineRule="exact"/>
        <w:rPr>
          <w:rFonts w:ascii="Arial" w:cs="Arial" w:eastAsia="Arial" w:hAnsi="Arial"/>
          <w:sz w:val="13"/>
          <w:szCs w:val="13"/>
          <w:color w:val="auto"/>
          <w:vertAlign w:val="superscript"/>
        </w:rPr>
      </w:pPr>
    </w:p>
    <w:p>
      <w:pPr>
        <w:ind w:left="180" w:right="200" w:hanging="162"/>
        <w:spacing w:after="0" w:line="264" w:lineRule="auto"/>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Affiliate portfolio company as defined under the 1940 Act in which the Company owns between 5% and 25% (inclusive) of the investment's voting securities and does not have rights to maintain greater than 50% representation on the board.</w:t>
      </w:r>
    </w:p>
    <w:p>
      <w:pPr>
        <w:spacing w:after="0" w:line="45" w:lineRule="exact"/>
        <w:rPr>
          <w:rFonts w:ascii="Arial" w:cs="Arial" w:eastAsia="Arial" w:hAnsi="Arial"/>
          <w:sz w:val="13"/>
          <w:szCs w:val="13"/>
          <w:color w:val="auto"/>
          <w:vertAlign w:val="superscript"/>
        </w:rPr>
      </w:pPr>
    </w:p>
    <w:p>
      <w:pPr>
        <w:ind w:left="180" w:right="840" w:hanging="162"/>
        <w:spacing w:after="0"/>
        <w:tabs>
          <w:tab w:leader="none" w:pos="18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Control portfolio company, as defined under the 1940 Act, in which the Company owns more than 25% of the investment’s voting securities or has greater than 50% representation on its board.</w:t>
      </w:r>
    </w:p>
    <w:p>
      <w:pPr>
        <w:spacing w:after="0" w:line="157" w:lineRule="exact"/>
        <w:rPr>
          <w:sz w:val="20"/>
          <w:szCs w:val="20"/>
          <w:color w:val="auto"/>
        </w:rPr>
      </w:pPr>
    </w:p>
    <w:p>
      <w:pPr>
        <w:ind w:left="180" w:hanging="108"/>
        <w:spacing w:after="0"/>
        <w:tabs>
          <w:tab w:leader="none" w:pos="18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Value as a percentage of net assets.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5" w:name="page16"/>
    <w:bookmarkEnd w:id="15"/>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 Schedule of Investments</w:t>
      </w:r>
    </w:p>
    <w:p>
      <w:pPr>
        <w:jc w:val="center"/>
        <w:ind w:right="-19"/>
        <w:spacing w:after="0" w:line="234" w:lineRule="auto"/>
        <w:rPr>
          <w:sz w:val="20"/>
          <w:szCs w:val="20"/>
          <w:color w:val="auto"/>
        </w:rPr>
      </w:pPr>
      <w:r>
        <w:rPr>
          <w:rFonts w:ascii="Arial" w:cs="Arial" w:eastAsia="Arial" w:hAnsi="Arial"/>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80" w:type="dxa"/>
            <w:vAlign w:val="bottom"/>
          </w:tcPr>
          <w:p>
            <w:pPr>
              <w:ind w:left="680"/>
              <w:spacing w:after="0" w:line="146" w:lineRule="exact"/>
              <w:rPr>
                <w:sz w:val="20"/>
                <w:szCs w:val="20"/>
                <w:color w:val="auto"/>
              </w:rPr>
            </w:pPr>
            <w:r>
              <w:rPr>
                <w:rFonts w:ascii="Arial" w:cs="Arial" w:eastAsia="Arial" w:hAnsi="Arial"/>
                <w:sz w:val="13"/>
                <w:szCs w:val="13"/>
                <w:b w:val="1"/>
                <w:bCs w:val="1"/>
                <w:color w:val="auto"/>
              </w:rPr>
              <w:t>Investment</w:t>
            </w: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Acquisition</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Maturity</w:t>
            </w:r>
          </w:p>
        </w:tc>
        <w:tc>
          <w:tcPr>
            <w:tcW w:w="11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Principal ($) /</w:t>
            </w:r>
          </w:p>
        </w:tc>
        <w:tc>
          <w:tcPr>
            <w:tcW w:w="1000" w:type="dxa"/>
            <w:vAlign w:val="bottom"/>
          </w:tcPr>
          <w:p>
            <w:pPr>
              <w:spacing w:after="0"/>
              <w:rPr>
                <w:sz w:val="12"/>
                <w:szCs w:val="12"/>
                <w:color w:val="auto"/>
              </w:rPr>
            </w:pPr>
          </w:p>
        </w:tc>
        <w:tc>
          <w:tcPr>
            <w:tcW w:w="1080" w:type="dxa"/>
            <w:vAlign w:val="bottom"/>
          </w:tcPr>
          <w:p>
            <w:pPr>
              <w:jc w:val="right"/>
              <w:ind w:right="374"/>
              <w:spacing w:after="0" w:line="146" w:lineRule="exact"/>
              <w:rPr>
                <w:sz w:val="20"/>
                <w:szCs w:val="20"/>
                <w:color w:val="auto"/>
              </w:rPr>
            </w:pPr>
            <w:r>
              <w:rPr>
                <w:rFonts w:ascii="Arial" w:cs="Arial" w:eastAsia="Arial" w:hAnsi="Arial"/>
                <w:sz w:val="13"/>
                <w:szCs w:val="13"/>
                <w:b w:val="1"/>
                <w:bCs w:val="1"/>
                <w:color w:val="auto"/>
              </w:rPr>
              <w:t>Fair</w:t>
            </w:r>
          </w:p>
        </w:tc>
        <w:tc>
          <w:tcPr>
            <w:tcW w:w="820" w:type="dxa"/>
            <w:vAlign w:val="bottom"/>
          </w:tcPr>
          <w:p>
            <w:pPr>
              <w:spacing w:after="0"/>
              <w:rPr>
                <w:sz w:val="12"/>
                <w:szCs w:val="12"/>
                <w:color w:val="auto"/>
              </w:rPr>
            </w:pPr>
          </w:p>
        </w:tc>
      </w:tr>
      <w:tr>
        <w:trPr>
          <w:trHeight w:val="194"/>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2180" w:type="dxa"/>
            <w:vAlign w:val="bottom"/>
          </w:tcPr>
          <w:p>
            <w:pPr>
              <w:ind w:left="520"/>
              <w:spacing w:after="0"/>
              <w:rPr>
                <w:sz w:val="20"/>
                <w:szCs w:val="20"/>
                <w:color w:val="auto"/>
              </w:rPr>
            </w:pPr>
            <w:r>
              <w:rPr>
                <w:rFonts w:ascii="Arial" w:cs="Arial" w:eastAsia="Arial" w:hAnsi="Arial"/>
                <w:sz w:val="13"/>
                <w:szCs w:val="13"/>
                <w:b w:val="1"/>
                <w:bCs w:val="1"/>
                <w:color w:val="auto"/>
              </w:rPr>
              <w:t>Description</w:t>
            </w:r>
            <w:r>
              <w:rPr>
                <w:rFonts w:ascii="Arial" w:cs="Arial" w:eastAsia="Arial" w:hAnsi="Arial"/>
                <w:sz w:val="16"/>
                <w:szCs w:val="16"/>
                <w:b w:val="1"/>
                <w:bCs w:val="1"/>
                <w:color w:val="auto"/>
                <w:vertAlign w:val="superscript"/>
              </w:rPr>
              <w:t>(1),(5),(9)</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180" w:type="dxa"/>
            <w:vAlign w:val="bottom"/>
          </w:tcPr>
          <w:p>
            <w:pPr>
              <w:jc w:val="right"/>
              <w:ind w:right="374"/>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234"/>
              <w:spacing w:after="0"/>
              <w:rPr>
                <w:sz w:val="20"/>
                <w:szCs w:val="20"/>
                <w:color w:val="auto"/>
              </w:rPr>
            </w:pPr>
            <w:r>
              <w:rPr>
                <w:rFonts w:ascii="Arial" w:cs="Arial" w:eastAsia="Arial" w:hAnsi="Arial"/>
                <w:sz w:val="13"/>
                <w:szCs w:val="13"/>
                <w:b w:val="1"/>
                <w:bCs w:val="1"/>
                <w:color w:val="auto"/>
              </w:rPr>
              <w:t>Cost ($)</w:t>
            </w:r>
          </w:p>
        </w:tc>
        <w:tc>
          <w:tcPr>
            <w:tcW w:w="1080" w:type="dxa"/>
            <w:vAlign w:val="bottom"/>
          </w:tcPr>
          <w:p>
            <w:pPr>
              <w:jc w:val="right"/>
              <w:ind w:right="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(2),(6)</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2420" w:type="dxa"/>
            <w:vAlign w:val="bottom"/>
            <w:gridSpan w:val="2"/>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2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218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1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2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Circadence Corporation</w:t>
            </w:r>
          </w:p>
        </w:tc>
        <w:tc>
          <w:tcPr>
            <w:tcW w:w="2180" w:type="dxa"/>
            <w:vAlign w:val="bottom"/>
          </w:tcPr>
          <w:p>
            <w:pPr>
              <w:ind w:left="20"/>
              <w:spacing w:after="0"/>
              <w:rPr>
                <w:sz w:val="20"/>
                <w:szCs w:val="20"/>
                <w:color w:val="auto"/>
              </w:rPr>
            </w:pPr>
            <w:r>
              <w:rPr>
                <w:rFonts w:ascii="Arial" w:cs="Arial" w:eastAsia="Arial" w:hAnsi="Arial"/>
                <w:sz w:val="13"/>
                <w:szCs w:val="13"/>
                <w:color w:val="auto"/>
              </w:rPr>
              <w:t>SOFR+9.50% PIK, 12.26%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12/20/2018</w:t>
            </w:r>
          </w:p>
        </w:tc>
        <w:tc>
          <w:tcPr>
            <w:tcW w:w="920" w:type="dxa"/>
            <w:vAlign w:val="bottom"/>
          </w:tcPr>
          <w:p>
            <w:pPr>
              <w:jc w:val="center"/>
              <w:spacing w:after="0"/>
              <w:rPr>
                <w:sz w:val="20"/>
                <w:szCs w:val="20"/>
                <w:color w:val="auto"/>
              </w:rPr>
            </w:pPr>
            <w:r>
              <w:rPr>
                <w:rFonts w:ascii="Arial" w:cs="Arial" w:eastAsia="Arial" w:hAnsi="Arial"/>
                <w:sz w:val="13"/>
                <w:szCs w:val="13"/>
                <w:color w:val="auto"/>
              </w:rPr>
              <w:t>12/15/2023</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19,928</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21,260</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17,083</w:t>
            </w:r>
          </w:p>
        </w:tc>
        <w:tc>
          <w:tcPr>
            <w:tcW w:w="820" w:type="dxa"/>
            <w:vAlign w:val="bottom"/>
          </w:tcPr>
          <w:p>
            <w:pPr>
              <w:ind w:left="120"/>
              <w:spacing w:after="0"/>
              <w:rPr>
                <w:sz w:val="20"/>
                <w:szCs w:val="20"/>
                <w:color w:val="auto"/>
              </w:rPr>
            </w:pPr>
            <w:r>
              <w:rPr>
                <w:rFonts w:ascii="Arial" w:cs="Arial" w:eastAsia="Arial" w:hAnsi="Arial"/>
                <w:sz w:val="13"/>
                <w:szCs w:val="13"/>
                <w:color w:val="auto"/>
              </w:rPr>
              <w:t>(4)(8)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7.50%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Dtex Systems,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SOFR+9.25%, 9.75% floor, 1.75%</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6/1/2021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6/1/2025</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10,000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10,033</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10,033</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FiscalNote, Inc.</w:t>
            </w:r>
          </w:p>
        </w:tc>
        <w:tc>
          <w:tcPr>
            <w:tcW w:w="2180" w:type="dxa"/>
            <w:vAlign w:val="bottom"/>
          </w:tcPr>
          <w:p>
            <w:pPr>
              <w:ind w:left="20"/>
              <w:spacing w:after="0"/>
              <w:rPr>
                <w:sz w:val="20"/>
                <w:szCs w:val="20"/>
                <w:color w:val="auto"/>
              </w:rPr>
            </w:pPr>
            <w:r>
              <w:rPr>
                <w:rFonts w:ascii="Arial" w:cs="Arial" w:eastAsia="Arial" w:hAnsi="Arial"/>
                <w:sz w:val="13"/>
                <w:szCs w:val="13"/>
                <w:color w:val="auto"/>
              </w:rPr>
              <w:t>PRIME+5.00%, 9.00% floor, 1.00%</w:t>
            </w:r>
          </w:p>
        </w:tc>
        <w:tc>
          <w:tcPr>
            <w:tcW w:w="960" w:type="dxa"/>
            <w:vAlign w:val="bottom"/>
          </w:tcPr>
          <w:p>
            <w:pPr>
              <w:jc w:val="center"/>
              <w:spacing w:after="0"/>
              <w:rPr>
                <w:sz w:val="20"/>
                <w:szCs w:val="20"/>
                <w:color w:val="auto"/>
              </w:rPr>
            </w:pPr>
            <w:r>
              <w:rPr>
                <w:rFonts w:ascii="Arial" w:cs="Arial" w:eastAsia="Arial" w:hAnsi="Arial"/>
                <w:sz w:val="13"/>
                <w:szCs w:val="13"/>
                <w:color w:val="auto"/>
              </w:rPr>
              <w:t>10/19/2020</w:t>
            </w:r>
          </w:p>
        </w:tc>
        <w:tc>
          <w:tcPr>
            <w:tcW w:w="920" w:type="dxa"/>
            <w:vAlign w:val="bottom"/>
          </w:tcPr>
          <w:p>
            <w:pPr>
              <w:jc w:val="center"/>
              <w:spacing w:after="0"/>
              <w:rPr>
                <w:sz w:val="20"/>
                <w:szCs w:val="20"/>
                <w:color w:val="auto"/>
              </w:rPr>
            </w:pPr>
            <w:r>
              <w:rPr>
                <w:rFonts w:ascii="Arial" w:cs="Arial" w:eastAsia="Arial" w:hAnsi="Arial"/>
                <w:sz w:val="13"/>
                <w:szCs w:val="13"/>
                <w:color w:val="auto"/>
              </w:rPr>
              <w:t>7/15/2027</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65,251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64,466</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64,466</w:t>
            </w:r>
          </w:p>
        </w:tc>
        <w:tc>
          <w:tcPr>
            <w:tcW w:w="820" w:type="dxa"/>
            <w:vAlign w:val="bottom"/>
          </w:tcPr>
          <w:p>
            <w:pPr>
              <w:ind w:left="120"/>
              <w:spacing w:after="0"/>
              <w:rPr>
                <w:sz w:val="20"/>
                <w:szCs w:val="20"/>
                <w:color w:val="auto"/>
              </w:rPr>
            </w:pPr>
            <w:r>
              <w:rPr>
                <w:rFonts w:ascii="Arial" w:cs="Arial" w:eastAsia="Arial" w:hAnsi="Arial"/>
                <w:sz w:val="13"/>
                <w:szCs w:val="13"/>
                <w:color w:val="auto"/>
              </w:rPr>
              <w:t>(4)(8)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PIK, 4.25%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VTX Intermediate Holdings,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SOFR+9.00%, 9.50% floor, 4.50%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12/28/2021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12/28/2026</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85,000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85,000</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85,000</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(dba VertexOne)</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5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Application Software - 30.66%*</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180,759</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176,582</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b w:val="1"/>
                <w:bCs w:val="1"/>
                <w:color w:val="auto"/>
              </w:rPr>
              <w:t>Biotechnology</w:t>
            </w: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Mustang Bio,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SOFR+8.75%, 9.25% floor, 3.50%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3/4/2022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4/15/2027</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30,000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29,709</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29,709</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TRACON Pharmaceuticals, Inc.</w:t>
            </w:r>
          </w:p>
        </w:tc>
        <w:tc>
          <w:tcPr>
            <w:tcW w:w="2180" w:type="dxa"/>
            <w:vAlign w:val="bottom"/>
          </w:tcPr>
          <w:p>
            <w:pPr>
              <w:ind w:left="20"/>
              <w:spacing w:after="0"/>
              <w:rPr>
                <w:sz w:val="20"/>
                <w:szCs w:val="20"/>
                <w:color w:val="auto"/>
              </w:rPr>
            </w:pPr>
            <w:r>
              <w:rPr>
                <w:rFonts w:ascii="Arial" w:cs="Arial" w:eastAsia="Arial" w:hAnsi="Arial"/>
                <w:sz w:val="13"/>
                <w:szCs w:val="13"/>
                <w:color w:val="auto"/>
              </w:rPr>
              <w:t>PRIME+5.00%, 8.50% floor, 4.25%</w:t>
            </w:r>
          </w:p>
        </w:tc>
        <w:tc>
          <w:tcPr>
            <w:tcW w:w="960" w:type="dxa"/>
            <w:vAlign w:val="bottom"/>
          </w:tcPr>
          <w:p>
            <w:pPr>
              <w:jc w:val="center"/>
              <w:spacing w:after="0"/>
              <w:rPr>
                <w:sz w:val="20"/>
                <w:szCs w:val="20"/>
                <w:color w:val="auto"/>
              </w:rPr>
            </w:pPr>
            <w:r>
              <w:rPr>
                <w:rFonts w:ascii="Arial" w:cs="Arial" w:eastAsia="Arial" w:hAnsi="Arial"/>
                <w:sz w:val="13"/>
                <w:szCs w:val="13"/>
                <w:color w:val="auto"/>
                <w:w w:val="98"/>
              </w:rPr>
              <w:t>9/2/2022</w:t>
            </w:r>
          </w:p>
        </w:tc>
        <w:tc>
          <w:tcPr>
            <w:tcW w:w="920" w:type="dxa"/>
            <w:vAlign w:val="bottom"/>
          </w:tcPr>
          <w:p>
            <w:pPr>
              <w:jc w:val="center"/>
              <w:spacing w:after="0"/>
              <w:rPr>
                <w:sz w:val="20"/>
                <w:szCs w:val="20"/>
                <w:color w:val="auto"/>
              </w:rPr>
            </w:pPr>
            <w:r>
              <w:rPr>
                <w:rFonts w:ascii="Arial" w:cs="Arial" w:eastAsia="Arial" w:hAnsi="Arial"/>
                <w:sz w:val="13"/>
                <w:szCs w:val="13"/>
                <w:color w:val="auto"/>
              </w:rPr>
              <w:t>9/1/2026</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10,000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9,795</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10,000</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Total Biotechnology - 6.89%*</w:t>
            </w:r>
          </w:p>
        </w:tc>
        <w:tc>
          <w:tcPr>
            <w:tcW w:w="2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39,504</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39,709</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5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58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Data Processing &amp; Outsourced Services</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Interactions Corporation</w:t>
            </w:r>
          </w:p>
        </w:tc>
        <w:tc>
          <w:tcPr>
            <w:tcW w:w="2180" w:type="dxa"/>
            <w:vAlign w:val="bottom"/>
          </w:tcPr>
          <w:p>
            <w:pPr>
              <w:ind w:left="20"/>
              <w:spacing w:after="0"/>
              <w:rPr>
                <w:sz w:val="20"/>
                <w:szCs w:val="20"/>
                <w:color w:val="auto"/>
              </w:rPr>
            </w:pPr>
            <w:r>
              <w:rPr>
                <w:rFonts w:ascii="Arial" w:cs="Arial" w:eastAsia="Arial" w:hAnsi="Arial"/>
                <w:sz w:val="13"/>
                <w:szCs w:val="13"/>
                <w:color w:val="auto"/>
              </w:rPr>
              <w:t>SOFR+9.26%, 9.76%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6/24/2022</w:t>
            </w:r>
          </w:p>
        </w:tc>
        <w:tc>
          <w:tcPr>
            <w:tcW w:w="920" w:type="dxa"/>
            <w:vAlign w:val="bottom"/>
          </w:tcPr>
          <w:p>
            <w:pPr>
              <w:jc w:val="center"/>
              <w:spacing w:after="0"/>
              <w:rPr>
                <w:sz w:val="20"/>
                <w:szCs w:val="20"/>
                <w:color w:val="auto"/>
              </w:rPr>
            </w:pPr>
            <w:r>
              <w:rPr>
                <w:rFonts w:ascii="Arial" w:cs="Arial" w:eastAsia="Arial" w:hAnsi="Arial"/>
                <w:sz w:val="13"/>
                <w:szCs w:val="13"/>
                <w:color w:val="auto"/>
              </w:rPr>
              <w:t>6/15/2027</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40,000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39,504</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39,504</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3.4375%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ShareThis,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SOFR+9.25%, 11.86% floor, 3.00%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12/3/2018</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7/15/2025</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21,000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21,500</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21,150</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SOFR+8.25%, 10.86% floor, 3.00%</w:t>
            </w:r>
          </w:p>
        </w:tc>
        <w:tc>
          <w:tcPr>
            <w:tcW w:w="960" w:type="dxa"/>
            <w:vAlign w:val="bottom"/>
          </w:tcPr>
          <w:p>
            <w:pPr>
              <w:jc w:val="center"/>
              <w:spacing w:after="0"/>
              <w:rPr>
                <w:sz w:val="20"/>
                <w:szCs w:val="20"/>
                <w:color w:val="auto"/>
              </w:rPr>
            </w:pPr>
            <w:r>
              <w:rPr>
                <w:rFonts w:ascii="Arial" w:cs="Arial" w:eastAsia="Arial" w:hAnsi="Arial"/>
                <w:sz w:val="13"/>
                <w:szCs w:val="13"/>
                <w:color w:val="auto"/>
              </w:rPr>
              <w:t>8/18/2020</w:t>
            </w:r>
          </w:p>
        </w:tc>
        <w:tc>
          <w:tcPr>
            <w:tcW w:w="920" w:type="dxa"/>
            <w:vAlign w:val="bottom"/>
          </w:tcPr>
          <w:p>
            <w:pPr>
              <w:jc w:val="center"/>
              <w:spacing w:after="0"/>
              <w:rPr>
                <w:sz w:val="20"/>
                <w:szCs w:val="20"/>
                <w:color w:val="auto"/>
              </w:rPr>
            </w:pPr>
            <w:r>
              <w:rPr>
                <w:rFonts w:ascii="Arial" w:cs="Arial" w:eastAsia="Arial" w:hAnsi="Arial"/>
                <w:sz w:val="13"/>
                <w:szCs w:val="13"/>
                <w:color w:val="auto"/>
              </w:rPr>
              <w:t>7/15/2025</w:t>
            </w: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1,026</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1,007</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0"/>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Vesta Payment Solutions,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SOFR+7.00%, 9.00% floor, 3.00%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11/29/2022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11/15/2026</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25,000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24,521</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24,521</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5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Data Processing &amp; Outsourced Services - 14.96%*</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86,551</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86,182</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b w:val="1"/>
                <w:bCs w:val="1"/>
                <w:color w:val="auto"/>
              </w:rPr>
              <w:t>Education Services</w:t>
            </w: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Turning Tech Intermediate,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SOFR+8.50%, 9.00% floor, 13.00%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6/22/2021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12/14/2025</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25,000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25,305</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25,305</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(4)(8)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(dba Echo 360,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cap, 3.00%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b w:val="1"/>
                <w:bCs w:val="1"/>
                <w:color w:val="auto"/>
              </w:rPr>
              <w:t>Total Education Services - 4.39%*</w:t>
            </w: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25,305</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25,305</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580" w:type="dxa"/>
            <w:vAlign w:val="bottom"/>
            <w:gridSpan w:val="2"/>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580" w:type="dxa"/>
            <w:vAlign w:val="bottom"/>
            <w:gridSpan w:val="2"/>
          </w:tcPr>
          <w:p>
            <w:pPr>
              <w:ind w:left="220"/>
              <w:spacing w:after="0"/>
              <w:rPr>
                <w:sz w:val="20"/>
                <w:szCs w:val="20"/>
                <w:color w:val="auto"/>
              </w:rPr>
            </w:pPr>
            <w:r>
              <w:rPr>
                <w:rFonts w:ascii="Arial" w:cs="Arial" w:eastAsia="Arial" w:hAnsi="Arial"/>
                <w:sz w:val="13"/>
                <w:szCs w:val="13"/>
                <w:b w:val="1"/>
                <w:bCs w:val="1"/>
                <w:color w:val="auto"/>
              </w:rPr>
              <w:t>Electronic Equipment &amp; Instruments</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Brivo,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SOFR+6.85%, 10.89% floor, 50%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10/20/2022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10/20/2027</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44,378</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43,912</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43,912</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(4)(8)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interest PIK, 3.00%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Intellisite Holdings, Inc. (dba Epic</w:t>
            </w:r>
          </w:p>
        </w:tc>
        <w:tc>
          <w:tcPr>
            <w:tcW w:w="2180" w:type="dxa"/>
            <w:vAlign w:val="bottom"/>
          </w:tcPr>
          <w:p>
            <w:pPr>
              <w:ind w:left="20"/>
              <w:spacing w:after="0"/>
              <w:rPr>
                <w:sz w:val="20"/>
                <w:szCs w:val="20"/>
                <w:color w:val="auto"/>
              </w:rPr>
            </w:pPr>
            <w:r>
              <w:rPr>
                <w:rFonts w:ascii="Arial" w:cs="Arial" w:eastAsia="Arial" w:hAnsi="Arial"/>
                <w:sz w:val="13"/>
                <w:szCs w:val="13"/>
                <w:color w:val="auto"/>
              </w:rPr>
              <w:t>SOFR+9.75%, 10.25% floor, 2.00%</w:t>
            </w:r>
          </w:p>
        </w:tc>
        <w:tc>
          <w:tcPr>
            <w:tcW w:w="960" w:type="dxa"/>
            <w:vAlign w:val="bottom"/>
          </w:tcPr>
          <w:p>
            <w:pPr>
              <w:jc w:val="center"/>
              <w:spacing w:after="0"/>
              <w:rPr>
                <w:sz w:val="20"/>
                <w:szCs w:val="20"/>
                <w:color w:val="auto"/>
              </w:rPr>
            </w:pPr>
            <w:r>
              <w:rPr>
                <w:rFonts w:ascii="Arial" w:cs="Arial" w:eastAsia="Arial" w:hAnsi="Arial"/>
                <w:sz w:val="13"/>
                <w:szCs w:val="13"/>
                <w:color w:val="auto"/>
              </w:rPr>
              <w:t>12/17/2021</w:t>
            </w:r>
          </w:p>
        </w:tc>
        <w:tc>
          <w:tcPr>
            <w:tcW w:w="920" w:type="dxa"/>
            <w:vAlign w:val="bottom"/>
          </w:tcPr>
          <w:p>
            <w:pPr>
              <w:jc w:val="center"/>
              <w:spacing w:after="0"/>
              <w:rPr>
                <w:sz w:val="20"/>
                <w:szCs w:val="20"/>
                <w:color w:val="auto"/>
              </w:rPr>
            </w:pPr>
            <w:r>
              <w:rPr>
                <w:rFonts w:ascii="Arial" w:cs="Arial" w:eastAsia="Arial" w:hAnsi="Arial"/>
                <w:sz w:val="13"/>
                <w:szCs w:val="13"/>
                <w:color w:val="auto"/>
              </w:rPr>
              <w:t>12/17/2025</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34,000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33,639</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33,639</w:t>
            </w:r>
          </w:p>
        </w:tc>
        <w:tc>
          <w:tcPr>
            <w:tcW w:w="82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IO Technologies, Inc.)</w:t>
            </w:r>
          </w:p>
        </w:tc>
        <w:tc>
          <w:tcPr>
            <w:tcW w:w="218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58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Total Electronic Equipment &amp; Instruments - 13.46%*</w:t>
            </w:r>
          </w:p>
        </w:tc>
        <w:tc>
          <w:tcPr>
            <w:tcW w:w="9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77,551</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77,551</w:t>
            </w:r>
          </w:p>
        </w:tc>
        <w:tc>
          <w:tcPr>
            <w:tcW w:w="820" w:type="dxa"/>
            <w:vAlign w:val="bottom"/>
            <w:shd w:val="clear" w:color="auto" w:fill="CFF0FC"/>
          </w:tcPr>
          <w:p>
            <w:pPr>
              <w:spacing w:after="0"/>
              <w:rPr>
                <w:sz w:val="16"/>
                <w:szCs w:val="16"/>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6" w:name="page17"/>
    <w:bookmarkEnd w:id="16"/>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 Schedule of Investments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180" w:type="dxa"/>
            <w:vAlign w:val="bottom"/>
          </w:tcPr>
          <w:p>
            <w:pPr>
              <w:ind w:left="680"/>
              <w:spacing w:after="0" w:line="146" w:lineRule="exact"/>
              <w:rPr>
                <w:sz w:val="20"/>
                <w:szCs w:val="20"/>
                <w:color w:val="auto"/>
              </w:rPr>
            </w:pPr>
            <w:r>
              <w:rPr>
                <w:rFonts w:ascii="Arial" w:cs="Arial" w:eastAsia="Arial" w:hAnsi="Arial"/>
                <w:sz w:val="13"/>
                <w:szCs w:val="13"/>
                <w:b w:val="1"/>
                <w:bCs w:val="1"/>
                <w:color w:val="auto"/>
              </w:rPr>
              <w:t>Investment</w:t>
            </w: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Acquisition</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Maturity</w:t>
            </w:r>
          </w:p>
        </w:tc>
        <w:tc>
          <w:tcPr>
            <w:tcW w:w="11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Principal ($) /</w:t>
            </w:r>
          </w:p>
        </w:tc>
        <w:tc>
          <w:tcPr>
            <w:tcW w:w="1000" w:type="dxa"/>
            <w:vAlign w:val="bottom"/>
          </w:tcPr>
          <w:p>
            <w:pPr>
              <w:spacing w:after="0"/>
              <w:rPr>
                <w:sz w:val="12"/>
                <w:szCs w:val="12"/>
                <w:color w:val="auto"/>
              </w:rPr>
            </w:pPr>
          </w:p>
        </w:tc>
        <w:tc>
          <w:tcPr>
            <w:tcW w:w="1080" w:type="dxa"/>
            <w:vAlign w:val="bottom"/>
          </w:tcPr>
          <w:p>
            <w:pPr>
              <w:jc w:val="right"/>
              <w:ind w:right="374"/>
              <w:spacing w:after="0" w:line="146" w:lineRule="exact"/>
              <w:rPr>
                <w:sz w:val="20"/>
                <w:szCs w:val="20"/>
                <w:color w:val="auto"/>
              </w:rPr>
            </w:pPr>
            <w:r>
              <w:rPr>
                <w:rFonts w:ascii="Arial" w:cs="Arial" w:eastAsia="Arial" w:hAnsi="Arial"/>
                <w:sz w:val="13"/>
                <w:szCs w:val="13"/>
                <w:b w:val="1"/>
                <w:bCs w:val="1"/>
                <w:color w:val="auto"/>
              </w:rPr>
              <w:t>Fair</w:t>
            </w:r>
          </w:p>
        </w:tc>
        <w:tc>
          <w:tcPr>
            <w:tcW w:w="820" w:type="dxa"/>
            <w:vAlign w:val="bottom"/>
          </w:tcPr>
          <w:p>
            <w:pPr>
              <w:spacing w:after="0"/>
              <w:rPr>
                <w:sz w:val="12"/>
                <w:szCs w:val="12"/>
                <w:color w:val="auto"/>
              </w:rPr>
            </w:pPr>
          </w:p>
        </w:tc>
      </w:tr>
      <w:tr>
        <w:trPr>
          <w:trHeight w:val="194"/>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2180" w:type="dxa"/>
            <w:vAlign w:val="bottom"/>
          </w:tcPr>
          <w:p>
            <w:pPr>
              <w:ind w:left="520"/>
              <w:spacing w:after="0"/>
              <w:rPr>
                <w:sz w:val="20"/>
                <w:szCs w:val="20"/>
                <w:color w:val="auto"/>
              </w:rPr>
            </w:pPr>
            <w:r>
              <w:rPr>
                <w:rFonts w:ascii="Arial" w:cs="Arial" w:eastAsia="Arial" w:hAnsi="Arial"/>
                <w:sz w:val="13"/>
                <w:szCs w:val="13"/>
                <w:b w:val="1"/>
                <w:bCs w:val="1"/>
                <w:color w:val="auto"/>
              </w:rPr>
              <w:t>Description</w:t>
            </w:r>
            <w:r>
              <w:rPr>
                <w:rFonts w:ascii="Arial" w:cs="Arial" w:eastAsia="Arial" w:hAnsi="Arial"/>
                <w:sz w:val="16"/>
                <w:szCs w:val="16"/>
                <w:b w:val="1"/>
                <w:bCs w:val="1"/>
                <w:color w:val="auto"/>
                <w:vertAlign w:val="superscript"/>
              </w:rPr>
              <w:t>(1),(5),(9)</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180" w:type="dxa"/>
            <w:vAlign w:val="bottom"/>
          </w:tcPr>
          <w:p>
            <w:pPr>
              <w:jc w:val="right"/>
              <w:ind w:right="374"/>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234"/>
              <w:spacing w:after="0"/>
              <w:rPr>
                <w:sz w:val="20"/>
                <w:szCs w:val="20"/>
                <w:color w:val="auto"/>
              </w:rPr>
            </w:pPr>
            <w:r>
              <w:rPr>
                <w:rFonts w:ascii="Arial" w:cs="Arial" w:eastAsia="Arial" w:hAnsi="Arial"/>
                <w:sz w:val="13"/>
                <w:szCs w:val="13"/>
                <w:b w:val="1"/>
                <w:bCs w:val="1"/>
                <w:color w:val="auto"/>
              </w:rPr>
              <w:t>Cost ($)</w:t>
            </w:r>
          </w:p>
        </w:tc>
        <w:tc>
          <w:tcPr>
            <w:tcW w:w="1080" w:type="dxa"/>
            <w:vAlign w:val="bottom"/>
          </w:tcPr>
          <w:p>
            <w:pPr>
              <w:jc w:val="right"/>
              <w:ind w:right="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(2),(6)</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2420" w:type="dxa"/>
            <w:vAlign w:val="bottom"/>
            <w:gridSpan w:val="2"/>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2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218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1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Health Care Equipment</w:t>
            </w:r>
          </w:p>
        </w:tc>
        <w:tc>
          <w:tcPr>
            <w:tcW w:w="2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Moximed, Inc.</w:t>
            </w:r>
          </w:p>
        </w:tc>
        <w:tc>
          <w:tcPr>
            <w:tcW w:w="2180" w:type="dxa"/>
            <w:vAlign w:val="bottom"/>
          </w:tcPr>
          <w:p>
            <w:pPr>
              <w:ind w:left="20"/>
              <w:spacing w:after="0"/>
              <w:rPr>
                <w:sz w:val="20"/>
                <w:szCs w:val="20"/>
                <w:color w:val="auto"/>
              </w:rPr>
            </w:pPr>
            <w:r>
              <w:rPr>
                <w:rFonts w:ascii="Arial" w:cs="Arial" w:eastAsia="Arial" w:hAnsi="Arial"/>
                <w:sz w:val="13"/>
                <w:szCs w:val="13"/>
                <w:color w:val="auto"/>
              </w:rPr>
              <w:t>PRIME+5.25%, 8.75% floor, 3.50%</w:t>
            </w:r>
          </w:p>
        </w:tc>
        <w:tc>
          <w:tcPr>
            <w:tcW w:w="960" w:type="dxa"/>
            <w:vAlign w:val="bottom"/>
          </w:tcPr>
          <w:p>
            <w:pPr>
              <w:jc w:val="center"/>
              <w:spacing w:after="0"/>
              <w:rPr>
                <w:sz w:val="20"/>
                <w:szCs w:val="20"/>
                <w:color w:val="auto"/>
              </w:rPr>
            </w:pPr>
            <w:r>
              <w:rPr>
                <w:rFonts w:ascii="Arial" w:cs="Arial" w:eastAsia="Arial" w:hAnsi="Arial"/>
                <w:sz w:val="13"/>
                <w:szCs w:val="13"/>
                <w:color w:val="auto"/>
              </w:rPr>
              <w:t>6/24/2022</w:t>
            </w:r>
          </w:p>
        </w:tc>
        <w:tc>
          <w:tcPr>
            <w:tcW w:w="920" w:type="dxa"/>
            <w:vAlign w:val="bottom"/>
          </w:tcPr>
          <w:p>
            <w:pPr>
              <w:jc w:val="center"/>
              <w:spacing w:after="0"/>
              <w:rPr>
                <w:sz w:val="20"/>
                <w:szCs w:val="20"/>
                <w:color w:val="auto"/>
              </w:rPr>
            </w:pPr>
            <w:r>
              <w:rPr>
                <w:rFonts w:ascii="Arial" w:cs="Arial" w:eastAsia="Arial" w:hAnsi="Arial"/>
                <w:sz w:val="13"/>
                <w:szCs w:val="13"/>
                <w:color w:val="auto"/>
              </w:rPr>
              <w:t>7/1/2027</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15,000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14,772</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14,772</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Revelle Aesthetics,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PRIME+5.50%, 8.75% floor, 4.00%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3/30/2022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4/1/2027</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12,500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12,377</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12,377</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5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Health Care Equipment - 4.71%*</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27,149</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27,149</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Allurion Technologies,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PRIME+6.44%, 9.50% floor, 3.00%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12/30/2021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12/30/2026</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55,000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54,715</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54,715</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EBR Systems, Inc.</w:t>
            </w:r>
          </w:p>
        </w:tc>
        <w:tc>
          <w:tcPr>
            <w:tcW w:w="2180" w:type="dxa"/>
            <w:vAlign w:val="bottom"/>
          </w:tcPr>
          <w:p>
            <w:pPr>
              <w:ind w:left="20"/>
              <w:spacing w:after="0"/>
              <w:rPr>
                <w:sz w:val="20"/>
                <w:szCs w:val="20"/>
                <w:color w:val="auto"/>
              </w:rPr>
            </w:pPr>
            <w:r>
              <w:rPr>
                <w:rFonts w:ascii="Arial" w:cs="Arial" w:eastAsia="Arial" w:hAnsi="Arial"/>
                <w:sz w:val="13"/>
                <w:szCs w:val="13"/>
                <w:color w:val="auto"/>
              </w:rPr>
              <w:t>PRIME+4.90%, 8.90% floor, 4.50%</w:t>
            </w:r>
          </w:p>
        </w:tc>
        <w:tc>
          <w:tcPr>
            <w:tcW w:w="960" w:type="dxa"/>
            <w:vAlign w:val="bottom"/>
          </w:tcPr>
          <w:p>
            <w:pPr>
              <w:jc w:val="center"/>
              <w:spacing w:after="0"/>
              <w:rPr>
                <w:sz w:val="20"/>
                <w:szCs w:val="20"/>
                <w:color w:val="auto"/>
              </w:rPr>
            </w:pPr>
            <w:r>
              <w:rPr>
                <w:rFonts w:ascii="Arial" w:cs="Arial" w:eastAsia="Arial" w:hAnsi="Arial"/>
                <w:sz w:val="13"/>
                <w:szCs w:val="13"/>
                <w:color w:val="auto"/>
              </w:rPr>
              <w:t>6/30/2022</w:t>
            </w:r>
          </w:p>
        </w:tc>
        <w:tc>
          <w:tcPr>
            <w:tcW w:w="920" w:type="dxa"/>
            <w:vAlign w:val="bottom"/>
          </w:tcPr>
          <w:p>
            <w:pPr>
              <w:jc w:val="center"/>
              <w:spacing w:after="0"/>
              <w:rPr>
                <w:sz w:val="20"/>
                <w:szCs w:val="20"/>
                <w:color w:val="auto"/>
              </w:rPr>
            </w:pPr>
            <w:r>
              <w:rPr>
                <w:rFonts w:ascii="Arial" w:cs="Arial" w:eastAsia="Arial" w:hAnsi="Arial"/>
                <w:sz w:val="13"/>
                <w:szCs w:val="13"/>
                <w:color w:val="auto"/>
              </w:rPr>
              <w:t>6/15/2027</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20,000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19,648</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19,648</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Gynesonics,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SOFR+8.75%, 9.25% floor, 3.50%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12/1/2020</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12/1/2025</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50,000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50,022</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50,022</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Mingle Healthcare Solutions, Inc.</w:t>
            </w:r>
          </w:p>
        </w:tc>
        <w:tc>
          <w:tcPr>
            <w:tcW w:w="2180" w:type="dxa"/>
            <w:vAlign w:val="bottom"/>
          </w:tcPr>
          <w:p>
            <w:pPr>
              <w:ind w:left="20"/>
              <w:spacing w:after="0"/>
              <w:rPr>
                <w:sz w:val="20"/>
                <w:szCs w:val="20"/>
                <w:color w:val="auto"/>
              </w:rPr>
            </w:pPr>
            <w:r>
              <w:rPr>
                <w:rFonts w:ascii="Arial" w:cs="Arial" w:eastAsia="Arial" w:hAnsi="Arial"/>
                <w:sz w:val="13"/>
                <w:szCs w:val="13"/>
                <w:color w:val="auto"/>
              </w:rPr>
              <w:t>SOFR+9.50%, 12.01% floor, .25%</w:t>
            </w:r>
          </w:p>
        </w:tc>
        <w:tc>
          <w:tcPr>
            <w:tcW w:w="960" w:type="dxa"/>
            <w:vAlign w:val="bottom"/>
          </w:tcPr>
          <w:p>
            <w:pPr>
              <w:jc w:val="center"/>
              <w:spacing w:after="0"/>
              <w:rPr>
                <w:sz w:val="20"/>
                <w:szCs w:val="20"/>
                <w:color w:val="auto"/>
              </w:rPr>
            </w:pPr>
            <w:r>
              <w:rPr>
                <w:rFonts w:ascii="Arial" w:cs="Arial" w:eastAsia="Arial" w:hAnsi="Arial"/>
                <w:sz w:val="13"/>
                <w:szCs w:val="13"/>
                <w:color w:val="auto"/>
              </w:rPr>
              <w:t>8/15/2018</w:t>
            </w:r>
          </w:p>
        </w:tc>
        <w:tc>
          <w:tcPr>
            <w:tcW w:w="920" w:type="dxa"/>
            <w:vAlign w:val="bottom"/>
          </w:tcPr>
          <w:p>
            <w:pPr>
              <w:jc w:val="center"/>
              <w:spacing w:after="0"/>
              <w:rPr>
                <w:sz w:val="20"/>
                <w:szCs w:val="20"/>
                <w:color w:val="auto"/>
              </w:rPr>
            </w:pPr>
            <w:r>
              <w:rPr>
                <w:rFonts w:ascii="Arial" w:cs="Arial" w:eastAsia="Arial" w:hAnsi="Arial"/>
                <w:sz w:val="13"/>
                <w:szCs w:val="13"/>
                <w:color w:val="auto"/>
              </w:rPr>
              <w:t>12/15/2023</w:t>
            </w: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4,015</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4,615</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3,821</w:t>
            </w:r>
          </w:p>
        </w:tc>
        <w:tc>
          <w:tcPr>
            <w:tcW w:w="820" w:type="dxa"/>
            <w:vAlign w:val="bottom"/>
          </w:tcPr>
          <w:p>
            <w:pPr>
              <w:ind w:left="120"/>
              <w:spacing w:after="0"/>
              <w:rPr>
                <w:sz w:val="20"/>
                <w:szCs w:val="20"/>
                <w:color w:val="auto"/>
              </w:rPr>
            </w:pPr>
            <w:r>
              <w:rPr>
                <w:rFonts w:ascii="Arial" w:cs="Arial" w:eastAsia="Arial" w:hAnsi="Arial"/>
                <w:sz w:val="13"/>
                <w:szCs w:val="13"/>
                <w:color w:val="auto"/>
              </w:rPr>
              <w:t>(4)(8)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PIK, 10.50%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Nalu Medical,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PRIME+2.70%, 6.70% floor, 2.00%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10/12/2022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10/12/2027</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20,071</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19,756</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19,756</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(4)(8)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PIK, 4.50%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Route 92 Medical, Inc.</w:t>
            </w:r>
          </w:p>
        </w:tc>
        <w:tc>
          <w:tcPr>
            <w:tcW w:w="2180" w:type="dxa"/>
            <w:vAlign w:val="bottom"/>
          </w:tcPr>
          <w:p>
            <w:pPr>
              <w:ind w:left="20"/>
              <w:spacing w:after="0"/>
              <w:rPr>
                <w:sz w:val="20"/>
                <w:szCs w:val="20"/>
                <w:color w:val="auto"/>
              </w:rPr>
            </w:pPr>
            <w:r>
              <w:rPr>
                <w:rFonts w:ascii="Arial" w:cs="Arial" w:eastAsia="Arial" w:hAnsi="Arial"/>
                <w:sz w:val="13"/>
                <w:szCs w:val="13"/>
                <w:color w:val="auto"/>
              </w:rPr>
              <w:t>SOFR+8.48%, 8.98% floor, 3.95%</w:t>
            </w:r>
          </w:p>
        </w:tc>
        <w:tc>
          <w:tcPr>
            <w:tcW w:w="960" w:type="dxa"/>
            <w:vAlign w:val="bottom"/>
          </w:tcPr>
          <w:p>
            <w:pPr>
              <w:jc w:val="center"/>
              <w:spacing w:after="0"/>
              <w:rPr>
                <w:sz w:val="20"/>
                <w:szCs w:val="20"/>
                <w:color w:val="auto"/>
              </w:rPr>
            </w:pPr>
            <w:r>
              <w:rPr>
                <w:rFonts w:ascii="Arial" w:cs="Arial" w:eastAsia="Arial" w:hAnsi="Arial"/>
                <w:sz w:val="13"/>
                <w:szCs w:val="13"/>
                <w:color w:val="auto"/>
              </w:rPr>
              <w:t>8/17/2021</w:t>
            </w:r>
          </w:p>
        </w:tc>
        <w:tc>
          <w:tcPr>
            <w:tcW w:w="920" w:type="dxa"/>
            <w:vAlign w:val="bottom"/>
          </w:tcPr>
          <w:p>
            <w:pPr>
              <w:jc w:val="center"/>
              <w:spacing w:after="0"/>
              <w:rPr>
                <w:sz w:val="20"/>
                <w:szCs w:val="20"/>
                <w:color w:val="auto"/>
              </w:rPr>
            </w:pPr>
            <w:r>
              <w:rPr>
                <w:rFonts w:ascii="Arial" w:cs="Arial" w:eastAsia="Arial" w:hAnsi="Arial"/>
                <w:sz w:val="13"/>
                <w:szCs w:val="13"/>
                <w:color w:val="auto"/>
              </w:rPr>
              <w:t>7/1/2026</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13,000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12,843</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12,843</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65"/>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161"/>
        </w:trPr>
        <w:tc>
          <w:tcPr>
            <w:tcW w:w="20" w:type="dxa"/>
            <w:vAlign w:val="bottom"/>
            <w:shd w:val="clear" w:color="auto" w:fill="CFF0FC"/>
          </w:tcPr>
          <w:p>
            <w:pPr>
              <w:spacing w:after="0"/>
              <w:rPr>
                <w:sz w:val="13"/>
                <w:szCs w:val="13"/>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SetPoint Medical Corporation</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SOFR+5.75%, 9.00% floor, 4.00%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12/29/2022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12/1/2027</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25,000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24,802</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24,802</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VERO Biotech LLC</w:t>
            </w:r>
          </w:p>
        </w:tc>
        <w:tc>
          <w:tcPr>
            <w:tcW w:w="2180" w:type="dxa"/>
            <w:vAlign w:val="bottom"/>
          </w:tcPr>
          <w:p>
            <w:pPr>
              <w:ind w:left="20"/>
              <w:spacing w:after="0"/>
              <w:rPr>
                <w:sz w:val="20"/>
                <w:szCs w:val="20"/>
                <w:color w:val="auto"/>
              </w:rPr>
            </w:pPr>
            <w:r>
              <w:rPr>
                <w:rFonts w:ascii="Arial" w:cs="Arial" w:eastAsia="Arial" w:hAnsi="Arial"/>
                <w:sz w:val="13"/>
                <w:szCs w:val="13"/>
                <w:color w:val="auto"/>
              </w:rPr>
              <w:t>SOFR+9.05%, 9.55% floor, 3.00%</w:t>
            </w:r>
          </w:p>
        </w:tc>
        <w:tc>
          <w:tcPr>
            <w:tcW w:w="960" w:type="dxa"/>
            <w:vAlign w:val="bottom"/>
          </w:tcPr>
          <w:p>
            <w:pPr>
              <w:jc w:val="center"/>
              <w:spacing w:after="0"/>
              <w:rPr>
                <w:sz w:val="20"/>
                <w:szCs w:val="20"/>
                <w:color w:val="auto"/>
              </w:rPr>
            </w:pPr>
            <w:r>
              <w:rPr>
                <w:rFonts w:ascii="Arial" w:cs="Arial" w:eastAsia="Arial" w:hAnsi="Arial"/>
                <w:sz w:val="13"/>
                <w:szCs w:val="13"/>
                <w:color w:val="auto"/>
              </w:rPr>
              <w:t>12/29/2020</w:t>
            </w:r>
          </w:p>
        </w:tc>
        <w:tc>
          <w:tcPr>
            <w:tcW w:w="920" w:type="dxa"/>
            <w:vAlign w:val="bottom"/>
          </w:tcPr>
          <w:p>
            <w:pPr>
              <w:jc w:val="center"/>
              <w:spacing w:after="0"/>
              <w:rPr>
                <w:sz w:val="20"/>
                <w:szCs w:val="20"/>
                <w:color w:val="auto"/>
              </w:rPr>
            </w:pPr>
            <w:r>
              <w:rPr>
                <w:rFonts w:ascii="Arial" w:cs="Arial" w:eastAsia="Arial" w:hAnsi="Arial"/>
                <w:sz w:val="13"/>
                <w:szCs w:val="13"/>
                <w:color w:val="auto"/>
              </w:rPr>
              <w:t>12/1/2024</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40,000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40,308</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40,308</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458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Total Health Care Technology - 39.22%*</w:t>
            </w:r>
          </w:p>
        </w:tc>
        <w:tc>
          <w:tcPr>
            <w:tcW w:w="9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226,709</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225,915</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45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58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Human Resource &amp; Employment Services</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CloudPay, Inc.</w:t>
            </w:r>
          </w:p>
        </w:tc>
        <w:tc>
          <w:tcPr>
            <w:tcW w:w="2180" w:type="dxa"/>
            <w:vAlign w:val="bottom"/>
          </w:tcPr>
          <w:p>
            <w:pPr>
              <w:ind w:left="20"/>
              <w:spacing w:after="0"/>
              <w:rPr>
                <w:sz w:val="20"/>
                <w:szCs w:val="20"/>
                <w:color w:val="auto"/>
              </w:rPr>
            </w:pPr>
            <w:r>
              <w:rPr>
                <w:rFonts w:ascii="Arial" w:cs="Arial" w:eastAsia="Arial" w:hAnsi="Arial"/>
                <w:sz w:val="13"/>
                <w:szCs w:val="13"/>
                <w:color w:val="auto"/>
              </w:rPr>
              <w:t>PRIME+6.25%, 10.25%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9/26/2022</w:t>
            </w:r>
          </w:p>
        </w:tc>
        <w:tc>
          <w:tcPr>
            <w:tcW w:w="920" w:type="dxa"/>
            <w:vAlign w:val="bottom"/>
          </w:tcPr>
          <w:p>
            <w:pPr>
              <w:jc w:val="center"/>
              <w:spacing w:after="0"/>
              <w:rPr>
                <w:sz w:val="20"/>
                <w:szCs w:val="20"/>
                <w:color w:val="auto"/>
              </w:rPr>
            </w:pPr>
            <w:r>
              <w:rPr>
                <w:rFonts w:ascii="Arial" w:cs="Arial" w:eastAsia="Arial" w:hAnsi="Arial"/>
                <w:sz w:val="13"/>
                <w:szCs w:val="13"/>
                <w:color w:val="auto"/>
              </w:rPr>
              <w:t>8/17/2027</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60,000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59,693</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59,693</w:t>
            </w:r>
          </w:p>
        </w:tc>
        <w:tc>
          <w:tcPr>
            <w:tcW w:w="820" w:type="dxa"/>
            <w:vAlign w:val="bottom"/>
          </w:tcPr>
          <w:p>
            <w:pPr>
              <w:ind w:left="120"/>
              <w:spacing w:after="0"/>
              <w:rPr>
                <w:sz w:val="20"/>
                <w:szCs w:val="20"/>
                <w:color w:val="auto"/>
              </w:rPr>
            </w:pPr>
            <w:r>
              <w:rPr>
                <w:rFonts w:ascii="Arial" w:cs="Arial" w:eastAsia="Arial" w:hAnsi="Arial"/>
                <w:sz w:val="13"/>
                <w:szCs w:val="13"/>
                <w:color w:val="auto"/>
              </w:rPr>
              <w:t>(3)(8)(12)</w:t>
            </w:r>
          </w:p>
        </w:tc>
      </w:tr>
      <w:tr>
        <w:trPr>
          <w:trHeight w:val="170"/>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2.00%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Snagajob.com,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SOFR+8.50%, 9.00% floor, 9.00%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9/29/2021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9/1/2025</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37,609</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37,574</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36,785</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(4)(8)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cap, 2.75%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58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Human Resource &amp; Employment Services - 16.75%*</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97,267</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96,478</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b w:val="1"/>
                <w:bCs w:val="1"/>
                <w:color w:val="auto"/>
              </w:rPr>
              <w:t>Internet &amp; Direct Marketing Retail</w:t>
            </w:r>
          </w:p>
        </w:tc>
        <w:tc>
          <w:tcPr>
            <w:tcW w:w="2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Madison Reed, Inc.</w:t>
            </w: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PRIME+4.75%, 11.00%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12/16/2022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12/16/2026</w:t>
            </w:r>
          </w:p>
        </w:tc>
        <w:tc>
          <w:tcPr>
            <w:tcW w:w="118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9,600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9,353</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9,353</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3.00%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Marley Spoon AG</w:t>
            </w:r>
          </w:p>
        </w:tc>
        <w:tc>
          <w:tcPr>
            <w:tcW w:w="2180" w:type="dxa"/>
            <w:vAlign w:val="bottom"/>
          </w:tcPr>
          <w:p>
            <w:pPr>
              <w:ind w:left="20"/>
              <w:spacing w:after="0"/>
              <w:rPr>
                <w:sz w:val="20"/>
                <w:szCs w:val="20"/>
                <w:color w:val="auto"/>
              </w:rPr>
            </w:pPr>
            <w:r>
              <w:rPr>
                <w:rFonts w:ascii="Arial" w:cs="Arial" w:eastAsia="Arial" w:hAnsi="Arial"/>
                <w:sz w:val="13"/>
                <w:szCs w:val="13"/>
                <w:color w:val="auto"/>
              </w:rPr>
              <w:t>SOFR+8.50%, 1.25% PIK, 9.26%</w:t>
            </w:r>
          </w:p>
        </w:tc>
        <w:tc>
          <w:tcPr>
            <w:tcW w:w="960" w:type="dxa"/>
            <w:vAlign w:val="bottom"/>
          </w:tcPr>
          <w:p>
            <w:pPr>
              <w:jc w:val="center"/>
              <w:spacing w:after="0"/>
              <w:rPr>
                <w:sz w:val="20"/>
                <w:szCs w:val="20"/>
                <w:color w:val="auto"/>
              </w:rPr>
            </w:pPr>
            <w:r>
              <w:rPr>
                <w:rFonts w:ascii="Arial" w:cs="Arial" w:eastAsia="Arial" w:hAnsi="Arial"/>
                <w:sz w:val="13"/>
                <w:szCs w:val="13"/>
                <w:color w:val="auto"/>
              </w:rPr>
              <w:t>6/30/2021</w:t>
            </w:r>
          </w:p>
        </w:tc>
        <w:tc>
          <w:tcPr>
            <w:tcW w:w="920" w:type="dxa"/>
            <w:vAlign w:val="bottom"/>
          </w:tcPr>
          <w:p>
            <w:pPr>
              <w:jc w:val="center"/>
              <w:spacing w:after="0"/>
              <w:rPr>
                <w:sz w:val="20"/>
                <w:szCs w:val="20"/>
                <w:color w:val="auto"/>
              </w:rPr>
            </w:pPr>
            <w:r>
              <w:rPr>
                <w:rFonts w:ascii="Arial" w:cs="Arial" w:eastAsia="Arial" w:hAnsi="Arial"/>
                <w:sz w:val="13"/>
                <w:szCs w:val="13"/>
                <w:color w:val="auto"/>
              </w:rPr>
              <w:t>6/15/2025</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46,754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46,500</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46,500</w:t>
            </w:r>
          </w:p>
        </w:tc>
        <w:tc>
          <w:tcPr>
            <w:tcW w:w="820" w:type="dxa"/>
            <w:vAlign w:val="bottom"/>
          </w:tcPr>
          <w:p>
            <w:pPr>
              <w:ind w:left="120"/>
              <w:spacing w:after="0"/>
              <w:rPr>
                <w:sz w:val="20"/>
                <w:szCs w:val="20"/>
                <w:color w:val="auto"/>
              </w:rPr>
            </w:pPr>
            <w:r>
              <w:rPr>
                <w:rFonts w:ascii="Arial" w:cs="Arial" w:eastAsia="Arial" w:hAnsi="Arial"/>
                <w:sz w:val="13"/>
                <w:szCs w:val="13"/>
                <w:color w:val="auto"/>
              </w:rPr>
              <w:t>(3)(4)(8)</w:t>
            </w:r>
          </w:p>
        </w:tc>
      </w:tr>
      <w:tr>
        <w:trPr>
          <w:trHeight w:val="170"/>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floor</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3"/>
                <w:szCs w:val="13"/>
                <w:color w:val="auto"/>
              </w:rPr>
              <w:t>(11)</w:t>
            </w:r>
          </w:p>
        </w:tc>
      </w:tr>
      <w:tr>
        <w:trPr>
          <w:trHeight w:val="185"/>
        </w:trPr>
        <w:tc>
          <w:tcPr>
            <w:tcW w:w="20" w:type="dxa"/>
            <w:vAlign w:val="bottom"/>
            <w:shd w:val="clear" w:color="auto" w:fill="CFF0FC"/>
          </w:tcPr>
          <w:p>
            <w:pPr>
              <w:spacing w:after="0"/>
              <w:rPr>
                <w:sz w:val="16"/>
                <w:szCs w:val="16"/>
                <w:color w:val="auto"/>
              </w:rPr>
            </w:pPr>
          </w:p>
        </w:tc>
        <w:tc>
          <w:tcPr>
            <w:tcW w:w="458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Total Internet &amp; Direct Marketing Retail - 9.70%*</w:t>
            </w:r>
          </w:p>
        </w:tc>
        <w:tc>
          <w:tcPr>
            <w:tcW w:w="9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55,853</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55,853</w:t>
            </w:r>
          </w:p>
        </w:tc>
        <w:tc>
          <w:tcPr>
            <w:tcW w:w="820" w:type="dxa"/>
            <w:vAlign w:val="bottom"/>
            <w:shd w:val="clear" w:color="auto" w:fill="CFF0FC"/>
          </w:tcPr>
          <w:p>
            <w:pPr>
              <w:spacing w:after="0"/>
              <w:rPr>
                <w:sz w:val="16"/>
                <w:szCs w:val="16"/>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7" w:name="page18"/>
    <w:bookmarkEnd w:id="17"/>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 Schedule of Investments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0" w:type="dxa"/>
            <w:vAlign w:val="bottom"/>
          </w:tcPr>
          <w:p>
            <w:pPr>
              <w:ind w:left="700"/>
              <w:spacing w:after="0" w:line="146" w:lineRule="exact"/>
              <w:rPr>
                <w:sz w:val="20"/>
                <w:szCs w:val="20"/>
                <w:color w:val="auto"/>
              </w:rPr>
            </w:pPr>
            <w:r>
              <w:rPr>
                <w:rFonts w:ascii="Arial" w:cs="Arial" w:eastAsia="Arial" w:hAnsi="Arial"/>
                <w:sz w:val="13"/>
                <w:szCs w:val="13"/>
                <w:b w:val="1"/>
                <w:bCs w:val="1"/>
                <w:color w:val="auto"/>
              </w:rPr>
              <w:t>Investment</w:t>
            </w:r>
          </w:p>
        </w:tc>
        <w:tc>
          <w:tcPr>
            <w:tcW w:w="9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Acquisition</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Maturity</w:t>
            </w:r>
          </w:p>
        </w:tc>
        <w:tc>
          <w:tcPr>
            <w:tcW w:w="116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Principal ($) /</w:t>
            </w:r>
          </w:p>
        </w:tc>
        <w:tc>
          <w:tcPr>
            <w:tcW w:w="1000" w:type="dxa"/>
            <w:vAlign w:val="bottom"/>
          </w:tcPr>
          <w:p>
            <w:pPr>
              <w:spacing w:after="0"/>
              <w:rPr>
                <w:sz w:val="12"/>
                <w:szCs w:val="12"/>
                <w:color w:val="auto"/>
              </w:rPr>
            </w:pPr>
          </w:p>
        </w:tc>
        <w:tc>
          <w:tcPr>
            <w:tcW w:w="1080" w:type="dxa"/>
            <w:vAlign w:val="bottom"/>
          </w:tcPr>
          <w:p>
            <w:pPr>
              <w:jc w:val="right"/>
              <w:ind w:right="374"/>
              <w:spacing w:after="0" w:line="146" w:lineRule="exact"/>
              <w:rPr>
                <w:sz w:val="20"/>
                <w:szCs w:val="20"/>
                <w:color w:val="auto"/>
              </w:rPr>
            </w:pPr>
            <w:r>
              <w:rPr>
                <w:rFonts w:ascii="Arial" w:cs="Arial" w:eastAsia="Arial" w:hAnsi="Arial"/>
                <w:sz w:val="13"/>
                <w:szCs w:val="13"/>
                <w:b w:val="1"/>
                <w:bCs w:val="1"/>
                <w:color w:val="auto"/>
              </w:rPr>
              <w:t>Fair</w:t>
            </w:r>
          </w:p>
        </w:tc>
        <w:tc>
          <w:tcPr>
            <w:tcW w:w="820" w:type="dxa"/>
            <w:vAlign w:val="bottom"/>
          </w:tcPr>
          <w:p>
            <w:pPr>
              <w:spacing w:after="0"/>
              <w:rPr>
                <w:sz w:val="12"/>
                <w:szCs w:val="12"/>
                <w:color w:val="auto"/>
              </w:rPr>
            </w:pPr>
          </w:p>
        </w:tc>
      </w:tr>
      <w:tr>
        <w:trPr>
          <w:trHeight w:val="194"/>
        </w:trPr>
        <w:tc>
          <w:tcPr>
            <w:tcW w:w="2420" w:type="dxa"/>
            <w:vAlign w:val="bottom"/>
            <w:gridSpan w:val="4"/>
          </w:tcPr>
          <w:p>
            <w:pPr>
              <w:ind w:left="20"/>
              <w:spacing w:after="0"/>
              <w:rPr>
                <w:sz w:val="20"/>
                <w:szCs w:val="20"/>
                <w:color w:val="auto"/>
              </w:rPr>
            </w:pPr>
            <w:r>
              <w:rPr>
                <w:rFonts w:ascii="Arial" w:cs="Arial" w:eastAsia="Arial" w:hAnsi="Arial"/>
                <w:sz w:val="13"/>
                <w:szCs w:val="13"/>
                <w:b w:val="1"/>
                <w:bCs w:val="1"/>
                <w:color w:val="auto"/>
              </w:rPr>
              <w:t>Portfolio Company</w:t>
            </w:r>
          </w:p>
        </w:tc>
        <w:tc>
          <w:tcPr>
            <w:tcW w:w="2200" w:type="dxa"/>
            <w:vAlign w:val="bottom"/>
          </w:tcPr>
          <w:p>
            <w:pPr>
              <w:ind w:left="540"/>
              <w:spacing w:after="0"/>
              <w:rPr>
                <w:sz w:val="20"/>
                <w:szCs w:val="20"/>
                <w:color w:val="auto"/>
              </w:rPr>
            </w:pPr>
            <w:r>
              <w:rPr>
                <w:rFonts w:ascii="Arial" w:cs="Arial" w:eastAsia="Arial" w:hAnsi="Arial"/>
                <w:sz w:val="13"/>
                <w:szCs w:val="13"/>
                <w:b w:val="1"/>
                <w:bCs w:val="1"/>
                <w:color w:val="auto"/>
              </w:rPr>
              <w:t>Description</w:t>
            </w:r>
            <w:r>
              <w:rPr>
                <w:rFonts w:ascii="Arial" w:cs="Arial" w:eastAsia="Arial" w:hAnsi="Arial"/>
                <w:sz w:val="16"/>
                <w:szCs w:val="16"/>
                <w:b w:val="1"/>
                <w:bCs w:val="1"/>
                <w:color w:val="auto"/>
                <w:vertAlign w:val="superscript"/>
              </w:rPr>
              <w:t>(1),(5),(9)</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160" w:type="dxa"/>
            <w:vAlign w:val="bottom"/>
          </w:tcPr>
          <w:p>
            <w:pPr>
              <w:jc w:val="right"/>
              <w:ind w:right="354"/>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234"/>
              <w:spacing w:after="0"/>
              <w:rPr>
                <w:sz w:val="20"/>
                <w:szCs w:val="20"/>
                <w:color w:val="auto"/>
              </w:rPr>
            </w:pPr>
            <w:r>
              <w:rPr>
                <w:rFonts w:ascii="Arial" w:cs="Arial" w:eastAsia="Arial" w:hAnsi="Arial"/>
                <w:sz w:val="13"/>
                <w:szCs w:val="13"/>
                <w:b w:val="1"/>
                <w:bCs w:val="1"/>
                <w:color w:val="auto"/>
              </w:rPr>
              <w:t>Cost ($)</w:t>
            </w:r>
          </w:p>
        </w:tc>
        <w:tc>
          <w:tcPr>
            <w:tcW w:w="1080" w:type="dxa"/>
            <w:vAlign w:val="bottom"/>
          </w:tcPr>
          <w:p>
            <w:pPr>
              <w:jc w:val="right"/>
              <w:ind w:right="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(2),(6)</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2420" w:type="dxa"/>
            <w:vAlign w:val="bottom"/>
            <w:gridSpan w:val="4"/>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2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Senior Secured Term Loans</w:t>
            </w:r>
          </w:p>
        </w:tc>
        <w:tc>
          <w:tcPr>
            <w:tcW w:w="2200" w:type="dxa"/>
            <w:vAlign w:val="bottom"/>
            <w:tcBorders>
              <w:top w:val="single" w:sz="8" w:color="CFF0FC"/>
            </w:tcBorders>
          </w:tcPr>
          <w:p>
            <w:pPr>
              <w:spacing w:after="0"/>
              <w:rPr>
                <w:sz w:val="15"/>
                <w:szCs w:val="15"/>
                <w:color w:val="auto"/>
              </w:rPr>
            </w:pPr>
          </w:p>
        </w:tc>
        <w:tc>
          <w:tcPr>
            <w:tcW w:w="9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16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b w:val="1"/>
                <w:bCs w:val="1"/>
                <w:color w:val="auto"/>
              </w:rPr>
              <w:t>Internet Software and Services</w:t>
            </w:r>
          </w:p>
        </w:tc>
        <w:tc>
          <w:tcPr>
            <w:tcW w:w="2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color w:val="auto"/>
              </w:rPr>
              <w:t>Bombora, Inc.</w:t>
            </w:r>
          </w:p>
        </w:tc>
        <w:tc>
          <w:tcPr>
            <w:tcW w:w="2200" w:type="dxa"/>
            <w:vAlign w:val="bottom"/>
          </w:tcPr>
          <w:p>
            <w:pPr>
              <w:ind w:left="40"/>
              <w:spacing w:after="0"/>
              <w:rPr>
                <w:sz w:val="20"/>
                <w:szCs w:val="20"/>
                <w:color w:val="auto"/>
              </w:rPr>
            </w:pPr>
            <w:r>
              <w:rPr>
                <w:rFonts w:ascii="Arial" w:cs="Arial" w:eastAsia="Arial" w:hAnsi="Arial"/>
                <w:sz w:val="13"/>
                <w:szCs w:val="13"/>
                <w:color w:val="auto"/>
              </w:rPr>
              <w:t>SOFR+5.00%, 5.76% floor, 3.75%</w:t>
            </w:r>
          </w:p>
        </w:tc>
        <w:tc>
          <w:tcPr>
            <w:tcW w:w="960" w:type="dxa"/>
            <w:vAlign w:val="bottom"/>
          </w:tcPr>
          <w:p>
            <w:pPr>
              <w:jc w:val="center"/>
              <w:spacing w:after="0"/>
              <w:rPr>
                <w:sz w:val="20"/>
                <w:szCs w:val="20"/>
                <w:color w:val="auto"/>
              </w:rPr>
            </w:pPr>
            <w:r>
              <w:rPr>
                <w:rFonts w:ascii="Arial" w:cs="Arial" w:eastAsia="Arial" w:hAnsi="Arial"/>
                <w:sz w:val="13"/>
                <w:szCs w:val="13"/>
                <w:color w:val="auto"/>
              </w:rPr>
              <w:t>3/31/2021</w:t>
            </w:r>
          </w:p>
        </w:tc>
        <w:tc>
          <w:tcPr>
            <w:tcW w:w="920" w:type="dxa"/>
            <w:vAlign w:val="bottom"/>
          </w:tcPr>
          <w:p>
            <w:pPr>
              <w:jc w:val="center"/>
              <w:spacing w:after="0"/>
              <w:rPr>
                <w:sz w:val="20"/>
                <w:szCs w:val="20"/>
                <w:color w:val="auto"/>
              </w:rPr>
            </w:pPr>
            <w:r>
              <w:rPr>
                <w:rFonts w:ascii="Arial" w:cs="Arial" w:eastAsia="Arial" w:hAnsi="Arial"/>
                <w:sz w:val="13"/>
                <w:szCs w:val="13"/>
                <w:color w:val="auto"/>
              </w:rPr>
              <w:t>3/31/2025</w:t>
            </w:r>
          </w:p>
        </w:tc>
        <w:tc>
          <w:tcPr>
            <w:tcW w:w="1160" w:type="dxa"/>
            <w:vAlign w:val="bottom"/>
          </w:tcPr>
          <w:p>
            <w:pPr>
              <w:jc w:val="right"/>
              <w:ind w:right="154"/>
              <w:spacing w:after="0"/>
              <w:rPr>
                <w:sz w:val="20"/>
                <w:szCs w:val="20"/>
                <w:color w:val="auto"/>
              </w:rPr>
            </w:pPr>
            <w:r>
              <w:rPr>
                <w:rFonts w:ascii="Arial" w:cs="Arial" w:eastAsia="Arial" w:hAnsi="Arial"/>
                <w:sz w:val="13"/>
                <w:szCs w:val="13"/>
                <w:color w:val="auto"/>
              </w:rPr>
              <w:t>21,341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21,337</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21,337</w:t>
            </w:r>
          </w:p>
        </w:tc>
        <w:tc>
          <w:tcPr>
            <w:tcW w:w="820" w:type="dxa"/>
            <w:vAlign w:val="bottom"/>
          </w:tcPr>
          <w:p>
            <w:pPr>
              <w:ind w:left="120"/>
              <w:spacing w:after="0"/>
              <w:rPr>
                <w:sz w:val="20"/>
                <w:szCs w:val="20"/>
                <w:color w:val="auto"/>
              </w:rPr>
            </w:pPr>
            <w:r>
              <w:rPr>
                <w:rFonts w:ascii="Arial" w:cs="Arial" w:eastAsia="Arial" w:hAnsi="Arial"/>
                <w:sz w:val="13"/>
                <w:szCs w:val="13"/>
                <w:color w:val="auto"/>
              </w:rPr>
              <w:t>(4)(8)</w:t>
            </w: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PIK, 2.00%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Fidelis Cybersecurity, Inc.</w:t>
            </w: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SOFR+11.00%, 12.00%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5/13/2021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5/13/2024</w:t>
            </w: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12,205</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12,360</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11,857</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2.39%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SOFR+11.00%, 12.00% floor,</w:t>
            </w:r>
          </w:p>
        </w:tc>
        <w:tc>
          <w:tcPr>
            <w:tcW w:w="960" w:type="dxa"/>
            <w:vAlign w:val="bottom"/>
          </w:tcPr>
          <w:p>
            <w:pPr>
              <w:jc w:val="center"/>
              <w:spacing w:after="0"/>
              <w:rPr>
                <w:sz w:val="20"/>
                <w:szCs w:val="20"/>
                <w:color w:val="auto"/>
              </w:rPr>
            </w:pPr>
            <w:r>
              <w:rPr>
                <w:rFonts w:ascii="Arial" w:cs="Arial" w:eastAsia="Arial" w:hAnsi="Arial"/>
                <w:sz w:val="13"/>
                <w:szCs w:val="13"/>
                <w:color w:val="auto"/>
              </w:rPr>
              <w:t>3/25/2022</w:t>
            </w:r>
          </w:p>
        </w:tc>
        <w:tc>
          <w:tcPr>
            <w:tcW w:w="920" w:type="dxa"/>
            <w:vAlign w:val="bottom"/>
          </w:tcPr>
          <w:p>
            <w:pPr>
              <w:jc w:val="center"/>
              <w:spacing w:after="0"/>
              <w:rPr>
                <w:sz w:val="20"/>
                <w:szCs w:val="20"/>
                <w:color w:val="auto"/>
              </w:rPr>
            </w:pPr>
            <w:r>
              <w:rPr>
                <w:rFonts w:ascii="Arial" w:cs="Arial" w:eastAsia="Arial" w:hAnsi="Arial"/>
                <w:sz w:val="13"/>
                <w:szCs w:val="13"/>
                <w:color w:val="auto"/>
              </w:rPr>
              <w:t>5/13/2024</w:t>
            </w:r>
          </w:p>
        </w:tc>
        <w:tc>
          <w:tcPr>
            <w:tcW w:w="1160" w:type="dxa"/>
            <w:vAlign w:val="bottom"/>
          </w:tcPr>
          <w:p>
            <w:pPr>
              <w:jc w:val="right"/>
              <w:ind w:right="134"/>
              <w:spacing w:after="0"/>
              <w:rPr>
                <w:sz w:val="20"/>
                <w:szCs w:val="20"/>
                <w:color w:val="auto"/>
              </w:rPr>
            </w:pPr>
            <w:r>
              <w:rPr>
                <w:rFonts w:ascii="Arial" w:cs="Arial" w:eastAsia="Arial" w:hAnsi="Arial"/>
                <w:sz w:val="13"/>
                <w:szCs w:val="13"/>
                <w:color w:val="auto"/>
              </w:rPr>
              <w:t>8,947</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8,986</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8,692</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2.00%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INRIX, Inc.</w:t>
            </w: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SOFR+9.00%, 9.76% floor, 2.50%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11/15/2021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11/15/2025</w:t>
            </w: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45,000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45,329</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45,329</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color w:val="auto"/>
              </w:rPr>
              <w:t>Skillshare, Inc.</w:t>
            </w:r>
          </w:p>
        </w:tc>
        <w:tc>
          <w:tcPr>
            <w:tcW w:w="2200" w:type="dxa"/>
            <w:vAlign w:val="bottom"/>
          </w:tcPr>
          <w:p>
            <w:pPr>
              <w:ind w:left="40"/>
              <w:spacing w:after="0"/>
              <w:rPr>
                <w:sz w:val="20"/>
                <w:szCs w:val="20"/>
                <w:color w:val="auto"/>
              </w:rPr>
            </w:pPr>
            <w:r>
              <w:rPr>
                <w:rFonts w:ascii="Arial" w:cs="Arial" w:eastAsia="Arial" w:hAnsi="Arial"/>
                <w:sz w:val="13"/>
                <w:szCs w:val="13"/>
                <w:color w:val="auto"/>
              </w:rPr>
              <w:t>SOFR+6.50%, 10.72% floor, 3.00%</w:t>
            </w:r>
          </w:p>
        </w:tc>
        <w:tc>
          <w:tcPr>
            <w:tcW w:w="960" w:type="dxa"/>
            <w:vAlign w:val="bottom"/>
          </w:tcPr>
          <w:p>
            <w:pPr>
              <w:jc w:val="center"/>
              <w:spacing w:after="0"/>
              <w:rPr>
                <w:sz w:val="20"/>
                <w:szCs w:val="20"/>
                <w:color w:val="auto"/>
              </w:rPr>
            </w:pPr>
            <w:r>
              <w:rPr>
                <w:rFonts w:ascii="Arial" w:cs="Arial" w:eastAsia="Arial" w:hAnsi="Arial"/>
                <w:sz w:val="13"/>
                <w:szCs w:val="13"/>
                <w:color w:val="auto"/>
              </w:rPr>
              <w:t>11/8/2022</w:t>
            </w:r>
          </w:p>
        </w:tc>
        <w:tc>
          <w:tcPr>
            <w:tcW w:w="920" w:type="dxa"/>
            <w:vAlign w:val="bottom"/>
          </w:tcPr>
          <w:p>
            <w:pPr>
              <w:jc w:val="center"/>
              <w:spacing w:after="0"/>
              <w:rPr>
                <w:sz w:val="20"/>
                <w:szCs w:val="20"/>
                <w:color w:val="auto"/>
              </w:rPr>
            </w:pPr>
            <w:r>
              <w:rPr>
                <w:rFonts w:ascii="Arial" w:cs="Arial" w:eastAsia="Arial" w:hAnsi="Arial"/>
                <w:sz w:val="13"/>
                <w:szCs w:val="13"/>
                <w:color w:val="auto"/>
              </w:rPr>
              <w:t>11/8/2026</w:t>
            </w:r>
          </w:p>
        </w:tc>
        <w:tc>
          <w:tcPr>
            <w:tcW w:w="1160" w:type="dxa"/>
            <w:vAlign w:val="bottom"/>
          </w:tcPr>
          <w:p>
            <w:pPr>
              <w:jc w:val="right"/>
              <w:ind w:right="154"/>
              <w:spacing w:after="0"/>
              <w:rPr>
                <w:sz w:val="20"/>
                <w:szCs w:val="20"/>
                <w:color w:val="auto"/>
              </w:rPr>
            </w:pPr>
            <w:r>
              <w:rPr>
                <w:rFonts w:ascii="Arial" w:cs="Arial" w:eastAsia="Arial" w:hAnsi="Arial"/>
                <w:sz w:val="13"/>
                <w:szCs w:val="13"/>
                <w:color w:val="auto"/>
              </w:rPr>
              <w:t>25,000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24,414</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24,414</w:t>
            </w:r>
          </w:p>
        </w:tc>
        <w:tc>
          <w:tcPr>
            <w:tcW w:w="820" w:type="dxa"/>
            <w:vAlign w:val="bottom"/>
          </w:tcPr>
          <w:p>
            <w:pPr>
              <w:ind w:left="120"/>
              <w:spacing w:after="0"/>
              <w:rPr>
                <w:sz w:val="20"/>
                <w:szCs w:val="20"/>
                <w:color w:val="auto"/>
              </w:rPr>
            </w:pPr>
            <w:r>
              <w:rPr>
                <w:rFonts w:ascii="Arial" w:cs="Arial" w:eastAsia="Arial" w:hAnsi="Arial"/>
                <w:sz w:val="13"/>
                <w:szCs w:val="13"/>
                <w:color w:val="auto"/>
              </w:rPr>
              <w:t>(8)</w:t>
            </w: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Synack, Inc.</w:t>
            </w: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PRIME+4.25%, 8.25%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6/30/2022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6/30/2027</w:t>
            </w: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35,000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34,906</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34,906</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gridSpan w:val="3"/>
          </w:tcPr>
          <w:p>
            <w:pPr>
              <w:ind w:left="120"/>
              <w:spacing w:after="0"/>
              <w:rPr>
                <w:sz w:val="20"/>
                <w:szCs w:val="20"/>
                <w:color w:val="auto"/>
              </w:rPr>
            </w:pPr>
            <w:r>
              <w:rPr>
                <w:rFonts w:ascii="Arial" w:cs="Arial" w:eastAsia="Arial" w:hAnsi="Arial"/>
                <w:sz w:val="13"/>
                <w:szCs w:val="13"/>
                <w:b w:val="1"/>
                <w:bCs w:val="1"/>
                <w:color w:val="auto"/>
              </w:rPr>
              <w:t>Total Internet Software and Services - 25.44%*</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147,332</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146,535</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b w:val="1"/>
                <w:bCs w:val="1"/>
                <w:color w:val="auto"/>
              </w:rPr>
              <w:t>Property &amp; Casualty Insurance</w:t>
            </w: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Kin Insurance, Inc.</w:t>
            </w: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PRIME+6.25%, 12.50% floor,</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9/26/2022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9/15/2026</w:t>
            </w: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50,000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49,143</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49,143</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(8)</w:t>
            </w:r>
          </w:p>
        </w:tc>
      </w:tr>
      <w:tr>
        <w:trPr>
          <w:trHeight w:val="176"/>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3.00%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gridSpan w:val="3"/>
          </w:tcPr>
          <w:p>
            <w:pPr>
              <w:ind w:left="120"/>
              <w:spacing w:after="0"/>
              <w:rPr>
                <w:sz w:val="20"/>
                <w:szCs w:val="20"/>
                <w:color w:val="auto"/>
              </w:rPr>
            </w:pPr>
            <w:r>
              <w:rPr>
                <w:rFonts w:ascii="Arial" w:cs="Arial" w:eastAsia="Arial" w:hAnsi="Arial"/>
                <w:sz w:val="13"/>
                <w:szCs w:val="13"/>
                <w:b w:val="1"/>
                <w:bCs w:val="1"/>
                <w:color w:val="auto"/>
              </w:rPr>
              <w:t>Total Property &amp; Casualty Insurance - 8.53%*</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49,143</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49,143</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b w:val="1"/>
                <w:bCs w:val="1"/>
                <w:color w:val="auto"/>
              </w:rPr>
              <w:t>System Software</w:t>
            </w: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3PL Central LLC</w:t>
            </w: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SOFR+4.50%, 6.50 floor, 2.50%</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11/9/2022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11/9/2027</w:t>
            </w: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65,163</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64,429</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64,429</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(4)(8)</w:t>
            </w:r>
          </w:p>
        </w:tc>
      </w:tr>
      <w:tr>
        <w:trPr>
          <w:trHeight w:val="176"/>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PIK, 2.00% ETP</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System Software - 11.18%*</w:t>
            </w: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64,429</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64,429</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440" w:type="dxa"/>
            <w:vAlign w:val="bottom"/>
            <w:gridSpan w:val="2"/>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600" w:type="dxa"/>
            <w:vAlign w:val="bottom"/>
            <w:gridSpan w:val="4"/>
          </w:tcPr>
          <w:p>
            <w:pPr>
              <w:ind w:left="100"/>
              <w:spacing w:after="0"/>
              <w:rPr>
                <w:sz w:val="20"/>
                <w:szCs w:val="20"/>
                <w:color w:val="auto"/>
              </w:rPr>
            </w:pPr>
            <w:r>
              <w:rPr>
                <w:rFonts w:ascii="Arial" w:cs="Arial" w:eastAsia="Arial" w:hAnsi="Arial"/>
                <w:sz w:val="13"/>
                <w:szCs w:val="13"/>
                <w:b w:val="1"/>
                <w:bCs w:val="1"/>
                <w:color w:val="auto"/>
              </w:rPr>
              <w:t>Total Senior Secured Term Loans - 185.89%*</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1,077,552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1,070,831</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Second Lien Term Loans</w:t>
            </w: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b w:val="1"/>
                <w:bCs w:val="1"/>
                <w:color w:val="auto"/>
              </w:rPr>
              <w:t>System Software</w:t>
            </w:r>
          </w:p>
        </w:tc>
        <w:tc>
          <w:tcPr>
            <w:tcW w:w="2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color w:val="auto"/>
              </w:rPr>
              <w:t>Dejero Labs Inc.</w:t>
            </w:r>
          </w:p>
        </w:tc>
        <w:tc>
          <w:tcPr>
            <w:tcW w:w="2200" w:type="dxa"/>
            <w:vAlign w:val="bottom"/>
          </w:tcPr>
          <w:p>
            <w:pPr>
              <w:ind w:left="40"/>
              <w:spacing w:after="0"/>
              <w:rPr>
                <w:sz w:val="20"/>
                <w:szCs w:val="20"/>
                <w:color w:val="auto"/>
              </w:rPr>
            </w:pPr>
            <w:r>
              <w:rPr>
                <w:rFonts w:ascii="Arial" w:cs="Arial" w:eastAsia="Arial" w:hAnsi="Arial"/>
                <w:sz w:val="13"/>
                <w:szCs w:val="13"/>
                <w:color w:val="auto"/>
              </w:rPr>
              <w:t>SOFR+5.00%, 5.50 floor, 5.00%</w:t>
            </w:r>
          </w:p>
        </w:tc>
        <w:tc>
          <w:tcPr>
            <w:tcW w:w="960" w:type="dxa"/>
            <w:vAlign w:val="bottom"/>
          </w:tcPr>
          <w:p>
            <w:pPr>
              <w:jc w:val="center"/>
              <w:spacing w:after="0"/>
              <w:rPr>
                <w:sz w:val="20"/>
                <w:szCs w:val="20"/>
                <w:color w:val="auto"/>
              </w:rPr>
            </w:pPr>
            <w:r>
              <w:rPr>
                <w:rFonts w:ascii="Arial" w:cs="Arial" w:eastAsia="Arial" w:hAnsi="Arial"/>
                <w:sz w:val="13"/>
                <w:szCs w:val="13"/>
                <w:color w:val="auto"/>
              </w:rPr>
              <w:t>12/22/2021</w:t>
            </w:r>
          </w:p>
        </w:tc>
        <w:tc>
          <w:tcPr>
            <w:tcW w:w="920" w:type="dxa"/>
            <w:vAlign w:val="bottom"/>
          </w:tcPr>
          <w:p>
            <w:pPr>
              <w:jc w:val="center"/>
              <w:spacing w:after="0"/>
              <w:rPr>
                <w:sz w:val="20"/>
                <w:szCs w:val="20"/>
                <w:color w:val="auto"/>
              </w:rPr>
            </w:pPr>
            <w:r>
              <w:rPr>
                <w:rFonts w:ascii="Arial" w:cs="Arial" w:eastAsia="Arial" w:hAnsi="Arial"/>
                <w:sz w:val="13"/>
                <w:szCs w:val="13"/>
                <w:color w:val="auto"/>
              </w:rPr>
              <w:t>12/22/2025</w:t>
            </w:r>
          </w:p>
        </w:tc>
        <w:tc>
          <w:tcPr>
            <w:tcW w:w="1160" w:type="dxa"/>
            <w:vAlign w:val="bottom"/>
          </w:tcPr>
          <w:p>
            <w:pPr>
              <w:jc w:val="right"/>
              <w:ind w:right="154"/>
              <w:spacing w:after="0"/>
              <w:rPr>
                <w:sz w:val="20"/>
                <w:szCs w:val="20"/>
                <w:color w:val="auto"/>
              </w:rPr>
            </w:pPr>
            <w:r>
              <w:rPr>
                <w:rFonts w:ascii="Arial" w:cs="Arial" w:eastAsia="Arial" w:hAnsi="Arial"/>
                <w:sz w:val="13"/>
                <w:szCs w:val="13"/>
                <w:color w:val="auto"/>
              </w:rPr>
              <w:t>13,661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13,654</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13,654</w:t>
            </w:r>
          </w:p>
        </w:tc>
        <w:tc>
          <w:tcPr>
            <w:tcW w:w="820" w:type="dxa"/>
            <w:vAlign w:val="bottom"/>
          </w:tcPr>
          <w:p>
            <w:pPr>
              <w:ind w:left="120"/>
              <w:spacing w:after="0"/>
              <w:rPr>
                <w:sz w:val="20"/>
                <w:szCs w:val="20"/>
                <w:color w:val="auto"/>
              </w:rPr>
            </w:pPr>
            <w:r>
              <w:rPr>
                <w:rFonts w:ascii="Arial" w:cs="Arial" w:eastAsia="Arial" w:hAnsi="Arial"/>
                <w:sz w:val="13"/>
                <w:szCs w:val="13"/>
                <w:color w:val="auto"/>
              </w:rPr>
              <w:t>(3)(4)(8)</w:t>
            </w: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Arial" w:cs="Arial" w:eastAsia="Arial" w:hAnsi="Arial"/>
                <w:sz w:val="13"/>
                <w:szCs w:val="13"/>
                <w:color w:val="auto"/>
              </w:rPr>
              <w:t>PIK, 3.00% ETP</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3"/>
                <w:szCs w:val="13"/>
                <w:color w:val="auto"/>
              </w:rPr>
              <w:t>(10)</w:t>
            </w:r>
          </w:p>
        </w:tc>
      </w:tr>
      <w:tr>
        <w:trPr>
          <w:trHeight w:val="185"/>
        </w:trPr>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b w:val="1"/>
                <w:bCs w:val="1"/>
                <w:color w:val="auto"/>
              </w:rPr>
              <w:t>Total System Software - 2.37%*</w:t>
            </w:r>
          </w:p>
        </w:tc>
        <w:tc>
          <w:tcPr>
            <w:tcW w:w="22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13,654</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13,654</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600" w:type="dxa"/>
            <w:vAlign w:val="bottom"/>
            <w:gridSpan w:val="4"/>
            <w:shd w:val="clear" w:color="auto" w:fill="CFF0FC"/>
          </w:tcPr>
          <w:p>
            <w:pPr>
              <w:ind w:left="100"/>
              <w:spacing w:after="0"/>
              <w:rPr>
                <w:sz w:val="20"/>
                <w:szCs w:val="20"/>
                <w:color w:val="auto"/>
              </w:rPr>
            </w:pPr>
            <w:r>
              <w:rPr>
                <w:rFonts w:ascii="Arial" w:cs="Arial" w:eastAsia="Arial" w:hAnsi="Arial"/>
                <w:sz w:val="13"/>
                <w:szCs w:val="13"/>
                <w:b w:val="1"/>
                <w:bCs w:val="1"/>
                <w:color w:val="auto"/>
              </w:rPr>
              <w:t>Total Second Lien Term Loans - 2.37%*</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13,654</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13,654</w:t>
            </w: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300" w:type="dxa"/>
            <w:vAlign w:val="bottom"/>
            <w:gridSpan w:val="2"/>
            <w:shd w:val="clear" w:color="auto" w:fill="CFF0FC"/>
          </w:tcPr>
          <w:p>
            <w:pPr>
              <w:spacing w:after="0" w:line="144" w:lineRule="exact"/>
              <w:rPr>
                <w:sz w:val="20"/>
                <w:szCs w:val="20"/>
                <w:color w:val="auto"/>
              </w:rPr>
            </w:pPr>
            <w:r>
              <w:rPr>
                <w:rFonts w:ascii="Arial" w:cs="Arial" w:eastAsia="Arial" w:hAnsi="Arial"/>
                <w:sz w:val="13"/>
                <w:szCs w:val="13"/>
                <w:b w:val="1"/>
                <w:bCs w:val="1"/>
                <w:color w:val="auto"/>
              </w:rPr>
              <w:t>Preferred Stocks</w:t>
            </w:r>
          </w:p>
        </w:tc>
        <w:tc>
          <w:tcPr>
            <w:tcW w:w="22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36"/>
        </w:trPr>
        <w:tc>
          <w:tcPr>
            <w:tcW w:w="2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22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b w:val="1"/>
                <w:bCs w:val="1"/>
                <w:color w:val="auto"/>
              </w:rPr>
              <w:t>Application Software</w:t>
            </w: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Aria Systems, Inc.</w:t>
            </w: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Series G</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7/10/2018</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N/A</w:t>
            </w: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289,419</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250</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347</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 Application Software -</w:t>
            </w:r>
          </w:p>
        </w:tc>
        <w:tc>
          <w:tcPr>
            <w:tcW w:w="2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250</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347</w:t>
            </w:r>
          </w:p>
        </w:tc>
        <w:tc>
          <w:tcPr>
            <w:tcW w:w="820" w:type="dxa"/>
            <w:vAlign w:val="bottom"/>
          </w:tcPr>
          <w:p>
            <w:pPr>
              <w:spacing w:after="0"/>
              <w:rPr>
                <w:sz w:val="13"/>
                <w:szCs w:val="13"/>
                <w:color w:val="auto"/>
              </w:rPr>
            </w:pPr>
          </w:p>
        </w:tc>
      </w:tr>
      <w:tr>
        <w:trPr>
          <w:trHeight w:val="183"/>
        </w:trPr>
        <w:tc>
          <w:tcPr>
            <w:tcW w:w="1180" w:type="dxa"/>
            <w:vAlign w:val="bottom"/>
            <w:gridSpan w:val="3"/>
          </w:tcPr>
          <w:p>
            <w:pPr>
              <w:ind w:left="240"/>
              <w:spacing w:after="0"/>
              <w:rPr>
                <w:sz w:val="20"/>
                <w:szCs w:val="20"/>
                <w:color w:val="auto"/>
              </w:rPr>
            </w:pPr>
            <w:r>
              <w:rPr>
                <w:rFonts w:ascii="Arial" w:cs="Arial" w:eastAsia="Arial" w:hAnsi="Arial"/>
                <w:sz w:val="13"/>
                <w:szCs w:val="13"/>
                <w:b w:val="1"/>
                <w:bCs w:val="1"/>
                <w:color w:val="auto"/>
              </w:rPr>
              <w:t>0.06%*</w:t>
            </w:r>
          </w:p>
        </w:tc>
        <w:tc>
          <w:tcPr>
            <w:tcW w:w="12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2"/>
          </w:tcPr>
          <w:p>
            <w:pPr>
              <w:ind w:left="120"/>
              <w:spacing w:after="0"/>
              <w:rPr>
                <w:sz w:val="20"/>
                <w:szCs w:val="20"/>
                <w:color w:val="auto"/>
              </w:rPr>
            </w:pPr>
            <w:r>
              <w:rPr>
                <w:rFonts w:ascii="Arial" w:cs="Arial" w:eastAsia="Arial" w:hAnsi="Arial"/>
                <w:sz w:val="13"/>
                <w:szCs w:val="13"/>
                <w:b w:val="1"/>
                <w:bCs w:val="1"/>
                <w:color w:val="auto"/>
              </w:rPr>
              <w:t>Health Care Technology</w:t>
            </w: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CareCloud, Inc.</w:t>
            </w: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11% Series A Cumulative</w:t>
            </w:r>
          </w:p>
        </w:tc>
        <w:tc>
          <w:tcPr>
            <w:tcW w:w="9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1/8/2020</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N/A</w:t>
            </w:r>
          </w:p>
        </w:tc>
        <w:tc>
          <w:tcPr>
            <w:tcW w:w="116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462,064</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12,132</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12,335</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(15)(17)</w:t>
            </w:r>
          </w:p>
        </w:tc>
      </w:tr>
      <w:tr>
        <w:trPr>
          <w:trHeight w:val="176"/>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ind w:left="40"/>
              <w:spacing w:after="0"/>
              <w:rPr>
                <w:sz w:val="20"/>
                <w:szCs w:val="20"/>
                <w:color w:val="auto"/>
              </w:rPr>
            </w:pPr>
            <w:r>
              <w:rPr>
                <w:rFonts w:ascii="Arial" w:cs="Arial" w:eastAsia="Arial" w:hAnsi="Arial"/>
                <w:sz w:val="13"/>
                <w:szCs w:val="13"/>
                <w:color w:val="auto"/>
              </w:rPr>
              <w:t>Redeemable Perpetual</w:t>
            </w: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gridSpan w:val="3"/>
          </w:tcPr>
          <w:p>
            <w:pPr>
              <w:ind w:left="120"/>
              <w:spacing w:after="0"/>
              <w:rPr>
                <w:sz w:val="20"/>
                <w:szCs w:val="20"/>
                <w:color w:val="auto"/>
              </w:rPr>
            </w:pPr>
            <w:r>
              <w:rPr>
                <w:rFonts w:ascii="Arial" w:cs="Arial" w:eastAsia="Arial" w:hAnsi="Arial"/>
                <w:sz w:val="13"/>
                <w:szCs w:val="13"/>
                <w:b w:val="1"/>
                <w:bCs w:val="1"/>
                <w:color w:val="auto"/>
              </w:rPr>
              <w:t>Total Health Care Technology - 2.14%*</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12,132</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12,335</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400" w:type="dxa"/>
            <w:vAlign w:val="bottom"/>
            <w:gridSpan w:val="3"/>
          </w:tcPr>
          <w:p>
            <w:pPr>
              <w:ind w:left="100"/>
              <w:spacing w:after="0"/>
              <w:rPr>
                <w:sz w:val="20"/>
                <w:szCs w:val="20"/>
                <w:color w:val="auto"/>
              </w:rPr>
            </w:pPr>
            <w:r>
              <w:rPr>
                <w:rFonts w:ascii="Arial" w:cs="Arial" w:eastAsia="Arial" w:hAnsi="Arial"/>
                <w:sz w:val="13"/>
                <w:szCs w:val="13"/>
                <w:b w:val="1"/>
                <w:bCs w:val="1"/>
                <w:color w:val="auto"/>
              </w:rPr>
              <w:t>Total Preferred Stocks - 2.20%*</w:t>
            </w:r>
          </w:p>
        </w:tc>
        <w:tc>
          <w:tcPr>
            <w:tcW w:w="2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12,382</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12,682</w:t>
            </w:r>
          </w:p>
        </w:tc>
        <w:tc>
          <w:tcPr>
            <w:tcW w:w="820" w:type="dxa"/>
            <w:vAlign w:val="bottom"/>
          </w:tcPr>
          <w:p>
            <w:pPr>
              <w:spacing w:after="0"/>
              <w:rPr>
                <w:sz w:val="15"/>
                <w:szCs w:val="15"/>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8" w:name="page19"/>
    <w:bookmarkEnd w:id="18"/>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 Schedule of Investments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60" w:type="dxa"/>
            <w:vAlign w:val="bottom"/>
          </w:tcPr>
          <w:p>
            <w:pPr>
              <w:jc w:val="center"/>
              <w:ind w:left="14"/>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tcPr>
          <w:p>
            <w:pPr>
              <w:ind w:left="660"/>
              <w:spacing w:after="0" w:line="146" w:lineRule="exact"/>
              <w:rPr>
                <w:sz w:val="20"/>
                <w:szCs w:val="20"/>
                <w:color w:val="auto"/>
              </w:rPr>
            </w:pPr>
            <w:r>
              <w:rPr>
                <w:rFonts w:ascii="Arial" w:cs="Arial" w:eastAsia="Arial" w:hAnsi="Arial"/>
                <w:sz w:val="13"/>
                <w:szCs w:val="13"/>
                <w:b w:val="1"/>
                <w:bCs w:val="1"/>
                <w:color w:val="auto"/>
              </w:rPr>
              <w:t>Investment</w:t>
            </w:r>
          </w:p>
        </w:tc>
        <w:tc>
          <w:tcPr>
            <w:tcW w:w="1060" w:type="dxa"/>
            <w:vAlign w:val="bottom"/>
          </w:tcPr>
          <w:p>
            <w:pPr>
              <w:jc w:val="center"/>
              <w:ind w:left="14"/>
              <w:spacing w:after="0" w:line="146" w:lineRule="exact"/>
              <w:rPr>
                <w:sz w:val="20"/>
                <w:szCs w:val="20"/>
                <w:color w:val="auto"/>
              </w:rPr>
            </w:pPr>
            <w:r>
              <w:rPr>
                <w:rFonts w:ascii="Arial" w:cs="Arial" w:eastAsia="Arial" w:hAnsi="Arial"/>
                <w:sz w:val="13"/>
                <w:szCs w:val="13"/>
                <w:b w:val="1"/>
                <w:bCs w:val="1"/>
                <w:color w:val="auto"/>
                <w:w w:val="98"/>
              </w:rPr>
              <w:t>Acquisition</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Maturity</w:t>
            </w:r>
          </w:p>
        </w:tc>
        <w:tc>
          <w:tcPr>
            <w:tcW w:w="11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Principal ($) /</w:t>
            </w:r>
          </w:p>
        </w:tc>
        <w:tc>
          <w:tcPr>
            <w:tcW w:w="1000" w:type="dxa"/>
            <w:vAlign w:val="bottom"/>
          </w:tcPr>
          <w:p>
            <w:pPr>
              <w:spacing w:after="0"/>
              <w:rPr>
                <w:sz w:val="12"/>
                <w:szCs w:val="12"/>
                <w:color w:val="auto"/>
              </w:rPr>
            </w:pPr>
          </w:p>
        </w:tc>
        <w:tc>
          <w:tcPr>
            <w:tcW w:w="1080" w:type="dxa"/>
            <w:vAlign w:val="bottom"/>
          </w:tcPr>
          <w:p>
            <w:pPr>
              <w:jc w:val="right"/>
              <w:ind w:right="374"/>
              <w:spacing w:after="0" w:line="146" w:lineRule="exact"/>
              <w:rPr>
                <w:sz w:val="20"/>
                <w:szCs w:val="20"/>
                <w:color w:val="auto"/>
              </w:rPr>
            </w:pPr>
            <w:r>
              <w:rPr>
                <w:rFonts w:ascii="Arial" w:cs="Arial" w:eastAsia="Arial" w:hAnsi="Arial"/>
                <w:sz w:val="13"/>
                <w:szCs w:val="13"/>
                <w:b w:val="1"/>
                <w:bCs w:val="1"/>
                <w:color w:val="auto"/>
              </w:rPr>
              <w:t>Fair</w:t>
            </w:r>
          </w:p>
        </w:tc>
        <w:tc>
          <w:tcPr>
            <w:tcW w:w="820" w:type="dxa"/>
            <w:vAlign w:val="bottom"/>
          </w:tcPr>
          <w:p>
            <w:pPr>
              <w:spacing w:after="0"/>
              <w:rPr>
                <w:sz w:val="12"/>
                <w:szCs w:val="12"/>
                <w:color w:val="auto"/>
              </w:rPr>
            </w:pPr>
          </w:p>
        </w:tc>
      </w:tr>
      <w:tr>
        <w:trPr>
          <w:trHeight w:val="194"/>
        </w:trPr>
        <w:tc>
          <w:tcPr>
            <w:tcW w:w="2440" w:type="dxa"/>
            <w:vAlign w:val="bottom"/>
            <w:gridSpan w:val="3"/>
          </w:tcPr>
          <w:p>
            <w:pPr>
              <w:ind w:left="20"/>
              <w:spacing w:after="0"/>
              <w:rPr>
                <w:sz w:val="20"/>
                <w:szCs w:val="20"/>
                <w:color w:val="auto"/>
              </w:rPr>
            </w:pPr>
            <w:r>
              <w:rPr>
                <w:rFonts w:ascii="Arial" w:cs="Arial" w:eastAsia="Arial" w:hAnsi="Arial"/>
                <w:sz w:val="13"/>
                <w:szCs w:val="13"/>
                <w:b w:val="1"/>
                <w:bCs w:val="1"/>
                <w:color w:val="auto"/>
              </w:rPr>
              <w:t>Portfolio Company</w:t>
            </w:r>
          </w:p>
        </w:tc>
        <w:tc>
          <w:tcPr>
            <w:tcW w:w="2060" w:type="dxa"/>
            <w:vAlign w:val="bottom"/>
          </w:tcPr>
          <w:p>
            <w:pPr>
              <w:ind w:left="500"/>
              <w:spacing w:after="0"/>
              <w:rPr>
                <w:sz w:val="20"/>
                <w:szCs w:val="20"/>
                <w:color w:val="auto"/>
              </w:rPr>
            </w:pPr>
            <w:r>
              <w:rPr>
                <w:rFonts w:ascii="Arial" w:cs="Arial" w:eastAsia="Arial" w:hAnsi="Arial"/>
                <w:sz w:val="13"/>
                <w:szCs w:val="13"/>
                <w:b w:val="1"/>
                <w:bCs w:val="1"/>
                <w:color w:val="auto"/>
              </w:rPr>
              <w:t>Description</w:t>
            </w:r>
            <w:r>
              <w:rPr>
                <w:rFonts w:ascii="Arial" w:cs="Arial" w:eastAsia="Arial" w:hAnsi="Arial"/>
                <w:sz w:val="16"/>
                <w:szCs w:val="16"/>
                <w:b w:val="1"/>
                <w:bCs w:val="1"/>
                <w:color w:val="auto"/>
                <w:vertAlign w:val="superscript"/>
              </w:rPr>
              <w:t>(1),(5),(9)</w:t>
            </w:r>
          </w:p>
        </w:tc>
        <w:tc>
          <w:tcPr>
            <w:tcW w:w="1060" w:type="dxa"/>
            <w:vAlign w:val="bottom"/>
          </w:tcPr>
          <w:p>
            <w:pPr>
              <w:jc w:val="center"/>
              <w:ind w:left="14"/>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180" w:type="dxa"/>
            <w:vAlign w:val="bottom"/>
          </w:tcPr>
          <w:p>
            <w:pPr>
              <w:jc w:val="right"/>
              <w:ind w:right="374"/>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234"/>
              <w:spacing w:after="0"/>
              <w:rPr>
                <w:sz w:val="20"/>
                <w:szCs w:val="20"/>
                <w:color w:val="auto"/>
              </w:rPr>
            </w:pPr>
            <w:r>
              <w:rPr>
                <w:rFonts w:ascii="Arial" w:cs="Arial" w:eastAsia="Arial" w:hAnsi="Arial"/>
                <w:sz w:val="13"/>
                <w:szCs w:val="13"/>
                <w:b w:val="1"/>
                <w:bCs w:val="1"/>
                <w:color w:val="auto"/>
              </w:rPr>
              <w:t>Cost ($)</w:t>
            </w:r>
          </w:p>
        </w:tc>
        <w:tc>
          <w:tcPr>
            <w:tcW w:w="1080" w:type="dxa"/>
            <w:vAlign w:val="bottom"/>
          </w:tcPr>
          <w:p>
            <w:pPr>
              <w:jc w:val="right"/>
              <w:ind w:right="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(2),(6)</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2440" w:type="dxa"/>
            <w:vAlign w:val="bottom"/>
            <w:gridSpan w:val="3"/>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20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Common Stocks</w:t>
            </w:r>
          </w:p>
        </w:tc>
        <w:tc>
          <w:tcPr>
            <w:tcW w:w="20" w:type="dxa"/>
            <w:vAlign w:val="bottom"/>
            <w:tcBorders>
              <w:top w:val="single" w:sz="8" w:color="CFF0FC"/>
            </w:tcBorders>
          </w:tcPr>
          <w:p>
            <w:pPr>
              <w:spacing w:after="0"/>
              <w:rPr>
                <w:sz w:val="15"/>
                <w:szCs w:val="15"/>
                <w:color w:val="auto"/>
              </w:rPr>
            </w:pPr>
          </w:p>
        </w:tc>
        <w:tc>
          <w:tcPr>
            <w:tcW w:w="206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1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20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FiscalNote, Inc.</w:t>
            </w:r>
          </w:p>
        </w:tc>
        <w:tc>
          <w:tcPr>
            <w:tcW w:w="2060" w:type="dxa"/>
            <w:vAlign w:val="bottom"/>
          </w:tcPr>
          <w:p>
            <w:pPr>
              <w:spacing w:after="0"/>
              <w:rPr>
                <w:sz w:val="15"/>
                <w:szCs w:val="15"/>
                <w:color w:val="auto"/>
              </w:rPr>
            </w:pPr>
          </w:p>
        </w:tc>
        <w:tc>
          <w:tcPr>
            <w:tcW w:w="1060" w:type="dxa"/>
            <w:vAlign w:val="bottom"/>
          </w:tcPr>
          <w:p>
            <w:pPr>
              <w:jc w:val="center"/>
              <w:ind w:left="14"/>
              <w:spacing w:after="0"/>
              <w:rPr>
                <w:sz w:val="20"/>
                <w:szCs w:val="20"/>
                <w:color w:val="auto"/>
              </w:rPr>
            </w:pPr>
            <w:r>
              <w:rPr>
                <w:rFonts w:ascii="Arial" w:cs="Arial" w:eastAsia="Arial" w:hAnsi="Arial"/>
                <w:sz w:val="13"/>
                <w:szCs w:val="13"/>
                <w:color w:val="auto"/>
              </w:rPr>
              <w:t>10/19/2020</w:t>
            </w:r>
          </w:p>
        </w:tc>
        <w:tc>
          <w:tcPr>
            <w:tcW w:w="920" w:type="dxa"/>
            <w:vAlign w:val="bottom"/>
          </w:tcPr>
          <w:p>
            <w:pPr>
              <w:jc w:val="center"/>
              <w:spacing w:after="0"/>
              <w:rPr>
                <w:sz w:val="20"/>
                <w:szCs w:val="20"/>
                <w:color w:val="auto"/>
              </w:rPr>
            </w:pPr>
            <w:r>
              <w:rPr>
                <w:rFonts w:ascii="Arial" w:cs="Arial" w:eastAsia="Arial" w:hAnsi="Arial"/>
                <w:sz w:val="13"/>
                <w:szCs w:val="13"/>
                <w:color w:val="auto"/>
              </w:rPr>
              <w:t>N/A</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230,881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438</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1,422</w:t>
            </w:r>
          </w:p>
        </w:tc>
        <w:tc>
          <w:tcPr>
            <w:tcW w:w="820" w:type="dxa"/>
            <w:vAlign w:val="bottom"/>
          </w:tcPr>
          <w:p>
            <w:pPr>
              <w:ind w:left="120"/>
              <w:spacing w:after="0"/>
              <w:rPr>
                <w:sz w:val="20"/>
                <w:szCs w:val="20"/>
                <w:color w:val="auto"/>
              </w:rPr>
            </w:pPr>
            <w:r>
              <w:rPr>
                <w:rFonts w:ascii="Arial" w:cs="Arial" w:eastAsia="Arial" w:hAnsi="Arial"/>
                <w:sz w:val="13"/>
                <w:szCs w:val="13"/>
                <w:color w:val="auto"/>
              </w:rPr>
              <w:t>(7)(19)</w:t>
            </w:r>
          </w:p>
        </w:tc>
      </w:tr>
      <w:tr>
        <w:trPr>
          <w:trHeight w:val="185"/>
        </w:trPr>
        <w:tc>
          <w:tcPr>
            <w:tcW w:w="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Total Application Software - 0.25%*</w:t>
            </w:r>
          </w:p>
        </w:tc>
        <w:tc>
          <w:tcPr>
            <w:tcW w:w="20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438</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1,422</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48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Technology Hardware, Storage &amp; Peripherals</w:t>
            </w: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61"/>
        </w:trPr>
        <w:tc>
          <w:tcPr>
            <w:tcW w:w="20" w:type="dxa"/>
            <w:vAlign w:val="bottom"/>
          </w:tcPr>
          <w:p>
            <w:pPr>
              <w:spacing w:after="0"/>
              <w:rPr>
                <w:sz w:val="13"/>
                <w:szCs w:val="13"/>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Quantum Corporation</w:t>
            </w:r>
          </w:p>
        </w:tc>
        <w:tc>
          <w:tcPr>
            <w:tcW w:w="2060" w:type="dxa"/>
            <w:vAlign w:val="bottom"/>
          </w:tcPr>
          <w:p>
            <w:pPr>
              <w:spacing w:after="0"/>
              <w:rPr>
                <w:sz w:val="13"/>
                <w:szCs w:val="13"/>
                <w:color w:val="auto"/>
              </w:rPr>
            </w:pPr>
          </w:p>
        </w:tc>
        <w:tc>
          <w:tcPr>
            <w:tcW w:w="1060" w:type="dxa"/>
            <w:vAlign w:val="bottom"/>
          </w:tcPr>
          <w:p>
            <w:pPr>
              <w:jc w:val="center"/>
              <w:ind w:left="14"/>
              <w:spacing w:after="0"/>
              <w:rPr>
                <w:sz w:val="20"/>
                <w:szCs w:val="20"/>
                <w:color w:val="auto"/>
              </w:rPr>
            </w:pPr>
            <w:r>
              <w:rPr>
                <w:rFonts w:ascii="Arial" w:cs="Arial" w:eastAsia="Arial" w:hAnsi="Arial"/>
                <w:sz w:val="13"/>
                <w:szCs w:val="13"/>
                <w:color w:val="auto"/>
              </w:rPr>
              <w:t>8/13/2021</w:t>
            </w:r>
          </w:p>
        </w:tc>
        <w:tc>
          <w:tcPr>
            <w:tcW w:w="920" w:type="dxa"/>
            <w:vAlign w:val="bottom"/>
          </w:tcPr>
          <w:p>
            <w:pPr>
              <w:jc w:val="center"/>
              <w:spacing w:after="0"/>
              <w:rPr>
                <w:sz w:val="20"/>
                <w:szCs w:val="20"/>
                <w:color w:val="auto"/>
              </w:rPr>
            </w:pPr>
            <w:r>
              <w:rPr>
                <w:rFonts w:ascii="Arial" w:cs="Arial" w:eastAsia="Arial" w:hAnsi="Arial"/>
                <w:sz w:val="13"/>
                <w:szCs w:val="13"/>
                <w:color w:val="auto"/>
              </w:rPr>
              <w:t>N/A</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459,720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2,607</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501</w:t>
            </w:r>
          </w:p>
        </w:tc>
        <w:tc>
          <w:tcPr>
            <w:tcW w:w="820" w:type="dxa"/>
            <w:vAlign w:val="bottom"/>
          </w:tcPr>
          <w:p>
            <w:pPr>
              <w:ind w:left="120"/>
              <w:spacing w:after="0"/>
              <w:rPr>
                <w:sz w:val="20"/>
                <w:szCs w:val="20"/>
                <w:color w:val="auto"/>
              </w:rPr>
            </w:pPr>
            <w:r>
              <w:rPr>
                <w:rFonts w:ascii="Arial" w:cs="Arial" w:eastAsia="Arial" w:hAnsi="Arial"/>
                <w:sz w:val="13"/>
                <w:szCs w:val="13"/>
                <w:color w:val="auto"/>
              </w:rPr>
              <w:t>(3)(7)(15)</w:t>
            </w: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3"/>
                <w:szCs w:val="13"/>
                <w:color w:val="auto"/>
              </w:rPr>
              <w:t>(17)</w:t>
            </w:r>
          </w:p>
        </w:tc>
      </w:tr>
      <w:tr>
        <w:trPr>
          <w:trHeight w:val="185"/>
        </w:trPr>
        <w:tc>
          <w:tcPr>
            <w:tcW w:w="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zSpace, Inc.</w:t>
            </w:r>
          </w:p>
        </w:tc>
        <w:tc>
          <w:tcPr>
            <w:tcW w:w="2060" w:type="dxa"/>
            <w:vAlign w:val="bottom"/>
            <w:shd w:val="clear" w:color="auto" w:fill="CFF0FC"/>
          </w:tcPr>
          <w:p>
            <w:pPr>
              <w:spacing w:after="0"/>
              <w:rPr>
                <w:sz w:val="16"/>
                <w:szCs w:val="16"/>
                <w:color w:val="auto"/>
              </w:rPr>
            </w:pPr>
          </w:p>
        </w:tc>
        <w:tc>
          <w:tcPr>
            <w:tcW w:w="106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12/31/2020</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N/A</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6,078,499</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1,119</w:t>
            </w:r>
          </w:p>
        </w:tc>
        <w:tc>
          <w:tcPr>
            <w:tcW w:w="108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20" w:type="dxa"/>
            <w:vAlign w:val="bottom"/>
          </w:tcPr>
          <w:p>
            <w:pPr>
              <w:spacing w:after="0"/>
              <w:rPr>
                <w:sz w:val="15"/>
                <w:szCs w:val="15"/>
                <w:color w:val="auto"/>
              </w:rPr>
            </w:pPr>
          </w:p>
        </w:tc>
        <w:tc>
          <w:tcPr>
            <w:tcW w:w="4480" w:type="dxa"/>
            <w:vAlign w:val="bottom"/>
            <w:gridSpan w:val="3"/>
          </w:tcPr>
          <w:p>
            <w:pPr>
              <w:ind w:left="220"/>
              <w:spacing w:after="0"/>
              <w:rPr>
                <w:sz w:val="20"/>
                <w:szCs w:val="20"/>
                <w:color w:val="auto"/>
              </w:rPr>
            </w:pPr>
            <w:r>
              <w:rPr>
                <w:rFonts w:ascii="Arial" w:cs="Arial" w:eastAsia="Arial" w:hAnsi="Arial"/>
                <w:sz w:val="13"/>
                <w:szCs w:val="13"/>
                <w:b w:val="1"/>
                <w:bCs w:val="1"/>
                <w:color w:val="auto"/>
              </w:rPr>
              <w:t>Total Technology Hardware, Storage &amp; Peripherals - 0.09%*</w:t>
            </w: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3,726</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501</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 Common Stocks - 0.34%*</w:t>
            </w: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4,164</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1,923</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b w:val="1"/>
                <w:bCs w:val="1"/>
                <w:color w:val="auto"/>
              </w:rPr>
              <w:t>Warrants</w:t>
            </w: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Advertising</w:t>
            </w:r>
          </w:p>
        </w:tc>
        <w:tc>
          <w:tcPr>
            <w:tcW w:w="20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STN Video Inc.</w:t>
            </w:r>
          </w:p>
        </w:tc>
        <w:tc>
          <w:tcPr>
            <w:tcW w:w="2060" w:type="dxa"/>
            <w:vAlign w:val="bottom"/>
          </w:tcPr>
          <w:p>
            <w:pPr>
              <w:spacing w:after="0"/>
              <w:rPr>
                <w:sz w:val="20"/>
                <w:szCs w:val="20"/>
                <w:color w:val="auto"/>
              </w:rPr>
            </w:pPr>
            <w:r>
              <w:rPr>
                <w:rFonts w:ascii="Arial" w:cs="Arial" w:eastAsia="Arial" w:hAnsi="Arial"/>
                <w:sz w:val="13"/>
                <w:szCs w:val="13"/>
                <w:color w:val="auto"/>
              </w:rPr>
              <w:t>Class B Non-Voting Stock</w:t>
            </w:r>
          </w:p>
        </w:tc>
        <w:tc>
          <w:tcPr>
            <w:tcW w:w="1060" w:type="dxa"/>
            <w:vAlign w:val="bottom"/>
          </w:tcPr>
          <w:p>
            <w:pPr>
              <w:jc w:val="center"/>
              <w:ind w:left="14"/>
              <w:spacing w:after="0"/>
              <w:rPr>
                <w:sz w:val="20"/>
                <w:szCs w:val="20"/>
                <w:color w:val="auto"/>
              </w:rPr>
            </w:pPr>
            <w:r>
              <w:rPr>
                <w:rFonts w:ascii="Arial" w:cs="Arial" w:eastAsia="Arial" w:hAnsi="Arial"/>
                <w:sz w:val="13"/>
                <w:szCs w:val="13"/>
                <w:color w:val="auto"/>
              </w:rPr>
              <w:t>6/30/2017</w:t>
            </w:r>
          </w:p>
        </w:tc>
        <w:tc>
          <w:tcPr>
            <w:tcW w:w="920" w:type="dxa"/>
            <w:vAlign w:val="bottom"/>
          </w:tcPr>
          <w:p>
            <w:pPr>
              <w:jc w:val="center"/>
              <w:spacing w:after="0"/>
              <w:rPr>
                <w:sz w:val="20"/>
                <w:szCs w:val="20"/>
                <w:color w:val="auto"/>
              </w:rPr>
            </w:pPr>
            <w:r>
              <w:rPr>
                <w:rFonts w:ascii="Arial" w:cs="Arial" w:eastAsia="Arial" w:hAnsi="Arial"/>
                <w:sz w:val="13"/>
                <w:szCs w:val="13"/>
                <w:color w:val="auto"/>
              </w:rPr>
              <w:t>6/30/2027</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191,500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246</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tcPr>
          <w:p>
            <w:pPr>
              <w:ind w:left="120"/>
              <w:spacing w:after="0"/>
              <w:rPr>
                <w:sz w:val="20"/>
                <w:szCs w:val="20"/>
                <w:color w:val="auto"/>
              </w:rPr>
            </w:pPr>
            <w:r>
              <w:rPr>
                <w:rFonts w:ascii="Arial" w:cs="Arial" w:eastAsia="Arial" w:hAnsi="Arial"/>
                <w:sz w:val="13"/>
                <w:szCs w:val="13"/>
                <w:color w:val="auto"/>
              </w:rPr>
              <w:t>(3)(7)</w:t>
            </w:r>
          </w:p>
        </w:tc>
      </w:tr>
      <w:tr>
        <w:trPr>
          <w:trHeight w:val="185"/>
        </w:trPr>
        <w:tc>
          <w:tcPr>
            <w:tcW w:w="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Total Advertising - 0.00%*</w:t>
            </w:r>
          </w:p>
        </w:tc>
        <w:tc>
          <w:tcPr>
            <w:tcW w:w="20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246</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Application Software</w:t>
            </w:r>
          </w:p>
        </w:tc>
        <w:tc>
          <w:tcPr>
            <w:tcW w:w="20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3DNA Corp. (dba NationBuilder)</w:t>
            </w:r>
          </w:p>
        </w:tc>
        <w:tc>
          <w:tcPr>
            <w:tcW w:w="2060" w:type="dxa"/>
            <w:vAlign w:val="bottom"/>
          </w:tcPr>
          <w:p>
            <w:pPr>
              <w:spacing w:after="0"/>
              <w:rPr>
                <w:sz w:val="20"/>
                <w:szCs w:val="20"/>
                <w:color w:val="auto"/>
              </w:rPr>
            </w:pPr>
            <w:r>
              <w:rPr>
                <w:rFonts w:ascii="Arial" w:cs="Arial" w:eastAsia="Arial" w:hAnsi="Arial"/>
                <w:sz w:val="13"/>
                <w:szCs w:val="13"/>
                <w:color w:val="auto"/>
              </w:rPr>
              <w:t>Series C-1 Preferred Stock</w:t>
            </w:r>
          </w:p>
        </w:tc>
        <w:tc>
          <w:tcPr>
            <w:tcW w:w="1060" w:type="dxa"/>
            <w:vAlign w:val="bottom"/>
          </w:tcPr>
          <w:p>
            <w:pPr>
              <w:jc w:val="center"/>
              <w:ind w:left="14"/>
              <w:spacing w:after="0"/>
              <w:rPr>
                <w:sz w:val="20"/>
                <w:szCs w:val="20"/>
                <w:color w:val="auto"/>
              </w:rPr>
            </w:pPr>
            <w:r>
              <w:rPr>
                <w:rFonts w:ascii="Arial" w:cs="Arial" w:eastAsia="Arial" w:hAnsi="Arial"/>
                <w:sz w:val="13"/>
                <w:szCs w:val="13"/>
                <w:color w:val="auto"/>
              </w:rPr>
              <w:t>12/28/2018</w:t>
            </w:r>
          </w:p>
        </w:tc>
        <w:tc>
          <w:tcPr>
            <w:tcW w:w="920" w:type="dxa"/>
            <w:vAlign w:val="bottom"/>
          </w:tcPr>
          <w:p>
            <w:pPr>
              <w:jc w:val="center"/>
              <w:spacing w:after="0"/>
              <w:rPr>
                <w:sz w:val="20"/>
                <w:szCs w:val="20"/>
                <w:color w:val="auto"/>
              </w:rPr>
            </w:pPr>
            <w:r>
              <w:rPr>
                <w:rFonts w:ascii="Arial" w:cs="Arial" w:eastAsia="Arial" w:hAnsi="Arial"/>
                <w:sz w:val="13"/>
                <w:szCs w:val="13"/>
                <w:color w:val="auto"/>
              </w:rPr>
              <w:t>12/28/2028</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273,164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104</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Aria Systems, Inc.</w:t>
            </w:r>
          </w:p>
        </w:tc>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Series G Preferred Stock</w:t>
            </w:r>
          </w:p>
        </w:tc>
        <w:tc>
          <w:tcPr>
            <w:tcW w:w="106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6/29/2018</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6/29/2028</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2,387,705</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1,048</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2,865</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Circadence Corporation</w:t>
            </w:r>
          </w:p>
        </w:tc>
        <w:tc>
          <w:tcPr>
            <w:tcW w:w="2060" w:type="dxa"/>
            <w:vAlign w:val="bottom"/>
          </w:tcPr>
          <w:p>
            <w:pPr>
              <w:spacing w:after="0"/>
              <w:rPr>
                <w:sz w:val="20"/>
                <w:szCs w:val="20"/>
                <w:color w:val="auto"/>
              </w:rPr>
            </w:pPr>
            <w:r>
              <w:rPr>
                <w:rFonts w:ascii="Arial" w:cs="Arial" w:eastAsia="Arial" w:hAnsi="Arial"/>
                <w:sz w:val="13"/>
                <w:szCs w:val="13"/>
                <w:color w:val="auto"/>
              </w:rPr>
              <w:t>Series A-6 Preferred Stock</w:t>
            </w:r>
          </w:p>
        </w:tc>
        <w:tc>
          <w:tcPr>
            <w:tcW w:w="1060" w:type="dxa"/>
            <w:vAlign w:val="bottom"/>
          </w:tcPr>
          <w:p>
            <w:pPr>
              <w:jc w:val="center"/>
              <w:ind w:left="14"/>
              <w:spacing w:after="0"/>
              <w:rPr>
                <w:sz w:val="20"/>
                <w:szCs w:val="20"/>
                <w:color w:val="auto"/>
              </w:rPr>
            </w:pPr>
            <w:r>
              <w:rPr>
                <w:rFonts w:ascii="Arial" w:cs="Arial" w:eastAsia="Arial" w:hAnsi="Arial"/>
                <w:sz w:val="13"/>
                <w:szCs w:val="13"/>
                <w:color w:val="auto"/>
              </w:rPr>
              <w:t>12/20/2018</w:t>
            </w:r>
          </w:p>
        </w:tc>
        <w:tc>
          <w:tcPr>
            <w:tcW w:w="920" w:type="dxa"/>
            <w:vAlign w:val="bottom"/>
          </w:tcPr>
          <w:p>
            <w:pPr>
              <w:jc w:val="center"/>
              <w:spacing w:after="0"/>
              <w:rPr>
                <w:sz w:val="20"/>
                <w:szCs w:val="20"/>
                <w:color w:val="auto"/>
              </w:rPr>
            </w:pPr>
            <w:r>
              <w:rPr>
                <w:rFonts w:ascii="Arial" w:cs="Arial" w:eastAsia="Arial" w:hAnsi="Arial"/>
                <w:sz w:val="13"/>
                <w:szCs w:val="13"/>
                <w:color w:val="auto"/>
              </w:rPr>
              <w:t>12/20/2028</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1,538,462</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3,630</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87</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Series A-6 Preferred Stock</w:t>
            </w:r>
          </w:p>
        </w:tc>
        <w:tc>
          <w:tcPr>
            <w:tcW w:w="106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10/31/2019</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10/31/2029</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384,615</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845</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22</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Dtex Systems, Inc.</w:t>
            </w:r>
          </w:p>
        </w:tc>
        <w:tc>
          <w:tcPr>
            <w:tcW w:w="2060" w:type="dxa"/>
            <w:vAlign w:val="bottom"/>
          </w:tcPr>
          <w:p>
            <w:pPr>
              <w:spacing w:after="0"/>
              <w:rPr>
                <w:sz w:val="20"/>
                <w:szCs w:val="20"/>
                <w:color w:val="auto"/>
              </w:rPr>
            </w:pPr>
            <w:r>
              <w:rPr>
                <w:rFonts w:ascii="Arial" w:cs="Arial" w:eastAsia="Arial" w:hAnsi="Arial"/>
                <w:sz w:val="13"/>
                <w:szCs w:val="13"/>
                <w:color w:val="auto"/>
              </w:rPr>
              <w:t>Series C-Prime Preferred Stock</w:t>
            </w:r>
          </w:p>
        </w:tc>
        <w:tc>
          <w:tcPr>
            <w:tcW w:w="1060" w:type="dxa"/>
            <w:vAlign w:val="bottom"/>
          </w:tcPr>
          <w:p>
            <w:pPr>
              <w:jc w:val="center"/>
              <w:ind w:left="14"/>
              <w:spacing w:after="0"/>
              <w:rPr>
                <w:sz w:val="20"/>
                <w:szCs w:val="20"/>
                <w:color w:val="auto"/>
              </w:rPr>
            </w:pPr>
            <w:r>
              <w:rPr>
                <w:rFonts w:ascii="Arial" w:cs="Arial" w:eastAsia="Arial" w:hAnsi="Arial"/>
                <w:sz w:val="13"/>
                <w:szCs w:val="13"/>
                <w:color w:val="auto"/>
                <w:w w:val="98"/>
              </w:rPr>
              <w:t>6/1/2018</w:t>
            </w:r>
          </w:p>
        </w:tc>
        <w:tc>
          <w:tcPr>
            <w:tcW w:w="920" w:type="dxa"/>
            <w:vAlign w:val="bottom"/>
          </w:tcPr>
          <w:p>
            <w:pPr>
              <w:jc w:val="center"/>
              <w:spacing w:after="0"/>
              <w:rPr>
                <w:sz w:val="20"/>
                <w:szCs w:val="20"/>
                <w:color w:val="auto"/>
              </w:rPr>
            </w:pPr>
            <w:r>
              <w:rPr>
                <w:rFonts w:ascii="Arial" w:cs="Arial" w:eastAsia="Arial" w:hAnsi="Arial"/>
                <w:sz w:val="13"/>
                <w:szCs w:val="13"/>
                <w:color w:val="auto"/>
              </w:rPr>
              <w:t>6/1/2025</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500,000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59</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214</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Series C-Prime Preferred Stock</w:t>
            </w:r>
          </w:p>
        </w:tc>
        <w:tc>
          <w:tcPr>
            <w:tcW w:w="106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7/11/2019</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7/11/2026</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833,333</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115</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356</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FiscalNote, Inc.</w:t>
            </w:r>
          </w:p>
        </w:tc>
        <w:tc>
          <w:tcPr>
            <w:tcW w:w="2060" w:type="dxa"/>
            <w:vAlign w:val="bottom"/>
          </w:tcPr>
          <w:p>
            <w:pPr>
              <w:spacing w:after="0"/>
              <w:rPr>
                <w:sz w:val="20"/>
                <w:szCs w:val="20"/>
                <w:color w:val="auto"/>
              </w:rPr>
            </w:pPr>
            <w:r>
              <w:rPr>
                <w:rFonts w:ascii="Arial" w:cs="Arial" w:eastAsia="Arial" w:hAnsi="Arial"/>
                <w:sz w:val="13"/>
                <w:szCs w:val="13"/>
                <w:color w:val="auto"/>
              </w:rPr>
              <w:t>Earnout</w:t>
            </w:r>
          </w:p>
        </w:tc>
        <w:tc>
          <w:tcPr>
            <w:tcW w:w="1060" w:type="dxa"/>
            <w:vAlign w:val="bottom"/>
          </w:tcPr>
          <w:p>
            <w:pPr>
              <w:jc w:val="center"/>
              <w:ind w:left="14"/>
              <w:spacing w:after="0"/>
              <w:rPr>
                <w:sz w:val="20"/>
                <w:szCs w:val="20"/>
                <w:color w:val="auto"/>
              </w:rPr>
            </w:pPr>
            <w:r>
              <w:rPr>
                <w:rFonts w:ascii="Arial" w:cs="Arial" w:eastAsia="Arial" w:hAnsi="Arial"/>
                <w:sz w:val="13"/>
                <w:szCs w:val="13"/>
                <w:color w:val="auto"/>
              </w:rPr>
              <w:t>7/29/2022</w:t>
            </w:r>
          </w:p>
        </w:tc>
        <w:tc>
          <w:tcPr>
            <w:tcW w:w="920" w:type="dxa"/>
            <w:vAlign w:val="bottom"/>
          </w:tcPr>
          <w:p>
            <w:pPr>
              <w:jc w:val="center"/>
              <w:spacing w:after="0"/>
              <w:rPr>
                <w:sz w:val="20"/>
                <w:szCs w:val="20"/>
                <w:color w:val="auto"/>
              </w:rPr>
            </w:pPr>
            <w:r>
              <w:rPr>
                <w:rFonts w:ascii="Arial" w:cs="Arial" w:eastAsia="Arial" w:hAnsi="Arial"/>
                <w:sz w:val="13"/>
                <w:szCs w:val="13"/>
                <w:color w:val="auto"/>
              </w:rPr>
              <w:t>7/29/2027</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127</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105</w:t>
            </w:r>
          </w:p>
        </w:tc>
        <w:tc>
          <w:tcPr>
            <w:tcW w:w="820" w:type="dxa"/>
            <w:vAlign w:val="bottom"/>
          </w:tcPr>
          <w:p>
            <w:pPr>
              <w:ind w:left="120"/>
              <w:spacing w:after="0"/>
              <w:rPr>
                <w:sz w:val="20"/>
                <w:szCs w:val="20"/>
                <w:color w:val="auto"/>
              </w:rPr>
            </w:pPr>
            <w:r>
              <w:rPr>
                <w:rFonts w:ascii="Arial" w:cs="Arial" w:eastAsia="Arial" w:hAnsi="Arial"/>
                <w:sz w:val="13"/>
                <w:szCs w:val="13"/>
                <w:color w:val="auto"/>
              </w:rPr>
              <w:t>(7)(13)(19)</w:t>
            </w:r>
          </w:p>
        </w:tc>
      </w:tr>
      <w:tr>
        <w:trPr>
          <w:trHeight w:val="185"/>
        </w:trPr>
        <w:tc>
          <w:tcPr>
            <w:tcW w:w="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Porch Group, Inc.</w:t>
            </w:r>
          </w:p>
        </w:tc>
        <w:tc>
          <w:tcPr>
            <w:tcW w:w="2060" w:type="dxa"/>
            <w:vAlign w:val="bottom"/>
            <w:shd w:val="clear" w:color="auto" w:fill="CFF0FC"/>
          </w:tcPr>
          <w:p>
            <w:pPr>
              <w:spacing w:after="0"/>
              <w:rPr>
                <w:sz w:val="20"/>
                <w:szCs w:val="20"/>
                <w:color w:val="auto"/>
              </w:rPr>
            </w:pPr>
            <w:r>
              <w:rPr>
                <w:rFonts w:ascii="Arial" w:cs="Arial" w:eastAsia="Arial" w:hAnsi="Arial"/>
                <w:sz w:val="13"/>
                <w:szCs w:val="13"/>
                <w:color w:val="auto"/>
              </w:rPr>
              <w:t>Earnout</w:t>
            </w:r>
          </w:p>
        </w:tc>
        <w:tc>
          <w:tcPr>
            <w:tcW w:w="106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12/23/2020</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12/23/2023</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(7)(13)(15)</w:t>
            </w:r>
          </w:p>
        </w:tc>
      </w:tr>
      <w:tr>
        <w:trPr>
          <w:trHeight w:val="180"/>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Application Software - 0.63%*</w:t>
            </w: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5,928</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3,649</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b w:val="1"/>
                <w:bCs w:val="1"/>
                <w:color w:val="auto"/>
              </w:rPr>
              <w:t>Biotechnology</w:t>
            </w: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2"/>
        </w:trPr>
        <w:tc>
          <w:tcPr>
            <w:tcW w:w="20" w:type="dxa"/>
            <w:vAlign w:val="bottom"/>
            <w:tcBorders>
              <w:bottom w:val="single" w:sz="8" w:color="CFF0FC"/>
            </w:tcBorders>
            <w:shd w:val="clear" w:color="auto" w:fill="CFF0FC"/>
          </w:tcPr>
          <w:p>
            <w:pPr>
              <w:spacing w:after="0"/>
              <w:rPr>
                <w:sz w:val="14"/>
                <w:szCs w:val="14"/>
                <w:color w:val="auto"/>
              </w:rPr>
            </w:pPr>
          </w:p>
        </w:tc>
        <w:tc>
          <w:tcPr>
            <w:tcW w:w="242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3"/>
                <w:szCs w:val="13"/>
                <w:color w:val="auto"/>
              </w:rPr>
              <w:t>Mustang Bio, Inc.</w:t>
            </w:r>
          </w:p>
        </w:tc>
        <w:tc>
          <w:tcPr>
            <w:tcW w:w="2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Common Stock</w:t>
            </w:r>
          </w:p>
        </w:tc>
        <w:tc>
          <w:tcPr>
            <w:tcW w:w="1060" w:type="dxa"/>
            <w:vAlign w:val="bottom"/>
            <w:tcBorders>
              <w:bottom w:val="single" w:sz="8" w:color="CFF0FC"/>
            </w:tcBorders>
            <w:shd w:val="clear" w:color="auto" w:fill="CFF0FC"/>
          </w:tcPr>
          <w:p>
            <w:pPr>
              <w:jc w:val="center"/>
              <w:ind w:left="14"/>
              <w:spacing w:after="0"/>
              <w:rPr>
                <w:sz w:val="20"/>
                <w:szCs w:val="20"/>
                <w:color w:val="auto"/>
              </w:rPr>
            </w:pPr>
            <w:r>
              <w:rPr>
                <w:rFonts w:ascii="Arial" w:cs="Arial" w:eastAsia="Arial" w:hAnsi="Arial"/>
                <w:sz w:val="13"/>
                <w:szCs w:val="13"/>
                <w:color w:val="auto"/>
                <w:w w:val="98"/>
              </w:rPr>
              <w:t>3/4/2022</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rPr>
              <w:t>3/4/2032</w:t>
            </w:r>
          </w:p>
        </w:tc>
        <w:tc>
          <w:tcPr>
            <w:tcW w:w="1180" w:type="dxa"/>
            <w:vAlign w:val="bottom"/>
            <w:tcBorders>
              <w:bottom w:val="single" w:sz="8" w:color="CFF0FC"/>
            </w:tcBorders>
            <w:shd w:val="clear" w:color="auto" w:fill="CFF0FC"/>
          </w:tcPr>
          <w:p>
            <w:pPr>
              <w:jc w:val="right"/>
              <w:ind w:right="154"/>
              <w:spacing w:after="0"/>
              <w:rPr>
                <w:sz w:val="20"/>
                <w:szCs w:val="20"/>
                <w:color w:val="auto"/>
              </w:rPr>
            </w:pPr>
            <w:r>
              <w:rPr>
                <w:rFonts w:ascii="Arial" w:cs="Arial" w:eastAsia="Arial" w:hAnsi="Arial"/>
                <w:sz w:val="13"/>
                <w:szCs w:val="13"/>
                <w:color w:val="auto"/>
              </w:rPr>
              <w:t>748,036</w:t>
            </w:r>
          </w:p>
        </w:tc>
        <w:tc>
          <w:tcPr>
            <w:tcW w:w="1000" w:type="dxa"/>
            <w:vAlign w:val="bottom"/>
            <w:tcBorders>
              <w:bottom w:val="single" w:sz="8" w:color="CFF0FC"/>
            </w:tcBorders>
            <w:shd w:val="clear" w:color="auto" w:fill="CFF0FC"/>
          </w:tcPr>
          <w:p>
            <w:pPr>
              <w:jc w:val="right"/>
              <w:ind w:right="54"/>
              <w:spacing w:after="0"/>
              <w:rPr>
                <w:sz w:val="20"/>
                <w:szCs w:val="20"/>
                <w:color w:val="auto"/>
              </w:rPr>
            </w:pPr>
            <w:r>
              <w:rPr>
                <w:rFonts w:ascii="Arial" w:cs="Arial" w:eastAsia="Arial" w:hAnsi="Arial"/>
                <w:sz w:val="13"/>
                <w:szCs w:val="13"/>
                <w:color w:val="auto"/>
              </w:rPr>
              <w:t>315</w:t>
            </w:r>
          </w:p>
        </w:tc>
        <w:tc>
          <w:tcPr>
            <w:tcW w:w="10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3"/>
                <w:szCs w:val="13"/>
                <w:color w:val="auto"/>
              </w:rPr>
              <w:t>59</w:t>
            </w:r>
          </w:p>
        </w:tc>
        <w:tc>
          <w:tcPr>
            <w:tcW w:w="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TRACON Pharmaceuticals, Inc.</w:t>
            </w:r>
          </w:p>
        </w:tc>
        <w:tc>
          <w:tcPr>
            <w:tcW w:w="2060" w:type="dxa"/>
            <w:vAlign w:val="bottom"/>
          </w:tcPr>
          <w:p>
            <w:pPr>
              <w:spacing w:after="0"/>
              <w:rPr>
                <w:sz w:val="20"/>
                <w:szCs w:val="20"/>
                <w:color w:val="auto"/>
              </w:rPr>
            </w:pPr>
            <w:r>
              <w:rPr>
                <w:rFonts w:ascii="Arial" w:cs="Arial" w:eastAsia="Arial" w:hAnsi="Arial"/>
                <w:sz w:val="13"/>
                <w:szCs w:val="13"/>
                <w:color w:val="auto"/>
              </w:rPr>
              <w:t>Common Stock</w:t>
            </w:r>
          </w:p>
        </w:tc>
        <w:tc>
          <w:tcPr>
            <w:tcW w:w="1060" w:type="dxa"/>
            <w:vAlign w:val="bottom"/>
          </w:tcPr>
          <w:p>
            <w:pPr>
              <w:jc w:val="center"/>
              <w:ind w:left="14"/>
              <w:spacing w:after="0"/>
              <w:rPr>
                <w:sz w:val="20"/>
                <w:szCs w:val="20"/>
                <w:color w:val="auto"/>
              </w:rPr>
            </w:pPr>
            <w:r>
              <w:rPr>
                <w:rFonts w:ascii="Arial" w:cs="Arial" w:eastAsia="Arial" w:hAnsi="Arial"/>
                <w:sz w:val="13"/>
                <w:szCs w:val="13"/>
                <w:color w:val="auto"/>
                <w:w w:val="98"/>
              </w:rPr>
              <w:t>9/2/2022</w:t>
            </w:r>
          </w:p>
        </w:tc>
        <w:tc>
          <w:tcPr>
            <w:tcW w:w="920" w:type="dxa"/>
            <w:vAlign w:val="bottom"/>
          </w:tcPr>
          <w:p>
            <w:pPr>
              <w:jc w:val="center"/>
              <w:spacing w:after="0"/>
              <w:rPr>
                <w:sz w:val="20"/>
                <w:szCs w:val="20"/>
                <w:color w:val="auto"/>
              </w:rPr>
            </w:pPr>
            <w:r>
              <w:rPr>
                <w:rFonts w:ascii="Arial" w:cs="Arial" w:eastAsia="Arial" w:hAnsi="Arial"/>
                <w:sz w:val="13"/>
                <w:szCs w:val="13"/>
                <w:color w:val="auto"/>
              </w:rPr>
              <w:t>9/2/2032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150,753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226</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157</w:t>
            </w:r>
          </w:p>
        </w:tc>
        <w:tc>
          <w:tcPr>
            <w:tcW w:w="820" w:type="dxa"/>
            <w:vAlign w:val="bottom"/>
          </w:tcPr>
          <w:p>
            <w:pPr>
              <w:ind w:left="120"/>
              <w:spacing w:after="0"/>
              <w:rPr>
                <w:sz w:val="20"/>
                <w:szCs w:val="20"/>
                <w:color w:val="auto"/>
              </w:rPr>
            </w:pPr>
            <w:r>
              <w:rPr>
                <w:rFonts w:ascii="Arial" w:cs="Arial" w:eastAsia="Arial" w:hAnsi="Arial"/>
                <w:sz w:val="13"/>
                <w:szCs w:val="13"/>
                <w:color w:val="auto"/>
              </w:rPr>
              <w:t>(7)(15)</w:t>
            </w:r>
          </w:p>
        </w:tc>
      </w:tr>
      <w:tr>
        <w:trPr>
          <w:trHeight w:val="185"/>
        </w:trPr>
        <w:tc>
          <w:tcPr>
            <w:tcW w:w="20" w:type="dxa"/>
            <w:vAlign w:val="bottom"/>
            <w:shd w:val="clear" w:color="auto" w:fill="CFF0FC"/>
          </w:tcPr>
          <w:p>
            <w:pPr>
              <w:spacing w:after="0"/>
              <w:rPr>
                <w:sz w:val="16"/>
                <w:szCs w:val="16"/>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Total Biotechnology - 0.04%*</w:t>
            </w:r>
          </w:p>
        </w:tc>
        <w:tc>
          <w:tcPr>
            <w:tcW w:w="20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541</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216</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2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Computer &amp; Electronics Retail</w:t>
            </w:r>
          </w:p>
        </w:tc>
        <w:tc>
          <w:tcPr>
            <w:tcW w:w="20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20" w:type="dxa"/>
            <w:vAlign w:val="bottom"/>
            <w:gridSpan w:val="2"/>
          </w:tcPr>
          <w:p>
            <w:pPr>
              <w:ind w:left="220"/>
              <w:spacing w:after="0"/>
              <w:rPr>
                <w:sz w:val="20"/>
                <w:szCs w:val="20"/>
                <w:color w:val="auto"/>
              </w:rPr>
            </w:pPr>
            <w:r>
              <w:rPr>
                <w:rFonts w:ascii="Arial" w:cs="Arial" w:eastAsia="Arial" w:hAnsi="Arial"/>
                <w:sz w:val="13"/>
                <w:szCs w:val="13"/>
                <w:color w:val="auto"/>
              </w:rPr>
              <w:t>Massdrop, Inc.</w:t>
            </w:r>
          </w:p>
        </w:tc>
        <w:tc>
          <w:tcPr>
            <w:tcW w:w="2060" w:type="dxa"/>
            <w:vAlign w:val="bottom"/>
          </w:tcPr>
          <w:p>
            <w:pPr>
              <w:spacing w:after="0"/>
              <w:rPr>
                <w:sz w:val="20"/>
                <w:szCs w:val="20"/>
                <w:color w:val="auto"/>
              </w:rPr>
            </w:pPr>
            <w:r>
              <w:rPr>
                <w:rFonts w:ascii="Arial" w:cs="Arial" w:eastAsia="Arial" w:hAnsi="Arial"/>
                <w:sz w:val="13"/>
                <w:szCs w:val="13"/>
                <w:color w:val="auto"/>
              </w:rPr>
              <w:t>Series B Preferred Stock</w:t>
            </w:r>
          </w:p>
        </w:tc>
        <w:tc>
          <w:tcPr>
            <w:tcW w:w="1060" w:type="dxa"/>
            <w:vAlign w:val="bottom"/>
          </w:tcPr>
          <w:p>
            <w:pPr>
              <w:jc w:val="center"/>
              <w:ind w:left="14"/>
              <w:spacing w:after="0"/>
              <w:rPr>
                <w:sz w:val="20"/>
                <w:szCs w:val="20"/>
                <w:color w:val="auto"/>
              </w:rPr>
            </w:pPr>
            <w:r>
              <w:rPr>
                <w:rFonts w:ascii="Arial" w:cs="Arial" w:eastAsia="Arial" w:hAnsi="Arial"/>
                <w:sz w:val="13"/>
                <w:szCs w:val="13"/>
                <w:color w:val="auto"/>
              </w:rPr>
              <w:t>7/22/2019</w:t>
            </w:r>
          </w:p>
        </w:tc>
        <w:tc>
          <w:tcPr>
            <w:tcW w:w="920" w:type="dxa"/>
            <w:vAlign w:val="bottom"/>
          </w:tcPr>
          <w:p>
            <w:pPr>
              <w:jc w:val="center"/>
              <w:spacing w:after="0"/>
              <w:rPr>
                <w:sz w:val="20"/>
                <w:szCs w:val="20"/>
                <w:color w:val="auto"/>
              </w:rPr>
            </w:pPr>
            <w:r>
              <w:rPr>
                <w:rFonts w:ascii="Arial" w:cs="Arial" w:eastAsia="Arial" w:hAnsi="Arial"/>
                <w:sz w:val="13"/>
                <w:szCs w:val="13"/>
                <w:color w:val="auto"/>
              </w:rPr>
              <w:t>7/22/2029</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848,093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183</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68</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4480" w:type="dxa"/>
            <w:vAlign w:val="bottom"/>
            <w:gridSpan w:val="3"/>
            <w:shd w:val="clear" w:color="auto" w:fill="CFF0FC"/>
          </w:tcPr>
          <w:p>
            <w:pPr>
              <w:ind w:left="220"/>
              <w:spacing w:after="0"/>
              <w:rPr>
                <w:sz w:val="20"/>
                <w:szCs w:val="20"/>
                <w:color w:val="auto"/>
              </w:rPr>
            </w:pPr>
            <w:r>
              <w:rPr>
                <w:rFonts w:ascii="Arial" w:cs="Arial" w:eastAsia="Arial" w:hAnsi="Arial"/>
                <w:sz w:val="13"/>
                <w:szCs w:val="13"/>
                <w:b w:val="1"/>
                <w:bCs w:val="1"/>
                <w:color w:val="auto"/>
              </w:rPr>
              <w:t>Total Computer &amp; Electronics Retail - 0.01%*</w:t>
            </w:r>
          </w:p>
        </w:tc>
        <w:tc>
          <w:tcPr>
            <w:tcW w:w="10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183</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68</w:t>
            </w:r>
          </w:p>
        </w:tc>
        <w:tc>
          <w:tcPr>
            <w:tcW w:w="820" w:type="dxa"/>
            <w:vAlign w:val="bottom"/>
            <w:shd w:val="clear" w:color="auto" w:fill="CFF0FC"/>
          </w:tcPr>
          <w:p>
            <w:pPr>
              <w:spacing w:after="0"/>
              <w:rPr>
                <w:sz w:val="16"/>
                <w:szCs w:val="16"/>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19" w:name="page20"/>
    <w:bookmarkEnd w:id="19"/>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 Schedule of Investments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80" w:type="dxa"/>
            <w:vAlign w:val="bottom"/>
          </w:tcPr>
          <w:p>
            <w:pPr>
              <w:jc w:val="center"/>
              <w:ind w:left="34"/>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60" w:type="dxa"/>
            <w:vAlign w:val="bottom"/>
          </w:tcPr>
          <w:p>
            <w:pPr>
              <w:ind w:left="680"/>
              <w:spacing w:after="0" w:line="146" w:lineRule="exact"/>
              <w:rPr>
                <w:sz w:val="20"/>
                <w:szCs w:val="20"/>
                <w:color w:val="auto"/>
              </w:rPr>
            </w:pPr>
            <w:r>
              <w:rPr>
                <w:rFonts w:ascii="Arial" w:cs="Arial" w:eastAsia="Arial" w:hAnsi="Arial"/>
                <w:sz w:val="13"/>
                <w:szCs w:val="13"/>
                <w:b w:val="1"/>
                <w:bCs w:val="1"/>
                <w:color w:val="auto"/>
              </w:rPr>
              <w:t>Investment</w:t>
            </w:r>
          </w:p>
        </w:tc>
        <w:tc>
          <w:tcPr>
            <w:tcW w:w="1080" w:type="dxa"/>
            <w:vAlign w:val="bottom"/>
          </w:tcPr>
          <w:p>
            <w:pPr>
              <w:jc w:val="center"/>
              <w:ind w:left="34"/>
              <w:spacing w:after="0" w:line="146" w:lineRule="exact"/>
              <w:rPr>
                <w:sz w:val="20"/>
                <w:szCs w:val="20"/>
                <w:color w:val="auto"/>
              </w:rPr>
            </w:pPr>
            <w:r>
              <w:rPr>
                <w:rFonts w:ascii="Arial" w:cs="Arial" w:eastAsia="Arial" w:hAnsi="Arial"/>
                <w:sz w:val="13"/>
                <w:szCs w:val="13"/>
                <w:b w:val="1"/>
                <w:bCs w:val="1"/>
                <w:color w:val="auto"/>
                <w:w w:val="98"/>
              </w:rPr>
              <w:t>Acquisition</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Maturity</w:t>
            </w:r>
          </w:p>
        </w:tc>
        <w:tc>
          <w:tcPr>
            <w:tcW w:w="11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Principal ($) /</w:t>
            </w:r>
          </w:p>
        </w:tc>
        <w:tc>
          <w:tcPr>
            <w:tcW w:w="1000" w:type="dxa"/>
            <w:vAlign w:val="bottom"/>
          </w:tcPr>
          <w:p>
            <w:pPr>
              <w:spacing w:after="0"/>
              <w:rPr>
                <w:sz w:val="12"/>
                <w:szCs w:val="12"/>
                <w:color w:val="auto"/>
              </w:rPr>
            </w:pPr>
          </w:p>
        </w:tc>
        <w:tc>
          <w:tcPr>
            <w:tcW w:w="1080" w:type="dxa"/>
            <w:vAlign w:val="bottom"/>
          </w:tcPr>
          <w:p>
            <w:pPr>
              <w:jc w:val="right"/>
              <w:ind w:right="374"/>
              <w:spacing w:after="0" w:line="146" w:lineRule="exact"/>
              <w:rPr>
                <w:sz w:val="20"/>
                <w:szCs w:val="20"/>
                <w:color w:val="auto"/>
              </w:rPr>
            </w:pPr>
            <w:r>
              <w:rPr>
                <w:rFonts w:ascii="Arial" w:cs="Arial" w:eastAsia="Arial" w:hAnsi="Arial"/>
                <w:sz w:val="13"/>
                <w:szCs w:val="13"/>
                <w:b w:val="1"/>
                <w:bCs w:val="1"/>
                <w:color w:val="auto"/>
              </w:rPr>
              <w:t>Fair</w:t>
            </w:r>
          </w:p>
        </w:tc>
        <w:tc>
          <w:tcPr>
            <w:tcW w:w="820" w:type="dxa"/>
            <w:vAlign w:val="bottom"/>
          </w:tcPr>
          <w:p>
            <w:pPr>
              <w:spacing w:after="0"/>
              <w:rPr>
                <w:sz w:val="12"/>
                <w:szCs w:val="12"/>
                <w:color w:val="auto"/>
              </w:rPr>
            </w:pPr>
          </w:p>
        </w:tc>
      </w:tr>
      <w:tr>
        <w:trPr>
          <w:trHeight w:val="194"/>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Portfolio Company</w:t>
            </w:r>
          </w:p>
        </w:tc>
        <w:tc>
          <w:tcPr>
            <w:tcW w:w="2060" w:type="dxa"/>
            <w:vAlign w:val="bottom"/>
          </w:tcPr>
          <w:p>
            <w:pPr>
              <w:ind w:left="520"/>
              <w:spacing w:after="0"/>
              <w:rPr>
                <w:sz w:val="20"/>
                <w:szCs w:val="20"/>
                <w:color w:val="auto"/>
              </w:rPr>
            </w:pPr>
            <w:r>
              <w:rPr>
                <w:rFonts w:ascii="Arial" w:cs="Arial" w:eastAsia="Arial" w:hAnsi="Arial"/>
                <w:sz w:val="13"/>
                <w:szCs w:val="13"/>
                <w:b w:val="1"/>
                <w:bCs w:val="1"/>
                <w:color w:val="auto"/>
              </w:rPr>
              <w:t>Description</w:t>
            </w:r>
            <w:r>
              <w:rPr>
                <w:rFonts w:ascii="Arial" w:cs="Arial" w:eastAsia="Arial" w:hAnsi="Arial"/>
                <w:sz w:val="16"/>
                <w:szCs w:val="16"/>
                <w:b w:val="1"/>
                <w:bCs w:val="1"/>
                <w:color w:val="auto"/>
                <w:vertAlign w:val="superscript"/>
              </w:rPr>
              <w:t>(1),(5),(9)</w:t>
            </w:r>
          </w:p>
        </w:tc>
        <w:tc>
          <w:tcPr>
            <w:tcW w:w="1080" w:type="dxa"/>
            <w:vAlign w:val="bottom"/>
          </w:tcPr>
          <w:p>
            <w:pPr>
              <w:jc w:val="center"/>
              <w:ind w:left="34"/>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180" w:type="dxa"/>
            <w:vAlign w:val="bottom"/>
          </w:tcPr>
          <w:p>
            <w:pPr>
              <w:jc w:val="right"/>
              <w:ind w:right="374"/>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234"/>
              <w:spacing w:after="0"/>
              <w:rPr>
                <w:sz w:val="20"/>
                <w:szCs w:val="20"/>
                <w:color w:val="auto"/>
              </w:rPr>
            </w:pPr>
            <w:r>
              <w:rPr>
                <w:rFonts w:ascii="Arial" w:cs="Arial" w:eastAsia="Arial" w:hAnsi="Arial"/>
                <w:sz w:val="13"/>
                <w:szCs w:val="13"/>
                <w:b w:val="1"/>
                <w:bCs w:val="1"/>
                <w:color w:val="auto"/>
              </w:rPr>
              <w:t>Cost ($)</w:t>
            </w:r>
          </w:p>
        </w:tc>
        <w:tc>
          <w:tcPr>
            <w:tcW w:w="1080" w:type="dxa"/>
            <w:vAlign w:val="bottom"/>
          </w:tcPr>
          <w:p>
            <w:pPr>
              <w:jc w:val="right"/>
              <w:ind w:right="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(2),(6)</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2420" w:type="dxa"/>
            <w:vAlign w:val="bottom"/>
            <w:gridSpan w:val="2"/>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2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0" w:type="dxa"/>
            <w:vAlign w:val="bottom"/>
            <w:tcBorders>
              <w:top w:val="single" w:sz="8" w:color="CFF0FC"/>
            </w:tcBorders>
          </w:tcPr>
          <w:p>
            <w:pPr>
              <w:spacing w:after="0"/>
              <w:rPr>
                <w:sz w:val="15"/>
                <w:szCs w:val="15"/>
                <w:color w:val="auto"/>
              </w:rPr>
            </w:pPr>
          </w:p>
        </w:tc>
        <w:tc>
          <w:tcPr>
            <w:tcW w:w="24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rPr>
              <w:t>Warrants</w:t>
            </w:r>
          </w:p>
        </w:tc>
        <w:tc>
          <w:tcPr>
            <w:tcW w:w="206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1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Data Processing &amp; Outsourced Services</w:t>
            </w:r>
          </w:p>
        </w:tc>
        <w:tc>
          <w:tcPr>
            <w:tcW w:w="10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Interactions Corporation</w:t>
            </w:r>
          </w:p>
        </w:tc>
        <w:tc>
          <w:tcPr>
            <w:tcW w:w="20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6/24/2022</w:t>
            </w:r>
          </w:p>
        </w:tc>
        <w:tc>
          <w:tcPr>
            <w:tcW w:w="920" w:type="dxa"/>
            <w:vAlign w:val="bottom"/>
          </w:tcPr>
          <w:p>
            <w:pPr>
              <w:jc w:val="center"/>
              <w:spacing w:after="0"/>
              <w:rPr>
                <w:sz w:val="20"/>
                <w:szCs w:val="20"/>
                <w:color w:val="auto"/>
              </w:rPr>
            </w:pPr>
            <w:r>
              <w:rPr>
                <w:rFonts w:ascii="Arial" w:cs="Arial" w:eastAsia="Arial" w:hAnsi="Arial"/>
                <w:sz w:val="13"/>
                <w:szCs w:val="13"/>
                <w:color w:val="auto"/>
              </w:rPr>
              <w:t>6/24/2032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189,408</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219</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204</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ShareThis,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D-3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12/3/2018</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12/3/2028</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647,615</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2,162</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1,728</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20" w:type="dxa"/>
            <w:vAlign w:val="bottom"/>
          </w:tcPr>
          <w:p>
            <w:pPr>
              <w:spacing w:after="0"/>
              <w:rPr>
                <w:sz w:val="15"/>
                <w:szCs w:val="15"/>
                <w:color w:val="auto"/>
              </w:rPr>
            </w:pPr>
          </w:p>
        </w:tc>
        <w:tc>
          <w:tcPr>
            <w:tcW w:w="4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Data Processing &amp; Outsourced Services - 0.34%*</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2,381</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1,932</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ind w:left="220"/>
              <w:spacing w:after="0"/>
              <w:rPr>
                <w:sz w:val="20"/>
                <w:szCs w:val="20"/>
                <w:color w:val="auto"/>
              </w:rPr>
            </w:pPr>
            <w:r>
              <w:rPr>
                <w:rFonts w:ascii="Arial" w:cs="Arial" w:eastAsia="Arial" w:hAnsi="Arial"/>
                <w:sz w:val="13"/>
                <w:szCs w:val="13"/>
                <w:b w:val="1"/>
                <w:bCs w:val="1"/>
                <w:color w:val="auto"/>
              </w:rPr>
              <w:t>Electronic Equipment &amp; Instruments</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Brivo,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A-2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10/20/2022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10/20/2032</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201,000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98</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107</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Epic IO Technologies, Inc.</w:t>
            </w:r>
          </w:p>
        </w:tc>
        <w:tc>
          <w:tcPr>
            <w:tcW w:w="2060" w:type="dxa"/>
            <w:vAlign w:val="bottom"/>
          </w:tcPr>
          <w:p>
            <w:pPr>
              <w:ind w:left="20"/>
              <w:spacing w:after="0"/>
              <w:rPr>
                <w:sz w:val="20"/>
                <w:szCs w:val="20"/>
                <w:color w:val="auto"/>
              </w:rPr>
            </w:pPr>
            <w:r>
              <w:rPr>
                <w:rFonts w:ascii="Arial" w:cs="Arial" w:eastAsia="Arial" w:hAnsi="Arial"/>
                <w:sz w:val="13"/>
                <w:szCs w:val="13"/>
                <w:color w:val="auto"/>
              </w:rPr>
              <w:t>Success fee</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12/17/2021</w:t>
            </w:r>
          </w:p>
        </w:tc>
        <w:tc>
          <w:tcPr>
            <w:tcW w:w="920" w:type="dxa"/>
            <w:vAlign w:val="bottom"/>
          </w:tcPr>
          <w:p>
            <w:pPr>
              <w:jc w:val="center"/>
              <w:spacing w:after="0"/>
              <w:rPr>
                <w:sz w:val="20"/>
                <w:szCs w:val="20"/>
                <w:color w:val="auto"/>
              </w:rPr>
            </w:pPr>
            <w:r>
              <w:rPr>
                <w:rFonts w:ascii="Arial" w:cs="Arial" w:eastAsia="Arial" w:hAnsi="Arial"/>
                <w:sz w:val="13"/>
                <w:szCs w:val="13"/>
                <w:color w:val="auto"/>
              </w:rPr>
              <w:t>12/17/2024</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430</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456</w:t>
            </w:r>
          </w:p>
        </w:tc>
        <w:tc>
          <w:tcPr>
            <w:tcW w:w="820" w:type="dxa"/>
            <w:vAlign w:val="bottom"/>
          </w:tcPr>
          <w:p>
            <w:pPr>
              <w:ind w:left="120"/>
              <w:spacing w:after="0"/>
              <w:rPr>
                <w:sz w:val="20"/>
                <w:szCs w:val="20"/>
                <w:color w:val="auto"/>
              </w:rPr>
            </w:pPr>
            <w:r>
              <w:rPr>
                <w:rFonts w:ascii="Arial" w:cs="Arial" w:eastAsia="Arial" w:hAnsi="Arial"/>
                <w:sz w:val="13"/>
                <w:szCs w:val="13"/>
                <w:color w:val="auto"/>
              </w:rPr>
              <w:t>(7)(13)</w:t>
            </w:r>
          </w:p>
        </w:tc>
      </w:tr>
      <w:tr>
        <w:trPr>
          <w:trHeight w:val="185"/>
        </w:trPr>
        <w:tc>
          <w:tcPr>
            <w:tcW w:w="20" w:type="dxa"/>
            <w:vAlign w:val="bottom"/>
            <w:shd w:val="clear" w:color="auto" w:fill="CFF0FC"/>
          </w:tcPr>
          <w:p>
            <w:pPr>
              <w:spacing w:after="0"/>
              <w:rPr>
                <w:sz w:val="16"/>
                <w:szCs w:val="16"/>
                <w:color w:val="auto"/>
              </w:rPr>
            </w:pPr>
          </w:p>
        </w:tc>
        <w:tc>
          <w:tcPr>
            <w:tcW w:w="4460" w:type="dxa"/>
            <w:vAlign w:val="bottom"/>
            <w:gridSpan w:val="2"/>
            <w:shd w:val="clear" w:color="auto" w:fill="CFF0FC"/>
          </w:tcPr>
          <w:p>
            <w:pPr>
              <w:ind w:left="220"/>
              <w:spacing w:after="0"/>
              <w:rPr>
                <w:sz w:val="20"/>
                <w:szCs w:val="20"/>
                <w:color w:val="auto"/>
              </w:rPr>
            </w:pPr>
            <w:r>
              <w:rPr>
                <w:rFonts w:ascii="Arial" w:cs="Arial" w:eastAsia="Arial" w:hAnsi="Arial"/>
                <w:sz w:val="13"/>
                <w:szCs w:val="13"/>
                <w:b w:val="1"/>
                <w:bCs w:val="1"/>
                <w:color w:val="auto"/>
              </w:rPr>
              <w:t>Total Electronic Equipment &amp; Instruments - 0.10%*</w:t>
            </w:r>
          </w:p>
        </w:tc>
        <w:tc>
          <w:tcPr>
            <w:tcW w:w="10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528</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563</w:t>
            </w:r>
          </w:p>
        </w:tc>
        <w:tc>
          <w:tcPr>
            <w:tcW w:w="820" w:type="dxa"/>
            <w:vAlign w:val="bottom"/>
            <w:shd w:val="clear" w:color="auto" w:fill="CFF0FC"/>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b w:val="1"/>
                <w:bCs w:val="1"/>
                <w:color w:val="auto"/>
              </w:rPr>
              <w:t>Health Care Equipment</w:t>
            </w:r>
          </w:p>
        </w:tc>
        <w:tc>
          <w:tcPr>
            <w:tcW w:w="20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Moximed, Inc.</w:t>
            </w:r>
          </w:p>
        </w:tc>
        <w:tc>
          <w:tcPr>
            <w:tcW w:w="2060" w:type="dxa"/>
            <w:vAlign w:val="bottom"/>
          </w:tcPr>
          <w:p>
            <w:pPr>
              <w:ind w:left="20"/>
              <w:spacing w:after="0"/>
              <w:rPr>
                <w:sz w:val="20"/>
                <w:szCs w:val="20"/>
                <w:color w:val="auto"/>
              </w:rPr>
            </w:pPr>
            <w:r>
              <w:rPr>
                <w:rFonts w:ascii="Arial" w:cs="Arial" w:eastAsia="Arial" w:hAnsi="Arial"/>
                <w:sz w:val="13"/>
                <w:szCs w:val="13"/>
                <w:color w:val="auto"/>
              </w:rPr>
              <w:t>Series C Preferred Stock</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6/24/2022</w:t>
            </w:r>
          </w:p>
        </w:tc>
        <w:tc>
          <w:tcPr>
            <w:tcW w:w="920" w:type="dxa"/>
            <w:vAlign w:val="bottom"/>
          </w:tcPr>
          <w:p>
            <w:pPr>
              <w:jc w:val="center"/>
              <w:spacing w:after="0"/>
              <w:rPr>
                <w:sz w:val="20"/>
                <w:szCs w:val="20"/>
                <w:color w:val="auto"/>
              </w:rPr>
            </w:pPr>
            <w:r>
              <w:rPr>
                <w:rFonts w:ascii="Arial" w:cs="Arial" w:eastAsia="Arial" w:hAnsi="Arial"/>
                <w:sz w:val="13"/>
                <w:szCs w:val="13"/>
                <w:color w:val="auto"/>
              </w:rPr>
              <w:t>6/24/2032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214,285</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175</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163</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Revelle Aesthetics,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A-2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3/30/2022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3/30/3032</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115,591</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127</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121</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20" w:type="dxa"/>
            <w:vAlign w:val="bottom"/>
          </w:tcPr>
          <w:p>
            <w:pPr>
              <w:spacing w:after="0"/>
              <w:rPr>
                <w:sz w:val="15"/>
                <w:szCs w:val="15"/>
                <w:color w:val="auto"/>
              </w:rPr>
            </w:pPr>
          </w:p>
        </w:tc>
        <w:tc>
          <w:tcPr>
            <w:tcW w:w="4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Health Care Equipment - 0.05%*</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302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284</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0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b w:val="1"/>
                <w:bCs w:val="1"/>
                <w:color w:val="auto"/>
              </w:rPr>
              <w:t>Health Care Technology</w:t>
            </w:r>
          </w:p>
        </w:tc>
        <w:tc>
          <w:tcPr>
            <w:tcW w:w="2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Allurion Technologies,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C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3/30/2021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3/30/2031</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132,979</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283</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632</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3"/>
                <w:szCs w:val="13"/>
                <w:color w:val="auto"/>
              </w:rPr>
              <w:t>Series D-1 Preferred Stock</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6/14/2022</w:t>
            </w:r>
          </w:p>
        </w:tc>
        <w:tc>
          <w:tcPr>
            <w:tcW w:w="920" w:type="dxa"/>
            <w:vAlign w:val="bottom"/>
          </w:tcPr>
          <w:p>
            <w:pPr>
              <w:jc w:val="center"/>
              <w:spacing w:after="0"/>
              <w:rPr>
                <w:sz w:val="20"/>
                <w:szCs w:val="20"/>
                <w:color w:val="auto"/>
              </w:rPr>
            </w:pPr>
            <w:r>
              <w:rPr>
                <w:rFonts w:ascii="Arial" w:cs="Arial" w:eastAsia="Arial" w:hAnsi="Arial"/>
                <w:sz w:val="13"/>
                <w:szCs w:val="13"/>
                <w:color w:val="auto"/>
              </w:rPr>
              <w:t>3/30/2031</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88,440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284</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259</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CareCloud,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w w:val="98"/>
              </w:rPr>
              <w:t>1/8/2020</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1/8/2023</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1,000,000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837</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EBR Systems, Inc.</w:t>
            </w:r>
          </w:p>
        </w:tc>
        <w:tc>
          <w:tcPr>
            <w:tcW w:w="2060" w:type="dxa"/>
            <w:vAlign w:val="bottom"/>
          </w:tcPr>
          <w:p>
            <w:pPr>
              <w:ind w:left="20"/>
              <w:spacing w:after="0"/>
              <w:rPr>
                <w:sz w:val="20"/>
                <w:szCs w:val="20"/>
                <w:color w:val="auto"/>
              </w:rPr>
            </w:pPr>
            <w:r>
              <w:rPr>
                <w:rFonts w:ascii="Arial" w:cs="Arial" w:eastAsia="Arial" w:hAnsi="Arial"/>
                <w:sz w:val="13"/>
                <w:szCs w:val="13"/>
                <w:color w:val="auto"/>
              </w:rPr>
              <w:t>Success fee</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6/30/2022</w:t>
            </w:r>
          </w:p>
        </w:tc>
        <w:tc>
          <w:tcPr>
            <w:tcW w:w="920" w:type="dxa"/>
            <w:vAlign w:val="bottom"/>
          </w:tcPr>
          <w:p>
            <w:pPr>
              <w:jc w:val="center"/>
              <w:spacing w:after="0"/>
              <w:rPr>
                <w:sz w:val="20"/>
                <w:szCs w:val="20"/>
                <w:color w:val="auto"/>
              </w:rPr>
            </w:pPr>
            <w:r>
              <w:rPr>
                <w:rFonts w:ascii="Arial" w:cs="Arial" w:eastAsia="Arial" w:hAnsi="Arial"/>
                <w:sz w:val="13"/>
                <w:szCs w:val="13"/>
                <w:color w:val="auto"/>
              </w:rPr>
              <w:t>6/30/2032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292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305</w:t>
            </w:r>
          </w:p>
        </w:tc>
        <w:tc>
          <w:tcPr>
            <w:tcW w:w="820" w:type="dxa"/>
            <w:vAlign w:val="bottom"/>
          </w:tcPr>
          <w:p>
            <w:pPr>
              <w:ind w:left="120"/>
              <w:spacing w:after="0"/>
              <w:rPr>
                <w:sz w:val="20"/>
                <w:szCs w:val="20"/>
                <w:color w:val="auto"/>
              </w:rPr>
            </w:pPr>
            <w:r>
              <w:rPr>
                <w:rFonts w:ascii="Arial" w:cs="Arial" w:eastAsia="Arial" w:hAnsi="Arial"/>
                <w:sz w:val="13"/>
                <w:szCs w:val="13"/>
                <w:color w:val="auto"/>
              </w:rPr>
              <w:t>(7)(13)</w:t>
            </w:r>
          </w:p>
        </w:tc>
      </w:tr>
      <w:tr>
        <w:trPr>
          <w:trHeight w:val="166"/>
        </w:trPr>
        <w:tc>
          <w:tcPr>
            <w:tcW w:w="20" w:type="dxa"/>
            <w:vAlign w:val="bottom"/>
            <w:shd w:val="clear" w:color="auto" w:fill="CFF0FC"/>
          </w:tcPr>
          <w:p>
            <w:pPr>
              <w:spacing w:after="0"/>
              <w:rPr>
                <w:sz w:val="14"/>
                <w:szCs w:val="14"/>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Gynesonics,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G Convertible Preferred</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11/19/2021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11/19/2031</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27,978,115</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341</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446</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6"/>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w:t>
            </w:r>
          </w:p>
        </w:tc>
        <w:tc>
          <w:tcPr>
            <w:tcW w:w="10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Mingle Healthcare Solutions, Inc.</w:t>
            </w:r>
          </w:p>
        </w:tc>
        <w:tc>
          <w:tcPr>
            <w:tcW w:w="2060" w:type="dxa"/>
            <w:vAlign w:val="bottom"/>
          </w:tcPr>
          <w:p>
            <w:pPr>
              <w:ind w:left="20"/>
              <w:spacing w:after="0"/>
              <w:rPr>
                <w:sz w:val="20"/>
                <w:szCs w:val="20"/>
                <w:color w:val="auto"/>
              </w:rPr>
            </w:pPr>
            <w:r>
              <w:rPr>
                <w:rFonts w:ascii="Arial" w:cs="Arial" w:eastAsia="Arial" w:hAnsi="Arial"/>
                <w:sz w:val="13"/>
                <w:szCs w:val="13"/>
                <w:color w:val="auto"/>
              </w:rPr>
              <w:t>Series CC Preferred Stock</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8/15/2018</w:t>
            </w:r>
          </w:p>
        </w:tc>
        <w:tc>
          <w:tcPr>
            <w:tcW w:w="920" w:type="dxa"/>
            <w:vAlign w:val="bottom"/>
          </w:tcPr>
          <w:p>
            <w:pPr>
              <w:jc w:val="center"/>
              <w:spacing w:after="0"/>
              <w:rPr>
                <w:sz w:val="20"/>
                <w:szCs w:val="20"/>
                <w:color w:val="auto"/>
              </w:rPr>
            </w:pPr>
            <w:r>
              <w:rPr>
                <w:rFonts w:ascii="Arial" w:cs="Arial" w:eastAsia="Arial" w:hAnsi="Arial"/>
                <w:sz w:val="13"/>
                <w:szCs w:val="13"/>
                <w:color w:val="auto"/>
              </w:rPr>
              <w:t>8/15/2028</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1,770,973</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492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Nalu Medical,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D-2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10/12/2022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10/12/2032</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91,717</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173</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137</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00" w:type="dxa"/>
            <w:vAlign w:val="bottom"/>
          </w:tcPr>
          <w:p>
            <w:pPr>
              <w:ind w:left="220"/>
              <w:spacing w:after="0"/>
              <w:rPr>
                <w:sz w:val="20"/>
                <w:szCs w:val="20"/>
                <w:color w:val="auto"/>
              </w:rPr>
            </w:pPr>
            <w:r>
              <w:rPr>
                <w:rFonts w:ascii="Arial" w:cs="Arial" w:eastAsia="Arial" w:hAnsi="Arial"/>
                <w:sz w:val="13"/>
                <w:szCs w:val="13"/>
                <w:color w:val="auto"/>
              </w:rPr>
              <w:t>Route 92 Medical, Inc.</w:t>
            </w:r>
          </w:p>
        </w:tc>
        <w:tc>
          <w:tcPr>
            <w:tcW w:w="2060" w:type="dxa"/>
            <w:vAlign w:val="bottom"/>
          </w:tcPr>
          <w:p>
            <w:pPr>
              <w:ind w:left="20"/>
              <w:spacing w:after="0"/>
              <w:rPr>
                <w:sz w:val="20"/>
                <w:szCs w:val="20"/>
                <w:color w:val="auto"/>
              </w:rPr>
            </w:pPr>
            <w:r>
              <w:rPr>
                <w:rFonts w:ascii="Arial" w:cs="Arial" w:eastAsia="Arial" w:hAnsi="Arial"/>
                <w:sz w:val="13"/>
                <w:szCs w:val="13"/>
                <w:color w:val="auto"/>
              </w:rPr>
              <w:t>Success fee</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8/17/2021</w:t>
            </w:r>
          </w:p>
        </w:tc>
        <w:tc>
          <w:tcPr>
            <w:tcW w:w="920" w:type="dxa"/>
            <w:vAlign w:val="bottom"/>
          </w:tcPr>
          <w:p>
            <w:pPr>
              <w:jc w:val="center"/>
              <w:spacing w:after="0"/>
              <w:rPr>
                <w:sz w:val="20"/>
                <w:szCs w:val="20"/>
                <w:color w:val="auto"/>
              </w:rPr>
            </w:pPr>
            <w:r>
              <w:rPr>
                <w:rFonts w:ascii="Arial" w:cs="Arial" w:eastAsia="Arial" w:hAnsi="Arial"/>
                <w:sz w:val="13"/>
                <w:szCs w:val="13"/>
                <w:color w:val="auto"/>
              </w:rPr>
              <w:t>8/17/2031</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248</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297</w:t>
            </w:r>
          </w:p>
        </w:tc>
        <w:tc>
          <w:tcPr>
            <w:tcW w:w="820" w:type="dxa"/>
            <w:vAlign w:val="bottom"/>
          </w:tcPr>
          <w:p>
            <w:pPr>
              <w:ind w:left="120"/>
              <w:spacing w:after="0"/>
              <w:rPr>
                <w:sz w:val="20"/>
                <w:szCs w:val="20"/>
                <w:color w:val="auto"/>
              </w:rPr>
            </w:pPr>
            <w:r>
              <w:rPr>
                <w:rFonts w:ascii="Arial" w:cs="Arial" w:eastAsia="Arial" w:hAnsi="Arial"/>
                <w:sz w:val="13"/>
                <w:szCs w:val="13"/>
                <w:color w:val="auto"/>
              </w:rPr>
              <w:t>(7)(13)</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SetPoint Medical Corporation</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B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6/29/2021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6/29/2031</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400,000</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14</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50</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3"/>
                <w:szCs w:val="13"/>
                <w:color w:val="auto"/>
              </w:rPr>
              <w:t>Series B Preferred Stock</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12/29/2022</w:t>
            </w:r>
          </w:p>
        </w:tc>
        <w:tc>
          <w:tcPr>
            <w:tcW w:w="920" w:type="dxa"/>
            <w:vAlign w:val="bottom"/>
          </w:tcPr>
          <w:p>
            <w:pPr>
              <w:jc w:val="center"/>
              <w:spacing w:after="0"/>
              <w:rPr>
                <w:sz w:val="20"/>
                <w:szCs w:val="20"/>
                <w:color w:val="auto"/>
              </w:rPr>
            </w:pPr>
            <w:r>
              <w:rPr>
                <w:rFonts w:ascii="Arial" w:cs="Arial" w:eastAsia="Arial" w:hAnsi="Arial"/>
                <w:sz w:val="13"/>
                <w:szCs w:val="13"/>
                <w:color w:val="auto"/>
              </w:rPr>
              <w:t>12/29/2032</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600,000</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74</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74</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VERO Biotech LLC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Success fee</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12/29/2020</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12/29/2025</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377</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394</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(7)(13)</w:t>
            </w:r>
          </w:p>
        </w:tc>
      </w:tr>
      <w:tr>
        <w:trPr>
          <w:trHeight w:val="180"/>
        </w:trPr>
        <w:tc>
          <w:tcPr>
            <w:tcW w:w="20" w:type="dxa"/>
            <w:vAlign w:val="bottom"/>
          </w:tcPr>
          <w:p>
            <w:pPr>
              <w:spacing w:after="0"/>
              <w:rPr>
                <w:sz w:val="15"/>
                <w:szCs w:val="15"/>
                <w:color w:val="auto"/>
              </w:rPr>
            </w:pPr>
          </w:p>
        </w:tc>
        <w:tc>
          <w:tcPr>
            <w:tcW w:w="4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Health Care Technology - 0.45%*</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3,415</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2,594</w:t>
            </w: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4460" w:type="dxa"/>
            <w:vAlign w:val="bottom"/>
            <w:gridSpan w:val="2"/>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460" w:type="dxa"/>
            <w:vAlign w:val="bottom"/>
            <w:gridSpan w:val="2"/>
          </w:tcPr>
          <w:p>
            <w:pPr>
              <w:ind w:left="220"/>
              <w:spacing w:after="0"/>
              <w:rPr>
                <w:sz w:val="20"/>
                <w:szCs w:val="20"/>
                <w:color w:val="auto"/>
              </w:rPr>
            </w:pPr>
            <w:r>
              <w:rPr>
                <w:rFonts w:ascii="Arial" w:cs="Arial" w:eastAsia="Arial" w:hAnsi="Arial"/>
                <w:sz w:val="13"/>
                <w:szCs w:val="13"/>
                <w:b w:val="1"/>
                <w:bCs w:val="1"/>
                <w:color w:val="auto"/>
              </w:rPr>
              <w:t>Human Resource &amp; Employment Services</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0" w:type="dxa"/>
            <w:vAlign w:val="bottom"/>
            <w:shd w:val="clear" w:color="auto" w:fill="CFF0FC"/>
          </w:tcPr>
          <w:p>
            <w:pPr>
              <w:spacing w:after="0"/>
              <w:rPr>
                <w:sz w:val="15"/>
                <w:szCs w:val="15"/>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CloudPay,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B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6/30/2020</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6/30/2030</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11,273</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218</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920</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(3)(7)(12)</w:t>
            </w: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60" w:type="dxa"/>
            <w:vAlign w:val="bottom"/>
          </w:tcPr>
          <w:p>
            <w:pPr>
              <w:ind w:left="20"/>
              <w:spacing w:after="0"/>
              <w:rPr>
                <w:sz w:val="20"/>
                <w:szCs w:val="20"/>
                <w:color w:val="auto"/>
              </w:rPr>
            </w:pPr>
            <w:r>
              <w:rPr>
                <w:rFonts w:ascii="Arial" w:cs="Arial" w:eastAsia="Arial" w:hAnsi="Arial"/>
                <w:sz w:val="13"/>
                <w:szCs w:val="13"/>
                <w:color w:val="auto"/>
              </w:rPr>
              <w:t>Series D Preferred Stock</w:t>
            </w:r>
          </w:p>
        </w:tc>
        <w:tc>
          <w:tcPr>
            <w:tcW w:w="1080" w:type="dxa"/>
            <w:vAlign w:val="bottom"/>
          </w:tcPr>
          <w:p>
            <w:pPr>
              <w:jc w:val="center"/>
              <w:ind w:left="34"/>
              <w:spacing w:after="0"/>
              <w:rPr>
                <w:sz w:val="20"/>
                <w:szCs w:val="20"/>
                <w:color w:val="auto"/>
              </w:rPr>
            </w:pPr>
            <w:r>
              <w:rPr>
                <w:rFonts w:ascii="Arial" w:cs="Arial" w:eastAsia="Arial" w:hAnsi="Arial"/>
                <w:sz w:val="13"/>
                <w:szCs w:val="13"/>
                <w:color w:val="auto"/>
              </w:rPr>
              <w:t>8/17/2021</w:t>
            </w:r>
          </w:p>
        </w:tc>
        <w:tc>
          <w:tcPr>
            <w:tcW w:w="920" w:type="dxa"/>
            <w:vAlign w:val="bottom"/>
          </w:tcPr>
          <w:p>
            <w:pPr>
              <w:jc w:val="center"/>
              <w:spacing w:after="0"/>
              <w:rPr>
                <w:sz w:val="20"/>
                <w:szCs w:val="20"/>
                <w:color w:val="auto"/>
              </w:rPr>
            </w:pPr>
            <w:r>
              <w:rPr>
                <w:rFonts w:ascii="Arial" w:cs="Arial" w:eastAsia="Arial" w:hAnsi="Arial"/>
                <w:sz w:val="13"/>
                <w:szCs w:val="13"/>
                <w:color w:val="auto"/>
              </w:rPr>
              <w:t>8/17/2031</w:t>
            </w: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6,129</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160</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170</w:t>
            </w:r>
          </w:p>
        </w:tc>
        <w:tc>
          <w:tcPr>
            <w:tcW w:w="820" w:type="dxa"/>
            <w:vAlign w:val="bottom"/>
          </w:tcPr>
          <w:p>
            <w:pPr>
              <w:ind w:left="120"/>
              <w:spacing w:after="0"/>
              <w:rPr>
                <w:sz w:val="20"/>
                <w:szCs w:val="20"/>
                <w:color w:val="auto"/>
              </w:rPr>
            </w:pPr>
            <w:r>
              <w:rPr>
                <w:rFonts w:ascii="Arial" w:cs="Arial" w:eastAsia="Arial" w:hAnsi="Arial"/>
                <w:sz w:val="13"/>
                <w:szCs w:val="13"/>
                <w:color w:val="auto"/>
              </w:rPr>
              <w:t>(3)(7)(12)</w:t>
            </w:r>
          </w:p>
        </w:tc>
      </w:tr>
      <w:tr>
        <w:trPr>
          <w:trHeight w:val="185"/>
        </w:trPr>
        <w:tc>
          <w:tcPr>
            <w:tcW w:w="20" w:type="dxa"/>
            <w:vAlign w:val="bottom"/>
            <w:shd w:val="clear" w:color="auto" w:fill="CFF0FC"/>
          </w:tcPr>
          <w:p>
            <w:pPr>
              <w:spacing w:after="0"/>
              <w:rPr>
                <w:sz w:val="16"/>
                <w:szCs w:val="16"/>
                <w:color w:val="auto"/>
              </w:rPr>
            </w:pPr>
          </w:p>
        </w:tc>
        <w:tc>
          <w:tcPr>
            <w:tcW w:w="240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Snagajob.com, Inc.</w:t>
            </w:r>
          </w:p>
        </w:tc>
        <w:tc>
          <w:tcPr>
            <w:tcW w:w="20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B-1 Preferred Stock</w:t>
            </w:r>
          </w:p>
        </w:tc>
        <w:tc>
          <w:tcPr>
            <w:tcW w:w="10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9/29/2021</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9/29/2031</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763,269</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343</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220</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3"/>
        </w:trPr>
        <w:tc>
          <w:tcPr>
            <w:tcW w:w="20" w:type="dxa"/>
            <w:vAlign w:val="bottom"/>
          </w:tcPr>
          <w:p>
            <w:pPr>
              <w:spacing w:after="0"/>
              <w:rPr>
                <w:sz w:val="15"/>
                <w:szCs w:val="15"/>
                <w:color w:val="auto"/>
              </w:rPr>
            </w:pPr>
          </w:p>
        </w:tc>
        <w:tc>
          <w:tcPr>
            <w:tcW w:w="44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 Human Resource &amp; Employment Services - 0.23%*</w:t>
            </w: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721</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1,310</w:t>
            </w:r>
          </w:p>
        </w:tc>
        <w:tc>
          <w:tcPr>
            <w:tcW w:w="820" w:type="dxa"/>
            <w:vAlign w:val="bottom"/>
          </w:tcPr>
          <w:p>
            <w:pPr>
              <w:spacing w:after="0"/>
              <w:rPr>
                <w:sz w:val="15"/>
                <w:szCs w:val="15"/>
                <w:color w:val="auto"/>
              </w:rPr>
            </w:pPr>
          </w:p>
        </w:tc>
      </w:tr>
    </w:tbl>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0" w:name="page21"/>
    <w:bookmarkEnd w:id="20"/>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 Schedule of Investments – (continued)</w:t>
      </w:r>
    </w:p>
    <w:p>
      <w:pPr>
        <w:jc w:val="center"/>
        <w:ind w:right="-19"/>
        <w:spacing w:after="0" w:line="234" w:lineRule="auto"/>
        <w:rPr>
          <w:sz w:val="20"/>
          <w:szCs w:val="20"/>
          <w:color w:val="auto"/>
        </w:rPr>
      </w:pPr>
      <w:r>
        <w:rPr>
          <w:rFonts w:ascii="Arial" w:cs="Arial" w:eastAsia="Arial" w:hAnsi="Arial"/>
          <w:sz w:val="16"/>
          <w:szCs w:val="16"/>
          <w:b w:val="1"/>
          <w:bCs w:val="1"/>
          <w:color w:val="auto"/>
        </w:rPr>
        <w:t>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2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jc w:val="center"/>
              <w:ind w:left="154"/>
              <w:spacing w:after="0"/>
              <w:rPr>
                <w:sz w:val="20"/>
                <w:szCs w:val="20"/>
                <w:color w:val="auto"/>
              </w:rPr>
            </w:pPr>
            <w:r>
              <w:rPr>
                <w:rFonts w:ascii="Arial" w:cs="Arial" w:eastAsia="Arial" w:hAnsi="Arial"/>
                <w:sz w:val="13"/>
                <w:szCs w:val="13"/>
                <w:b w:val="1"/>
                <w:bCs w:val="1"/>
                <w:color w:val="auto"/>
                <w:w w:val="99"/>
              </w:rPr>
              <w:t>Initial</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5"/>
        </w:trPr>
        <w:tc>
          <w:tcPr>
            <w:tcW w:w="2420" w:type="dxa"/>
            <w:vAlign w:val="bottom"/>
          </w:tcPr>
          <w:p>
            <w:pPr>
              <w:spacing w:after="0"/>
              <w:rPr>
                <w:sz w:val="12"/>
                <w:szCs w:val="12"/>
                <w:color w:val="auto"/>
              </w:rPr>
            </w:pPr>
          </w:p>
        </w:tc>
        <w:tc>
          <w:tcPr>
            <w:tcW w:w="1940" w:type="dxa"/>
            <w:vAlign w:val="bottom"/>
            <w:gridSpan w:val="2"/>
          </w:tcPr>
          <w:p>
            <w:pPr>
              <w:ind w:left="680"/>
              <w:spacing w:after="0" w:line="146" w:lineRule="exact"/>
              <w:rPr>
                <w:sz w:val="20"/>
                <w:szCs w:val="20"/>
                <w:color w:val="auto"/>
              </w:rPr>
            </w:pPr>
            <w:r>
              <w:rPr>
                <w:rFonts w:ascii="Arial" w:cs="Arial" w:eastAsia="Arial" w:hAnsi="Arial"/>
                <w:sz w:val="13"/>
                <w:szCs w:val="13"/>
                <w:b w:val="1"/>
                <w:bCs w:val="1"/>
                <w:color w:val="auto"/>
              </w:rPr>
              <w:t>Investment</w:t>
            </w:r>
          </w:p>
        </w:tc>
        <w:tc>
          <w:tcPr>
            <w:tcW w:w="1200" w:type="dxa"/>
            <w:vAlign w:val="bottom"/>
          </w:tcPr>
          <w:p>
            <w:pPr>
              <w:jc w:val="center"/>
              <w:ind w:left="154"/>
              <w:spacing w:after="0" w:line="146" w:lineRule="exact"/>
              <w:rPr>
                <w:sz w:val="20"/>
                <w:szCs w:val="20"/>
                <w:color w:val="auto"/>
              </w:rPr>
            </w:pPr>
            <w:r>
              <w:rPr>
                <w:rFonts w:ascii="Arial" w:cs="Arial" w:eastAsia="Arial" w:hAnsi="Arial"/>
                <w:sz w:val="13"/>
                <w:szCs w:val="13"/>
                <w:b w:val="1"/>
                <w:bCs w:val="1"/>
                <w:color w:val="auto"/>
                <w:w w:val="98"/>
              </w:rPr>
              <w:t>Acquisition</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Maturity</w:t>
            </w:r>
          </w:p>
        </w:tc>
        <w:tc>
          <w:tcPr>
            <w:tcW w:w="11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Principal ($) /</w:t>
            </w:r>
          </w:p>
        </w:tc>
        <w:tc>
          <w:tcPr>
            <w:tcW w:w="1000" w:type="dxa"/>
            <w:vAlign w:val="bottom"/>
          </w:tcPr>
          <w:p>
            <w:pPr>
              <w:spacing w:after="0"/>
              <w:rPr>
                <w:sz w:val="12"/>
                <w:szCs w:val="12"/>
                <w:color w:val="auto"/>
              </w:rPr>
            </w:pPr>
          </w:p>
        </w:tc>
        <w:tc>
          <w:tcPr>
            <w:tcW w:w="1080" w:type="dxa"/>
            <w:vAlign w:val="bottom"/>
          </w:tcPr>
          <w:p>
            <w:pPr>
              <w:jc w:val="right"/>
              <w:ind w:right="374"/>
              <w:spacing w:after="0" w:line="146" w:lineRule="exact"/>
              <w:rPr>
                <w:sz w:val="20"/>
                <w:szCs w:val="20"/>
                <w:color w:val="auto"/>
              </w:rPr>
            </w:pPr>
            <w:r>
              <w:rPr>
                <w:rFonts w:ascii="Arial" w:cs="Arial" w:eastAsia="Arial" w:hAnsi="Arial"/>
                <w:sz w:val="13"/>
                <w:szCs w:val="13"/>
                <w:b w:val="1"/>
                <w:bCs w:val="1"/>
                <w:color w:val="auto"/>
              </w:rPr>
              <w:t>Fair</w:t>
            </w:r>
          </w:p>
        </w:tc>
        <w:tc>
          <w:tcPr>
            <w:tcW w:w="820" w:type="dxa"/>
            <w:vAlign w:val="bottom"/>
          </w:tcPr>
          <w:p>
            <w:pPr>
              <w:spacing w:after="0"/>
              <w:rPr>
                <w:sz w:val="12"/>
                <w:szCs w:val="12"/>
                <w:color w:val="auto"/>
              </w:rPr>
            </w:pPr>
          </w:p>
        </w:tc>
      </w:tr>
      <w:tr>
        <w:trPr>
          <w:trHeight w:val="194"/>
        </w:trPr>
        <w:tc>
          <w:tcPr>
            <w:tcW w:w="2420" w:type="dxa"/>
            <w:vAlign w:val="bottom"/>
          </w:tcPr>
          <w:p>
            <w:pPr>
              <w:ind w:left="20"/>
              <w:spacing w:after="0"/>
              <w:rPr>
                <w:sz w:val="20"/>
                <w:szCs w:val="20"/>
                <w:color w:val="auto"/>
              </w:rPr>
            </w:pPr>
            <w:r>
              <w:rPr>
                <w:rFonts w:ascii="Arial" w:cs="Arial" w:eastAsia="Arial" w:hAnsi="Arial"/>
                <w:sz w:val="13"/>
                <w:szCs w:val="13"/>
                <w:b w:val="1"/>
                <w:bCs w:val="1"/>
                <w:color w:val="auto"/>
              </w:rPr>
              <w:t>Portfolio Company</w:t>
            </w:r>
          </w:p>
        </w:tc>
        <w:tc>
          <w:tcPr>
            <w:tcW w:w="1940" w:type="dxa"/>
            <w:vAlign w:val="bottom"/>
            <w:gridSpan w:val="2"/>
          </w:tcPr>
          <w:p>
            <w:pPr>
              <w:ind w:left="520"/>
              <w:spacing w:after="0"/>
              <w:rPr>
                <w:sz w:val="20"/>
                <w:szCs w:val="20"/>
                <w:color w:val="auto"/>
              </w:rPr>
            </w:pPr>
            <w:r>
              <w:rPr>
                <w:rFonts w:ascii="Arial" w:cs="Arial" w:eastAsia="Arial" w:hAnsi="Arial"/>
                <w:sz w:val="13"/>
                <w:szCs w:val="13"/>
                <w:b w:val="1"/>
                <w:bCs w:val="1"/>
                <w:color w:val="auto"/>
              </w:rPr>
              <w:t>Description</w:t>
            </w:r>
            <w:r>
              <w:rPr>
                <w:rFonts w:ascii="Arial" w:cs="Arial" w:eastAsia="Arial" w:hAnsi="Arial"/>
                <w:sz w:val="16"/>
                <w:szCs w:val="16"/>
                <w:b w:val="1"/>
                <w:bCs w:val="1"/>
                <w:color w:val="auto"/>
                <w:vertAlign w:val="superscript"/>
              </w:rPr>
              <w:t>(1),(5),(9)</w:t>
            </w:r>
          </w:p>
        </w:tc>
        <w:tc>
          <w:tcPr>
            <w:tcW w:w="1200" w:type="dxa"/>
            <w:vAlign w:val="bottom"/>
          </w:tcPr>
          <w:p>
            <w:pPr>
              <w:jc w:val="center"/>
              <w:ind w:left="154"/>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180" w:type="dxa"/>
            <w:vAlign w:val="bottom"/>
          </w:tcPr>
          <w:p>
            <w:pPr>
              <w:jc w:val="right"/>
              <w:ind w:right="374"/>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234"/>
              <w:spacing w:after="0"/>
              <w:rPr>
                <w:sz w:val="20"/>
                <w:szCs w:val="20"/>
                <w:color w:val="auto"/>
              </w:rPr>
            </w:pPr>
            <w:r>
              <w:rPr>
                <w:rFonts w:ascii="Arial" w:cs="Arial" w:eastAsia="Arial" w:hAnsi="Arial"/>
                <w:sz w:val="13"/>
                <w:szCs w:val="13"/>
                <w:b w:val="1"/>
                <w:bCs w:val="1"/>
                <w:color w:val="auto"/>
              </w:rPr>
              <w:t>Cost ($)</w:t>
            </w:r>
          </w:p>
        </w:tc>
        <w:tc>
          <w:tcPr>
            <w:tcW w:w="1080" w:type="dxa"/>
            <w:vAlign w:val="bottom"/>
          </w:tcPr>
          <w:p>
            <w:pPr>
              <w:jc w:val="right"/>
              <w:ind w:right="74"/>
              <w:spacing w:after="0"/>
              <w:rPr>
                <w:sz w:val="20"/>
                <w:szCs w:val="20"/>
                <w:color w:val="auto"/>
              </w:rPr>
            </w:pPr>
            <w:r>
              <w:rPr>
                <w:rFonts w:ascii="Arial" w:cs="Arial" w:eastAsia="Arial" w:hAnsi="Arial"/>
                <w:sz w:val="13"/>
                <w:szCs w:val="13"/>
                <w:b w:val="1"/>
                <w:bCs w:val="1"/>
                <w:color w:val="auto"/>
              </w:rPr>
              <w:t xml:space="preserve">Value ($) </w:t>
            </w:r>
            <w:r>
              <w:rPr>
                <w:rFonts w:ascii="Arial" w:cs="Arial" w:eastAsia="Arial" w:hAnsi="Arial"/>
                <w:sz w:val="16"/>
                <w:szCs w:val="16"/>
                <w:b w:val="1"/>
                <w:bCs w:val="1"/>
                <w:color w:val="auto"/>
                <w:vertAlign w:val="superscript"/>
              </w:rPr>
              <w:t>(2),(6)</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2420" w:type="dxa"/>
            <w:vAlign w:val="bottom"/>
            <w:tcBorders>
              <w:left w:val="single" w:sz="8" w:color="CFF0FC"/>
            </w:tcBorders>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Non-Control/Non-Affiliate Investments</w:t>
            </w: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0"/>
        </w:trPr>
        <w:tc>
          <w:tcPr>
            <w:tcW w:w="242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Warrants</w:t>
            </w:r>
          </w:p>
        </w:tc>
        <w:tc>
          <w:tcPr>
            <w:tcW w:w="104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1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0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b w:val="1"/>
                <w:bCs w:val="1"/>
                <w:color w:val="auto"/>
              </w:rPr>
              <w:t>Internet &amp; Direct Marketing Retail</w:t>
            </w:r>
          </w:p>
        </w:tc>
        <w:tc>
          <w:tcPr>
            <w:tcW w:w="10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420" w:type="dxa"/>
            <w:vAlign w:val="bottom"/>
          </w:tcPr>
          <w:p>
            <w:pPr>
              <w:ind w:left="240"/>
              <w:spacing w:after="0"/>
              <w:rPr>
                <w:sz w:val="20"/>
                <w:szCs w:val="20"/>
                <w:color w:val="auto"/>
              </w:rPr>
            </w:pPr>
            <w:r>
              <w:rPr>
                <w:rFonts w:ascii="Arial" w:cs="Arial" w:eastAsia="Arial" w:hAnsi="Arial"/>
                <w:sz w:val="13"/>
                <w:szCs w:val="13"/>
                <w:color w:val="auto"/>
              </w:rPr>
              <w:t>Madison Reed, Inc.</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Success fee</w:t>
            </w:r>
          </w:p>
        </w:tc>
        <w:tc>
          <w:tcPr>
            <w:tcW w:w="1200" w:type="dxa"/>
            <w:vAlign w:val="bottom"/>
          </w:tcPr>
          <w:p>
            <w:pPr>
              <w:jc w:val="center"/>
              <w:ind w:left="154"/>
              <w:spacing w:after="0"/>
              <w:rPr>
                <w:sz w:val="20"/>
                <w:szCs w:val="20"/>
                <w:color w:val="auto"/>
              </w:rPr>
            </w:pPr>
            <w:r>
              <w:rPr>
                <w:rFonts w:ascii="Arial" w:cs="Arial" w:eastAsia="Arial" w:hAnsi="Arial"/>
                <w:sz w:val="13"/>
                <w:szCs w:val="13"/>
                <w:color w:val="auto"/>
              </w:rPr>
              <w:t>12/16/2022</w:t>
            </w:r>
          </w:p>
        </w:tc>
        <w:tc>
          <w:tcPr>
            <w:tcW w:w="920" w:type="dxa"/>
            <w:vAlign w:val="bottom"/>
          </w:tcPr>
          <w:p>
            <w:pPr>
              <w:jc w:val="center"/>
              <w:spacing w:after="0"/>
              <w:rPr>
                <w:sz w:val="20"/>
                <w:szCs w:val="20"/>
                <w:color w:val="auto"/>
              </w:rPr>
            </w:pPr>
            <w:r>
              <w:rPr>
                <w:rFonts w:ascii="Arial" w:cs="Arial" w:eastAsia="Arial" w:hAnsi="Arial"/>
                <w:sz w:val="13"/>
                <w:szCs w:val="13"/>
                <w:color w:val="auto"/>
              </w:rPr>
              <w:t>N/A</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132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133</w:t>
            </w:r>
          </w:p>
        </w:tc>
        <w:tc>
          <w:tcPr>
            <w:tcW w:w="820" w:type="dxa"/>
            <w:vAlign w:val="bottom"/>
          </w:tcPr>
          <w:p>
            <w:pPr>
              <w:ind w:left="120"/>
              <w:spacing w:after="0"/>
              <w:rPr>
                <w:sz w:val="20"/>
                <w:szCs w:val="20"/>
                <w:color w:val="auto"/>
              </w:rPr>
            </w:pPr>
            <w:r>
              <w:rPr>
                <w:rFonts w:ascii="Arial" w:cs="Arial" w:eastAsia="Arial" w:hAnsi="Arial"/>
                <w:sz w:val="13"/>
                <w:szCs w:val="13"/>
                <w:color w:val="auto"/>
              </w:rPr>
              <w:t>(7)(13)</w:t>
            </w:r>
          </w:p>
        </w:tc>
      </w:tr>
      <w:tr>
        <w:trPr>
          <w:trHeight w:val="185"/>
        </w:trPr>
        <w:tc>
          <w:tcPr>
            <w:tcW w:w="4360" w:type="dxa"/>
            <w:vAlign w:val="bottom"/>
            <w:tcBorders>
              <w:left w:val="single" w:sz="8" w:color="CFF0FC"/>
            </w:tcBorders>
            <w:gridSpan w:val="3"/>
            <w:shd w:val="clear" w:color="auto" w:fill="CFF0FC"/>
          </w:tcPr>
          <w:p>
            <w:pPr>
              <w:ind w:left="240"/>
              <w:spacing w:after="0"/>
              <w:rPr>
                <w:sz w:val="20"/>
                <w:szCs w:val="20"/>
                <w:color w:val="auto"/>
              </w:rPr>
            </w:pPr>
            <w:r>
              <w:rPr>
                <w:rFonts w:ascii="Arial" w:cs="Arial" w:eastAsia="Arial" w:hAnsi="Arial"/>
                <w:sz w:val="13"/>
                <w:szCs w:val="13"/>
                <w:b w:val="1"/>
                <w:bCs w:val="1"/>
                <w:color w:val="auto"/>
              </w:rPr>
              <w:t>Total Internet &amp; Direct Marketing Retail - 0.02%*</w:t>
            </w:r>
          </w:p>
        </w:tc>
        <w:tc>
          <w:tcPr>
            <w:tcW w:w="1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132</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133</w:t>
            </w:r>
          </w:p>
        </w:tc>
        <w:tc>
          <w:tcPr>
            <w:tcW w:w="820" w:type="dxa"/>
            <w:vAlign w:val="bottom"/>
            <w:shd w:val="clear" w:color="auto" w:fill="CFF0FC"/>
          </w:tcPr>
          <w:p>
            <w:pPr>
              <w:spacing w:after="0"/>
              <w:rPr>
                <w:sz w:val="16"/>
                <w:szCs w:val="16"/>
                <w:color w:val="auto"/>
              </w:rPr>
            </w:pPr>
          </w:p>
        </w:tc>
      </w:tr>
      <w:tr>
        <w:trPr>
          <w:trHeight w:val="180"/>
        </w:trPr>
        <w:tc>
          <w:tcPr>
            <w:tcW w:w="2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b w:val="1"/>
                <w:bCs w:val="1"/>
                <w:color w:val="auto"/>
              </w:rPr>
              <w:t>Internet Software and Services</w:t>
            </w:r>
          </w:p>
        </w:tc>
        <w:tc>
          <w:tcPr>
            <w:tcW w:w="10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420" w:type="dxa"/>
            <w:vAlign w:val="bottom"/>
          </w:tcPr>
          <w:p>
            <w:pPr>
              <w:ind w:left="240"/>
              <w:spacing w:after="0"/>
              <w:rPr>
                <w:sz w:val="20"/>
                <w:szCs w:val="20"/>
                <w:color w:val="auto"/>
              </w:rPr>
            </w:pPr>
            <w:r>
              <w:rPr>
                <w:rFonts w:ascii="Arial" w:cs="Arial" w:eastAsia="Arial" w:hAnsi="Arial"/>
                <w:sz w:val="13"/>
                <w:szCs w:val="13"/>
                <w:color w:val="auto"/>
              </w:rPr>
              <w:t>Bombora, Inc.</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tcPr>
          <w:p>
            <w:pPr>
              <w:jc w:val="center"/>
              <w:ind w:left="154"/>
              <w:spacing w:after="0"/>
              <w:rPr>
                <w:sz w:val="20"/>
                <w:szCs w:val="20"/>
                <w:color w:val="auto"/>
              </w:rPr>
            </w:pPr>
            <w:r>
              <w:rPr>
                <w:rFonts w:ascii="Arial" w:cs="Arial" w:eastAsia="Arial" w:hAnsi="Arial"/>
                <w:sz w:val="13"/>
                <w:szCs w:val="13"/>
                <w:color w:val="auto"/>
              </w:rPr>
              <w:t>3/31/2021</w:t>
            </w:r>
          </w:p>
        </w:tc>
        <w:tc>
          <w:tcPr>
            <w:tcW w:w="920" w:type="dxa"/>
            <w:vAlign w:val="bottom"/>
          </w:tcPr>
          <w:p>
            <w:pPr>
              <w:jc w:val="center"/>
              <w:spacing w:after="0"/>
              <w:rPr>
                <w:sz w:val="20"/>
                <w:szCs w:val="20"/>
                <w:color w:val="auto"/>
              </w:rPr>
            </w:pPr>
            <w:r>
              <w:rPr>
                <w:rFonts w:ascii="Arial" w:cs="Arial" w:eastAsia="Arial" w:hAnsi="Arial"/>
                <w:sz w:val="13"/>
                <w:szCs w:val="13"/>
                <w:color w:val="auto"/>
              </w:rPr>
              <w:t>3/31/2031</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121,581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175</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248</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Fidelis Cybersecurity, Inc.</w:t>
            </w: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3/25/2022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3/25/2032</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79</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100</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(7)(16)</w:t>
            </w:r>
          </w:p>
        </w:tc>
      </w:tr>
      <w:tr>
        <w:trPr>
          <w:trHeight w:val="175"/>
        </w:trPr>
        <w:tc>
          <w:tcPr>
            <w:tcW w:w="2420" w:type="dxa"/>
            <w:vAlign w:val="bottom"/>
          </w:tcPr>
          <w:p>
            <w:pPr>
              <w:ind w:left="240"/>
              <w:spacing w:after="0"/>
              <w:rPr>
                <w:sz w:val="20"/>
                <w:szCs w:val="20"/>
                <w:color w:val="auto"/>
              </w:rPr>
            </w:pPr>
            <w:r>
              <w:rPr>
                <w:rFonts w:ascii="Arial" w:cs="Arial" w:eastAsia="Arial" w:hAnsi="Arial"/>
                <w:sz w:val="13"/>
                <w:szCs w:val="13"/>
                <w:color w:val="auto"/>
              </w:rPr>
              <w:t>INRIX, Inc.</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tcPr>
          <w:p>
            <w:pPr>
              <w:jc w:val="center"/>
              <w:ind w:left="154"/>
              <w:spacing w:after="0"/>
              <w:rPr>
                <w:sz w:val="20"/>
                <w:szCs w:val="20"/>
                <w:color w:val="auto"/>
              </w:rPr>
            </w:pPr>
            <w:r>
              <w:rPr>
                <w:rFonts w:ascii="Arial" w:cs="Arial" w:eastAsia="Arial" w:hAnsi="Arial"/>
                <w:sz w:val="13"/>
                <w:szCs w:val="13"/>
                <w:color w:val="auto"/>
              </w:rPr>
              <w:t>7/26/2019</w:t>
            </w:r>
          </w:p>
        </w:tc>
        <w:tc>
          <w:tcPr>
            <w:tcW w:w="920" w:type="dxa"/>
            <w:vAlign w:val="bottom"/>
          </w:tcPr>
          <w:p>
            <w:pPr>
              <w:jc w:val="center"/>
              <w:spacing w:after="0"/>
              <w:rPr>
                <w:sz w:val="20"/>
                <w:szCs w:val="20"/>
                <w:color w:val="auto"/>
              </w:rPr>
            </w:pPr>
            <w:r>
              <w:rPr>
                <w:rFonts w:ascii="Arial" w:cs="Arial" w:eastAsia="Arial" w:hAnsi="Arial"/>
                <w:sz w:val="13"/>
                <w:szCs w:val="13"/>
                <w:color w:val="auto"/>
              </w:rPr>
              <w:t>7/26/2029</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150,804</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522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2,198</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66"/>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Longtail Ad Solutions, Inc. (dba JW</w:t>
            </w: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12/12/2019</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12/12/2029</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387,596</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47</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345</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6"/>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Player)</w:t>
            </w:r>
          </w:p>
        </w:tc>
        <w:tc>
          <w:tcPr>
            <w:tcW w:w="10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420" w:type="dxa"/>
            <w:vAlign w:val="bottom"/>
          </w:tcPr>
          <w:p>
            <w:pPr>
              <w:ind w:left="240"/>
              <w:spacing w:after="0"/>
              <w:rPr>
                <w:sz w:val="20"/>
                <w:szCs w:val="20"/>
                <w:color w:val="auto"/>
              </w:rPr>
            </w:pPr>
            <w:r>
              <w:rPr>
                <w:rFonts w:ascii="Arial" w:cs="Arial" w:eastAsia="Arial" w:hAnsi="Arial"/>
                <w:sz w:val="13"/>
                <w:szCs w:val="13"/>
                <w:color w:val="auto"/>
              </w:rPr>
              <w:t>Skillshare, Inc.</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Success fee</w:t>
            </w:r>
          </w:p>
        </w:tc>
        <w:tc>
          <w:tcPr>
            <w:tcW w:w="1200" w:type="dxa"/>
            <w:vAlign w:val="bottom"/>
          </w:tcPr>
          <w:p>
            <w:pPr>
              <w:jc w:val="center"/>
              <w:ind w:left="154"/>
              <w:spacing w:after="0"/>
              <w:rPr>
                <w:sz w:val="20"/>
                <w:szCs w:val="20"/>
                <w:color w:val="auto"/>
              </w:rPr>
            </w:pPr>
            <w:r>
              <w:rPr>
                <w:rFonts w:ascii="Arial" w:cs="Arial" w:eastAsia="Arial" w:hAnsi="Arial"/>
                <w:sz w:val="13"/>
                <w:szCs w:val="13"/>
                <w:color w:val="auto"/>
              </w:rPr>
              <w:t>11/8/2022</w:t>
            </w:r>
          </w:p>
        </w:tc>
        <w:tc>
          <w:tcPr>
            <w:tcW w:w="920" w:type="dxa"/>
            <w:vAlign w:val="bottom"/>
          </w:tcPr>
          <w:p>
            <w:pPr>
              <w:jc w:val="center"/>
              <w:spacing w:after="0"/>
              <w:rPr>
                <w:sz w:val="20"/>
                <w:szCs w:val="20"/>
                <w:color w:val="auto"/>
              </w:rPr>
            </w:pPr>
            <w:r>
              <w:rPr>
                <w:rFonts w:ascii="Arial" w:cs="Arial" w:eastAsia="Arial" w:hAnsi="Arial"/>
                <w:sz w:val="13"/>
                <w:szCs w:val="13"/>
                <w:color w:val="auto"/>
              </w:rPr>
              <w:t>11/8/2026</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243</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225</w:t>
            </w:r>
          </w:p>
        </w:tc>
        <w:tc>
          <w:tcPr>
            <w:tcW w:w="820" w:type="dxa"/>
            <w:vAlign w:val="bottom"/>
          </w:tcPr>
          <w:p>
            <w:pPr>
              <w:ind w:left="120"/>
              <w:spacing w:after="0"/>
              <w:rPr>
                <w:sz w:val="20"/>
                <w:szCs w:val="20"/>
                <w:color w:val="auto"/>
              </w:rPr>
            </w:pPr>
            <w:r>
              <w:rPr>
                <w:rFonts w:ascii="Arial" w:cs="Arial" w:eastAsia="Arial" w:hAnsi="Arial"/>
                <w:sz w:val="13"/>
                <w:szCs w:val="13"/>
                <w:color w:val="auto"/>
              </w:rPr>
              <w:t>(7)(13)</w:t>
            </w:r>
          </w:p>
        </w:tc>
      </w:tr>
      <w:tr>
        <w:trPr>
          <w:trHeight w:val="185"/>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Synack, Inc.</w:t>
            </w: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6/30/2022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6/30/2032</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100,645</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127</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129</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4360" w:type="dxa"/>
            <w:vAlign w:val="bottom"/>
            <w:gridSpan w:val="3"/>
          </w:tcPr>
          <w:p>
            <w:pPr>
              <w:ind w:left="240"/>
              <w:spacing w:after="0"/>
              <w:rPr>
                <w:sz w:val="20"/>
                <w:szCs w:val="20"/>
                <w:color w:val="auto"/>
              </w:rPr>
            </w:pPr>
            <w:r>
              <w:rPr>
                <w:rFonts w:ascii="Arial" w:cs="Arial" w:eastAsia="Arial" w:hAnsi="Arial"/>
                <w:sz w:val="13"/>
                <w:szCs w:val="13"/>
                <w:b w:val="1"/>
                <w:bCs w:val="1"/>
                <w:color w:val="auto"/>
              </w:rPr>
              <w:t>Total Internet Software and Services - 0.56%*</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1,193</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3,245</w:t>
            </w: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420" w:type="dxa"/>
            <w:vAlign w:val="bottom"/>
          </w:tcPr>
          <w:p>
            <w:pPr>
              <w:ind w:left="240"/>
              <w:spacing w:after="0"/>
              <w:rPr>
                <w:sz w:val="20"/>
                <w:szCs w:val="20"/>
                <w:color w:val="auto"/>
              </w:rPr>
            </w:pPr>
            <w:r>
              <w:rPr>
                <w:rFonts w:ascii="Arial" w:cs="Arial" w:eastAsia="Arial" w:hAnsi="Arial"/>
                <w:sz w:val="13"/>
                <w:szCs w:val="13"/>
                <w:b w:val="1"/>
                <w:bCs w:val="1"/>
                <w:color w:val="auto"/>
              </w:rPr>
              <w:t>Property &amp; Casualty Insurance</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Kin Insurance, Inc.</w:t>
            </w: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Series D-3 Preferred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9/26/2022</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9/26/2032</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41,576</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302</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297</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4360" w:type="dxa"/>
            <w:vAlign w:val="bottom"/>
            <w:gridSpan w:val="3"/>
          </w:tcPr>
          <w:p>
            <w:pPr>
              <w:ind w:left="240"/>
              <w:spacing w:after="0"/>
              <w:rPr>
                <w:sz w:val="20"/>
                <w:szCs w:val="20"/>
                <w:color w:val="auto"/>
              </w:rPr>
            </w:pPr>
            <w:r>
              <w:rPr>
                <w:rFonts w:ascii="Arial" w:cs="Arial" w:eastAsia="Arial" w:hAnsi="Arial"/>
                <w:sz w:val="13"/>
                <w:szCs w:val="13"/>
                <w:b w:val="1"/>
                <w:bCs w:val="1"/>
                <w:color w:val="auto"/>
              </w:rPr>
              <w:t>Total Property &amp; Casualty Insurance - 0.05%*</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302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297</w:t>
            </w: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420" w:type="dxa"/>
            <w:vAlign w:val="bottom"/>
          </w:tcPr>
          <w:p>
            <w:pPr>
              <w:ind w:left="240"/>
              <w:spacing w:after="0"/>
              <w:rPr>
                <w:sz w:val="20"/>
                <w:szCs w:val="20"/>
                <w:color w:val="auto"/>
              </w:rPr>
            </w:pPr>
            <w:r>
              <w:rPr>
                <w:rFonts w:ascii="Arial" w:cs="Arial" w:eastAsia="Arial" w:hAnsi="Arial"/>
                <w:sz w:val="13"/>
                <w:szCs w:val="13"/>
                <w:b w:val="1"/>
                <w:bCs w:val="1"/>
                <w:color w:val="auto"/>
              </w:rPr>
              <w:t>Specialized Consumer Services</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AllClear ID, Inc.</w:t>
            </w: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w w:val="98"/>
              </w:rPr>
              <w:t>9/1/2017</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9/1/2027</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870,514</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1,750</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420" w:type="dxa"/>
            <w:vAlign w:val="bottom"/>
          </w:tcPr>
          <w:p>
            <w:pPr>
              <w:ind w:left="240"/>
              <w:spacing w:after="0"/>
              <w:rPr>
                <w:sz w:val="20"/>
                <w:szCs w:val="20"/>
                <w:color w:val="auto"/>
              </w:rPr>
            </w:pPr>
            <w:r>
              <w:rPr>
                <w:rFonts w:ascii="Arial" w:cs="Arial" w:eastAsia="Arial" w:hAnsi="Arial"/>
                <w:sz w:val="13"/>
                <w:szCs w:val="13"/>
                <w:color w:val="auto"/>
              </w:rPr>
              <w:t>Credit Sesame, Inc.</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tcPr>
          <w:p>
            <w:pPr>
              <w:jc w:val="center"/>
              <w:ind w:left="154"/>
              <w:spacing w:after="0"/>
              <w:rPr>
                <w:sz w:val="20"/>
                <w:szCs w:val="20"/>
                <w:color w:val="auto"/>
              </w:rPr>
            </w:pPr>
            <w:r>
              <w:rPr>
                <w:rFonts w:ascii="Arial" w:cs="Arial" w:eastAsia="Arial" w:hAnsi="Arial"/>
                <w:sz w:val="13"/>
                <w:szCs w:val="13"/>
                <w:color w:val="auto"/>
                <w:w w:val="98"/>
              </w:rPr>
              <w:t>1/7/2020</w:t>
            </w:r>
          </w:p>
        </w:tc>
        <w:tc>
          <w:tcPr>
            <w:tcW w:w="920" w:type="dxa"/>
            <w:vAlign w:val="bottom"/>
          </w:tcPr>
          <w:p>
            <w:pPr>
              <w:jc w:val="center"/>
              <w:spacing w:after="0"/>
              <w:rPr>
                <w:sz w:val="20"/>
                <w:szCs w:val="20"/>
                <w:color w:val="auto"/>
              </w:rPr>
            </w:pPr>
            <w:r>
              <w:rPr>
                <w:rFonts w:ascii="Arial" w:cs="Arial" w:eastAsia="Arial" w:hAnsi="Arial"/>
                <w:sz w:val="13"/>
                <w:szCs w:val="13"/>
                <w:color w:val="auto"/>
              </w:rPr>
              <w:t>1/7/2030</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191,601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425</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796</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4360" w:type="dxa"/>
            <w:vAlign w:val="bottom"/>
            <w:tcBorders>
              <w:left w:val="single" w:sz="8" w:color="CFF0FC"/>
            </w:tcBorders>
            <w:gridSpan w:val="3"/>
            <w:shd w:val="clear" w:color="auto" w:fill="CFF0FC"/>
          </w:tcPr>
          <w:p>
            <w:pPr>
              <w:ind w:left="240"/>
              <w:spacing w:after="0"/>
              <w:rPr>
                <w:sz w:val="20"/>
                <w:szCs w:val="20"/>
                <w:color w:val="auto"/>
              </w:rPr>
            </w:pPr>
            <w:r>
              <w:rPr>
                <w:rFonts w:ascii="Arial" w:cs="Arial" w:eastAsia="Arial" w:hAnsi="Arial"/>
                <w:sz w:val="13"/>
                <w:szCs w:val="13"/>
                <w:b w:val="1"/>
                <w:bCs w:val="1"/>
                <w:color w:val="auto"/>
              </w:rPr>
              <w:t>Total Specialized Consumer Services - 0.14%*</w:t>
            </w:r>
          </w:p>
        </w:tc>
        <w:tc>
          <w:tcPr>
            <w:tcW w:w="1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2,175</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796</w:t>
            </w:r>
          </w:p>
        </w:tc>
        <w:tc>
          <w:tcPr>
            <w:tcW w:w="820" w:type="dxa"/>
            <w:vAlign w:val="bottom"/>
            <w:shd w:val="clear" w:color="auto" w:fill="CFF0FC"/>
          </w:tcPr>
          <w:p>
            <w:pPr>
              <w:spacing w:after="0"/>
              <w:rPr>
                <w:sz w:val="16"/>
                <w:szCs w:val="16"/>
                <w:color w:val="auto"/>
              </w:rPr>
            </w:pPr>
          </w:p>
        </w:tc>
      </w:tr>
      <w:tr>
        <w:trPr>
          <w:trHeight w:val="180"/>
        </w:trPr>
        <w:tc>
          <w:tcPr>
            <w:tcW w:w="2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b w:val="1"/>
                <w:bCs w:val="1"/>
                <w:color w:val="auto"/>
              </w:rPr>
              <w:t>System Software</w:t>
            </w:r>
          </w:p>
        </w:tc>
        <w:tc>
          <w:tcPr>
            <w:tcW w:w="10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2420" w:type="dxa"/>
            <w:vAlign w:val="bottom"/>
          </w:tcPr>
          <w:p>
            <w:pPr>
              <w:ind w:left="240"/>
              <w:spacing w:after="0"/>
              <w:rPr>
                <w:sz w:val="20"/>
                <w:szCs w:val="20"/>
                <w:color w:val="auto"/>
              </w:rPr>
            </w:pPr>
            <w:r>
              <w:rPr>
                <w:rFonts w:ascii="Arial" w:cs="Arial" w:eastAsia="Arial" w:hAnsi="Arial"/>
                <w:sz w:val="13"/>
                <w:szCs w:val="13"/>
                <w:color w:val="auto"/>
              </w:rPr>
              <w:t>Dejero Labs Inc.</w:t>
            </w: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tcPr>
          <w:p>
            <w:pPr>
              <w:jc w:val="center"/>
              <w:ind w:left="154"/>
              <w:spacing w:after="0"/>
              <w:rPr>
                <w:sz w:val="20"/>
                <w:szCs w:val="20"/>
                <w:color w:val="auto"/>
              </w:rPr>
            </w:pPr>
            <w:r>
              <w:rPr>
                <w:rFonts w:ascii="Arial" w:cs="Arial" w:eastAsia="Arial" w:hAnsi="Arial"/>
                <w:sz w:val="13"/>
                <w:szCs w:val="13"/>
                <w:color w:val="auto"/>
              </w:rPr>
              <w:t>5/31/2019</w:t>
            </w:r>
          </w:p>
        </w:tc>
        <w:tc>
          <w:tcPr>
            <w:tcW w:w="920" w:type="dxa"/>
            <w:vAlign w:val="bottom"/>
          </w:tcPr>
          <w:p>
            <w:pPr>
              <w:jc w:val="center"/>
              <w:spacing w:after="0"/>
              <w:rPr>
                <w:sz w:val="20"/>
                <w:szCs w:val="20"/>
                <w:color w:val="auto"/>
              </w:rPr>
            </w:pPr>
            <w:r>
              <w:rPr>
                <w:rFonts w:ascii="Arial" w:cs="Arial" w:eastAsia="Arial" w:hAnsi="Arial"/>
                <w:sz w:val="13"/>
                <w:szCs w:val="13"/>
                <w:color w:val="auto"/>
              </w:rPr>
              <w:t>5/31/2029</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333,621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192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191</w:t>
            </w:r>
          </w:p>
        </w:tc>
        <w:tc>
          <w:tcPr>
            <w:tcW w:w="820" w:type="dxa"/>
            <w:vAlign w:val="bottom"/>
          </w:tcPr>
          <w:p>
            <w:pPr>
              <w:ind w:left="120"/>
              <w:spacing w:after="0"/>
              <w:rPr>
                <w:sz w:val="20"/>
                <w:szCs w:val="20"/>
                <w:color w:val="auto"/>
              </w:rPr>
            </w:pPr>
            <w:r>
              <w:rPr>
                <w:rFonts w:ascii="Arial" w:cs="Arial" w:eastAsia="Arial" w:hAnsi="Arial"/>
                <w:sz w:val="13"/>
                <w:szCs w:val="13"/>
                <w:color w:val="auto"/>
              </w:rPr>
              <w:t>(3)(7)(10)</w:t>
            </w:r>
          </w:p>
        </w:tc>
      </w:tr>
      <w:tr>
        <w:trPr>
          <w:trHeight w:val="185"/>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Scale Computing, Inc.</w:t>
            </w: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3/29/2019</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3/29/2029</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9,665,667</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346</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2420" w:type="dxa"/>
            <w:vAlign w:val="bottom"/>
          </w:tcPr>
          <w:p>
            <w:pPr>
              <w:ind w:left="240"/>
              <w:spacing w:after="0"/>
              <w:rPr>
                <w:sz w:val="20"/>
                <w:szCs w:val="20"/>
                <w:color w:val="auto"/>
              </w:rPr>
            </w:pPr>
            <w:r>
              <w:rPr>
                <w:rFonts w:ascii="Arial" w:cs="Arial" w:eastAsia="Arial" w:hAnsi="Arial"/>
                <w:sz w:val="13"/>
                <w:szCs w:val="13"/>
                <w:b w:val="1"/>
                <w:bCs w:val="1"/>
                <w:color w:val="auto"/>
              </w:rPr>
              <w:t>Total System Software - 0.03%*</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538</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191</w:t>
            </w:r>
          </w:p>
        </w:tc>
        <w:tc>
          <w:tcPr>
            <w:tcW w:w="820" w:type="dxa"/>
            <w:vAlign w:val="bottom"/>
          </w:tcPr>
          <w:p>
            <w:pPr>
              <w:spacing w:after="0"/>
              <w:rPr>
                <w:sz w:val="15"/>
                <w:szCs w:val="15"/>
                <w:color w:val="auto"/>
              </w:rPr>
            </w:pPr>
          </w:p>
        </w:tc>
      </w:tr>
      <w:tr>
        <w:trPr>
          <w:trHeight w:val="180"/>
        </w:trPr>
        <w:tc>
          <w:tcPr>
            <w:tcW w:w="3460" w:type="dxa"/>
            <w:vAlign w:val="bottom"/>
            <w:tcBorders>
              <w:left w:val="single" w:sz="8" w:color="CFF0FC"/>
            </w:tcBorders>
            <w:gridSpan w:val="2"/>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4360" w:type="dxa"/>
            <w:vAlign w:val="bottom"/>
            <w:gridSpan w:val="3"/>
          </w:tcPr>
          <w:p>
            <w:pPr>
              <w:ind w:left="240"/>
              <w:spacing w:after="0"/>
              <w:rPr>
                <w:sz w:val="20"/>
                <w:szCs w:val="20"/>
                <w:color w:val="auto"/>
              </w:rPr>
            </w:pPr>
            <w:r>
              <w:rPr>
                <w:rFonts w:ascii="Arial" w:cs="Arial" w:eastAsia="Arial" w:hAnsi="Arial"/>
                <w:sz w:val="13"/>
                <w:szCs w:val="13"/>
                <w:b w:val="1"/>
                <w:bCs w:val="1"/>
                <w:color w:val="auto"/>
              </w:rPr>
              <w:t>Technology Hardware, Storage &amp; Peripherals</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ind w:left="240"/>
              <w:spacing w:after="0"/>
              <w:rPr>
                <w:sz w:val="20"/>
                <w:szCs w:val="20"/>
                <w:color w:val="auto"/>
              </w:rPr>
            </w:pPr>
            <w:r>
              <w:rPr>
                <w:rFonts w:ascii="Arial" w:cs="Arial" w:eastAsia="Arial" w:hAnsi="Arial"/>
                <w:sz w:val="13"/>
                <w:szCs w:val="13"/>
                <w:color w:val="auto"/>
              </w:rPr>
              <w:t>RealWear, Inc.</w:t>
            </w: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Series A Preferred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10/5/2018</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10/5/2028</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112,451</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136</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246</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75"/>
        </w:trPr>
        <w:tc>
          <w:tcPr>
            <w:tcW w:w="2420" w:type="dxa"/>
            <w:vAlign w:val="bottom"/>
          </w:tcPr>
          <w:p>
            <w:pPr>
              <w:spacing w:after="0"/>
              <w:rPr>
                <w:sz w:val="15"/>
                <w:szCs w:val="15"/>
                <w:color w:val="auto"/>
              </w:rPr>
            </w:pPr>
          </w:p>
        </w:tc>
        <w:tc>
          <w:tcPr>
            <w:tcW w:w="1940" w:type="dxa"/>
            <w:vAlign w:val="bottom"/>
            <w:gridSpan w:val="2"/>
          </w:tcPr>
          <w:p>
            <w:pPr>
              <w:ind w:left="20"/>
              <w:spacing w:after="0"/>
              <w:rPr>
                <w:sz w:val="20"/>
                <w:szCs w:val="20"/>
                <w:color w:val="auto"/>
              </w:rPr>
            </w:pPr>
            <w:r>
              <w:rPr>
                <w:rFonts w:ascii="Arial" w:cs="Arial" w:eastAsia="Arial" w:hAnsi="Arial"/>
                <w:sz w:val="13"/>
                <w:szCs w:val="13"/>
                <w:color w:val="auto"/>
              </w:rPr>
              <w:t>Series A Preferred Stock</w:t>
            </w:r>
          </w:p>
        </w:tc>
        <w:tc>
          <w:tcPr>
            <w:tcW w:w="1200" w:type="dxa"/>
            <w:vAlign w:val="bottom"/>
          </w:tcPr>
          <w:p>
            <w:pPr>
              <w:jc w:val="center"/>
              <w:ind w:left="154"/>
              <w:spacing w:after="0"/>
              <w:rPr>
                <w:sz w:val="20"/>
                <w:szCs w:val="20"/>
                <w:color w:val="auto"/>
              </w:rPr>
            </w:pPr>
            <w:r>
              <w:rPr>
                <w:rFonts w:ascii="Arial" w:cs="Arial" w:eastAsia="Arial" w:hAnsi="Arial"/>
                <w:sz w:val="13"/>
                <w:szCs w:val="13"/>
                <w:color w:val="auto"/>
              </w:rPr>
              <w:t>12/28/2018</w:t>
            </w:r>
          </w:p>
        </w:tc>
        <w:tc>
          <w:tcPr>
            <w:tcW w:w="920" w:type="dxa"/>
            <w:vAlign w:val="bottom"/>
          </w:tcPr>
          <w:p>
            <w:pPr>
              <w:jc w:val="center"/>
              <w:spacing w:after="0"/>
              <w:rPr>
                <w:sz w:val="20"/>
                <w:szCs w:val="20"/>
                <w:color w:val="auto"/>
              </w:rPr>
            </w:pPr>
            <w:r>
              <w:rPr>
                <w:rFonts w:ascii="Arial" w:cs="Arial" w:eastAsia="Arial" w:hAnsi="Arial"/>
                <w:sz w:val="13"/>
                <w:szCs w:val="13"/>
                <w:color w:val="auto"/>
              </w:rPr>
              <w:t>12/28/2028</w:t>
            </w:r>
          </w:p>
        </w:tc>
        <w:tc>
          <w:tcPr>
            <w:tcW w:w="1180" w:type="dxa"/>
            <w:vAlign w:val="bottom"/>
          </w:tcPr>
          <w:p>
            <w:pPr>
              <w:jc w:val="right"/>
              <w:ind w:right="154"/>
              <w:spacing w:after="0"/>
              <w:rPr>
                <w:sz w:val="20"/>
                <w:szCs w:val="20"/>
                <w:color w:val="auto"/>
              </w:rPr>
            </w:pPr>
            <w:r>
              <w:rPr>
                <w:rFonts w:ascii="Arial" w:cs="Arial" w:eastAsia="Arial" w:hAnsi="Arial"/>
                <w:sz w:val="13"/>
                <w:szCs w:val="13"/>
                <w:color w:val="auto"/>
              </w:rPr>
              <w:t>22,491</w:t>
            </w: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25</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49</w:t>
            </w: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2420" w:type="dxa"/>
            <w:vAlign w:val="bottom"/>
            <w:tcBorders>
              <w:left w:val="single" w:sz="8" w:color="CFF0FC"/>
            </w:tcBorders>
            <w:shd w:val="clear" w:color="auto" w:fill="CFF0FC"/>
          </w:tcPr>
          <w:p>
            <w:pPr>
              <w:spacing w:after="0"/>
              <w:rPr>
                <w:sz w:val="16"/>
                <w:szCs w:val="16"/>
                <w:color w:val="auto"/>
              </w:rPr>
            </w:pPr>
          </w:p>
        </w:tc>
        <w:tc>
          <w:tcPr>
            <w:tcW w:w="1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Series A Preferred Stock</w:t>
            </w:r>
          </w:p>
        </w:tc>
        <w:tc>
          <w:tcPr>
            <w:tcW w:w="120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6/27/2019</w:t>
            </w:r>
          </w:p>
        </w:tc>
        <w:tc>
          <w:tcPr>
            <w:tcW w:w="9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6/27/2029</w:t>
            </w:r>
          </w:p>
        </w:tc>
        <w:tc>
          <w:tcPr>
            <w:tcW w:w="118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rPr>
              <w:t>123,894</w:t>
            </w:r>
          </w:p>
        </w:tc>
        <w:tc>
          <w:tcPr>
            <w:tcW w:w="10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381</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272</w:t>
            </w: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4360" w:type="dxa"/>
            <w:vAlign w:val="bottom"/>
            <w:gridSpan w:val="3"/>
          </w:tcPr>
          <w:p>
            <w:pPr>
              <w:ind w:left="240"/>
              <w:spacing w:after="0"/>
              <w:rPr>
                <w:sz w:val="20"/>
                <w:szCs w:val="20"/>
                <w:color w:val="auto"/>
              </w:rPr>
            </w:pPr>
            <w:r>
              <w:rPr>
                <w:rFonts w:ascii="Arial" w:cs="Arial" w:eastAsia="Arial" w:hAnsi="Arial"/>
                <w:sz w:val="13"/>
                <w:szCs w:val="13"/>
                <w:b w:val="1"/>
                <w:bCs w:val="1"/>
                <w:color w:val="auto"/>
              </w:rPr>
              <w:t>Total Technology Hardware, Storage &amp; Peripherals - 0.10%*</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542</w:t>
            </w:r>
          </w:p>
        </w:tc>
        <w:tc>
          <w:tcPr>
            <w:tcW w:w="1080" w:type="dxa"/>
            <w:vAlign w:val="bottom"/>
          </w:tcPr>
          <w:p>
            <w:pPr>
              <w:jc w:val="right"/>
              <w:ind w:right="34"/>
              <w:spacing w:after="0"/>
              <w:rPr>
                <w:sz w:val="20"/>
                <w:szCs w:val="20"/>
                <w:color w:val="auto"/>
              </w:rPr>
            </w:pPr>
            <w:r>
              <w:rPr>
                <w:rFonts w:ascii="Arial" w:cs="Arial" w:eastAsia="Arial" w:hAnsi="Arial"/>
                <w:sz w:val="13"/>
                <w:szCs w:val="13"/>
                <w:color w:val="auto"/>
              </w:rPr>
              <w:t>567</w:t>
            </w:r>
          </w:p>
        </w:tc>
        <w:tc>
          <w:tcPr>
            <w:tcW w:w="820" w:type="dxa"/>
            <w:vAlign w:val="bottom"/>
          </w:tcPr>
          <w:p>
            <w:pPr>
              <w:spacing w:after="0"/>
              <w:rPr>
                <w:sz w:val="15"/>
                <w:szCs w:val="15"/>
                <w:color w:val="auto"/>
              </w:rPr>
            </w:pPr>
          </w:p>
        </w:tc>
      </w:tr>
      <w:tr>
        <w:trPr>
          <w:trHeight w:val="180"/>
        </w:trPr>
        <w:tc>
          <w:tcPr>
            <w:tcW w:w="2420" w:type="dxa"/>
            <w:vAlign w:val="bottom"/>
            <w:tcBorders>
              <w:left w:val="single" w:sz="8" w:color="CFF0FC"/>
            </w:tcBorders>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420" w:type="dxa"/>
            <w:vAlign w:val="bottom"/>
          </w:tcPr>
          <w:p>
            <w:pPr>
              <w:ind w:left="120"/>
              <w:spacing w:after="0"/>
              <w:rPr>
                <w:sz w:val="20"/>
                <w:szCs w:val="20"/>
                <w:color w:val="auto"/>
              </w:rPr>
            </w:pPr>
            <w:r>
              <w:rPr>
                <w:rFonts w:ascii="Arial" w:cs="Arial" w:eastAsia="Arial" w:hAnsi="Arial"/>
                <w:sz w:val="13"/>
                <w:szCs w:val="13"/>
                <w:b w:val="1"/>
                <w:bCs w:val="1"/>
                <w:color w:val="auto"/>
              </w:rPr>
              <w:t>Total Warrants - 2.75%*</w:t>
            </w: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right"/>
              <w:ind w:right="54"/>
              <w:spacing w:after="0"/>
              <w:rPr>
                <w:sz w:val="20"/>
                <w:szCs w:val="20"/>
                <w:color w:val="auto"/>
              </w:rPr>
            </w:pPr>
            <w:r>
              <w:rPr>
                <w:rFonts w:ascii="Arial" w:cs="Arial" w:eastAsia="Arial" w:hAnsi="Arial"/>
                <w:sz w:val="13"/>
                <w:szCs w:val="13"/>
                <w:color w:val="auto"/>
              </w:rPr>
              <w:t>19,127</w:t>
            </w:r>
          </w:p>
        </w:tc>
        <w:tc>
          <w:tcPr>
            <w:tcW w:w="1080" w:type="dxa"/>
            <w:vAlign w:val="bottom"/>
          </w:tcPr>
          <w:p>
            <w:pPr>
              <w:jc w:val="right"/>
              <w:ind w:right="54"/>
              <w:spacing w:after="0"/>
              <w:rPr>
                <w:sz w:val="20"/>
                <w:szCs w:val="20"/>
                <w:color w:val="auto"/>
              </w:rPr>
            </w:pPr>
            <w:r>
              <w:rPr>
                <w:rFonts w:ascii="Arial" w:cs="Arial" w:eastAsia="Arial" w:hAnsi="Arial"/>
                <w:sz w:val="13"/>
                <w:szCs w:val="13"/>
                <w:color w:val="auto"/>
              </w:rPr>
              <w:t>15,845</w:t>
            </w:r>
          </w:p>
        </w:tc>
        <w:tc>
          <w:tcPr>
            <w:tcW w:w="820" w:type="dxa"/>
            <w:vAlign w:val="bottom"/>
          </w:tcPr>
          <w:p>
            <w:pPr>
              <w:spacing w:after="0"/>
              <w:rPr>
                <w:sz w:val="15"/>
                <w:szCs w:val="15"/>
                <w:color w:val="auto"/>
              </w:rPr>
            </w:pPr>
          </w:p>
        </w:tc>
      </w:tr>
      <w:tr>
        <w:trPr>
          <w:trHeight w:val="144"/>
        </w:trPr>
        <w:tc>
          <w:tcPr>
            <w:tcW w:w="4360" w:type="dxa"/>
            <w:vAlign w:val="bottom"/>
            <w:tcBorders>
              <w:left w:val="single" w:sz="8" w:color="CFF0FC"/>
            </w:tcBorders>
            <w:gridSpan w:val="3"/>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Total Non-Control/Non-Affiliate Investments - 193.55%*</w:t>
            </w:r>
          </w:p>
        </w:tc>
        <w:tc>
          <w:tcPr>
            <w:tcW w:w="12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54"/>
              <w:spacing w:after="0" w:line="144" w:lineRule="exact"/>
              <w:rPr>
                <w:sz w:val="20"/>
                <w:szCs w:val="20"/>
                <w:color w:val="auto"/>
              </w:rPr>
            </w:pPr>
            <w:r>
              <w:rPr>
                <w:rFonts w:ascii="Arial" w:cs="Arial" w:eastAsia="Arial" w:hAnsi="Arial"/>
                <w:sz w:val="13"/>
                <w:szCs w:val="13"/>
                <w:color w:val="auto"/>
              </w:rPr>
              <w:t>1,126,879</w:t>
            </w:r>
          </w:p>
        </w:tc>
        <w:tc>
          <w:tcPr>
            <w:tcW w:w="1080" w:type="dxa"/>
            <w:vAlign w:val="bottom"/>
            <w:shd w:val="clear" w:color="auto" w:fill="CFF0FC"/>
          </w:tcPr>
          <w:p>
            <w:pPr>
              <w:jc w:val="right"/>
              <w:ind w:right="34"/>
              <w:spacing w:after="0" w:line="144" w:lineRule="exact"/>
              <w:rPr>
                <w:sz w:val="20"/>
                <w:szCs w:val="20"/>
                <w:color w:val="auto"/>
              </w:rPr>
            </w:pPr>
            <w:r>
              <w:rPr>
                <w:rFonts w:ascii="Arial" w:cs="Arial" w:eastAsia="Arial" w:hAnsi="Arial"/>
                <w:sz w:val="13"/>
                <w:szCs w:val="13"/>
                <w:color w:val="auto"/>
              </w:rPr>
              <w:t>1,114,935</w:t>
            </w:r>
          </w:p>
        </w:tc>
        <w:tc>
          <w:tcPr>
            <w:tcW w:w="820" w:type="dxa"/>
            <w:vAlign w:val="bottom"/>
            <w:shd w:val="clear" w:color="auto" w:fill="CFF0FC"/>
          </w:tcPr>
          <w:p>
            <w:pPr>
              <w:spacing w:after="0"/>
              <w:rPr>
                <w:sz w:val="12"/>
                <w:szCs w:val="12"/>
                <w:color w:val="auto"/>
              </w:rPr>
            </w:pPr>
          </w:p>
        </w:tc>
      </w:tr>
      <w:tr>
        <w:trPr>
          <w:trHeight w:val="36"/>
        </w:trPr>
        <w:tc>
          <w:tcPr>
            <w:tcW w:w="2420" w:type="dxa"/>
            <w:vAlign w:val="bottom"/>
            <w:tcBorders>
              <w:left w:val="single" w:sz="8" w:color="CFF0FC"/>
            </w:tcBorders>
            <w:shd w:val="clear" w:color="auto" w:fill="000000"/>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r>
        <w:rPr>
          <w:rFonts w:ascii="Arial" w:cs="Arial" w:eastAsia="Arial" w:hAnsi="Arial"/>
          <w:sz w:val="13"/>
          <w:szCs w:val="13"/>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1" w:name="page22"/>
    <w:bookmarkEnd w:id="21"/>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 Schedule of Investments – (continued)</w:t>
      </w:r>
    </w:p>
    <w:p>
      <w:pPr>
        <w:jc w:val="center"/>
        <w:ind w:right="-19"/>
        <w:spacing w:after="0"/>
        <w:rPr>
          <w:sz w:val="20"/>
          <w:szCs w:val="20"/>
          <w:color w:val="auto"/>
        </w:rPr>
      </w:pPr>
      <w:r>
        <w:rPr>
          <w:rFonts w:ascii="Arial" w:cs="Arial" w:eastAsia="Arial" w:hAnsi="Arial"/>
          <w:sz w:val="16"/>
          <w:szCs w:val="16"/>
          <w:b w:val="1"/>
          <w:bCs w:val="1"/>
          <w:color w:val="auto"/>
        </w:rPr>
        <w:t>December 31, 2022</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5"/>
        </w:trPr>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tcPr>
          <w:p>
            <w:pPr>
              <w:jc w:val="center"/>
              <w:ind w:right="408"/>
              <w:spacing w:after="0" w:line="146" w:lineRule="exact"/>
              <w:rPr>
                <w:sz w:val="20"/>
                <w:szCs w:val="20"/>
                <w:color w:val="auto"/>
              </w:rPr>
            </w:pPr>
            <w:r>
              <w:rPr>
                <w:rFonts w:ascii="Arial" w:cs="Arial" w:eastAsia="Arial" w:hAnsi="Arial"/>
                <w:sz w:val="13"/>
                <w:szCs w:val="13"/>
                <w:b w:val="1"/>
                <w:bCs w:val="1"/>
                <w:color w:val="auto"/>
              </w:rPr>
              <w:t>Investment</w:t>
            </w:r>
          </w:p>
        </w:tc>
        <w:tc>
          <w:tcPr>
            <w:tcW w:w="10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Acquisition</w:t>
            </w: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Maturity</w:t>
            </w:r>
          </w:p>
        </w:tc>
        <w:tc>
          <w:tcPr>
            <w:tcW w:w="136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Principal ($) /</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6" w:lineRule="exact"/>
              <w:rPr>
                <w:sz w:val="20"/>
                <w:szCs w:val="20"/>
                <w:color w:val="auto"/>
              </w:rPr>
            </w:pPr>
            <w:r>
              <w:rPr>
                <w:rFonts w:ascii="Arial" w:cs="Arial" w:eastAsia="Arial" w:hAnsi="Arial"/>
                <w:sz w:val="13"/>
                <w:szCs w:val="13"/>
                <w:b w:val="1"/>
                <w:bCs w:val="1"/>
                <w:color w:val="auto"/>
              </w:rPr>
              <w:t>Fair</w:t>
            </w:r>
          </w:p>
        </w:tc>
        <w:tc>
          <w:tcPr>
            <w:tcW w:w="820" w:type="dxa"/>
            <w:vAlign w:val="bottom"/>
          </w:tcPr>
          <w:p>
            <w:pPr>
              <w:spacing w:after="0"/>
              <w:rPr>
                <w:sz w:val="12"/>
                <w:szCs w:val="12"/>
                <w:color w:val="auto"/>
              </w:rPr>
            </w:pPr>
          </w:p>
        </w:tc>
      </w:tr>
      <w:tr>
        <w:trPr>
          <w:trHeight w:val="194"/>
        </w:trPr>
        <w:tc>
          <w:tcPr>
            <w:tcW w:w="2440" w:type="dxa"/>
            <w:vAlign w:val="bottom"/>
            <w:gridSpan w:val="6"/>
          </w:tcPr>
          <w:p>
            <w:pPr>
              <w:ind w:left="20"/>
              <w:spacing w:after="0"/>
              <w:rPr>
                <w:sz w:val="20"/>
                <w:szCs w:val="20"/>
                <w:color w:val="auto"/>
              </w:rPr>
            </w:pPr>
            <w:r>
              <w:rPr>
                <w:rFonts w:ascii="Arial" w:cs="Arial" w:eastAsia="Arial" w:hAnsi="Arial"/>
                <w:sz w:val="13"/>
                <w:szCs w:val="13"/>
                <w:b w:val="1"/>
                <w:bCs w:val="1"/>
                <w:color w:val="auto"/>
              </w:rPr>
              <w:t>Portfolio Company</w:t>
            </w:r>
          </w:p>
        </w:tc>
        <w:tc>
          <w:tcPr>
            <w:tcW w:w="380" w:type="dxa"/>
            <w:vAlign w:val="bottom"/>
          </w:tcPr>
          <w:p>
            <w:pPr>
              <w:spacing w:after="0"/>
              <w:rPr>
                <w:sz w:val="16"/>
                <w:szCs w:val="16"/>
                <w:color w:val="auto"/>
              </w:rPr>
            </w:pPr>
          </w:p>
        </w:tc>
        <w:tc>
          <w:tcPr>
            <w:tcW w:w="1720" w:type="dxa"/>
            <w:vAlign w:val="bottom"/>
          </w:tcPr>
          <w:p>
            <w:pPr>
              <w:jc w:val="center"/>
              <w:ind w:right="368"/>
              <w:spacing w:after="0" w:line="194" w:lineRule="exact"/>
              <w:rPr>
                <w:sz w:val="20"/>
                <w:szCs w:val="20"/>
                <w:color w:val="auto"/>
              </w:rPr>
            </w:pPr>
            <w:r>
              <w:rPr>
                <w:rFonts w:ascii="Arial" w:cs="Arial" w:eastAsia="Arial" w:hAnsi="Arial"/>
                <w:sz w:val="22"/>
                <w:szCs w:val="22"/>
                <w:b w:val="1"/>
                <w:bCs w:val="1"/>
                <w:color w:val="auto"/>
                <w:w w:val="92"/>
                <w:vertAlign w:val="subscript"/>
              </w:rPr>
              <w:t>Description</w:t>
            </w:r>
            <w:r>
              <w:rPr>
                <w:rFonts w:ascii="Arial" w:cs="Arial" w:eastAsia="Arial" w:hAnsi="Arial"/>
                <w:sz w:val="8"/>
                <w:szCs w:val="8"/>
                <w:b w:val="1"/>
                <w:bCs w:val="1"/>
                <w:color w:val="auto"/>
                <w:w w:val="92"/>
              </w:rPr>
              <w:t>(1),(5),(9)</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Date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1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Shares</w:t>
            </w:r>
          </w:p>
        </w:tc>
        <w:tc>
          <w:tcPr>
            <w:tcW w:w="740" w:type="dxa"/>
            <w:vAlign w:val="bottom"/>
          </w:tcPr>
          <w:p>
            <w:pPr>
              <w:jc w:val="right"/>
              <w:ind w:right="134"/>
              <w:spacing w:after="0"/>
              <w:rPr>
                <w:sz w:val="20"/>
                <w:szCs w:val="20"/>
                <w:color w:val="auto"/>
              </w:rPr>
            </w:pPr>
            <w:r>
              <w:rPr>
                <w:rFonts w:ascii="Arial" w:cs="Arial" w:eastAsia="Arial" w:hAnsi="Arial"/>
                <w:sz w:val="13"/>
                <w:szCs w:val="13"/>
                <w:b w:val="1"/>
                <w:bCs w:val="1"/>
                <w:color w:val="auto"/>
              </w:rPr>
              <w:t>Cost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 xml:space="preserve">Value ($) </w:t>
            </w:r>
            <w:r>
              <w:rPr>
                <w:rFonts w:ascii="Arial" w:cs="Arial" w:eastAsia="Arial" w:hAnsi="Arial"/>
                <w:sz w:val="16"/>
                <w:szCs w:val="16"/>
                <w:b w:val="1"/>
                <w:bCs w:val="1"/>
                <w:color w:val="auto"/>
                <w:w w:val="94"/>
                <w:vertAlign w:val="superscript"/>
              </w:rPr>
              <w:t>(2),(6)</w:t>
            </w: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r>
      <w:tr>
        <w:trPr>
          <w:trHeight w:val="160"/>
        </w:trPr>
        <w:tc>
          <w:tcPr>
            <w:tcW w:w="2440" w:type="dxa"/>
            <w:vAlign w:val="bottom"/>
            <w:tcBorders>
              <w:left w:val="single" w:sz="8" w:color="CFF0FC"/>
            </w:tcBorders>
            <w:gridSpan w:val="6"/>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Affiliate Investments</w:t>
            </w:r>
          </w:p>
        </w:tc>
        <w:tc>
          <w:tcPr>
            <w:tcW w:w="38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ind w:left="120"/>
              <w:spacing w:after="0" w:line="144" w:lineRule="exact"/>
              <w:rPr>
                <w:sz w:val="20"/>
                <w:szCs w:val="20"/>
                <w:color w:val="auto"/>
              </w:rPr>
            </w:pPr>
            <w:r>
              <w:rPr>
                <w:rFonts w:ascii="Arial" w:cs="Arial" w:eastAsia="Arial" w:hAnsi="Arial"/>
                <w:sz w:val="13"/>
                <w:szCs w:val="13"/>
                <w:color w:val="auto"/>
              </w:rPr>
              <w:t>(18)</w:t>
            </w:r>
          </w:p>
        </w:tc>
      </w:tr>
      <w:tr>
        <w:trPr>
          <w:trHeight w:val="180"/>
        </w:trPr>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Common Stocks</w:t>
            </w:r>
          </w:p>
        </w:tc>
        <w:tc>
          <w:tcPr>
            <w:tcW w:w="1140" w:type="dxa"/>
            <w:vAlign w:val="bottom"/>
            <w:tcBorders>
              <w:top w:val="single" w:sz="8" w:color="CFF0FC"/>
            </w:tcBorders>
            <w:gridSpan w:val="4"/>
          </w:tcPr>
          <w:p>
            <w:pPr>
              <w:spacing w:after="0"/>
              <w:rPr>
                <w:sz w:val="15"/>
                <w:szCs w:val="15"/>
                <w:color w:val="auto"/>
              </w:rPr>
            </w:pPr>
          </w:p>
        </w:tc>
        <w:tc>
          <w:tcPr>
            <w:tcW w:w="380" w:type="dxa"/>
            <w:vAlign w:val="bottom"/>
            <w:tcBorders>
              <w:top w:val="single" w:sz="8" w:color="CFF0FC"/>
            </w:tcBorders>
          </w:tcPr>
          <w:p>
            <w:pPr>
              <w:spacing w:after="0"/>
              <w:rPr>
                <w:sz w:val="15"/>
                <w:szCs w:val="15"/>
                <w:color w:val="auto"/>
              </w:rPr>
            </w:pPr>
          </w:p>
        </w:tc>
        <w:tc>
          <w:tcPr>
            <w:tcW w:w="172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12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r>
      <w:tr>
        <w:trPr>
          <w:trHeight w:val="180"/>
        </w:trPr>
        <w:tc>
          <w:tcPr>
            <w:tcW w:w="120" w:type="dxa"/>
            <w:vAlign w:val="bottom"/>
            <w:tcBorders>
              <w:left w:val="single" w:sz="8" w:color="CFF0FC"/>
            </w:tcBorders>
            <w:shd w:val="clear" w:color="auto" w:fill="CFF0FC"/>
          </w:tcPr>
          <w:p>
            <w:pPr>
              <w:spacing w:after="0"/>
              <w:rPr>
                <w:sz w:val="15"/>
                <w:szCs w:val="15"/>
                <w:color w:val="auto"/>
              </w:rPr>
            </w:pPr>
          </w:p>
        </w:tc>
        <w:tc>
          <w:tcPr>
            <w:tcW w:w="2320" w:type="dxa"/>
            <w:vAlign w:val="bottom"/>
            <w:gridSpan w:val="5"/>
            <w:shd w:val="clear" w:color="auto" w:fill="CFF0FC"/>
          </w:tcPr>
          <w:p>
            <w:pPr>
              <w:ind w:left="120"/>
              <w:spacing w:after="0"/>
              <w:rPr>
                <w:sz w:val="20"/>
                <w:szCs w:val="20"/>
                <w:color w:val="auto"/>
              </w:rPr>
            </w:pPr>
            <w:r>
              <w:rPr>
                <w:rFonts w:ascii="Arial" w:cs="Arial" w:eastAsia="Arial" w:hAnsi="Arial"/>
                <w:sz w:val="13"/>
                <w:szCs w:val="13"/>
                <w:b w:val="1"/>
                <w:bCs w:val="1"/>
                <w:color w:val="auto"/>
              </w:rPr>
              <w:t>Application Software</w:t>
            </w:r>
          </w:p>
        </w:tc>
        <w:tc>
          <w:tcPr>
            <w:tcW w:w="3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320" w:type="dxa"/>
            <w:vAlign w:val="bottom"/>
            <w:gridSpan w:val="5"/>
          </w:tcPr>
          <w:p>
            <w:pPr>
              <w:ind w:left="120"/>
              <w:spacing w:after="0"/>
              <w:rPr>
                <w:sz w:val="20"/>
                <w:szCs w:val="20"/>
                <w:color w:val="auto"/>
              </w:rPr>
            </w:pPr>
            <w:r>
              <w:rPr>
                <w:rFonts w:ascii="Arial" w:cs="Arial" w:eastAsia="Arial" w:hAnsi="Arial"/>
                <w:sz w:val="13"/>
                <w:szCs w:val="13"/>
                <w:color w:val="auto"/>
              </w:rPr>
              <w:t>Coginiti Corp</w:t>
            </w: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3/9/2020</w:t>
            </w:r>
          </w:p>
        </w:tc>
        <w:tc>
          <w:tcPr>
            <w:tcW w:w="880" w:type="dxa"/>
            <w:vAlign w:val="bottom"/>
          </w:tcPr>
          <w:p>
            <w:pPr>
              <w:jc w:val="center"/>
              <w:spacing w:after="0"/>
              <w:rPr>
                <w:sz w:val="20"/>
                <w:szCs w:val="20"/>
                <w:color w:val="auto"/>
              </w:rPr>
            </w:pPr>
            <w:r>
              <w:rPr>
                <w:rFonts w:ascii="Arial" w:cs="Arial" w:eastAsia="Arial" w:hAnsi="Arial"/>
                <w:sz w:val="13"/>
                <w:szCs w:val="13"/>
                <w:color w:val="auto"/>
              </w:rPr>
              <w:t>N/A</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1,040,160</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4,551</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1,174</w:t>
            </w:r>
          </w:p>
        </w:tc>
        <w:tc>
          <w:tcPr>
            <w:tcW w:w="100" w:type="dxa"/>
            <w:vAlign w:val="bottom"/>
          </w:tcPr>
          <w:p>
            <w:pPr>
              <w:spacing w:after="0"/>
              <w:rPr>
                <w:sz w:val="15"/>
                <w:szCs w:val="15"/>
                <w:color w:val="auto"/>
              </w:rPr>
            </w:pPr>
          </w:p>
        </w:tc>
        <w:tc>
          <w:tcPr>
            <w:tcW w:w="820" w:type="dxa"/>
            <w:vAlign w:val="bottom"/>
          </w:tcPr>
          <w:p>
            <w:pPr>
              <w:ind w:left="120"/>
              <w:spacing w:after="0"/>
              <w:rPr>
                <w:sz w:val="20"/>
                <w:szCs w:val="20"/>
                <w:color w:val="auto"/>
              </w:rPr>
            </w:pPr>
            <w:r>
              <w:rPr>
                <w:rFonts w:ascii="Arial" w:cs="Arial" w:eastAsia="Arial" w:hAnsi="Arial"/>
                <w:sz w:val="13"/>
                <w:szCs w:val="13"/>
                <w:color w:val="auto"/>
              </w:rPr>
              <w:t>(7)</w:t>
            </w:r>
          </w:p>
        </w:tc>
      </w:tr>
      <w:tr>
        <w:trPr>
          <w:trHeight w:val="185"/>
        </w:trPr>
        <w:tc>
          <w:tcPr>
            <w:tcW w:w="120" w:type="dxa"/>
            <w:vAlign w:val="bottom"/>
            <w:tcBorders>
              <w:left w:val="single" w:sz="8" w:color="CFF0FC"/>
            </w:tcBorders>
            <w:shd w:val="clear" w:color="auto" w:fill="CFF0FC"/>
          </w:tcPr>
          <w:p>
            <w:pPr>
              <w:spacing w:after="0"/>
              <w:rPr>
                <w:sz w:val="16"/>
                <w:szCs w:val="16"/>
                <w:color w:val="auto"/>
              </w:rPr>
            </w:pPr>
          </w:p>
        </w:tc>
        <w:tc>
          <w:tcPr>
            <w:tcW w:w="2320" w:type="dxa"/>
            <w:vAlign w:val="bottom"/>
            <w:gridSpan w:val="5"/>
            <w:shd w:val="clear" w:color="auto" w:fill="CFF0FC"/>
          </w:tcPr>
          <w:p>
            <w:pPr>
              <w:ind w:left="120"/>
              <w:spacing w:after="0"/>
              <w:rPr>
                <w:sz w:val="20"/>
                <w:szCs w:val="20"/>
                <w:color w:val="auto"/>
              </w:rPr>
            </w:pPr>
            <w:r>
              <w:rPr>
                <w:rFonts w:ascii="Arial" w:cs="Arial" w:eastAsia="Arial" w:hAnsi="Arial"/>
                <w:sz w:val="13"/>
                <w:szCs w:val="13"/>
                <w:b w:val="1"/>
                <w:bCs w:val="1"/>
                <w:color w:val="auto"/>
              </w:rPr>
              <w:t>Total Application Software - 0.20%*</w:t>
            </w:r>
          </w:p>
        </w:tc>
        <w:tc>
          <w:tcPr>
            <w:tcW w:w="38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4,551</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1,174</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0"/>
        </w:trPr>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440" w:type="dxa"/>
            <w:vAlign w:val="bottom"/>
            <w:tcBorders>
              <w:left w:val="single" w:sz="8" w:color="CFF0FC"/>
            </w:tcBorders>
            <w:gridSpan w:val="6"/>
            <w:shd w:val="clear" w:color="auto" w:fill="CFF0FC"/>
          </w:tcPr>
          <w:p>
            <w:pPr>
              <w:ind w:left="120"/>
              <w:spacing w:after="0"/>
              <w:rPr>
                <w:sz w:val="20"/>
                <w:szCs w:val="20"/>
                <w:color w:val="auto"/>
              </w:rPr>
            </w:pPr>
            <w:r>
              <w:rPr>
                <w:rFonts w:ascii="Arial" w:cs="Arial" w:eastAsia="Arial" w:hAnsi="Arial"/>
                <w:sz w:val="13"/>
                <w:szCs w:val="13"/>
                <w:b w:val="1"/>
                <w:bCs w:val="1"/>
                <w:color w:val="auto"/>
              </w:rPr>
              <w:t>Total Common Stocks - 0.20%*</w:t>
            </w:r>
          </w:p>
        </w:tc>
        <w:tc>
          <w:tcPr>
            <w:tcW w:w="3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4,551</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1,174</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2440" w:type="dxa"/>
            <w:vAlign w:val="bottom"/>
            <w:tcBorders>
              <w:left w:val="single" w:sz="8" w:color="CFF0FC"/>
            </w:tcBorders>
            <w:gridSpan w:val="6"/>
            <w:shd w:val="clear" w:color="auto" w:fill="CFF0FC"/>
          </w:tcPr>
          <w:p>
            <w:pPr>
              <w:ind w:left="120"/>
              <w:spacing w:after="0"/>
              <w:rPr>
                <w:sz w:val="20"/>
                <w:szCs w:val="20"/>
                <w:color w:val="auto"/>
              </w:rPr>
            </w:pPr>
            <w:r>
              <w:rPr>
                <w:rFonts w:ascii="Arial" w:cs="Arial" w:eastAsia="Arial" w:hAnsi="Arial"/>
                <w:sz w:val="13"/>
                <w:szCs w:val="13"/>
                <w:b w:val="1"/>
                <w:bCs w:val="1"/>
                <w:color w:val="auto"/>
              </w:rPr>
              <w:t>Warrants</w:t>
            </w:r>
          </w:p>
        </w:tc>
        <w:tc>
          <w:tcPr>
            <w:tcW w:w="3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2320" w:type="dxa"/>
            <w:vAlign w:val="bottom"/>
            <w:gridSpan w:val="5"/>
          </w:tcPr>
          <w:p>
            <w:pPr>
              <w:ind w:left="120"/>
              <w:spacing w:after="0"/>
              <w:rPr>
                <w:sz w:val="20"/>
                <w:szCs w:val="20"/>
                <w:color w:val="auto"/>
              </w:rPr>
            </w:pPr>
            <w:r>
              <w:rPr>
                <w:rFonts w:ascii="Arial" w:cs="Arial" w:eastAsia="Arial" w:hAnsi="Arial"/>
                <w:sz w:val="13"/>
                <w:szCs w:val="13"/>
                <w:b w:val="1"/>
                <w:bCs w:val="1"/>
                <w:color w:val="auto"/>
              </w:rPr>
              <w:t>Application Software</w:t>
            </w: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20" w:type="dxa"/>
            <w:vAlign w:val="bottom"/>
            <w:tcBorders>
              <w:left w:val="single" w:sz="8" w:color="CFF0FC"/>
            </w:tcBorders>
            <w:shd w:val="clear" w:color="auto" w:fill="CFF0FC"/>
          </w:tcPr>
          <w:p>
            <w:pPr>
              <w:spacing w:after="0"/>
              <w:rPr>
                <w:sz w:val="15"/>
                <w:szCs w:val="15"/>
                <w:color w:val="auto"/>
              </w:rPr>
            </w:pPr>
          </w:p>
        </w:tc>
        <w:tc>
          <w:tcPr>
            <w:tcW w:w="232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Coginiti Corp</w:t>
            </w:r>
          </w:p>
        </w:tc>
        <w:tc>
          <w:tcPr>
            <w:tcW w:w="21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Common Stock</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8"/>
              </w:rPr>
              <w:t>3/9/2020</w:t>
            </w:r>
          </w:p>
        </w:tc>
        <w:tc>
          <w:tcPr>
            <w:tcW w:w="880" w:type="dxa"/>
            <w:vAlign w:val="bottom"/>
            <w:shd w:val="clear" w:color="auto" w:fill="CFF0FC"/>
          </w:tcPr>
          <w:p>
            <w:pPr>
              <w:jc w:val="right"/>
              <w:ind w:right="94"/>
              <w:spacing w:after="0"/>
              <w:rPr>
                <w:sz w:val="20"/>
                <w:szCs w:val="20"/>
                <w:color w:val="auto"/>
              </w:rPr>
            </w:pPr>
            <w:r>
              <w:rPr>
                <w:rFonts w:ascii="Arial" w:cs="Arial" w:eastAsia="Arial" w:hAnsi="Arial"/>
                <w:sz w:val="13"/>
                <w:szCs w:val="13"/>
                <w:color w:val="auto"/>
              </w:rPr>
              <w:t>3/9/2030</w:t>
            </w:r>
          </w:p>
        </w:tc>
        <w:tc>
          <w:tcPr>
            <w:tcW w:w="122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811,770</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(7)</w:t>
            </w:r>
          </w:p>
        </w:tc>
      </w:tr>
      <w:tr>
        <w:trPr>
          <w:trHeight w:val="180"/>
        </w:trPr>
        <w:tc>
          <w:tcPr>
            <w:tcW w:w="120" w:type="dxa"/>
            <w:vAlign w:val="bottom"/>
          </w:tcPr>
          <w:p>
            <w:pPr>
              <w:spacing w:after="0"/>
              <w:rPr>
                <w:sz w:val="15"/>
                <w:szCs w:val="15"/>
                <w:color w:val="auto"/>
              </w:rPr>
            </w:pPr>
          </w:p>
        </w:tc>
        <w:tc>
          <w:tcPr>
            <w:tcW w:w="2320" w:type="dxa"/>
            <w:vAlign w:val="bottom"/>
            <w:gridSpan w:val="5"/>
          </w:tcPr>
          <w:p>
            <w:pPr>
              <w:ind w:left="120"/>
              <w:spacing w:after="0"/>
              <w:rPr>
                <w:sz w:val="20"/>
                <w:szCs w:val="20"/>
                <w:color w:val="auto"/>
              </w:rPr>
            </w:pPr>
            <w:r>
              <w:rPr>
                <w:rFonts w:ascii="Arial" w:cs="Arial" w:eastAsia="Arial" w:hAnsi="Arial"/>
                <w:sz w:val="13"/>
                <w:szCs w:val="13"/>
                <w:b w:val="1"/>
                <w:bCs w:val="1"/>
                <w:color w:val="auto"/>
              </w:rPr>
              <w:t>Total Application Software - 0.16%*</w:t>
            </w: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910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20" w:type="dxa"/>
            <w:vAlign w:val="bottom"/>
            <w:tcBorders>
              <w:left w:val="single" w:sz="8" w:color="CFF0FC"/>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2440" w:type="dxa"/>
            <w:vAlign w:val="bottom"/>
            <w:gridSpan w:val="6"/>
          </w:tcPr>
          <w:p>
            <w:pPr>
              <w:ind w:left="120"/>
              <w:spacing w:after="0"/>
              <w:rPr>
                <w:sz w:val="20"/>
                <w:szCs w:val="20"/>
                <w:color w:val="auto"/>
              </w:rPr>
            </w:pPr>
            <w:r>
              <w:rPr>
                <w:rFonts w:ascii="Arial" w:cs="Arial" w:eastAsia="Arial" w:hAnsi="Arial"/>
                <w:sz w:val="13"/>
                <w:szCs w:val="13"/>
                <w:b w:val="1"/>
                <w:bCs w:val="1"/>
                <w:color w:val="auto"/>
              </w:rPr>
              <w:t>Total Warrants - 0.16%*</w:t>
            </w:r>
          </w:p>
        </w:tc>
        <w:tc>
          <w:tcPr>
            <w:tcW w:w="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910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0"/>
        </w:trPr>
        <w:tc>
          <w:tcPr>
            <w:tcW w:w="2440" w:type="dxa"/>
            <w:vAlign w:val="bottom"/>
            <w:tcBorders>
              <w:left w:val="single" w:sz="8" w:color="CFF0FC"/>
            </w:tcBorders>
            <w:gridSpan w:val="6"/>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Total Affiliate Investments - 0.36%*</w:t>
            </w:r>
          </w:p>
        </w:tc>
        <w:tc>
          <w:tcPr>
            <w:tcW w:w="38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4,551</w:t>
            </w:r>
          </w:p>
        </w:tc>
        <w:tc>
          <w:tcPr>
            <w:tcW w:w="1080" w:type="dxa"/>
            <w:vAlign w:val="bottom"/>
            <w:gridSpan w:val="3"/>
            <w:shd w:val="clear" w:color="auto" w:fill="CFF0FC"/>
          </w:tcPr>
          <w:p>
            <w:pPr>
              <w:jc w:val="right"/>
              <w:spacing w:after="0" w:line="144" w:lineRule="exact"/>
              <w:rPr>
                <w:sz w:val="20"/>
                <w:szCs w:val="20"/>
                <w:color w:val="auto"/>
              </w:rPr>
            </w:pPr>
            <w:r>
              <w:rPr>
                <w:rFonts w:ascii="Arial" w:cs="Arial" w:eastAsia="Arial" w:hAnsi="Arial"/>
                <w:sz w:val="13"/>
                <w:szCs w:val="13"/>
                <w:color w:val="auto"/>
              </w:rPr>
              <w:t>2,084</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44"/>
        </w:trPr>
        <w:tc>
          <w:tcPr>
            <w:tcW w:w="1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spacing w:after="0" w:line="144" w:lineRule="exact"/>
              <w:rPr>
                <w:sz w:val="20"/>
                <w:szCs w:val="20"/>
                <w:color w:val="auto"/>
              </w:rPr>
            </w:pPr>
            <w:r>
              <w:rPr>
                <w:rFonts w:ascii="Arial" w:cs="Arial" w:eastAsia="Arial" w:hAnsi="Arial"/>
                <w:sz w:val="13"/>
                <w:szCs w:val="13"/>
                <w:b w:val="1"/>
                <w:bCs w:val="1"/>
                <w:color w:val="auto"/>
              </w:rPr>
              <w:t>Control Investments</w:t>
            </w:r>
          </w:p>
        </w:tc>
        <w:tc>
          <w:tcPr>
            <w:tcW w:w="240" w:type="dxa"/>
            <w:vAlign w:val="bottom"/>
            <w:tcBorders>
              <w:top w:val="single" w:sz="8" w:color="CFF0FC"/>
            </w:tcBorders>
          </w:tcPr>
          <w:p>
            <w:pPr>
              <w:spacing w:after="0"/>
              <w:rPr>
                <w:sz w:val="12"/>
                <w:szCs w:val="12"/>
                <w:color w:val="auto"/>
              </w:rPr>
            </w:pPr>
          </w:p>
        </w:tc>
        <w:tc>
          <w:tcPr>
            <w:tcW w:w="380" w:type="dxa"/>
            <w:vAlign w:val="bottom"/>
            <w:tcBorders>
              <w:top w:val="single" w:sz="8" w:color="CFF0FC"/>
            </w:tcBorders>
          </w:tcPr>
          <w:p>
            <w:pPr>
              <w:spacing w:after="0"/>
              <w:rPr>
                <w:sz w:val="12"/>
                <w:szCs w:val="12"/>
                <w:color w:val="auto"/>
              </w:rPr>
            </w:pPr>
          </w:p>
        </w:tc>
        <w:tc>
          <w:tcPr>
            <w:tcW w:w="172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880" w:type="dxa"/>
            <w:vAlign w:val="bottom"/>
            <w:tcBorders>
              <w:top w:val="single" w:sz="8" w:color="CFF0FC"/>
            </w:tcBorders>
          </w:tcPr>
          <w:p>
            <w:pPr>
              <w:spacing w:after="0"/>
              <w:rPr>
                <w:sz w:val="12"/>
                <w:szCs w:val="12"/>
                <w:color w:val="auto"/>
              </w:rPr>
            </w:pPr>
          </w:p>
        </w:tc>
        <w:tc>
          <w:tcPr>
            <w:tcW w:w="12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90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ind w:left="120"/>
              <w:spacing w:after="0" w:line="144" w:lineRule="exact"/>
              <w:rPr>
                <w:sz w:val="20"/>
                <w:szCs w:val="20"/>
                <w:color w:val="auto"/>
              </w:rPr>
            </w:pPr>
            <w:r>
              <w:rPr>
                <w:rFonts w:ascii="Arial" w:cs="Arial" w:eastAsia="Arial" w:hAnsi="Arial"/>
                <w:sz w:val="13"/>
                <w:szCs w:val="13"/>
                <w:color w:val="auto"/>
              </w:rPr>
              <w:t>(14)</w:t>
            </w:r>
          </w:p>
        </w:tc>
      </w:tr>
      <w:tr>
        <w:trPr>
          <w:trHeight w:val="28"/>
        </w:trPr>
        <w:tc>
          <w:tcPr>
            <w:tcW w:w="1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8"/>
        </w:trPr>
        <w:tc>
          <w:tcPr>
            <w:tcW w:w="120" w:type="dxa"/>
            <w:vAlign w:val="bottom"/>
            <w:tcBorders>
              <w:left w:val="single" w:sz="8" w:color="CFF0FC"/>
            </w:tcBorders>
            <w:shd w:val="clear" w:color="auto" w:fill="CFF0FC"/>
          </w:tcPr>
          <w:p>
            <w:pPr>
              <w:spacing w:after="0"/>
              <w:rPr>
                <w:sz w:val="16"/>
                <w:szCs w:val="16"/>
                <w:color w:val="auto"/>
              </w:rPr>
            </w:pPr>
          </w:p>
        </w:tc>
        <w:tc>
          <w:tcPr>
            <w:tcW w:w="2320" w:type="dxa"/>
            <w:vAlign w:val="bottom"/>
            <w:gridSpan w:val="5"/>
            <w:shd w:val="clear" w:color="auto" w:fill="CFF0FC"/>
          </w:tcPr>
          <w:p>
            <w:pPr>
              <w:spacing w:after="0"/>
              <w:rPr>
                <w:sz w:val="20"/>
                <w:szCs w:val="20"/>
                <w:color w:val="auto"/>
              </w:rPr>
            </w:pPr>
            <w:r>
              <w:rPr>
                <w:rFonts w:ascii="Arial" w:cs="Arial" w:eastAsia="Arial" w:hAnsi="Arial"/>
                <w:sz w:val="13"/>
                <w:szCs w:val="13"/>
                <w:b w:val="1"/>
                <w:bCs w:val="1"/>
                <w:color w:val="auto"/>
              </w:rPr>
              <w:t>Senior Secured Term Loans</w:t>
            </w:r>
          </w:p>
        </w:tc>
        <w:tc>
          <w:tcPr>
            <w:tcW w:w="380" w:type="dxa"/>
            <w:vAlign w:val="bottom"/>
            <w:shd w:val="clear" w:color="auto" w:fill="CFF0FC"/>
          </w:tcPr>
          <w:p>
            <w:pPr>
              <w:spacing w:after="0"/>
              <w:rPr>
                <w:sz w:val="16"/>
                <w:szCs w:val="16"/>
                <w:color w:val="auto"/>
              </w:rPr>
            </w:pPr>
          </w:p>
        </w:tc>
        <w:tc>
          <w:tcPr>
            <w:tcW w:w="17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0"/>
        </w:trPr>
        <w:tc>
          <w:tcPr>
            <w:tcW w:w="120" w:type="dxa"/>
            <w:vAlign w:val="bottom"/>
          </w:tcPr>
          <w:p>
            <w:pPr>
              <w:spacing w:after="0"/>
              <w:rPr>
                <w:sz w:val="15"/>
                <w:szCs w:val="15"/>
                <w:color w:val="auto"/>
              </w:rPr>
            </w:pPr>
          </w:p>
        </w:tc>
        <w:tc>
          <w:tcPr>
            <w:tcW w:w="4420" w:type="dxa"/>
            <w:vAlign w:val="bottom"/>
            <w:gridSpan w:val="7"/>
          </w:tcPr>
          <w:p>
            <w:pPr>
              <w:ind w:left="120"/>
              <w:spacing w:after="0"/>
              <w:rPr>
                <w:sz w:val="20"/>
                <w:szCs w:val="20"/>
                <w:color w:val="auto"/>
              </w:rPr>
            </w:pPr>
            <w:r>
              <w:rPr>
                <w:rFonts w:ascii="Arial" w:cs="Arial" w:eastAsia="Arial" w:hAnsi="Arial"/>
                <w:sz w:val="13"/>
                <w:szCs w:val="13"/>
                <w:b w:val="1"/>
                <w:bCs w:val="1"/>
                <w:color w:val="auto"/>
              </w:rPr>
              <w:t>Data Processing &amp; Outsourced Services</w:t>
            </w: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120" w:type="dxa"/>
            <w:vAlign w:val="bottom"/>
            <w:tcBorders>
              <w:left w:val="single" w:sz="8" w:color="CFF0FC"/>
            </w:tcBorders>
            <w:shd w:val="clear" w:color="auto" w:fill="CFF0FC"/>
          </w:tcPr>
          <w:p>
            <w:pPr>
              <w:spacing w:after="0"/>
              <w:rPr>
                <w:sz w:val="13"/>
                <w:szCs w:val="13"/>
                <w:color w:val="auto"/>
              </w:rPr>
            </w:pPr>
          </w:p>
        </w:tc>
        <w:tc>
          <w:tcPr>
            <w:tcW w:w="2320" w:type="dxa"/>
            <w:vAlign w:val="bottom"/>
            <w:gridSpan w:val="5"/>
            <w:shd w:val="clear" w:color="auto" w:fill="CFF0FC"/>
          </w:tcPr>
          <w:p>
            <w:pPr>
              <w:ind w:left="120"/>
              <w:spacing w:after="0"/>
              <w:rPr>
                <w:sz w:val="20"/>
                <w:szCs w:val="20"/>
                <w:color w:val="auto"/>
              </w:rPr>
            </w:pPr>
            <w:r>
              <w:rPr>
                <w:rFonts w:ascii="Arial" w:cs="Arial" w:eastAsia="Arial" w:hAnsi="Arial"/>
                <w:sz w:val="13"/>
                <w:szCs w:val="13"/>
                <w:color w:val="auto"/>
              </w:rPr>
              <w:t>Pivot3, Inc.</w:t>
            </w:r>
          </w:p>
        </w:tc>
        <w:tc>
          <w:tcPr>
            <w:tcW w:w="21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LIBOR+8.50% PIK, 11.00% floor,</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5/13/2019</w:t>
            </w:r>
          </w:p>
        </w:tc>
        <w:tc>
          <w:tcPr>
            <w:tcW w:w="88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1/15/2023</w:t>
            </w:r>
          </w:p>
        </w:tc>
        <w:tc>
          <w:tcPr>
            <w:tcW w:w="122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18,598</w:t>
            </w: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19,172</w:t>
            </w:r>
          </w:p>
        </w:tc>
        <w:tc>
          <w:tcPr>
            <w:tcW w:w="10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9,290</w:t>
            </w: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(4)(7)</w:t>
            </w:r>
          </w:p>
        </w:tc>
      </w:tr>
      <w:tr>
        <w:trPr>
          <w:trHeight w:val="176"/>
        </w:trPr>
        <w:tc>
          <w:tcPr>
            <w:tcW w:w="120" w:type="dxa"/>
            <w:vAlign w:val="bottom"/>
            <w:tcBorders>
              <w:left w:val="single" w:sz="8" w:color="CFF0FC"/>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4.00% ETP</w:t>
            </w:r>
          </w:p>
        </w:tc>
        <w:tc>
          <w:tcPr>
            <w:tcW w:w="10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120" w:type="dxa"/>
            <w:vAlign w:val="bottom"/>
          </w:tcPr>
          <w:p>
            <w:pPr>
              <w:spacing w:after="0"/>
              <w:rPr>
                <w:sz w:val="15"/>
                <w:szCs w:val="15"/>
                <w:color w:val="auto"/>
              </w:rPr>
            </w:pPr>
          </w:p>
        </w:tc>
        <w:tc>
          <w:tcPr>
            <w:tcW w:w="4420" w:type="dxa"/>
            <w:vAlign w:val="bottom"/>
            <w:gridSpan w:val="7"/>
          </w:tcPr>
          <w:p>
            <w:pPr>
              <w:ind w:left="120"/>
              <w:spacing w:after="0"/>
              <w:rPr>
                <w:sz w:val="20"/>
                <w:szCs w:val="20"/>
                <w:color w:val="auto"/>
              </w:rPr>
            </w:pPr>
            <w:r>
              <w:rPr>
                <w:rFonts w:ascii="Arial" w:cs="Arial" w:eastAsia="Arial" w:hAnsi="Arial"/>
                <w:sz w:val="13"/>
                <w:szCs w:val="13"/>
                <w:b w:val="1"/>
                <w:bCs w:val="1"/>
                <w:color w:val="auto"/>
              </w:rPr>
              <w:t>Total Data Processing &amp; Outsourced Services - 1.61%*</w:t>
            </w: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19,172</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9,290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120" w:type="dxa"/>
            <w:vAlign w:val="bottom"/>
            <w:tcBorders>
              <w:left w:val="single" w:sz="8" w:color="CFF0FC"/>
            </w:tcBorders>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360" w:type="dxa"/>
            <w:vAlign w:val="bottom"/>
            <w:tcBorders>
              <w:right w:val="single" w:sz="8" w:color="CFF0FC"/>
            </w:tcBorders>
            <w:shd w:val="clear" w:color="auto" w:fill="CFF0FC"/>
          </w:tcPr>
          <w:p>
            <w:pPr>
              <w:spacing w:after="0"/>
              <w:rPr>
                <w:sz w:val="15"/>
                <w:szCs w:val="15"/>
                <w:color w:val="auto"/>
              </w:rPr>
            </w:pPr>
          </w:p>
        </w:tc>
        <w:tc>
          <w:tcPr>
            <w:tcW w:w="620" w:type="dxa"/>
            <w:vAlign w:val="bottom"/>
            <w:gridSpan w:val="2"/>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r>
      <w:tr>
        <w:trPr>
          <w:trHeight w:val="180"/>
        </w:trPr>
        <w:tc>
          <w:tcPr>
            <w:tcW w:w="4540" w:type="dxa"/>
            <w:vAlign w:val="bottom"/>
            <w:gridSpan w:val="8"/>
          </w:tcPr>
          <w:p>
            <w:pPr>
              <w:ind w:left="120"/>
              <w:spacing w:after="0"/>
              <w:rPr>
                <w:sz w:val="20"/>
                <w:szCs w:val="20"/>
                <w:color w:val="auto"/>
              </w:rPr>
            </w:pPr>
            <w:r>
              <w:rPr>
                <w:rFonts w:ascii="Arial" w:cs="Arial" w:eastAsia="Arial" w:hAnsi="Arial"/>
                <w:sz w:val="13"/>
                <w:szCs w:val="13"/>
                <w:b w:val="1"/>
                <w:bCs w:val="1"/>
                <w:color w:val="auto"/>
              </w:rPr>
              <w:t>Total Senior Secured Term Loans - 1.61%*</w:t>
            </w: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19,172</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9,290</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44"/>
        </w:trPr>
        <w:tc>
          <w:tcPr>
            <w:tcW w:w="2440" w:type="dxa"/>
            <w:vAlign w:val="bottom"/>
            <w:tcBorders>
              <w:left w:val="single" w:sz="8" w:color="CFF0FC"/>
            </w:tcBorders>
            <w:gridSpan w:val="6"/>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Total Control Investments - 1.61%*</w:t>
            </w:r>
          </w:p>
        </w:tc>
        <w:tc>
          <w:tcPr>
            <w:tcW w:w="380" w:type="dxa"/>
            <w:vAlign w:val="bottom"/>
            <w:shd w:val="clear" w:color="auto" w:fill="CFF0FC"/>
          </w:tcPr>
          <w:p>
            <w:pPr>
              <w:spacing w:after="0"/>
              <w:rPr>
                <w:sz w:val="12"/>
                <w:szCs w:val="12"/>
                <w:color w:val="auto"/>
              </w:rPr>
            </w:pPr>
          </w:p>
        </w:tc>
        <w:tc>
          <w:tcPr>
            <w:tcW w:w="17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19,172</w:t>
            </w:r>
          </w:p>
        </w:tc>
        <w:tc>
          <w:tcPr>
            <w:tcW w:w="1080" w:type="dxa"/>
            <w:vAlign w:val="bottom"/>
            <w:gridSpan w:val="3"/>
            <w:shd w:val="clear" w:color="auto" w:fill="CFF0FC"/>
          </w:tcPr>
          <w:p>
            <w:pPr>
              <w:jc w:val="right"/>
              <w:spacing w:after="0" w:line="144" w:lineRule="exact"/>
              <w:rPr>
                <w:sz w:val="20"/>
                <w:szCs w:val="20"/>
                <w:color w:val="auto"/>
              </w:rPr>
            </w:pPr>
            <w:r>
              <w:rPr>
                <w:rFonts w:ascii="Arial" w:cs="Arial" w:eastAsia="Arial" w:hAnsi="Arial"/>
                <w:sz w:val="13"/>
                <w:szCs w:val="13"/>
                <w:color w:val="auto"/>
              </w:rPr>
              <w:t>9,290</w:t>
            </w: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r>
      <w:tr>
        <w:trPr>
          <w:trHeight w:val="36"/>
        </w:trPr>
        <w:tc>
          <w:tcPr>
            <w:tcW w:w="120" w:type="dxa"/>
            <w:vAlign w:val="bottom"/>
            <w:tcBorders>
              <w:left w:val="single" w:sz="8" w:color="CFF0FC"/>
            </w:tcBorders>
            <w:shd w:val="clear" w:color="auto" w:fill="000000"/>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60" w:type="dxa"/>
            <w:vAlign w:val="bottom"/>
            <w:tcBorders>
              <w:right w:val="single" w:sz="8" w:color="CFF0FC"/>
            </w:tcBorders>
            <w:shd w:val="clear" w:color="auto" w:fill="000000"/>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17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r>
        <w:trPr>
          <w:trHeight w:val="336"/>
        </w:trPr>
        <w:tc>
          <w:tcPr>
            <w:tcW w:w="2440" w:type="dxa"/>
            <w:vAlign w:val="bottom"/>
            <w:gridSpan w:val="6"/>
          </w:tcPr>
          <w:p>
            <w:pPr>
              <w:ind w:left="20"/>
              <w:spacing w:after="0"/>
              <w:rPr>
                <w:sz w:val="20"/>
                <w:szCs w:val="20"/>
                <w:color w:val="auto"/>
              </w:rPr>
            </w:pPr>
            <w:r>
              <w:rPr>
                <w:rFonts w:ascii="Arial" w:cs="Arial" w:eastAsia="Arial" w:hAnsi="Arial"/>
                <w:sz w:val="13"/>
                <w:szCs w:val="13"/>
                <w:b w:val="1"/>
                <w:bCs w:val="1"/>
                <w:color w:val="auto"/>
              </w:rPr>
              <w:t>Total Investments - 195.52%*</w:t>
            </w: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1,150,602</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   1,126,309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1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6"/>
        </w:trPr>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125" w:lineRule="exact"/>
        <w:rPr>
          <w:sz w:val="20"/>
          <w:szCs w:val="20"/>
          <w:color w:val="auto"/>
        </w:rPr>
      </w:pPr>
    </w:p>
    <w:p>
      <w:pPr>
        <w:ind w:left="240" w:right="60" w:hanging="180"/>
        <w:spacing w:after="0" w:line="159" w:lineRule="exact"/>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Disclosures of interest rates on notes include cash interest rates and payment-in-kind (“PIK”) interest rates, as applicable. Unless otherwise indicated, all of the Company’s variable interest rate debt instruments bear interest at a rate that is determined by reference to the 3</w:t>
      </w:r>
      <w:r>
        <w:rPr>
          <w:rFonts w:ascii="MS PGothic" w:cs="MS PGothic" w:eastAsia="MS PGothic" w:hAnsi="MS PGothic"/>
          <w:sz w:val="13"/>
          <w:szCs w:val="13"/>
          <w:color w:val="auto"/>
        </w:rPr>
        <w:t>‑</w:t>
      </w:r>
      <w:r>
        <w:rPr>
          <w:rFonts w:ascii="Arial" w:cs="Arial" w:eastAsia="Arial" w:hAnsi="Arial"/>
          <w:sz w:val="13"/>
          <w:szCs w:val="13"/>
          <w:color w:val="auto"/>
        </w:rPr>
        <w:t>Month London Interbank Offered Rate (“LIBOR”), the U.S. Prime Rate, or the 3-Month Secured Overnight Financing Rate ("SOFR"). At December 31, 2022, the 3</w:t>
      </w:r>
      <w:r>
        <w:rPr>
          <w:rFonts w:ascii="MS PGothic" w:cs="MS PGothic" w:eastAsia="MS PGothic" w:hAnsi="MS PGothic"/>
          <w:sz w:val="13"/>
          <w:szCs w:val="13"/>
          <w:color w:val="auto"/>
        </w:rPr>
        <w:t>‑</w:t>
      </w:r>
      <w:r>
        <w:rPr>
          <w:rFonts w:ascii="Arial" w:cs="Arial" w:eastAsia="Arial" w:hAnsi="Arial"/>
          <w:sz w:val="13"/>
          <w:szCs w:val="13"/>
          <w:color w:val="auto"/>
        </w:rPr>
        <w:t>Month LIBOR was 4.77%, the U.S. Prime Rate was 7.50%, and the 3-Month SOFR was 4.79%.</w:t>
      </w:r>
    </w:p>
    <w:p>
      <w:pPr>
        <w:spacing w:after="0" w:line="14" w:lineRule="exact"/>
        <w:rPr>
          <w:rFonts w:ascii="Arial" w:cs="Arial" w:eastAsia="Arial" w:hAnsi="Arial"/>
          <w:sz w:val="17"/>
          <w:szCs w:val="17"/>
          <w:color w:val="auto"/>
          <w:vertAlign w:val="superscript"/>
        </w:rPr>
      </w:pPr>
    </w:p>
    <w:p>
      <w:pPr>
        <w:ind w:left="240" w:right="220" w:hanging="180"/>
        <w:spacing w:after="0" w:line="231" w:lineRule="auto"/>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16" w:lineRule="exact"/>
        <w:rPr>
          <w:rFonts w:ascii="Arial" w:cs="Arial" w:eastAsia="Arial" w:hAnsi="Arial"/>
          <w:sz w:val="17"/>
          <w:szCs w:val="17"/>
          <w:color w:val="auto"/>
          <w:vertAlign w:val="superscript"/>
        </w:rPr>
      </w:pPr>
    </w:p>
    <w:p>
      <w:pPr>
        <w:ind w:left="240" w:hanging="180"/>
        <w:spacing w:after="0" w:line="236" w:lineRule="auto"/>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Investment is not a qualifying asset as defined under Section 55(a) of the Investment Company Act of 1940, as amended (the “1940 Act”). Non-qualifying assets at fair value represent 10.65% of total assets as of December 31,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ind w:left="240" w:hanging="180"/>
        <w:spacing w:after="0" w:line="221" w:lineRule="auto"/>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Represents a PIK security. PIK interest is accrued and will be paid at maturity.</w:t>
      </w:r>
    </w:p>
    <w:p>
      <w:pPr>
        <w:spacing w:after="0" w:line="4" w:lineRule="exact"/>
        <w:rPr>
          <w:rFonts w:ascii="Arial" w:cs="Arial" w:eastAsia="Arial" w:hAnsi="Arial"/>
          <w:sz w:val="17"/>
          <w:szCs w:val="17"/>
          <w:color w:val="auto"/>
          <w:vertAlign w:val="superscript"/>
        </w:rPr>
      </w:pPr>
    </w:p>
    <w:p>
      <w:pPr>
        <w:ind w:left="240" w:hanging="180"/>
        <w:spacing w:after="0" w:line="216" w:lineRule="auto"/>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Disclosures of end-of-term-payments (“ETP”) are one-time payments stated as a percentage of original principal amount.</w:t>
      </w:r>
    </w:p>
    <w:p>
      <w:pPr>
        <w:spacing w:after="0" w:line="4" w:lineRule="exact"/>
        <w:rPr>
          <w:rFonts w:ascii="Arial" w:cs="Arial" w:eastAsia="Arial" w:hAnsi="Arial"/>
          <w:sz w:val="17"/>
          <w:szCs w:val="17"/>
          <w:color w:val="auto"/>
          <w:vertAlign w:val="superscript"/>
        </w:rPr>
      </w:pPr>
    </w:p>
    <w:p>
      <w:pPr>
        <w:ind w:left="240" w:hanging="180"/>
        <w:spacing w:after="0" w:line="216" w:lineRule="auto"/>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Investments are held at Fair Value net of the Fair Value of Unfunded Commitments. Refer to "Note 8 – Commitments and Contingencies" for additional detail.</w:t>
      </w:r>
    </w:p>
    <w:p>
      <w:pPr>
        <w:spacing w:after="0" w:line="4" w:lineRule="exact"/>
        <w:rPr>
          <w:rFonts w:ascii="Arial" w:cs="Arial" w:eastAsia="Arial" w:hAnsi="Arial"/>
          <w:sz w:val="17"/>
          <w:szCs w:val="17"/>
          <w:color w:val="auto"/>
          <w:vertAlign w:val="superscript"/>
        </w:rPr>
      </w:pPr>
    </w:p>
    <w:p>
      <w:pPr>
        <w:ind w:left="240" w:hanging="180"/>
        <w:spacing w:after="0" w:line="216" w:lineRule="auto"/>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Investments are non-income producing.</w:t>
      </w:r>
    </w:p>
    <w:p>
      <w:pPr>
        <w:spacing w:after="0" w:line="4" w:lineRule="exact"/>
        <w:rPr>
          <w:rFonts w:ascii="Arial" w:cs="Arial" w:eastAsia="Arial" w:hAnsi="Arial"/>
          <w:sz w:val="17"/>
          <w:szCs w:val="17"/>
          <w:color w:val="auto"/>
          <w:vertAlign w:val="superscript"/>
        </w:rPr>
      </w:pPr>
    </w:p>
    <w:p>
      <w:pPr>
        <w:ind w:left="240" w:hanging="180"/>
        <w:spacing w:after="0" w:line="216" w:lineRule="auto"/>
        <w:tabs>
          <w:tab w:leader="none" w:pos="24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The investment is an eligible loan investment in the collateral under the Credit Facility (as defined in "Note 7 – Borrowings").</w:t>
      </w:r>
    </w:p>
    <w:p>
      <w:pPr>
        <w:spacing w:after="0" w:line="4" w:lineRule="exact"/>
        <w:rPr>
          <w:rFonts w:ascii="Arial" w:cs="Arial" w:eastAsia="Arial" w:hAnsi="Arial"/>
          <w:sz w:val="17"/>
          <w:szCs w:val="17"/>
          <w:color w:val="auto"/>
          <w:vertAlign w:val="superscript"/>
        </w:rPr>
      </w:pPr>
    </w:p>
    <w:p>
      <w:pPr>
        <w:ind w:left="240" w:hanging="180"/>
        <w:spacing w:after="0" w:line="190" w:lineRule="auto"/>
        <w:tabs>
          <w:tab w:leader="none" w:pos="2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All portfolio companies are domiciled in the United States, unless otherwise noted.</w:t>
      </w:r>
    </w:p>
    <w:p>
      <w:pPr>
        <w:spacing w:after="0" w:line="26" w:lineRule="exact"/>
        <w:rPr>
          <w:sz w:val="20"/>
          <w:szCs w:val="20"/>
          <w:color w:val="auto"/>
        </w:rPr>
      </w:pPr>
    </w:p>
    <w:p>
      <w:pPr>
        <w:ind w:left="240" w:hanging="198"/>
        <w:spacing w:after="0"/>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Portfolio company is domiciled in Canada.</w:t>
      </w:r>
    </w:p>
    <w:p>
      <w:pPr>
        <w:spacing w:after="0" w:line="4" w:lineRule="exact"/>
        <w:rPr>
          <w:rFonts w:ascii="Arial" w:cs="Arial" w:eastAsia="Arial" w:hAnsi="Arial"/>
          <w:sz w:val="16"/>
          <w:szCs w:val="16"/>
          <w:color w:val="auto"/>
          <w:vertAlign w:val="superscript"/>
        </w:rPr>
      </w:pPr>
    </w:p>
    <w:p>
      <w:pPr>
        <w:ind w:left="240" w:hanging="198"/>
        <w:spacing w:after="0" w:line="229"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Portfolio company is domiciled in Germany</w:t>
      </w:r>
    </w:p>
    <w:p>
      <w:pPr>
        <w:spacing w:after="0" w:line="4" w:lineRule="exact"/>
        <w:rPr>
          <w:rFonts w:ascii="Arial" w:cs="Arial" w:eastAsia="Arial" w:hAnsi="Arial"/>
          <w:sz w:val="16"/>
          <w:szCs w:val="16"/>
          <w:color w:val="auto"/>
          <w:vertAlign w:val="superscript"/>
        </w:rPr>
      </w:pPr>
    </w:p>
    <w:p>
      <w:pPr>
        <w:ind w:left="240" w:hanging="198"/>
        <w:spacing w:after="0" w:line="229"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Portfolio company is domiciled in United Kingdom.</w:t>
      </w:r>
    </w:p>
    <w:p>
      <w:pPr>
        <w:spacing w:after="0" w:line="4" w:lineRule="exact"/>
        <w:rPr>
          <w:rFonts w:ascii="Arial" w:cs="Arial" w:eastAsia="Arial" w:hAnsi="Arial"/>
          <w:sz w:val="16"/>
          <w:szCs w:val="16"/>
          <w:color w:val="auto"/>
          <w:vertAlign w:val="superscript"/>
        </w:rPr>
      </w:pPr>
    </w:p>
    <w:p>
      <w:pPr>
        <w:ind w:left="240" w:hanging="198"/>
        <w:spacing w:after="0" w:line="190"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Investment is either a cash success fee payable or earnout of shares based on the consummation of certain trigger events.</w:t>
      </w:r>
    </w:p>
    <w:p>
      <w:pPr>
        <w:spacing w:after="0" w:line="44" w:lineRule="exact"/>
        <w:rPr>
          <w:rFonts w:ascii="Arial" w:cs="Arial" w:eastAsia="Arial" w:hAnsi="Arial"/>
          <w:sz w:val="16"/>
          <w:szCs w:val="16"/>
          <w:color w:val="auto"/>
          <w:vertAlign w:val="superscript"/>
        </w:rPr>
      </w:pPr>
    </w:p>
    <w:p>
      <w:pPr>
        <w:ind w:left="240" w:right="780" w:hanging="198"/>
        <w:spacing w:after="0" w:line="239"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Control portfolio company, as defined under the 1940 Act, in which the Company owns more than 25% of the investment’s voting securities or has greater than 50% representation on its board.</w:t>
      </w:r>
    </w:p>
    <w:p>
      <w:pPr>
        <w:ind w:left="240" w:hanging="198"/>
        <w:spacing w:after="0" w:line="234"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Portfolio company is publicly traded and listed on NASDAQ.</w:t>
      </w:r>
    </w:p>
    <w:p>
      <w:pPr>
        <w:spacing w:after="0" w:line="4" w:lineRule="exact"/>
        <w:rPr>
          <w:rFonts w:ascii="Arial" w:cs="Arial" w:eastAsia="Arial" w:hAnsi="Arial"/>
          <w:sz w:val="16"/>
          <w:szCs w:val="16"/>
          <w:color w:val="auto"/>
          <w:vertAlign w:val="superscript"/>
        </w:rPr>
      </w:pPr>
    </w:p>
    <w:p>
      <w:pPr>
        <w:ind w:left="240" w:hanging="198"/>
        <w:spacing w:after="0" w:line="229"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The warrant count is based upon a percentage of ownership of Fidelis Cybersecurity, Inc.</w:t>
      </w:r>
    </w:p>
    <w:p>
      <w:pPr>
        <w:spacing w:after="0" w:line="4" w:lineRule="exact"/>
        <w:rPr>
          <w:rFonts w:ascii="Arial" w:cs="Arial" w:eastAsia="Arial" w:hAnsi="Arial"/>
          <w:sz w:val="16"/>
          <w:szCs w:val="16"/>
          <w:color w:val="auto"/>
          <w:vertAlign w:val="superscript"/>
        </w:rPr>
      </w:pPr>
    </w:p>
    <w:p>
      <w:pPr>
        <w:ind w:left="240" w:hanging="198"/>
        <w:spacing w:after="0" w:line="229"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Investment is not a "restricted security" under the Securities Act.</w:t>
      </w:r>
    </w:p>
    <w:p>
      <w:pPr>
        <w:spacing w:after="0" w:line="15" w:lineRule="exact"/>
        <w:rPr>
          <w:rFonts w:ascii="Arial" w:cs="Arial" w:eastAsia="Arial" w:hAnsi="Arial"/>
          <w:sz w:val="16"/>
          <w:szCs w:val="16"/>
          <w:color w:val="auto"/>
          <w:vertAlign w:val="superscript"/>
        </w:rPr>
      </w:pPr>
    </w:p>
    <w:p>
      <w:pPr>
        <w:ind w:left="240" w:right="160" w:hanging="198"/>
        <w:spacing w:after="0" w:line="239" w:lineRule="auto"/>
        <w:tabs>
          <w:tab w:leader="none" w:pos="24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Affiliate portfolio company as defined under the 1940 Act in which the Company owns between 5% and 25% (inclusive) of the investment's voting securities and does not have rights to maintain greater than 50% representation on the board.</w:t>
      </w:r>
    </w:p>
    <w:p>
      <w:pPr>
        <w:spacing w:after="0" w:line="15" w:lineRule="exact"/>
        <w:rPr>
          <w:rFonts w:ascii="Arial" w:cs="Arial" w:eastAsia="Arial" w:hAnsi="Arial"/>
          <w:sz w:val="16"/>
          <w:szCs w:val="16"/>
          <w:color w:val="auto"/>
          <w:vertAlign w:val="superscript"/>
        </w:rPr>
      </w:pPr>
    </w:p>
    <w:p>
      <w:pPr>
        <w:ind w:left="160" w:right="7040" w:hanging="118"/>
        <w:spacing w:after="0" w:line="280" w:lineRule="auto"/>
        <w:tabs>
          <w:tab w:leader="none" w:pos="232"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Portfolio company is publicly traded and listed on NYSE. * Value as a percentage of net assets.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40" w:orient="portrait"/>
          <w:cols w:equalWidth="0" w:num="1">
            <w:col w:w="10560"/>
          </w:cols>
          <w:pgMar w:left="660" w:top="562" w:right="680" w:bottom="1440" w:gutter="0" w:footer="0" w:header="0"/>
        </w:sectPr>
      </w:pPr>
    </w:p>
    <w:bookmarkStart w:id="22" w:name="page23"/>
    <w:bookmarkEnd w:id="22"/>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RUNWAY GROWTH FINANCE CORP.</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Financial Statements</w:t>
      </w: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Organization</w:t>
      </w:r>
    </w:p>
    <w:p>
      <w:pPr>
        <w:spacing w:after="0" w:line="19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spacing w:after="0" w:line="17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Company was formed primarily to lend to, and selectively invest in, high growth- 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7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On October 25, 2021, the Company closed its initial public offering ("IPO"), issuing 6,850,000 shares of its common stock on the Nasdaq Global Select Market LLC under the symbol “RWAY”.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96" w:lineRule="exact"/>
        <w:rPr>
          <w:sz w:val="20"/>
          <w:szCs w:val="20"/>
          <w:color w:val="auto"/>
        </w:rPr>
      </w:pPr>
    </w:p>
    <w:p>
      <w:pPr>
        <w:ind w:right="80"/>
        <w:spacing w:after="0" w:line="184" w:lineRule="exact"/>
        <w:rPr>
          <w:sz w:val="20"/>
          <w:szCs w:val="20"/>
          <w:color w:val="auto"/>
        </w:rPr>
      </w:pPr>
      <w:r>
        <w:rPr>
          <w:rFonts w:ascii="Arial" w:cs="Arial" w:eastAsia="Arial" w:hAnsi="Arial"/>
          <w:sz w:val="16"/>
          <w:szCs w:val="16"/>
          <w:color w:val="auto"/>
        </w:rPr>
        <w:t>The accompanying interim unaudited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6"/>
          <w:szCs w:val="16"/>
          <w:color w:val="auto"/>
        </w:rPr>
        <w:t>‑</w:t>
      </w:r>
      <w:r>
        <w:rPr>
          <w:rFonts w:ascii="Arial" w:cs="Arial" w:eastAsia="Arial" w:hAnsi="Arial"/>
          <w:sz w:val="16"/>
          <w:szCs w:val="16"/>
          <w:color w:val="auto"/>
        </w:rPr>
        <w:t>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76" w:lineRule="exact"/>
        <w:rPr>
          <w:sz w:val="20"/>
          <w:szCs w:val="20"/>
          <w:color w:val="auto"/>
        </w:rPr>
      </w:pPr>
    </w:p>
    <w:p>
      <w:pPr>
        <w:jc w:val="both"/>
        <w:ind w:right="20"/>
        <w:spacing w:after="0" w:line="281" w:lineRule="auto"/>
        <w:rPr>
          <w:sz w:val="20"/>
          <w:szCs w:val="20"/>
          <w:color w:val="auto"/>
        </w:rPr>
      </w:pPr>
      <w:r>
        <w:rPr>
          <w:rFonts w:ascii="Arial" w:cs="Arial" w:eastAsia="Arial" w:hAnsi="Arial"/>
          <w:sz w:val="14"/>
          <w:szCs w:val="14"/>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2023. The interim unaudited financial statements and notes hereto should be read in conjunction with the audited financial statements and notes thereto contained in the Company’s annual report on Form 10-K for the year ended December 31, 2022, filed with the Securities and Exchange Commission (the "SEC") on March 2, 2023.</w:t>
      </w:r>
    </w:p>
    <w:p>
      <w:pPr>
        <w:spacing w:after="0" w:line="150"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Certain items in the June 30, 2022 and December 31, 2022 financial statements have been reclassified to conform to the June 30, 2023 presentation with no effect on the net assets on the Statements of Assets and Liabilities, and no net effect on the net increase in net assets resulting from operations on the Statements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96"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62" w:right="740" w:bottom="1440" w:gutter="0" w:footer="0" w:header="0"/>
        </w:sectPr>
      </w:pPr>
    </w:p>
    <w:bookmarkStart w:id="23" w:name="page24"/>
    <w:bookmarkEnd w:id="23"/>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Cash consists solely of funds deposited with financial institutions, while cash equivalents consists of short -term liquid investments in money market funds. Cash and cash equivalents are carried at cost, which approximates fair value. As of June 30, 2023 and December 31, 2022, $37.6 million and $5.6 million were invested in money market funds, respectively. Interest earned in money market funds are recorded in Other income on the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Deferred Debt Costs</w:t>
      </w:r>
    </w:p>
    <w:p>
      <w:pPr>
        <w:spacing w:after="0" w:line="196"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The debt of the Company is carried at amortized cost, which is comprised of the principal amount borrowed, net of unamortized debt issuance costs on the Statements of Assets and Liabilities. Debt issuance costs are fees and other direct incremental costs incurred by the Company in relation to debt financing and are recognized as Unamortized deferred debt costs on the Statements of Assets and Liabilities and amortized over the life of the related debt instrument, or the life of the cost respective service if shorter, using the straight-line method, which closely approximates the effective yield method. To the extent there are no outstanding borrowings, the deferred debt costs are presented as an asset on the Statements of Assets and Liabilities.</w:t>
      </w:r>
    </w:p>
    <w:p>
      <w:pPr>
        <w:spacing w:after="0" w:line="150"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Amortization of deferred debt costs and interest expense on the outstanding principal balance are recorded in Interest and other deferred financing expenses on the Statements of Operations. Accrued but unpaid interest is included within Interest payable on the Statements of Assets and Liabilities. For more information, refer to “Note 7 – Borrowings.”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Transactions and Related Investment Income</w:t>
      </w:r>
    </w:p>
    <w:p>
      <w:pPr>
        <w:spacing w:after="0" w:line="196" w:lineRule="exact"/>
        <w:rPr>
          <w:sz w:val="20"/>
          <w:szCs w:val="20"/>
          <w:color w:val="auto"/>
        </w:rPr>
      </w:pPr>
    </w:p>
    <w:p>
      <w:pPr>
        <w:ind w:right="20"/>
        <w:spacing w:after="0"/>
        <w:rPr>
          <w:sz w:val="20"/>
          <w:szCs w:val="20"/>
          <w:color w:val="auto"/>
        </w:rPr>
      </w:pPr>
      <w:r>
        <w:rPr>
          <w:rFonts w:ascii="Arial" w:cs="Arial" w:eastAsia="Arial" w:hAnsi="Arial"/>
          <w:sz w:val="16"/>
          <w:szCs w:val="16"/>
          <w:color w:val="auto"/>
        </w:rPr>
        <w:t>Security transactions, if any, are recorded on a trade- 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gain (loss) on investments on the Statements of Operations.</w:t>
      </w:r>
    </w:p>
    <w:p>
      <w:pPr>
        <w:spacing w:after="0" w:line="17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debt investment, any unamortized loan origination fees, end-of-term payments, and unamortized market discounts are recorded as interest income and any prepayment penalties are recorded as fee income. Upon amending terms of an existing investment, any amendment fees charged are recorded as fee income.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4" w:name="page25"/>
    <w:bookmarkEnd w:id="24"/>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 in- 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 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three and six months ended June 30, 2023, approximately 15.3% and 12.6%, respectively, of the Company’s total investment income was attributable to non- cash PIK interest. For the three and six months ended June 30, 2022, approximately 14.8% and 11.6%, respectively, of the Company’s total investment income was attributable to non-cash PIK interest.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Non-Accrual of Investments</w:t>
      </w:r>
    </w:p>
    <w:p>
      <w:pPr>
        <w:spacing w:after="0" w:line="196"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Debt investments are placed on non-accrual status when principal, interest, and other obligations become materially past due or when there is reasonable doubt that principal, interest, or other obligations will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 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51" w:lineRule="exact"/>
        <w:rPr>
          <w:sz w:val="20"/>
          <w:szCs w:val="20"/>
          <w:color w:val="auto"/>
        </w:rPr>
      </w:pPr>
    </w:p>
    <w:p>
      <w:pPr>
        <w:ind w:right="400"/>
        <w:spacing w:after="0" w:line="275" w:lineRule="auto"/>
        <w:rPr>
          <w:sz w:val="20"/>
          <w:szCs w:val="20"/>
          <w:color w:val="auto"/>
        </w:rPr>
      </w:pPr>
      <w:r>
        <w:rPr>
          <w:rFonts w:ascii="Arial" w:cs="Arial" w:eastAsia="Arial" w:hAnsi="Arial"/>
          <w:sz w:val="14"/>
          <w:szCs w:val="14"/>
          <w:color w:val="auto"/>
        </w:rPr>
        <w:t>As of June 30, 2023, and December 31, 2022, the Company has not written off any accrued and uncollected PIK interest. As of June 30, 2023, the Company had one loan to Pivot3, Inc. on non-accrual status. The loan, with a cost basis of $18.0 million and a fair value of $11.6 million, represents</w:t>
      </w:r>
    </w:p>
    <w:p>
      <w:pPr>
        <w:spacing w:after="0" w:line="1" w:lineRule="exact"/>
        <w:rPr>
          <w:sz w:val="20"/>
          <w:szCs w:val="20"/>
          <w:color w:val="auto"/>
        </w:rPr>
      </w:pPr>
    </w:p>
    <w:p>
      <w:pPr>
        <w:ind w:right="120"/>
        <w:spacing w:after="0" w:line="276" w:lineRule="auto"/>
        <w:rPr>
          <w:sz w:val="20"/>
          <w:szCs w:val="20"/>
          <w:color w:val="auto"/>
        </w:rPr>
      </w:pPr>
      <w:r>
        <w:rPr>
          <w:rFonts w:ascii="Arial" w:cs="Arial" w:eastAsia="Arial" w:hAnsi="Arial"/>
          <w:sz w:val="14"/>
          <w:szCs w:val="14"/>
          <w:color w:val="auto"/>
        </w:rPr>
        <w:t>1.06% of the Company’s total investment portfolio. From being placed on non-accrual status through June 30, 2023, cumulative interest of $5.1 million would be receivable and $0.3 million OID would be accreted into the cost basis, for a total of $5.4 million not recorded in interest income from control investments on the Statement of Operations. As of December 31, 2022, the Company had one loan to Pivot3, Inc. on non-accrual status. The loan, with a cost basis of $19.2 million and a fair value of $9.3 million, represents 0.8% of the Company’s total investment portfolio. From being placed on non-accrual status through December 31, 2022, cumulative interest of $3.6 million would be payable and $0.3 million OID would be accreted into the cost basis, for a total of $3.9 million not recorded in interest income from control investments on the Statement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90"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 xml:space="preserve">The Company measures the value of its financial instruments at fair value in accordance with ASC </w:t>
      </w:r>
      <w:r>
        <w:rPr>
          <w:rFonts w:ascii="Arial" w:cs="Arial" w:eastAsia="Arial" w:hAnsi="Arial"/>
          <w:sz w:val="16"/>
          <w:szCs w:val="16"/>
          <w:i w:val="1"/>
          <w:iCs w:val="1"/>
          <w:color w:val="auto"/>
        </w:rPr>
        <w:t>Topic 820, Fair Value Measurements and Disclosure</w:t>
      </w:r>
      <w:r>
        <w:rPr>
          <w:rFonts w:ascii="Arial" w:cs="Arial" w:eastAsia="Arial" w:hAnsi="Arial"/>
          <w:sz w:val="16"/>
          <w:szCs w:val="16"/>
          <w:color w:val="auto"/>
        </w:rPr>
        <w:t xml:space="preserve"> (“ASC Topic 820”), issued by the FASB. Fair value is the price that would be received to sell an asset or paid to transfer a liability in an orderly transaction between market participants at the measurement date. With the exception of the Company’s borrowings, which are reported at amortized cost, all assets and liabilities approximate fair value on the Statements of Assets and Liabilities.</w:t>
      </w:r>
    </w:p>
    <w:p>
      <w:pPr>
        <w:spacing w:after="0" w:line="173" w:lineRule="exact"/>
        <w:rPr>
          <w:sz w:val="20"/>
          <w:szCs w:val="20"/>
          <w:color w:val="auto"/>
        </w:rPr>
      </w:pPr>
    </w:p>
    <w:p>
      <w:pPr>
        <w:ind w:right="60"/>
        <w:spacing w:after="0"/>
        <w:rPr>
          <w:sz w:val="20"/>
          <w:szCs w:val="20"/>
          <w:color w:val="auto"/>
        </w:rPr>
      </w:pPr>
      <w:r>
        <w:rPr>
          <w:rFonts w:ascii="Arial" w:cs="Arial" w:eastAsia="Arial" w:hAnsi="Arial"/>
          <w:sz w:val="16"/>
          <w:szCs w:val="16"/>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1—Valuations are based on quoted prices in active markets for identical assets or liabilities that are accessible at the measurement date.</w:t>
      </w:r>
    </w:p>
    <w:p>
      <w:pPr>
        <w:spacing w:after="0" w:line="92" w:lineRule="exact"/>
        <w:rPr>
          <w:sz w:val="20"/>
          <w:szCs w:val="20"/>
          <w:color w:val="auto"/>
        </w:rPr>
      </w:pPr>
    </w:p>
    <w:p>
      <w:pPr>
        <w:ind w:left="280" w:right="340"/>
        <w:spacing w:after="0" w:line="252" w:lineRule="auto"/>
        <w:rPr>
          <w:sz w:val="20"/>
          <w:szCs w:val="20"/>
          <w:color w:val="auto"/>
        </w:rPr>
      </w:pPr>
      <w:r>
        <w:rPr>
          <w:rFonts w:ascii="Arial" w:cs="Arial" w:eastAsia="Arial" w:hAnsi="Arial"/>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66" w:lineRule="exact"/>
        <w:rPr>
          <w:sz w:val="20"/>
          <w:szCs w:val="20"/>
          <w:color w:val="auto"/>
        </w:rPr>
      </w:pPr>
    </w:p>
    <w:p>
      <w:pPr>
        <w:ind w:left="280" w:right="60"/>
        <w:spacing w:after="0"/>
        <w:rPr>
          <w:sz w:val="20"/>
          <w:szCs w:val="20"/>
          <w:color w:val="auto"/>
        </w:rPr>
      </w:pPr>
      <w:r>
        <w:rPr>
          <w:rFonts w:ascii="Arial" w:cs="Arial" w:eastAsia="Arial" w:hAnsi="Arial"/>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5" w:name="page26"/>
    <w:bookmarkEnd w:id="25"/>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 financial instrument’s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instrument.</w:t>
      </w:r>
    </w:p>
    <w:p>
      <w:pPr>
        <w:spacing w:after="0" w:line="173" w:lineRule="exact"/>
        <w:rPr>
          <w:sz w:val="20"/>
          <w:szCs w:val="20"/>
          <w:color w:val="auto"/>
        </w:rPr>
      </w:pPr>
    </w:p>
    <w:p>
      <w:pPr>
        <w:jc w:val="both"/>
        <w:ind w:right="100"/>
        <w:spacing w:after="0" w:line="238"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78"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Rule 2a-5 under the 1940 Act was adopted by the SEC in December 2020 and establishes requirements for determining fair value in good faith for purposes of the 1940 Act. Rule 2a-5 permits boards, subject to board oversight and certain other conditions, to designate certain parties to perform fair value determinations. Rule 2a-5 also defines when market quotations are "readily available" for purposes of the 1940 Act and the threshold for determining whether a fund must determine the fair value of a security. The SEC also adopted new Rule 31a-4 under the 1940 Act ("Rule 31a -4"), which provides the recordkeeping requirements associated with fair value determinations. Finally, the SEC rescinded previously issued guidance on related issues, including the role of the board in determining fair value and the accounting and auditing of fund investments. Rule 2a-5 and Rule 31a- 4 became effective on March 8, 2021, and had a compliance date of September 8, 2022. While the Company's Board of Directors has not designated a valuation designee, the Company has adopted certain revisions to its valuation policies and procedures in order comply with the applicable requirements of Rule 2a-5 and Rule 31a-4.</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Valuation Techniques</w:t>
      </w:r>
    </w:p>
    <w:p>
      <w:pPr>
        <w:spacing w:after="0" w:line="19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With respect to investments for which market quotations are not readily available, the Company undertakes a multi-step valuation process each quarter, as described below:</w:t>
      </w:r>
    </w:p>
    <w:p>
      <w:pPr>
        <w:spacing w:after="0" w:line="130" w:lineRule="exact"/>
        <w:rPr>
          <w:sz w:val="20"/>
          <w:szCs w:val="20"/>
          <w:color w:val="auto"/>
        </w:rPr>
      </w:pPr>
    </w:p>
    <w:p>
      <w:pPr>
        <w:ind w:left="280" w:right="280"/>
        <w:spacing w:after="0" w:line="252" w:lineRule="auto"/>
        <w:rPr>
          <w:sz w:val="20"/>
          <w:szCs w:val="20"/>
          <w:color w:val="auto"/>
        </w:rPr>
      </w:pPr>
      <w:r>
        <w:rPr>
          <w:rFonts w:ascii="Arial" w:cs="Arial" w:eastAsia="Arial" w:hAnsi="Arial"/>
          <w:sz w:val="16"/>
          <w:szCs w:val="16"/>
          <w:color w:val="auto"/>
        </w:rPr>
        <w:t>•The quarterly valuation process begins with each portfolio company investment being initially valued by RGC’s investment professionals that are responsible for the portfolio investment;</w:t>
      </w:r>
    </w:p>
    <w:p>
      <w:pPr>
        <w:spacing w:after="0" w:line="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•Preliminary valuation conclusions are then documented and discussed with RGC’s senior investment team;</w:t>
      </w:r>
    </w:p>
    <w:p>
      <w:pPr>
        <w:spacing w:after="0" w:line="92" w:lineRule="exact"/>
        <w:rPr>
          <w:sz w:val="20"/>
          <w:szCs w:val="20"/>
          <w:color w:val="auto"/>
        </w:rPr>
      </w:pPr>
    </w:p>
    <w:p>
      <w:pPr>
        <w:ind w:left="280" w:right="60"/>
        <w:spacing w:after="0" w:line="243" w:lineRule="auto"/>
        <w:rPr>
          <w:sz w:val="20"/>
          <w:szCs w:val="20"/>
          <w:color w:val="auto"/>
        </w:rPr>
      </w:pPr>
      <w:r>
        <w:rPr>
          <w:rFonts w:ascii="Arial" w:cs="Arial" w:eastAsia="Arial" w:hAnsi="Arial"/>
          <w:sz w:val="16"/>
          <w:szCs w:val="16"/>
          <w:color w:val="auto"/>
        </w:rPr>
        <w:t>•At least once annually, the valuation for each portfolio investment is reviewed by an independent valuation firm. Certain investments, however, may not be evaluated by an independent valuation firm if the net asset value and other aspects of such investments in the aggregate do not exceed certain thresholds;</w:t>
      </w:r>
    </w:p>
    <w:p>
      <w:pPr>
        <w:spacing w:after="0" w:line="77" w:lineRule="exact"/>
        <w:rPr>
          <w:sz w:val="20"/>
          <w:szCs w:val="20"/>
          <w:color w:val="auto"/>
        </w:rPr>
      </w:pPr>
    </w:p>
    <w:p>
      <w:pPr>
        <w:ind w:left="280" w:right="20"/>
        <w:spacing w:after="0" w:line="252" w:lineRule="auto"/>
        <w:rPr>
          <w:sz w:val="20"/>
          <w:szCs w:val="20"/>
          <w:color w:val="auto"/>
        </w:rPr>
      </w:pPr>
      <w:r>
        <w:rPr>
          <w:rFonts w:ascii="Arial" w:cs="Arial" w:eastAsia="Arial" w:hAnsi="Arial"/>
          <w:sz w:val="16"/>
          <w:szCs w:val="16"/>
          <w:color w:val="auto"/>
        </w:rPr>
        <w:t>•The Audit Committee then reviews these preliminary valuations from RGC and the independent valuation firm, if any, and makes a recommendation to the Company’s Board of Directors regarding such valuations; and</w:t>
      </w:r>
    </w:p>
    <w:p>
      <w:pPr>
        <w:spacing w:after="0" w:line="70" w:lineRule="exact"/>
        <w:rPr>
          <w:sz w:val="20"/>
          <w:szCs w:val="20"/>
          <w:color w:val="auto"/>
        </w:rPr>
      </w:pPr>
    </w:p>
    <w:p>
      <w:pPr>
        <w:ind w:left="280" w:right="56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color w:val="231F20"/>
        </w:rPr>
        <w:t>The Company’s Board of Directors reviews the recommended preliminary valuations and determines the fair value of each investment in the</w:t>
      </w:r>
      <w:r>
        <w:rPr>
          <w:rFonts w:ascii="Arial" w:cs="Arial" w:eastAsia="Arial" w:hAnsi="Arial"/>
          <w:sz w:val="16"/>
          <w:szCs w:val="16"/>
          <w:color w:val="auto"/>
        </w:rPr>
        <w:t xml:space="preserve"> </w:t>
      </w:r>
      <w:r>
        <w:rPr>
          <w:rFonts w:ascii="Arial" w:cs="Arial" w:eastAsia="Arial" w:hAnsi="Arial"/>
          <w:sz w:val="16"/>
          <w:szCs w:val="16"/>
          <w:color w:val="231F20"/>
        </w:rPr>
        <w:t>Company’s portfolio, in good faith, based on the input of RGC, the independent valuation firm and the Audit Committee.</w:t>
      </w:r>
    </w:p>
    <w:p>
      <w:pPr>
        <w:spacing w:after="0" w:line="70" w:lineRule="exact"/>
        <w:rPr>
          <w:sz w:val="20"/>
          <w:szCs w:val="20"/>
          <w:color w:val="auto"/>
        </w:rPr>
      </w:pPr>
    </w:p>
    <w:p>
      <w:pPr>
        <w:ind w:right="80"/>
        <w:spacing w:after="0"/>
        <w:rPr>
          <w:sz w:val="20"/>
          <w:szCs w:val="20"/>
          <w:color w:val="auto"/>
        </w:rPr>
      </w:pPr>
      <w:r>
        <w:rPr>
          <w:rFonts w:ascii="Arial" w:cs="Arial" w:eastAsia="Arial" w:hAnsi="Arial"/>
          <w:sz w:val="16"/>
          <w:szCs w:val="16"/>
          <w:color w:val="231F20"/>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and equity instruments and, thus, RGC’s senior investment team must estimate the fair value of these investment securities based on models utilizing unobservable inputs.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62" w:right="700" w:bottom="1440" w:gutter="0" w:footer="0" w:header="0"/>
        </w:sectPr>
      </w:pPr>
    </w:p>
    <w:bookmarkStart w:id="26" w:name="page27"/>
    <w:bookmarkEnd w:id="26"/>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The Audit Committee of the Company’s Board of Directors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76"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Investments</w:t>
      </w:r>
    </w:p>
    <w:p>
      <w:pPr>
        <w:spacing w:after="0" w:line="18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To determine the fair value of the Company’s debt investments, the Company compares the cost basis of the debt investment, which includes OID,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8"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(decreases) in these unobservable inputs could result in a significantly higher (lower) fair value measurements.</w:t>
      </w:r>
    </w:p>
    <w:p>
      <w:pPr>
        <w:spacing w:after="0" w:line="176"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 -weighted cash flow models when the expected future cash flows contain elements of variability or estimates of proceeds that would be received in a liquidation scenario.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7" w:name="page28"/>
    <w:bookmarkEnd w:id="27"/>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Warrants</w:t>
      </w:r>
    </w:p>
    <w:p>
      <w:pPr>
        <w:spacing w:after="0" w:line="15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Fair value of warrants is primarily determined using a Black Scholes option-pricing model. Privately held warrants and equity-related securities are valued based on an analysis of various factors including, but not limited to, the following:</w:t>
      </w:r>
    </w:p>
    <w:p>
      <w:pPr>
        <w:spacing w:after="0" w:line="130" w:lineRule="exact"/>
        <w:rPr>
          <w:sz w:val="20"/>
          <w:szCs w:val="20"/>
          <w:color w:val="auto"/>
        </w:rPr>
      </w:pPr>
    </w:p>
    <w:p>
      <w:pPr>
        <w:ind w:left="280" w:right="20"/>
        <w:spacing w:after="0" w:line="277" w:lineRule="auto"/>
        <w:rPr>
          <w:sz w:val="20"/>
          <w:szCs w:val="20"/>
          <w:color w:val="auto"/>
        </w:rPr>
      </w:pPr>
      <w:r>
        <w:rPr>
          <w:rFonts w:ascii="Arial" w:cs="Arial" w:eastAsia="Arial" w:hAnsi="Arial"/>
          <w:sz w:val="14"/>
          <w:szCs w:val="14"/>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56" w:lineRule="exact"/>
        <w:rPr>
          <w:sz w:val="20"/>
          <w:szCs w:val="20"/>
          <w:color w:val="auto"/>
        </w:rPr>
      </w:pPr>
    </w:p>
    <w:p>
      <w:pPr>
        <w:ind w:left="280" w:right="140"/>
        <w:spacing w:after="0"/>
        <w:rPr>
          <w:sz w:val="20"/>
          <w:szCs w:val="20"/>
          <w:color w:val="auto"/>
        </w:rPr>
      </w:pPr>
      <w:r>
        <w:rPr>
          <w:rFonts w:ascii="Arial" w:cs="Arial" w:eastAsia="Arial" w:hAnsi="Arial"/>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80" w:lineRule="exact"/>
        <w:rPr>
          <w:sz w:val="20"/>
          <w:szCs w:val="20"/>
          <w:color w:val="auto"/>
        </w:rPr>
      </w:pPr>
    </w:p>
    <w:p>
      <w:pPr>
        <w:ind w:left="280" w:right="20"/>
        <w:spacing w:after="0"/>
        <w:rPr>
          <w:sz w:val="20"/>
          <w:szCs w:val="20"/>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80" w:lineRule="exact"/>
        <w:rPr>
          <w:sz w:val="20"/>
          <w:szCs w:val="20"/>
          <w:color w:val="auto"/>
        </w:rPr>
      </w:pPr>
    </w:p>
    <w:p>
      <w:pPr>
        <w:ind w:left="280" w:right="60"/>
        <w:spacing w:after="0"/>
        <w:rPr>
          <w:sz w:val="20"/>
          <w:szCs w:val="20"/>
          <w:color w:val="auto"/>
        </w:rPr>
      </w:pPr>
      <w:r>
        <w:rPr>
          <w:rFonts w:ascii="Arial" w:cs="Arial" w:eastAsia="Arial" w:hAnsi="Arial"/>
          <w:sz w:val="16"/>
          <w:szCs w:val="16"/>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80" w:lineRule="exact"/>
        <w:rPr>
          <w:sz w:val="20"/>
          <w:szCs w:val="20"/>
          <w:color w:val="auto"/>
        </w:rPr>
      </w:pPr>
    </w:p>
    <w:p>
      <w:pPr>
        <w:ind w:left="280"/>
        <w:spacing w:after="0" w:line="238" w:lineRule="auto"/>
        <w:rPr>
          <w:sz w:val="20"/>
          <w:szCs w:val="20"/>
          <w:color w:val="auto"/>
        </w:rPr>
      </w:pPr>
      <w:r>
        <w:rPr>
          <w:rFonts w:ascii="Arial" w:cs="Arial" w:eastAsia="Arial" w:hAnsi="Arial"/>
          <w:sz w:val="16"/>
          <w:szCs w:val="16"/>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82"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Equity Investments</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28" w:name="page29"/>
    <w:bookmarkEnd w:id="28"/>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Classification</w:t>
      </w:r>
    </w:p>
    <w:p>
      <w:pPr>
        <w:spacing w:after="0" w:line="19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Company is a non -diversified company within the meaning of the 1940 Act. 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6"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79"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946-205-45- 3 of the ASC, permanent tax differences are reclassified from accumulated undistributed earnings to paid-in-capital at the end of each year and have no impact on total net assets. For more information, refer to "Note 10 – Income Taxes."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 Share Information</w:t>
      </w:r>
    </w:p>
    <w:p>
      <w:pPr>
        <w:spacing w:after="0" w:line="196"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Basic and diluted earnings (loss) per common share is calculated using the weighted-average number of common shares outstanding for the period presented. For the three and six months ended June 30, 2023 and 2022, basic and diluted earnings per share of common stock were the same because there were no potentially dilutive securities outstanding. Per share data is based on the weighted-average shares outstanding.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29" w:name="page30"/>
    <w:bookmarkEnd w:id="29"/>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w:t>
      </w:r>
    </w:p>
    <w:p>
      <w:pPr>
        <w:spacing w:after="0" w:line="196"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Organization and Offering Costs</w:t>
      </w:r>
    </w:p>
    <w:p>
      <w:pPr>
        <w:spacing w:after="0" w:line="19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Advisory Agreement (as defined below), the Company and RGC agreed that organization and offering costs incurred in connection with the Initial Private Offering would be borne by the Company up to a maximum amount of $1.0 million, provided that the amount of such costs in excess of $1.0 million would be paid by RGC. As of December 31, 2016, the Company had already incurred the maximum amount of $1.0 million in organization and offering costs incurred in connection with the Initial Private Offering.</w:t>
      </w:r>
    </w:p>
    <w:p>
      <w:pPr>
        <w:spacing w:after="0" w:line="175"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Offering costs related to the Second Private Offering were accumulated and charged to additional paid in capital at the time of closing beginning in 2019. These offering costs related to the Second Private Offering were subject to a cap of $0.6 million, excluding placement agent fees which had no cap, of which the Company will bear the cost. At the completion of the Second Private Offering, the Company had accumulated and recorded $0.7 million in offering costs and $0.2 million in placement agent fees related to the Second Private Offering. Under the terms of the Second Private Offering, offering costs in excess of $0.6 million, excluding placement agent fees, were reimbursed by RGC.</w:t>
      </w:r>
    </w:p>
    <w:p>
      <w:pPr>
        <w:spacing w:after="0" w:line="176" w:lineRule="exact"/>
        <w:rPr>
          <w:sz w:val="20"/>
          <w:szCs w:val="20"/>
          <w:color w:val="auto"/>
        </w:rPr>
      </w:pPr>
    </w:p>
    <w:p>
      <w:pPr>
        <w:ind w:right="220"/>
        <w:spacing w:after="0" w:line="295" w:lineRule="auto"/>
        <w:rPr>
          <w:sz w:val="20"/>
          <w:szCs w:val="20"/>
          <w:color w:val="auto"/>
        </w:rPr>
      </w:pPr>
      <w:r>
        <w:rPr>
          <w:rFonts w:ascii="Arial" w:cs="Arial" w:eastAsia="Arial" w:hAnsi="Arial"/>
          <w:sz w:val="14"/>
          <w:szCs w:val="14"/>
          <w:color w:val="auto"/>
        </w:rPr>
        <w:t>Offering costs related to the IPO were accumulated and charged to additional paid in capital at the time of closing in October 2021. The Company had accumulated and recorded $7.0 million of offering costs related to the Company’s IPO. The offering costs were fully born by the Company and included underwriting fees, legal fees, and other costs pertaining to the preparation of the Company’s offering materials as well as travel-related expenses.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In June 2022, the FASB issued ASU 2022 -03, "Fair Value Measurement (Topic 820) - Fair Value Measurement of Equity Securities Subject to Contractual Sale Restrictions", which was issued to (1)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new guidance is effective for interim and annual periods beginning after December 15, 2023. The Company does not anticipate the new standard will have a material impact to the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62" w:right="620" w:bottom="1440" w:gutter="0" w:footer="0" w:header="0"/>
        </w:sectPr>
      </w:pPr>
    </w:p>
    <w:bookmarkStart w:id="30" w:name="page31"/>
    <w:bookmarkEnd w:id="30"/>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Related Party Agreements and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 Amended and Restated Advisory Agreement</w:t>
      </w:r>
    </w:p>
    <w:p>
      <w:pPr>
        <w:spacing w:after="0" w:line="196"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 incentive fee calculation mechanisms and clarify language relating to liquidity events. On May 2, 2023, the Company's Board of Directors renewed the Advisory agreement for a period of twelve months commencing May 27, 2023. Under the terms of the Advisory Agreement, RGC:</w:t>
      </w:r>
    </w:p>
    <w:p>
      <w:pPr>
        <w:spacing w:after="0" w:line="299" w:lineRule="exact"/>
        <w:rPr>
          <w:sz w:val="20"/>
          <w:szCs w:val="20"/>
          <w:color w:val="auto"/>
        </w:rPr>
      </w:pPr>
    </w:p>
    <w:p>
      <w:pPr>
        <w:ind w:left="280" w:right="200"/>
        <w:spacing w:after="0" w:line="252" w:lineRule="auto"/>
        <w:rPr>
          <w:sz w:val="20"/>
          <w:szCs w:val="20"/>
          <w:color w:val="auto"/>
        </w:rPr>
      </w:pPr>
      <w:r>
        <w:rPr>
          <w:rFonts w:ascii="Arial" w:cs="Arial" w:eastAsia="Arial" w:hAnsi="Arial"/>
          <w:sz w:val="16"/>
          <w:szCs w:val="16"/>
          <w:color w:val="auto"/>
        </w:rPr>
        <w:t>•determines the composition of the Company’s portfolio, the nature and timing of the changes to the portfolio and the manner of implementing such changes;</w:t>
      </w:r>
    </w:p>
    <w:p>
      <w:pPr>
        <w:spacing w:after="0" w:line="70" w:lineRule="exact"/>
        <w:rPr>
          <w:sz w:val="20"/>
          <w:szCs w:val="20"/>
          <w:color w:val="auto"/>
        </w:rPr>
      </w:pPr>
    </w:p>
    <w:p>
      <w:pPr>
        <w:ind w:left="280" w:right="4060"/>
        <w:spacing w:after="0" w:line="360" w:lineRule="auto"/>
        <w:rPr>
          <w:sz w:val="20"/>
          <w:szCs w:val="20"/>
          <w:color w:val="auto"/>
        </w:rPr>
      </w:pPr>
      <w:r>
        <w:rPr>
          <w:rFonts w:ascii="Arial" w:cs="Arial" w:eastAsia="Arial" w:hAnsi="Arial"/>
          <w:sz w:val="16"/>
          <w:szCs w:val="16"/>
          <w:color w:val="auto"/>
        </w:rPr>
        <w:t>•identifies, evaluates and negotiates the structure of the investments the Company makes; •executes, closes and monitors the investments the Company makes;</w:t>
      </w:r>
    </w:p>
    <w:p>
      <w:pPr>
        <w:ind w:left="280" w:right="4120"/>
        <w:spacing w:after="0" w:line="360" w:lineRule="auto"/>
        <w:rPr>
          <w:sz w:val="20"/>
          <w:szCs w:val="20"/>
          <w:color w:val="auto"/>
        </w:rPr>
      </w:pPr>
      <w:r>
        <w:rPr>
          <w:rFonts w:ascii="Arial" w:cs="Arial" w:eastAsia="Arial" w:hAnsi="Arial"/>
          <w:sz w:val="16"/>
          <w:szCs w:val="16"/>
          <w:color w:val="auto"/>
        </w:rPr>
        <w:t>•determines the securities and other assets that the Company will purchase, retain or sell; •performs due diligence on prospective investments; and</w:t>
      </w:r>
    </w:p>
    <w:p>
      <w:pPr>
        <w:ind w:left="280" w:right="420"/>
        <w:spacing w:after="0" w:line="252" w:lineRule="auto"/>
        <w:rPr>
          <w:sz w:val="20"/>
          <w:szCs w:val="20"/>
          <w:color w:val="auto"/>
        </w:rPr>
      </w:pPr>
      <w:r>
        <w:rPr>
          <w:rFonts w:ascii="Arial" w:cs="Arial" w:eastAsia="Arial" w:hAnsi="Arial"/>
          <w:sz w:val="16"/>
          <w:szCs w:val="16"/>
          <w:color w:val="auto"/>
        </w:rPr>
        <w:t>•provides the Company with other such investment advisory, research and related services as the Company may, from time to time, reasonably require for the investment of its funds.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Advisory Agreement, the Company pays RGC a fee for its investment advisory and management services consisting of two components</w:t>
      </w:r>
    </w:p>
    <w:p>
      <w:pPr>
        <w:spacing w:after="0" w:line="29"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 a base management fee and an incentive fee. The cost of both the base management fee and incentive fee are ultimately borne by the Company’s stockholders.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 Management Fee</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base management fee is payable on the first day of each calendar quarter and is calculated on the Company's "Gross Assets" which, for purposes of the Advisory Agreement, is defined as the Company’s gross assets, including assets purchased with borrowed funds or other forms of leverage, as well as any PIK interest,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$ 500 million, the base management fee will be an amount equal to 0.4375% (1.75% annualized) of the Company’s average daily Gross Assets during the most recently completed calendar quarter.</w:t>
      </w:r>
    </w:p>
    <w:p>
      <w:pPr>
        <w:spacing w:after="0" w:line="176" w:lineRule="exact"/>
        <w:rPr>
          <w:sz w:val="20"/>
          <w:szCs w:val="20"/>
          <w:color w:val="auto"/>
        </w:rPr>
      </w:pPr>
    </w:p>
    <w:p>
      <w:pPr>
        <w:ind w:right="280"/>
        <w:spacing w:after="0" w:line="243" w:lineRule="auto"/>
        <w:rPr>
          <w:sz w:val="20"/>
          <w:szCs w:val="20"/>
          <w:color w:val="auto"/>
        </w:rPr>
      </w:pPr>
      <w:r>
        <w:rPr>
          <w:rFonts w:ascii="Arial" w:cs="Arial" w:eastAsia="Arial" w:hAnsi="Arial"/>
          <w:sz w:val="16"/>
          <w:szCs w:val="16"/>
          <w:color w:val="auto"/>
        </w:rPr>
        <w:t>For the three and six months ended June 30, 2023, RGC earned base management fees at a rate of 1.50% per annum, amounting to $4.3 million and $8.3 million, respectively. For the three and six months ended June 30, 2022, RGC earned base management fees at a rate of 1.60% per annum, amounting to $2.9 million and $5.4 million for the three and six months ended June 30, 2022.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31" w:name="page32"/>
    <w:bookmarkEnd w:id="31"/>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Incentive Fee</w:t>
      </w:r>
    </w:p>
    <w:p>
      <w:pPr>
        <w:spacing w:after="0" w:line="194" w:lineRule="exact"/>
        <w:rPr>
          <w:sz w:val="20"/>
          <w:szCs w:val="20"/>
          <w:color w:val="auto"/>
        </w:rPr>
      </w:pPr>
    </w:p>
    <w:p>
      <w:pPr>
        <w:ind w:right="100"/>
        <w:spacing w:after="0" w:line="322" w:lineRule="auto"/>
        <w:rPr>
          <w:sz w:val="20"/>
          <w:szCs w:val="20"/>
          <w:color w:val="auto"/>
        </w:rPr>
      </w:pPr>
      <w:r>
        <w:rPr>
          <w:rFonts w:ascii="Arial" w:cs="Arial" w:eastAsia="Arial" w:hAnsi="Arial"/>
          <w:sz w:val="14"/>
          <w:szCs w:val="14"/>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2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 - 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were deferred incentive fees payable, both of which are included in incentive fees payable on the Statements of Assets and Liabilities agreement with the Administrator (the “Administration Agreement”), and any dividends paid on any issued and outstanding preferred stock, but excluding the incentive fee). Pre- Incentive Fee net investment income includes, in the case of investments with a deferred interest feature (such as OID accretion,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or unrealized capital gains (losses).</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4"/>
          <w:szCs w:val="14"/>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w:t>
      </w:r>
    </w:p>
    <w:p>
      <w:pPr>
        <w:spacing w:after="0" w:line="268" w:lineRule="auto"/>
        <w:rPr>
          <w:sz w:val="20"/>
          <w:szCs w:val="20"/>
          <w:color w:val="auto"/>
        </w:rPr>
      </w:pPr>
      <w:r>
        <w:rPr>
          <w:rFonts w:ascii="Arial" w:cs="Arial" w:eastAsia="Arial" w:hAnsi="Arial"/>
          <w:sz w:val="14"/>
          <w:szCs w:val="14"/>
          <w:color w:val="auto"/>
        </w:rPr>
        <w:t>2.0%; (2) 80% of the Company’s Pre- 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20.0% of the Company’s Pre-Incentive Fee net investment income as if a hurdle did not apply if the Company’s Pre-Incentive Fee net investment income exceeds 2.667% in any calendar quarter (10.668% annualized)); and (3) 20.0% of the amount of the Company’s Pre- 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76" w:lineRule="exact"/>
        <w:rPr>
          <w:sz w:val="20"/>
          <w:szCs w:val="20"/>
          <w:color w:val="auto"/>
        </w:rPr>
      </w:pPr>
    </w:p>
    <w:p>
      <w:pPr>
        <w:ind w:right="40"/>
        <w:spacing w:after="0" w:line="272" w:lineRule="auto"/>
        <w:rPr>
          <w:sz w:val="20"/>
          <w:szCs w:val="20"/>
          <w:color w:val="auto"/>
        </w:rPr>
      </w:pPr>
      <w:r>
        <w:rPr>
          <w:rFonts w:ascii="Arial" w:cs="Arial" w:eastAsia="Arial" w:hAnsi="Arial"/>
          <w:sz w:val="14"/>
          <w:szCs w:val="14"/>
          <w:color w:val="auto"/>
        </w:rPr>
        <w:t>Until the consummation of a Spin- Off transaction (defined below),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 -Incentive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 -Incentive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 year anniversary of the end of such quarter. 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32" w:name="page33"/>
    <w:bookmarkEnd w:id="32"/>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spacing w:after="0" w:line="17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For the three and six months ended June 30, 2023, RGC earned incentive fees of $4.9 million and $9.5 million, respectively; $3.4 million and $6.9 million of which was payable in cash, respectively, and $ 1.5 million and $2.6 million was accrued and generated from deferred interest, respectively. For the three and six months ended June 30, 2022, RGC earned incentive fees of $3.6 million and $5.0 million, respectively; of which $3.0 million and $4.1 million was payable in cash, respectively, and $0.6 million and $0.9 million was accrued and generated from deferred interest, respectively. All incentive fees accrued and generated from deferred interest (i.e., PIK and certain discount accretion) are not payable until receipt of respective cash by the Company. As of June 30, 2023, $3.5 million were payable in cash, and $7.3 million were deferred incentive fees payable, both of which are included in incentive fees payable on the Statements of Assets and Liabilities. As of December 31, 2022, $3.8 million were payable in cash, and $5.0 million were deferred incentive fees payable, both of which are included in incentive fees payable on the Statements of Assets and Liabilities.</w:t>
      </w:r>
    </w:p>
    <w:p>
      <w:pPr>
        <w:spacing w:after="0" w:line="179"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The capital gains incentive fee consists of fees related to realized gains and losses and unrealized capital losses. With respect to the incentive fee expense accrual related to the capital gains incentive fee, U.S. GAAP requires that the capital gains incentive fee accrual consider the cumulative aggregate unrealized gains in the calculation, as a capital gains incentive fee would be payable if such unrealized gains were realized even though such unrealized gains are not permitted to be considered in calculating the fee actually payable under the Advisory Agreement. As of each of June 30, 2023 and December 31, 2022, there was no capital gains incentive fee accrued, earned or payable to RGC under the Advisory Agreement.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Spin-Off Incentive Fee</w:t>
      </w:r>
    </w:p>
    <w:p>
      <w:pPr>
        <w:spacing w:after="0" w:line="194"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The Income Incentive Fee will be payable in connection with a Public Fund Spin-Off as follows. The Income Incentive Fee will be calculated as of the date of the completion of each Public Fund Spin- 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 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335"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The Capital Gains Fee will be payable in respect of the exchanged shares of the Company’s common stock in connection with the Public Fund Spin-Off and will be calculated as of the date of the completion of the Public Fund Spin-Off as if such date were a calendar year-end for purposes of calculating and paying the Capital Gains Fee.</w:t>
      </w:r>
    </w:p>
    <w:p>
      <w:pPr>
        <w:spacing w:after="0" w:line="173"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No Income Incentive Fee or Capital Gains Fee will be payable in connection with the Public Fund Spin-Off unless, on the date of the completion of the Public Fund Spin-Off, the sum of the Company’s (i) Pre-Incentive Fee net investment income and (ii) realized capital gains less realized capital losses and unrealized capital losses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33" w:name="page34"/>
    <w:bookmarkEnd w:id="33"/>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Administration Agreement</w:t>
      </w:r>
    </w:p>
    <w:p>
      <w:pPr>
        <w:spacing w:after="0" w:line="19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Company reimburses the Administrator for the allocable portion of overhead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as well as any expenses paid by the Administrator on the Company's behalf.</w:t>
      </w:r>
    </w:p>
    <w:p>
      <w:pPr>
        <w:spacing w:after="0" w:line="178"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For the three months ended June 30, 2023, the Company incurred $0.6 million of Administration agreement expenses, of which $0.3 million was payable to a third- party service provider and $0.3 million was overhead allocation expense. For the six months ended June 30, 2023, the Company incurred $1.2 million of Administration agreement expenses, of which $0.6 million was payable to a third-party service provider and $0.6 million was overhead allocation expense. As of June 30, 2023, the Company had accrued a net payable to the Administrator of $0.2 million and a payable to the third-party service provider of $0.2 million, which are included in Accrued expenses and other liabilities on the Statement of Assets and Liabilities. For the three months ended June 30, 2022, the Company incurred $0.4 million of Administration agreement expenses, of which $0.2 million was payable to a third-party service provider and $0.2 million was overhead allocation expense. For the six months ended June 30, 2022, the Company incurred $0.9 million of Administration agreement expenses, of which $0.4 million was payable to a third-party service provider and $0.5 million was overhead allocation expense. As of June 30, 2022, the Company had accrued a net payable to the Administrator of $0.2 million and a payable to the third-party service provider of $0.5 million, which are included in Accrued expenses and other liabilities on the Statement of Assets and Liabilities.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entered into a license agreement with RGC (the “License Agreement”) pursuant to which RGC has granted the Company a personal, non -exclusive,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Relationship</w:t>
      </w:r>
    </w:p>
    <w:p>
      <w:pPr>
        <w:spacing w:after="0" w:line="19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In December 2016, the Company and RGC entered into a strategic relationship with Oaktree Capital Management, L.P (“Oaktree”). In connection with the strategic relationship, OCM Growth Holdings ("OCM") purchased an aggregate of 14,571,334 shares of the Company's common stock for an aggregate purchase price of $219.3 million in the Company's Initial Private Offering and Second Private Offering. As of June 30, 2023, OCM owns 21,054,667 shares of the Company's common stock or approximately 52% of the Company's outstanding shares. Pursuant to an irrevocable proxy, certain shares held by OCM must be voted in the same proportion that the Company's other stockholders vote their shares. Of the 21,054,667 shares of Company’s common stock owned by OCM, 19,895,508 shares, or approximately 49% of the Company’s outstanding shares, are subject to this proxy voting arrangement.</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4"/>
          <w:szCs w:val="14"/>
          <w:color w:val="auto"/>
        </w:rPr>
        <w:t>In connection with OCM’s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$125.0 million capital commitment. Brian Laibow, Co-Head of Oaktree's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34" w:name="page35"/>
    <w:bookmarkEnd w:id="34"/>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Control and Affiliate Investments</w:t>
      </w:r>
    </w:p>
    <w:p>
      <w:pPr>
        <w:spacing w:after="0" w:line="196"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49"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The Company’s affiliate and control investments as of June 30, 2023 along with the transactions during the six months ended June 30, 2023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60" w:type="dxa"/>
            <w:vAlign w:val="bottom"/>
            <w:gridSpan w:val="12"/>
          </w:tcPr>
          <w:p>
            <w:pPr>
              <w:ind w:left="80"/>
              <w:spacing w:after="0"/>
              <w:rPr>
                <w:sz w:val="20"/>
                <w:szCs w:val="20"/>
                <w:color w:val="auto"/>
              </w:rPr>
            </w:pPr>
            <w:r>
              <w:rPr>
                <w:rFonts w:ascii="Arial" w:cs="Arial" w:eastAsia="Arial" w:hAnsi="Arial"/>
                <w:sz w:val="13"/>
                <w:szCs w:val="13"/>
                <w:b w:val="1"/>
                <w:bCs w:val="1"/>
                <w:color w:val="auto"/>
              </w:rPr>
              <w:t>For the Six Months Ended June 30, 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Investmen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Change 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rPr>
              <w:t>t Income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b w:val="1"/>
                <w:bCs w:val="1"/>
                <w:color w:val="auto"/>
              </w:rPr>
              <w:t>as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Unrealize</w:t>
            </w:r>
          </w:p>
        </w:tc>
        <w:tc>
          <w:tcPr>
            <w:tcW w:w="10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48"/>
        </w:trPr>
        <w:tc>
          <w:tcPr>
            <w:tcW w:w="21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9"/>
              </w:rPr>
              <w:t>Earned</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December</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Reduction</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8"/>
              </w:rPr>
              <w:t>d Gain</w:t>
            </w:r>
          </w:p>
        </w:tc>
        <w:tc>
          <w:tcPr>
            <w:tcW w:w="100" w:type="dxa"/>
            <w:vAlign w:val="bottom"/>
          </w:tcPr>
          <w:p>
            <w:pPr>
              <w:spacing w:after="0"/>
              <w:rPr>
                <w:sz w:val="4"/>
                <w:szCs w:val="4"/>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as of June</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3"/>
          </w:tcPr>
          <w:p>
            <w:pPr>
              <w:ind w:left="20"/>
              <w:spacing w:after="0" w:line="136" w:lineRule="exact"/>
              <w:rPr>
                <w:sz w:val="20"/>
                <w:szCs w:val="20"/>
                <w:color w:val="auto"/>
              </w:rPr>
            </w:pPr>
            <w:r>
              <w:rPr>
                <w:rFonts w:ascii="Arial" w:cs="Arial" w:eastAsia="Arial" w:hAnsi="Arial"/>
                <w:sz w:val="13"/>
                <w:szCs w:val="13"/>
                <w:b w:val="1"/>
                <w:bCs w:val="1"/>
                <w:color w:val="auto"/>
              </w:rPr>
              <w:t>Additions</w:t>
            </w:r>
          </w:p>
        </w:tc>
        <w:tc>
          <w:tcPr>
            <w:tcW w:w="1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Portfolio Company</w:t>
            </w:r>
          </w:p>
        </w:tc>
        <w:tc>
          <w:tcPr>
            <w:tcW w:w="23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Investment Description</w:t>
            </w:r>
          </w:p>
        </w:tc>
        <w:tc>
          <w:tcPr>
            <w:tcW w:w="120" w:type="dxa"/>
            <w:vAlign w:val="bottom"/>
          </w:tcPr>
          <w:p>
            <w:pPr>
              <w:spacing w:after="0"/>
              <w:rPr>
                <w:sz w:val="24"/>
                <w:szCs w:val="24"/>
                <w:color w:val="auto"/>
              </w:rPr>
            </w:pPr>
          </w:p>
        </w:tc>
        <w:tc>
          <w:tcPr>
            <w:tcW w:w="600" w:type="dxa"/>
            <w:vAlign w:val="bottom"/>
          </w:tcPr>
          <w:p>
            <w:pPr>
              <w:jc w:val="center"/>
              <w:ind w:right="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b w:val="1"/>
                <w:bCs w:val="1"/>
                <w:color w:val="auto"/>
                <w:w w:val="98"/>
              </w:rPr>
              <w:t>31, 2022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216"/>
              <w:spacing w:after="0"/>
              <w:rPr>
                <w:sz w:val="20"/>
                <w:szCs w:val="20"/>
                <w:color w:val="auto"/>
              </w:rPr>
            </w:pPr>
            <w:r>
              <w:rPr>
                <w:rFonts w:ascii="Arial" w:cs="Arial" w:eastAsia="Arial" w:hAnsi="Arial"/>
                <w:sz w:val="8"/>
                <w:szCs w:val="8"/>
                <w:b w:val="1"/>
                <w:bCs w:val="1"/>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380"/>
              <w:spacing w:after="0" w:line="288" w:lineRule="exact"/>
              <w:rPr>
                <w:sz w:val="20"/>
                <w:szCs w:val="20"/>
                <w:color w:val="auto"/>
              </w:rPr>
            </w:pPr>
            <w:r>
              <w:rPr>
                <w:rFonts w:ascii="Arial" w:cs="Arial" w:eastAsia="Arial" w:hAnsi="Arial"/>
                <w:sz w:val="26"/>
                <w:szCs w:val="26"/>
                <w:b w:val="1"/>
                <w:bCs w:val="1"/>
                <w:color w:val="auto"/>
                <w:vertAlign w:val="subscript"/>
              </w:rPr>
              <w:t>s</w:t>
            </w:r>
            <w:r>
              <w:rPr>
                <w:rFonts w:ascii="Arial" w:cs="Arial" w:eastAsia="Arial" w:hAnsi="Arial"/>
                <w:sz w:val="8"/>
                <w:szCs w:val="8"/>
                <w:b w:val="1"/>
                <w:bCs w:val="1"/>
                <w:color w:val="auto"/>
              </w:rPr>
              <w:t>(2)</w:t>
            </w:r>
          </w:p>
        </w:tc>
        <w:tc>
          <w:tcPr>
            <w:tcW w:w="100" w:type="dxa"/>
            <w:vAlign w:val="bottom"/>
          </w:tcPr>
          <w:p>
            <w:pPr>
              <w:spacing w:after="0"/>
              <w:rPr>
                <w:sz w:val="24"/>
                <w:szCs w:val="24"/>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(Loss)</w:t>
            </w:r>
          </w:p>
        </w:tc>
        <w:tc>
          <w:tcPr>
            <w:tcW w:w="820" w:type="dxa"/>
            <w:vAlign w:val="bottom"/>
            <w:gridSpan w:val="3"/>
          </w:tcPr>
          <w:p>
            <w:pPr>
              <w:ind w:left="140"/>
              <w:spacing w:after="0"/>
              <w:rPr>
                <w:sz w:val="20"/>
                <w:szCs w:val="20"/>
                <w:color w:val="auto"/>
              </w:rPr>
            </w:pPr>
            <w:r>
              <w:rPr>
                <w:rFonts w:ascii="Arial" w:cs="Arial" w:eastAsia="Arial" w:hAnsi="Arial"/>
                <w:sz w:val="13"/>
                <w:szCs w:val="13"/>
                <w:b w:val="1"/>
                <w:bCs w:val="1"/>
                <w:color w:val="auto"/>
              </w:rPr>
              <w:t>30, 2023</w:t>
            </w:r>
            <w:r>
              <w:rPr>
                <w:rFonts w:ascii="Arial" w:cs="Arial" w:eastAsia="Arial" w:hAnsi="Arial"/>
                <w:sz w:val="16"/>
                <w:szCs w:val="16"/>
                <w:b w:val="1"/>
                <w:bCs w:val="1"/>
                <w:color w:val="auto"/>
                <w:vertAlign w:val="superscript"/>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120" w:type="dxa"/>
            <w:vAlign w:val="bottom"/>
            <w:vMerge w:val="continue"/>
          </w:tcPr>
          <w:p>
            <w:pPr>
              <w:spacing w:after="0"/>
              <w:rPr>
                <w:sz w:val="4"/>
                <w:szCs w:val="4"/>
                <w:color w:val="auto"/>
              </w:rPr>
            </w:pPr>
          </w:p>
        </w:tc>
        <w:tc>
          <w:tcPr>
            <w:tcW w:w="2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Affiliate Investments</w:t>
            </w:r>
          </w:p>
        </w:tc>
        <w:tc>
          <w:tcPr>
            <w:tcW w:w="2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40"/>
              <w:spacing w:after="0"/>
              <w:rPr>
                <w:sz w:val="20"/>
                <w:szCs w:val="20"/>
                <w:color w:val="auto"/>
              </w:rPr>
            </w:pPr>
            <w:r>
              <w:rPr>
                <w:rFonts w:ascii="Arial" w:cs="Arial" w:eastAsia="Arial" w:hAnsi="Arial"/>
                <w:sz w:val="13"/>
                <w:szCs w:val="13"/>
                <w:b w:val="1"/>
                <w:bCs w:val="1"/>
                <w:color w:val="auto"/>
              </w:rPr>
              <w:t>Senior Secured Term Loans</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Gynesonics, Inc.</w:t>
            </w:r>
          </w:p>
        </w:tc>
        <w:tc>
          <w:tcPr>
            <w:tcW w:w="2380" w:type="dxa"/>
            <w:vAlign w:val="bottom"/>
            <w:shd w:val="clear" w:color="auto" w:fill="CFF0FC"/>
          </w:tcPr>
          <w:p>
            <w:pPr>
              <w:ind w:left="40"/>
              <w:spacing w:after="0"/>
              <w:rPr>
                <w:sz w:val="20"/>
                <w:szCs w:val="20"/>
                <w:color w:val="auto"/>
              </w:rPr>
            </w:pPr>
            <w:r>
              <w:rPr>
                <w:rFonts w:ascii="Arial" w:cs="Arial" w:eastAsia="Arial" w:hAnsi="Arial"/>
                <w:sz w:val="13"/>
                <w:szCs w:val="13"/>
                <w:color w:val="auto"/>
              </w:rPr>
              <w:t>SOFR+8.75%, 8.00% ceiling, 5.00%</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FF0FC"/>
          </w:tcPr>
          <w:p>
            <w:pPr>
              <w:spacing w:after="0"/>
              <w:rPr>
                <w:sz w:val="15"/>
                <w:szCs w:val="15"/>
                <w:color w:val="auto"/>
              </w:rPr>
            </w:pPr>
          </w:p>
        </w:tc>
        <w:tc>
          <w:tcPr>
            <w:tcW w:w="2380" w:type="dxa"/>
            <w:vAlign w:val="bottom"/>
            <w:shd w:val="clear" w:color="auto" w:fill="CFF0FC"/>
          </w:tcPr>
          <w:p>
            <w:pPr>
              <w:ind w:left="40"/>
              <w:spacing w:after="0"/>
              <w:rPr>
                <w:sz w:val="20"/>
                <w:szCs w:val="20"/>
                <w:color w:val="auto"/>
              </w:rPr>
            </w:pPr>
            <w:r>
              <w:rPr>
                <w:rFonts w:ascii="Arial" w:cs="Arial" w:eastAsia="Arial" w:hAnsi="Arial"/>
                <w:sz w:val="13"/>
                <w:szCs w:val="13"/>
                <w:color w:val="auto"/>
              </w:rPr>
              <w:t>ETP, due 11/30/2026</w:t>
            </w:r>
          </w:p>
        </w:tc>
        <w:tc>
          <w:tcPr>
            <w:tcW w:w="120" w:type="dxa"/>
            <w:vAlign w:val="bottom"/>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885</w:t>
            </w:r>
          </w:p>
        </w:tc>
        <w:tc>
          <w:tcPr>
            <w:tcW w:w="300" w:type="dxa"/>
            <w:vAlign w:val="bottom"/>
            <w:gridSpan w:val="3"/>
            <w:shd w:val="clear" w:color="auto" w:fill="CFF0FC"/>
          </w:tcPr>
          <w:p>
            <w:pPr>
              <w:ind w:left="2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25,739</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(2,615 )</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23,124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 Senior Secured Term Loans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25,739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(2,615 )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23,124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40"/>
              <w:spacing w:after="0"/>
              <w:rPr>
                <w:sz w:val="20"/>
                <w:szCs w:val="20"/>
                <w:color w:val="auto"/>
              </w:rPr>
            </w:pPr>
            <w:r>
              <w:rPr>
                <w:rFonts w:ascii="Arial" w:cs="Arial" w:eastAsia="Arial" w:hAnsi="Arial"/>
                <w:sz w:val="13"/>
                <w:szCs w:val="13"/>
                <w:b w:val="1"/>
                <w:bCs w:val="1"/>
                <w:color w:val="auto"/>
              </w:rPr>
              <w:t>Preferred Stocks</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Gynesonics, Inc.</w:t>
            </w:r>
          </w:p>
        </w:tc>
        <w:tc>
          <w:tcPr>
            <w:tcW w:w="2380" w:type="dxa"/>
            <w:vAlign w:val="bottom"/>
            <w:shd w:val="clear" w:color="auto" w:fill="CFF0FC"/>
          </w:tcPr>
          <w:p>
            <w:pPr>
              <w:ind w:left="40"/>
              <w:spacing w:after="0"/>
              <w:rPr>
                <w:sz w:val="20"/>
                <w:szCs w:val="20"/>
                <w:color w:val="auto"/>
              </w:rPr>
            </w:pPr>
            <w:r>
              <w:rPr>
                <w:rFonts w:ascii="Arial" w:cs="Arial" w:eastAsia="Arial" w:hAnsi="Arial"/>
                <w:sz w:val="13"/>
                <w:szCs w:val="13"/>
                <w:color w:val="auto"/>
              </w:rPr>
              <w:t>Series A-2 Preferred Stock</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(3,182 )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260"/>
              <w:spacing w:after="0"/>
              <w:rPr>
                <w:sz w:val="20"/>
                <w:szCs w:val="20"/>
                <w:color w:val="auto"/>
              </w:rPr>
            </w:pPr>
            <w:r>
              <w:rPr>
                <w:rFonts w:ascii="Arial" w:cs="Arial" w:eastAsia="Arial" w:hAnsi="Arial"/>
                <w:sz w:val="13"/>
                <w:szCs w:val="13"/>
                <w:b w:val="1"/>
                <w:bCs w:val="1"/>
                <w:color w:val="auto"/>
              </w:rPr>
              <w:t>Total Preferred Stocks</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(3,182 )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21,818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FF0FC"/>
          </w:tcPr>
          <w:p>
            <w:pPr>
              <w:ind w:left="140"/>
              <w:spacing w:after="0"/>
              <w:rPr>
                <w:sz w:val="20"/>
                <w:szCs w:val="20"/>
                <w:color w:val="auto"/>
              </w:rPr>
            </w:pPr>
            <w:r>
              <w:rPr>
                <w:rFonts w:ascii="Arial" w:cs="Arial" w:eastAsia="Arial" w:hAnsi="Arial"/>
                <w:sz w:val="13"/>
                <w:szCs w:val="13"/>
                <w:b w:val="1"/>
                <w:bCs w:val="1"/>
                <w:color w:val="auto"/>
              </w:rPr>
              <w:t>Common Stocks</w:t>
            </w:r>
          </w:p>
        </w:tc>
        <w:tc>
          <w:tcPr>
            <w:tcW w:w="2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20" w:type="dxa"/>
            <w:vAlign w:val="bottom"/>
          </w:tcPr>
          <w:p>
            <w:pPr>
              <w:ind w:left="140"/>
              <w:spacing w:after="0"/>
              <w:rPr>
                <w:sz w:val="20"/>
                <w:szCs w:val="20"/>
                <w:color w:val="auto"/>
              </w:rPr>
            </w:pPr>
            <w:r>
              <w:rPr>
                <w:rFonts w:ascii="Arial" w:cs="Arial" w:eastAsia="Arial" w:hAnsi="Arial"/>
                <w:sz w:val="13"/>
                <w:szCs w:val="13"/>
                <w:color w:val="auto"/>
              </w:rPr>
              <w:t>Coginiti Corp</w:t>
            </w:r>
          </w:p>
        </w:tc>
        <w:tc>
          <w:tcPr>
            <w:tcW w:w="2380" w:type="dxa"/>
            <w:vAlign w:val="bottom"/>
            <w:vMerge w:val="restart"/>
          </w:tcPr>
          <w:p>
            <w:pPr>
              <w:ind w:left="40"/>
              <w:spacing w:after="0"/>
              <w:rPr>
                <w:sz w:val="20"/>
                <w:szCs w:val="20"/>
                <w:color w:val="auto"/>
              </w:rPr>
            </w:pPr>
            <w:r>
              <w:rPr>
                <w:rFonts w:ascii="Arial" w:cs="Arial" w:eastAsia="Arial" w:hAnsi="Arial"/>
                <w:sz w:val="13"/>
                <w:szCs w:val="13"/>
                <w:color w:val="auto"/>
              </w:rPr>
              <w:t>Common Stock</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(260 )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12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260"/>
              <w:spacing w:after="0"/>
              <w:rPr>
                <w:sz w:val="20"/>
                <w:szCs w:val="20"/>
                <w:color w:val="auto"/>
              </w:rPr>
            </w:pPr>
            <w:r>
              <w:rPr>
                <w:rFonts w:ascii="Arial" w:cs="Arial" w:eastAsia="Arial" w:hAnsi="Arial"/>
                <w:sz w:val="13"/>
                <w:szCs w:val="13"/>
                <w:b w:val="1"/>
                <w:bCs w:val="1"/>
                <w:color w:val="auto"/>
              </w:rPr>
              <w:t>Total Common Stocks</w:t>
            </w:r>
          </w:p>
        </w:tc>
        <w:tc>
          <w:tcPr>
            <w:tcW w:w="2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(260 )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40"/>
              <w:spacing w:after="0"/>
              <w:rPr>
                <w:sz w:val="20"/>
                <w:szCs w:val="20"/>
                <w:color w:val="auto"/>
              </w:rPr>
            </w:pPr>
            <w:r>
              <w:rPr>
                <w:rFonts w:ascii="Arial" w:cs="Arial" w:eastAsia="Arial" w:hAnsi="Arial"/>
                <w:sz w:val="13"/>
                <w:szCs w:val="13"/>
                <w:b w:val="1"/>
                <w:bCs w:val="1"/>
                <w:color w:val="auto"/>
              </w:rPr>
              <w:t>Warrants</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Coginiti Corp</w:t>
            </w:r>
          </w:p>
        </w:tc>
        <w:tc>
          <w:tcPr>
            <w:tcW w:w="2380" w:type="dxa"/>
            <w:vAlign w:val="bottom"/>
            <w:shd w:val="clear" w:color="auto" w:fill="CFF0FC"/>
          </w:tcPr>
          <w:p>
            <w:pPr>
              <w:ind w:left="40"/>
              <w:spacing w:after="0"/>
              <w:rPr>
                <w:sz w:val="20"/>
                <w:szCs w:val="20"/>
                <w:color w:val="auto"/>
              </w:rPr>
            </w:pPr>
            <w:r>
              <w:rPr>
                <w:rFonts w:ascii="Arial" w:cs="Arial" w:eastAsia="Arial" w:hAnsi="Arial"/>
                <w:sz w:val="13"/>
                <w:szCs w:val="13"/>
                <w:color w:val="auto"/>
              </w:rPr>
              <w:t>Warrant for common stock, expires</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FF0FC"/>
          </w:tcPr>
          <w:p>
            <w:pPr>
              <w:spacing w:after="0"/>
              <w:rPr>
                <w:sz w:val="15"/>
                <w:szCs w:val="15"/>
                <w:color w:val="auto"/>
              </w:rPr>
            </w:pPr>
          </w:p>
        </w:tc>
        <w:tc>
          <w:tcPr>
            <w:tcW w:w="2380" w:type="dxa"/>
            <w:vAlign w:val="bottom"/>
            <w:shd w:val="clear" w:color="auto" w:fill="CFF0FC"/>
          </w:tcPr>
          <w:p>
            <w:pPr>
              <w:ind w:left="40"/>
              <w:spacing w:after="0"/>
              <w:rPr>
                <w:sz w:val="20"/>
                <w:szCs w:val="20"/>
                <w:color w:val="auto"/>
              </w:rPr>
            </w:pPr>
            <w:r>
              <w:rPr>
                <w:rFonts w:ascii="Arial" w:cs="Arial" w:eastAsia="Arial" w:hAnsi="Arial"/>
                <w:sz w:val="13"/>
                <w:szCs w:val="13"/>
                <w:color w:val="auto"/>
              </w:rPr>
              <w:t>3/09/2030</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(42 )</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140"/>
              <w:spacing w:after="0"/>
              <w:rPr>
                <w:sz w:val="20"/>
                <w:szCs w:val="20"/>
                <w:color w:val="auto"/>
              </w:rPr>
            </w:pPr>
            <w:r>
              <w:rPr>
                <w:rFonts w:ascii="Arial" w:cs="Arial" w:eastAsia="Arial" w:hAnsi="Arial"/>
                <w:sz w:val="13"/>
                <w:szCs w:val="13"/>
                <w:color w:val="auto"/>
              </w:rPr>
              <w:t>Gynesonics, Inc.</w:t>
            </w:r>
          </w:p>
        </w:tc>
        <w:tc>
          <w:tcPr>
            <w:tcW w:w="2380" w:type="dxa"/>
            <w:vAlign w:val="bottom"/>
          </w:tcPr>
          <w:p>
            <w:pPr>
              <w:ind w:left="40"/>
              <w:spacing w:after="0"/>
              <w:rPr>
                <w:sz w:val="20"/>
                <w:szCs w:val="20"/>
                <w:color w:val="auto"/>
              </w:rPr>
            </w:pPr>
            <w:r>
              <w:rPr>
                <w:rFonts w:ascii="Arial" w:cs="Arial" w:eastAsia="Arial" w:hAnsi="Arial"/>
                <w:sz w:val="13"/>
                <w:szCs w:val="13"/>
                <w:color w:val="auto"/>
              </w:rPr>
              <w:t>Success fee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260"/>
              <w:spacing w:after="0"/>
              <w:rPr>
                <w:sz w:val="20"/>
                <w:szCs w:val="20"/>
                <w:color w:val="auto"/>
              </w:rPr>
            </w:pPr>
            <w:r>
              <w:rPr>
                <w:rFonts w:ascii="Arial" w:cs="Arial" w:eastAsia="Arial" w:hAnsi="Arial"/>
                <w:sz w:val="13"/>
                <w:szCs w:val="13"/>
                <w:b w:val="1"/>
                <w:bCs w:val="1"/>
                <w:color w:val="auto"/>
              </w:rPr>
              <w:t>Total Warrants</w:t>
            </w:r>
          </w:p>
        </w:tc>
        <w:tc>
          <w:tcPr>
            <w:tcW w:w="2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(32 )</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40"/>
              <w:spacing w:after="0"/>
              <w:rPr>
                <w:sz w:val="20"/>
                <w:szCs w:val="20"/>
                <w:color w:val="auto"/>
              </w:rPr>
            </w:pPr>
            <w:r>
              <w:rPr>
                <w:rFonts w:ascii="Arial" w:cs="Arial" w:eastAsia="Arial" w:hAnsi="Arial"/>
                <w:sz w:val="13"/>
                <w:szCs w:val="13"/>
                <w:b w:val="1"/>
                <w:bCs w:val="1"/>
                <w:color w:val="auto"/>
              </w:rPr>
              <w:t>Total Affiliate Investments</w:t>
            </w:r>
          </w:p>
        </w:tc>
        <w:tc>
          <w:tcPr>
            <w:tcW w:w="238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Pr>
          <w:p>
            <w:pPr>
              <w:spacing w:after="0"/>
              <w:rPr>
                <w:sz w:val="15"/>
                <w:szCs w:val="15"/>
                <w:color w:val="auto"/>
              </w:rPr>
            </w:pPr>
          </w:p>
        </w:tc>
        <w:tc>
          <w:tcPr>
            <w:tcW w:w="200" w:type="dxa"/>
            <w:vAlign w:val="bottom"/>
            <w:gridSpan w:val="2"/>
          </w:tcPr>
          <w:p>
            <w:pPr>
              <w:ind w:left="14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2,084</w:t>
            </w:r>
          </w:p>
        </w:tc>
        <w:tc>
          <w:tcPr>
            <w:tcW w:w="34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51,052</w:t>
            </w:r>
          </w:p>
        </w:tc>
        <w:tc>
          <w:tcPr>
            <w:tcW w:w="120" w:type="dxa"/>
            <w:vAlign w:val="bottom"/>
          </w:tcPr>
          <w:p>
            <w:pPr>
              <w:spacing w:after="0"/>
              <w:rPr>
                <w:sz w:val="15"/>
                <w:szCs w:val="15"/>
                <w:color w:val="auto"/>
              </w:rPr>
            </w:pP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(6,089 )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47,047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Control Investments</w:t>
            </w:r>
          </w:p>
        </w:tc>
        <w:tc>
          <w:tcPr>
            <w:tcW w:w="2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20" w:type="dxa"/>
            <w:vAlign w:val="bottom"/>
          </w:tcPr>
          <w:p>
            <w:pPr>
              <w:ind w:left="140"/>
              <w:spacing w:after="0"/>
              <w:rPr>
                <w:sz w:val="20"/>
                <w:szCs w:val="20"/>
                <w:color w:val="auto"/>
              </w:rPr>
            </w:pPr>
            <w:r>
              <w:rPr>
                <w:rFonts w:ascii="Arial" w:cs="Arial" w:eastAsia="Arial" w:hAnsi="Arial"/>
                <w:sz w:val="13"/>
                <w:szCs w:val="13"/>
                <w:b w:val="1"/>
                <w:bCs w:val="1"/>
                <w:color w:val="auto"/>
              </w:rPr>
              <w:t>Senior Secured Term Loans</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120" w:type="dxa"/>
            <w:vAlign w:val="bottom"/>
            <w:shd w:val="clear" w:color="auto" w:fill="CFF0FC"/>
          </w:tcPr>
          <w:p>
            <w:pPr>
              <w:ind w:left="140"/>
              <w:spacing w:after="0"/>
              <w:rPr>
                <w:sz w:val="20"/>
                <w:szCs w:val="20"/>
                <w:color w:val="auto"/>
              </w:rPr>
            </w:pPr>
            <w:r>
              <w:rPr>
                <w:rFonts w:ascii="Arial" w:cs="Arial" w:eastAsia="Arial" w:hAnsi="Arial"/>
                <w:sz w:val="13"/>
                <w:szCs w:val="13"/>
                <w:color w:val="auto"/>
              </w:rPr>
              <w:t>Pivot3, Inc.</w:t>
            </w:r>
          </w:p>
        </w:tc>
        <w:tc>
          <w:tcPr>
            <w:tcW w:w="2380" w:type="dxa"/>
            <w:vAlign w:val="bottom"/>
            <w:shd w:val="clear" w:color="auto" w:fill="CFF0FC"/>
          </w:tcPr>
          <w:p>
            <w:pPr>
              <w:ind w:left="40"/>
              <w:spacing w:after="0"/>
              <w:rPr>
                <w:sz w:val="20"/>
                <w:szCs w:val="20"/>
                <w:color w:val="auto"/>
              </w:rPr>
            </w:pPr>
            <w:r>
              <w:rPr>
                <w:rFonts w:ascii="Arial" w:cs="Arial" w:eastAsia="Arial" w:hAnsi="Arial"/>
                <w:sz w:val="13"/>
                <w:szCs w:val="13"/>
                <w:color w:val="auto"/>
              </w:rPr>
              <w:t>LIBOR+8.50% PIK, 11.00% floor,</w:t>
            </w: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FF0FC"/>
          </w:tcPr>
          <w:p>
            <w:pPr>
              <w:spacing w:after="0"/>
              <w:rPr>
                <w:sz w:val="15"/>
                <w:szCs w:val="15"/>
                <w:color w:val="auto"/>
              </w:rPr>
            </w:pPr>
          </w:p>
        </w:tc>
        <w:tc>
          <w:tcPr>
            <w:tcW w:w="2380" w:type="dxa"/>
            <w:vAlign w:val="bottom"/>
            <w:shd w:val="clear" w:color="auto" w:fill="CFF0FC"/>
          </w:tcPr>
          <w:p>
            <w:pPr>
              <w:ind w:left="40"/>
              <w:spacing w:after="0"/>
              <w:rPr>
                <w:sz w:val="20"/>
                <w:szCs w:val="20"/>
                <w:color w:val="auto"/>
              </w:rPr>
            </w:pPr>
            <w:r>
              <w:rPr>
                <w:rFonts w:ascii="Arial" w:cs="Arial" w:eastAsia="Arial" w:hAnsi="Arial"/>
                <w:sz w:val="13"/>
                <w:szCs w:val="13"/>
                <w:color w:val="auto"/>
              </w:rPr>
              <w:t>4.00% ETP, due 7/15/2023</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(1,209 )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500" w:type="dxa"/>
            <w:vAlign w:val="bottom"/>
            <w:gridSpan w:val="2"/>
          </w:tcPr>
          <w:p>
            <w:pPr>
              <w:ind w:left="260"/>
              <w:spacing w:after="0"/>
              <w:rPr>
                <w:sz w:val="20"/>
                <w:szCs w:val="20"/>
                <w:color w:val="auto"/>
              </w:rPr>
            </w:pPr>
            <w:r>
              <w:rPr>
                <w:rFonts w:ascii="Arial" w:cs="Arial" w:eastAsia="Arial" w:hAnsi="Arial"/>
                <w:sz w:val="13"/>
                <w:szCs w:val="13"/>
                <w:b w:val="1"/>
                <w:bCs w:val="1"/>
                <w:color w:val="auto"/>
              </w:rPr>
              <w:t>Total Senior Secured Term Loans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9,290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(1,209 )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11,613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120" w:type="dxa"/>
            <w:vAlign w:val="bottom"/>
            <w:shd w:val="clear" w:color="auto" w:fill="CFF0FC"/>
          </w:tcPr>
          <w:p>
            <w:pPr>
              <w:ind w:left="140"/>
              <w:spacing w:after="0"/>
              <w:rPr>
                <w:sz w:val="20"/>
                <w:szCs w:val="20"/>
                <w:color w:val="auto"/>
              </w:rPr>
            </w:pPr>
            <w:r>
              <w:rPr>
                <w:rFonts w:ascii="Arial" w:cs="Arial" w:eastAsia="Arial" w:hAnsi="Arial"/>
                <w:sz w:val="13"/>
                <w:szCs w:val="13"/>
                <w:b w:val="1"/>
                <w:bCs w:val="1"/>
                <w:color w:val="auto"/>
              </w:rPr>
              <w:t>Total Control Investments</w:t>
            </w:r>
          </w:p>
        </w:tc>
        <w:tc>
          <w:tcPr>
            <w:tcW w:w="2380" w:type="dxa"/>
            <w:vAlign w:val="bottom"/>
            <w:shd w:val="clear" w:color="auto" w:fill="CFF0FC"/>
          </w:tcPr>
          <w:p>
            <w:pPr>
              <w:spacing w:after="0"/>
              <w:rPr>
                <w:sz w:val="19"/>
                <w:szCs w:val="19"/>
                <w:color w:val="auto"/>
              </w:rPr>
            </w:pPr>
          </w:p>
        </w:tc>
        <w:tc>
          <w:tcPr>
            <w:tcW w:w="120" w:type="dxa"/>
            <w:vAlign w:val="bottom"/>
            <w:shd w:val="clear" w:color="auto" w:fill="CFF0FC"/>
          </w:tcPr>
          <w:p>
            <w:pPr>
              <w:ind w:left="4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9,290</w:t>
            </w:r>
          </w:p>
        </w:tc>
        <w:tc>
          <w:tcPr>
            <w:tcW w:w="3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(1,209 )</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3,532</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2120" w:type="dxa"/>
            <w:vAlign w:val="bottom"/>
            <w:tcBorders>
              <w:top w:val="single" w:sz="8" w:color="CFF0FC"/>
              <w:bottom w:val="single" w:sz="8" w:color="auto"/>
            </w:tcBorders>
          </w:tcPr>
          <w:p>
            <w:pPr>
              <w:spacing w:after="0"/>
              <w:rPr>
                <w:sz w:val="3"/>
                <w:szCs w:val="3"/>
                <w:color w:val="auto"/>
              </w:rPr>
            </w:pPr>
          </w:p>
        </w:tc>
        <w:tc>
          <w:tcPr>
            <w:tcW w:w="238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ind w:left="360"/>
        <w:spacing w:after="0" w:line="199" w:lineRule="auto"/>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 w:lineRule="exact"/>
        <w:rPr>
          <w:sz w:val="20"/>
          <w:szCs w:val="20"/>
          <w:color w:val="auto"/>
        </w:rPr>
      </w:pPr>
    </w:p>
    <w:p>
      <w:pPr>
        <w:ind w:left="360" w:right="100"/>
        <w:spacing w:after="0" w:line="199"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ind w:left="360"/>
        <w:spacing w:after="0" w:line="199" w:lineRule="auto"/>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All investments in the portfolio companies, which as of June 30, 2023 represented 10.22% of the Company’s net assets, may be deemed to be restricted securities under the Securities Act, and were valued at fair value as determined in good faith by the Company’s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40" w:orient="portrait"/>
          <w:cols w:equalWidth="0" w:num="1">
            <w:col w:w="10560"/>
          </w:cols>
          <w:pgMar w:left="660" w:top="562" w:right="680" w:bottom="1440" w:gutter="0" w:footer="0" w:header="0"/>
        </w:sectPr>
      </w:pPr>
    </w:p>
    <w:bookmarkStart w:id="35" w:name="page36"/>
    <w:bookmarkEnd w:id="35"/>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Company’s affiliate and control investments as of December 31, 2022, along with the transactions during the year ended December 31, 2022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Amount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10"/>
          </w:tcPr>
          <w:p>
            <w:pPr>
              <w:jc w:val="center"/>
              <w:ind w:right="260"/>
              <w:spacing w:after="0"/>
              <w:rPr>
                <w:sz w:val="20"/>
                <w:szCs w:val="20"/>
                <w:color w:val="auto"/>
              </w:rPr>
            </w:pPr>
            <w:r>
              <w:rPr>
                <w:rFonts w:ascii="Arial" w:cs="Arial" w:eastAsia="Arial" w:hAnsi="Arial"/>
                <w:sz w:val="13"/>
                <w:szCs w:val="13"/>
                <w:b w:val="1"/>
                <w:bCs w:val="1"/>
                <w:color w:val="auto"/>
              </w:rPr>
              <w:t>For the Year Ended December 31, 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3"/>
                <w:szCs w:val="13"/>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Fair Value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Change 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Income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as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Fair Value as</w:t>
            </w:r>
          </w:p>
        </w:tc>
        <w:tc>
          <w:tcPr>
            <w:tcW w:w="0" w:type="dxa"/>
            <w:vAlign w:val="bottom"/>
          </w:tcPr>
          <w:p>
            <w:pPr>
              <w:spacing w:after="0"/>
              <w:rPr>
                <w:sz w:val="1"/>
                <w:szCs w:val="1"/>
                <w:color w:val="auto"/>
              </w:rPr>
            </w:pPr>
          </w:p>
        </w:tc>
      </w:tr>
      <w:tr>
        <w:trPr>
          <w:trHeight w:val="48"/>
        </w:trPr>
        <w:tc>
          <w:tcPr>
            <w:tcW w:w="1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Earned</w:t>
            </w:r>
          </w:p>
        </w:tc>
        <w:tc>
          <w:tcPr>
            <w:tcW w:w="100" w:type="dxa"/>
            <w:vAlign w:val="bottom"/>
          </w:tcPr>
          <w:p>
            <w:pPr>
              <w:spacing w:after="0"/>
              <w:rPr>
                <w:sz w:val="4"/>
                <w:szCs w:val="4"/>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rPr>
              <w:t>December</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Gain</w:t>
            </w: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rPr>
              <w:t>of December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ind w:left="20"/>
              <w:spacing w:after="0" w:line="136" w:lineRule="exact"/>
              <w:rPr>
                <w:sz w:val="20"/>
                <w:szCs w:val="20"/>
                <w:color w:val="auto"/>
              </w:rPr>
            </w:pPr>
            <w:r>
              <w:rPr>
                <w:rFonts w:ascii="Arial" w:cs="Arial" w:eastAsia="Arial" w:hAnsi="Arial"/>
                <w:sz w:val="13"/>
                <w:szCs w:val="13"/>
                <w:b w:val="1"/>
                <w:bCs w:val="1"/>
                <w:color w:val="auto"/>
              </w:rPr>
              <w:t>Reductions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Portfolio Company</w:t>
            </w:r>
          </w:p>
        </w:tc>
        <w:tc>
          <w:tcPr>
            <w:tcW w:w="21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Investment Description</w:t>
            </w:r>
          </w:p>
        </w:tc>
        <w:tc>
          <w:tcPr>
            <w:tcW w:w="120" w:type="dxa"/>
            <w:vAlign w:val="bottom"/>
          </w:tcPr>
          <w:p>
            <w:pPr>
              <w:spacing w:after="0"/>
              <w:rPr>
                <w:sz w:val="20"/>
                <w:szCs w:val="20"/>
                <w:color w:val="auto"/>
              </w:rPr>
            </w:pPr>
          </w:p>
        </w:tc>
        <w:tc>
          <w:tcPr>
            <w:tcW w:w="620" w:type="dxa"/>
            <w:vAlign w:val="bottom"/>
          </w:tcPr>
          <w:p>
            <w:pPr>
              <w:jc w:val="center"/>
              <w:ind w:right="5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b w:val="1"/>
                <w:bCs w:val="1"/>
                <w:color w:val="auto"/>
                <w:w w:val="98"/>
              </w:rPr>
              <w:t>31, 2021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Additions</w:t>
            </w:r>
            <w:r>
              <w:rPr>
                <w:rFonts w:ascii="Arial" w:cs="Arial" w:eastAsia="Arial" w:hAnsi="Arial"/>
                <w:sz w:val="16"/>
                <w:szCs w:val="16"/>
                <w:b w:val="1"/>
                <w:bCs w:val="1"/>
                <w:color w:val="auto"/>
                <w:vertAlign w:val="superscript"/>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center"/>
              <w:ind w:right="75"/>
              <w:spacing w:after="0"/>
              <w:rPr>
                <w:sz w:val="20"/>
                <w:szCs w:val="20"/>
                <w:color w:val="auto"/>
              </w:rPr>
            </w:pPr>
            <w:r>
              <w:rPr>
                <w:rFonts w:ascii="Arial" w:cs="Arial" w:eastAsia="Arial" w:hAnsi="Arial"/>
                <w:sz w:val="8"/>
                <w:szCs w:val="8"/>
                <w:b w:val="1"/>
                <w:bCs w:val="1"/>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74"/>
              <w:spacing w:after="0"/>
              <w:rPr>
                <w:sz w:val="20"/>
                <w:szCs w:val="20"/>
                <w:color w:val="auto"/>
              </w:rPr>
            </w:pPr>
            <w:r>
              <w:rPr>
                <w:rFonts w:ascii="Arial" w:cs="Arial" w:eastAsia="Arial" w:hAnsi="Arial"/>
                <w:sz w:val="13"/>
                <w:szCs w:val="13"/>
                <w:b w:val="1"/>
                <w:bCs w:val="1"/>
                <w:color w:val="auto"/>
                <w:w w:val="97"/>
              </w:rPr>
              <w:t>31, 2022</w:t>
            </w:r>
            <w:r>
              <w:rPr>
                <w:rFonts w:ascii="Arial" w:cs="Arial" w:eastAsia="Arial" w:hAnsi="Arial"/>
                <w:sz w:val="16"/>
                <w:szCs w:val="16"/>
                <w:b w:val="1"/>
                <w:bCs w:val="1"/>
                <w:color w:val="auto"/>
                <w:w w:val="97"/>
                <w:vertAlign w:val="superscript"/>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Affiliate Investments</w:t>
            </w:r>
          </w:p>
        </w:tc>
        <w:tc>
          <w:tcPr>
            <w:tcW w:w="4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60" w:type="dxa"/>
            <w:vAlign w:val="bottom"/>
            <w:gridSpan w:val="3"/>
          </w:tcPr>
          <w:p>
            <w:pPr>
              <w:ind w:left="140"/>
              <w:spacing w:after="0"/>
              <w:rPr>
                <w:sz w:val="20"/>
                <w:szCs w:val="20"/>
                <w:color w:val="auto"/>
              </w:rPr>
            </w:pPr>
            <w:r>
              <w:rPr>
                <w:rFonts w:ascii="Arial" w:cs="Arial" w:eastAsia="Arial" w:hAnsi="Arial"/>
                <w:sz w:val="13"/>
                <w:szCs w:val="13"/>
                <w:b w:val="1"/>
                <w:bCs w:val="1"/>
                <w:color w:val="auto"/>
              </w:rPr>
              <w:t>Senior Secured Term Loans</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7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Coginiti Corp</w:t>
            </w: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LIBOR+9.50% PIK, 10.81% floor,</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due 12/15/2022</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(930 )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3860" w:type="dxa"/>
            <w:vAlign w:val="bottom"/>
            <w:gridSpan w:val="3"/>
          </w:tcPr>
          <w:p>
            <w:pPr>
              <w:ind w:left="260"/>
              <w:spacing w:after="0"/>
              <w:rPr>
                <w:sz w:val="20"/>
                <w:szCs w:val="20"/>
                <w:color w:val="auto"/>
              </w:rPr>
            </w:pPr>
            <w:r>
              <w:rPr>
                <w:rFonts w:ascii="Arial" w:cs="Arial" w:eastAsia="Arial" w:hAnsi="Arial"/>
                <w:sz w:val="13"/>
                <w:szCs w:val="13"/>
                <w:b w:val="1"/>
                <w:bCs w:val="1"/>
                <w:color w:val="auto"/>
              </w:rPr>
              <w:t>Total Senior Secured Term Loans</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(930 )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700" w:type="dxa"/>
            <w:vAlign w:val="bottom"/>
            <w:shd w:val="clear" w:color="auto" w:fill="CFF0FC"/>
          </w:tcPr>
          <w:p>
            <w:pPr>
              <w:ind w:left="140"/>
              <w:spacing w:after="0"/>
              <w:rPr>
                <w:sz w:val="20"/>
                <w:szCs w:val="20"/>
                <w:color w:val="auto"/>
              </w:rPr>
            </w:pPr>
            <w:r>
              <w:rPr>
                <w:rFonts w:ascii="Arial" w:cs="Arial" w:eastAsia="Arial" w:hAnsi="Arial"/>
                <w:sz w:val="13"/>
                <w:szCs w:val="13"/>
                <w:b w:val="1"/>
                <w:bCs w:val="1"/>
                <w:color w:val="auto"/>
              </w:rPr>
              <w:t>Common Stocks</w:t>
            </w:r>
          </w:p>
        </w:tc>
        <w:tc>
          <w:tcPr>
            <w:tcW w:w="4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7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17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700" w:type="dxa"/>
            <w:vAlign w:val="bottom"/>
          </w:tcPr>
          <w:p>
            <w:pPr>
              <w:ind w:left="140"/>
              <w:spacing w:after="0"/>
              <w:rPr>
                <w:sz w:val="20"/>
                <w:szCs w:val="20"/>
                <w:color w:val="auto"/>
              </w:rPr>
            </w:pPr>
            <w:r>
              <w:rPr>
                <w:rFonts w:ascii="Arial" w:cs="Arial" w:eastAsia="Arial" w:hAnsi="Arial"/>
                <w:sz w:val="13"/>
                <w:szCs w:val="13"/>
                <w:color w:val="auto"/>
              </w:rPr>
              <w:t>Coginiti Corp</w:t>
            </w: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Common Stock</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4,551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(3,377 )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700" w:type="dxa"/>
            <w:vAlign w:val="bottom"/>
            <w:shd w:val="clear" w:color="auto" w:fill="CFF0FC"/>
          </w:tcPr>
          <w:p>
            <w:pPr>
              <w:ind w:left="260"/>
              <w:spacing w:after="0"/>
              <w:rPr>
                <w:sz w:val="20"/>
                <w:szCs w:val="20"/>
                <w:color w:val="auto"/>
              </w:rPr>
            </w:pPr>
            <w:r>
              <w:rPr>
                <w:rFonts w:ascii="Arial" w:cs="Arial" w:eastAsia="Arial" w:hAnsi="Arial"/>
                <w:sz w:val="13"/>
                <w:szCs w:val="13"/>
                <w:b w:val="1"/>
                <w:bCs w:val="1"/>
                <w:color w:val="auto"/>
              </w:rPr>
              <w:t>Total Common Stocks</w:t>
            </w:r>
          </w:p>
        </w:tc>
        <w:tc>
          <w:tcPr>
            <w:tcW w:w="420" w:type="dxa"/>
            <w:vAlign w:val="bottom"/>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(3,377 )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140"/>
              <w:spacing w:after="0"/>
              <w:rPr>
                <w:sz w:val="20"/>
                <w:szCs w:val="20"/>
                <w:color w:val="auto"/>
              </w:rPr>
            </w:pPr>
            <w:r>
              <w:rPr>
                <w:rFonts w:ascii="Arial" w:cs="Arial" w:eastAsia="Arial" w:hAnsi="Arial"/>
                <w:sz w:val="13"/>
                <w:szCs w:val="13"/>
                <w:b w:val="1"/>
                <w:bCs w:val="1"/>
                <w:color w:val="auto"/>
              </w:rPr>
              <w:t>Warrants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7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Coginiti Corp</w:t>
            </w: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Warrant for Common Stock,</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CFF0FC"/>
          </w:tcPr>
          <w:p>
            <w:pPr>
              <w:spacing w:after="0"/>
              <w:rPr>
                <w:sz w:val="13"/>
                <w:szCs w:val="13"/>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exercise price $0.01/share,</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expires 3/9/2030</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(99 )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260"/>
              <w:spacing w:after="0"/>
              <w:rPr>
                <w:sz w:val="20"/>
                <w:szCs w:val="20"/>
                <w:color w:val="auto"/>
              </w:rPr>
            </w:pPr>
            <w:r>
              <w:rPr>
                <w:rFonts w:ascii="Arial" w:cs="Arial" w:eastAsia="Arial" w:hAnsi="Arial"/>
                <w:sz w:val="13"/>
                <w:szCs w:val="13"/>
                <w:b w:val="1"/>
                <w:bCs w:val="1"/>
                <w:color w:val="auto"/>
              </w:rPr>
              <w:t>Total Warrants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(99 )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860" w:type="dxa"/>
            <w:vAlign w:val="bottom"/>
            <w:gridSpan w:val="3"/>
            <w:shd w:val="clear" w:color="auto" w:fill="CFF0FC"/>
          </w:tcPr>
          <w:p>
            <w:pPr>
              <w:ind w:left="140"/>
              <w:spacing w:after="0"/>
              <w:rPr>
                <w:sz w:val="20"/>
                <w:szCs w:val="20"/>
                <w:color w:val="auto"/>
              </w:rPr>
            </w:pPr>
            <w:r>
              <w:rPr>
                <w:rFonts w:ascii="Arial" w:cs="Arial" w:eastAsia="Arial" w:hAnsi="Arial"/>
                <w:sz w:val="13"/>
                <w:szCs w:val="13"/>
                <w:b w:val="1"/>
                <w:bCs w:val="1"/>
                <w:color w:val="auto"/>
              </w:rPr>
              <w:t>Total Affiliate Investments</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(930 )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(3,476 )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7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Control Investments</w:t>
            </w:r>
          </w:p>
        </w:tc>
        <w:tc>
          <w:tcPr>
            <w:tcW w:w="420" w:type="dxa"/>
            <w:vAlign w:val="bottom"/>
            <w:tcBorders>
              <w:top w:val="single" w:sz="8" w:color="CFF0FC"/>
            </w:tcBorders>
          </w:tcPr>
          <w:p>
            <w:pPr>
              <w:spacing w:after="0"/>
              <w:rPr>
                <w:sz w:val="13"/>
                <w:szCs w:val="13"/>
                <w:color w:val="auto"/>
              </w:rPr>
            </w:pPr>
          </w:p>
        </w:tc>
        <w:tc>
          <w:tcPr>
            <w:tcW w:w="17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60" w:type="dxa"/>
            <w:vAlign w:val="bottom"/>
            <w:gridSpan w:val="3"/>
            <w:shd w:val="clear" w:color="auto" w:fill="CFF0FC"/>
          </w:tcPr>
          <w:p>
            <w:pPr>
              <w:ind w:left="140"/>
              <w:spacing w:after="0"/>
              <w:rPr>
                <w:sz w:val="20"/>
                <w:szCs w:val="20"/>
                <w:color w:val="auto"/>
              </w:rPr>
            </w:pPr>
            <w:r>
              <w:rPr>
                <w:rFonts w:ascii="Arial" w:cs="Arial" w:eastAsia="Arial" w:hAnsi="Arial"/>
                <w:sz w:val="13"/>
                <w:szCs w:val="13"/>
                <w:b w:val="1"/>
                <w:bCs w:val="1"/>
                <w:color w:val="auto"/>
              </w:rPr>
              <w:t>Senior Secured Term Loans</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700" w:type="dxa"/>
            <w:vAlign w:val="bottom"/>
          </w:tcPr>
          <w:p>
            <w:pPr>
              <w:ind w:left="140"/>
              <w:spacing w:after="0"/>
              <w:rPr>
                <w:sz w:val="20"/>
                <w:szCs w:val="20"/>
                <w:color w:val="auto"/>
              </w:rPr>
            </w:pPr>
            <w:r>
              <w:rPr>
                <w:rFonts w:ascii="Arial" w:cs="Arial" w:eastAsia="Arial" w:hAnsi="Arial"/>
                <w:sz w:val="13"/>
                <w:szCs w:val="13"/>
                <w:color w:val="auto"/>
              </w:rPr>
              <w:t>Mojix, Inc.</w:t>
            </w: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LIBOR+12.00% , 12.00% cash</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cap, 5% ETP, due 1/15/2025</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2,287</w:t>
            </w:r>
          </w:p>
        </w:tc>
        <w:tc>
          <w:tcPr>
            <w:tcW w:w="1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7,568</w:t>
            </w:r>
          </w:p>
        </w:tc>
        <w:tc>
          <w:tcPr>
            <w:tcW w:w="120" w:type="dxa"/>
            <w:vAlign w:val="bottom"/>
          </w:tcPr>
          <w:p>
            <w:pPr>
              <w:spacing w:after="0"/>
              <w:rPr>
                <w:sz w:val="14"/>
                <w:szCs w:val="14"/>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1,987</w:t>
            </w:r>
          </w:p>
        </w:tc>
        <w:tc>
          <w:tcPr>
            <w:tcW w:w="120" w:type="dxa"/>
            <w:vAlign w:val="bottom"/>
          </w:tcPr>
          <w:p>
            <w:pPr>
              <w:spacing w:after="0"/>
              <w:rPr>
                <w:sz w:val="14"/>
                <w:szCs w:val="14"/>
                <w:color w:val="auto"/>
              </w:rPr>
            </w:pPr>
          </w:p>
        </w:tc>
        <w:tc>
          <w:tcPr>
            <w:tcW w:w="24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(8,489 )</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(1,066 )</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LIBOR+12.00% , 12.00% cash</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cap, 5% ETP, due 1/15/2025</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(2,818 )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(352 )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3"/>
                <w:szCs w:val="13"/>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LIBOR+12.00% , 12.00% cash</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cap, 5% ETP, due 1/15/2025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(704 )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(86 )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LIBOR+12.00% , 12.00% cash</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cap, 5% ETP, due 1/15/2025</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(703 )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(87 )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3"/>
                <w:szCs w:val="13"/>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LIBOR+12.00% , 12.00% cash</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cap, 5% ETP, due 1/15/2025</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(1,400 )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(180 )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LIBOR+12.00% , 12.00% cash</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cap, 5% ETP, due 1/15/2025</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(1,090 )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(184 )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00" w:type="dxa"/>
            <w:vAlign w:val="bottom"/>
          </w:tcPr>
          <w:p>
            <w:pPr>
              <w:ind w:left="140"/>
              <w:spacing w:after="0"/>
              <w:rPr>
                <w:sz w:val="20"/>
                <w:szCs w:val="20"/>
                <w:color w:val="auto"/>
              </w:rPr>
            </w:pPr>
            <w:r>
              <w:rPr>
                <w:rFonts w:ascii="Arial" w:cs="Arial" w:eastAsia="Arial" w:hAnsi="Arial"/>
                <w:sz w:val="13"/>
                <w:szCs w:val="13"/>
                <w:color w:val="auto"/>
              </w:rPr>
              <w:t>Pivot3, Inc.</w:t>
            </w: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LIBOR+8.50% PIK, 11.00% floor,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due 11/15/2022</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(5,360 )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gridSpan w:val="3"/>
            <w:shd w:val="clear" w:color="auto" w:fill="CFF0FC"/>
          </w:tcPr>
          <w:p>
            <w:pPr>
              <w:ind w:left="260"/>
              <w:spacing w:after="0"/>
              <w:rPr>
                <w:sz w:val="20"/>
                <w:szCs w:val="20"/>
                <w:color w:val="auto"/>
              </w:rPr>
            </w:pPr>
            <w:r>
              <w:rPr>
                <w:rFonts w:ascii="Arial" w:cs="Arial" w:eastAsia="Arial" w:hAnsi="Arial"/>
                <w:sz w:val="13"/>
                <w:szCs w:val="13"/>
                <w:b w:val="1"/>
                <w:bCs w:val="1"/>
                <w:color w:val="auto"/>
              </w:rPr>
              <w:t>Total Senior Secured Term Loans</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28,261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(15,204 )</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(7,315 )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00" w:type="dxa"/>
            <w:vAlign w:val="bottom"/>
          </w:tcPr>
          <w:p>
            <w:pPr>
              <w:ind w:left="140"/>
              <w:spacing w:after="0"/>
              <w:rPr>
                <w:sz w:val="20"/>
                <w:szCs w:val="20"/>
                <w:color w:val="auto"/>
              </w:rPr>
            </w:pPr>
            <w:r>
              <w:rPr>
                <w:rFonts w:ascii="Arial" w:cs="Arial" w:eastAsia="Arial" w:hAnsi="Arial"/>
                <w:sz w:val="13"/>
                <w:szCs w:val="13"/>
                <w:b w:val="1"/>
                <w:bCs w:val="1"/>
                <w:color w:val="auto"/>
              </w:rPr>
              <w:t>Preferred Stocks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Mojix, Inc.</w:t>
            </w: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Series A-1 Preferred Stock</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(800 )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(70 )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00" w:type="dxa"/>
            <w:vAlign w:val="bottom"/>
          </w:tcPr>
          <w:p>
            <w:pPr>
              <w:ind w:left="140"/>
              <w:spacing w:after="0"/>
              <w:rPr>
                <w:sz w:val="20"/>
                <w:szCs w:val="20"/>
                <w:color w:val="auto"/>
              </w:rPr>
            </w:pPr>
            <w:r>
              <w:rPr>
                <w:rFonts w:ascii="Arial" w:cs="Arial" w:eastAsia="Arial" w:hAnsi="Arial"/>
                <w:sz w:val="13"/>
                <w:szCs w:val="13"/>
                <w:color w:val="auto"/>
              </w:rPr>
              <w:t>Pivot3 Holdings, Inc.</w:t>
            </w: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Series 1 Preferred Stock</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(2,000 )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1"/>
        </w:trPr>
        <w:tc>
          <w:tcPr>
            <w:tcW w:w="1700" w:type="dxa"/>
            <w:vAlign w:val="bottom"/>
            <w:shd w:val="clear" w:color="auto" w:fill="CFF0FC"/>
          </w:tcPr>
          <w:p>
            <w:pPr>
              <w:ind w:left="260"/>
              <w:spacing w:after="0"/>
              <w:rPr>
                <w:sz w:val="20"/>
                <w:szCs w:val="20"/>
                <w:color w:val="auto"/>
              </w:rPr>
            </w:pPr>
            <w:r>
              <w:rPr>
                <w:rFonts w:ascii="Arial" w:cs="Arial" w:eastAsia="Arial" w:hAnsi="Arial"/>
                <w:sz w:val="13"/>
                <w:szCs w:val="13"/>
                <w:b w:val="1"/>
                <w:bCs w:val="1"/>
                <w:color w:val="auto"/>
              </w:rPr>
              <w:t>Total Preferred Stocks</w:t>
            </w:r>
          </w:p>
        </w:tc>
        <w:tc>
          <w:tcPr>
            <w:tcW w:w="4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line="221" w:lineRule="exact"/>
              <w:rPr>
                <w:sz w:val="20"/>
                <w:szCs w:val="20"/>
                <w:color w:val="auto"/>
              </w:rPr>
            </w:pPr>
            <w:r>
              <w:rPr>
                <w:rFonts w:ascii="Arial" w:cs="Arial" w:eastAsia="Arial" w:hAnsi="Arial"/>
                <w:sz w:val="13"/>
                <w:szCs w:val="13"/>
                <w:color w:val="auto"/>
              </w:rPr>
              <w:t xml:space="preserve">(800 </w:t>
            </w:r>
            <w:r>
              <w:rPr>
                <w:rFonts w:ascii="Arial" w:cs="Arial" w:eastAsia="Arial" w:hAnsi="Arial"/>
                <w:sz w:val="25"/>
                <w:szCs w:val="25"/>
                <w:color w:val="auto"/>
                <w:vertAlign w:val="subscript"/>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(2,000 )</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700" w:type="dxa"/>
            <w:vAlign w:val="bottom"/>
          </w:tcPr>
          <w:p>
            <w:pPr>
              <w:ind w:left="140"/>
              <w:spacing w:after="0"/>
              <w:rPr>
                <w:sz w:val="20"/>
                <w:szCs w:val="20"/>
                <w:color w:val="auto"/>
              </w:rPr>
            </w:pPr>
            <w:r>
              <w:rPr>
                <w:rFonts w:ascii="Arial" w:cs="Arial" w:eastAsia="Arial" w:hAnsi="Arial"/>
                <w:sz w:val="13"/>
                <w:szCs w:val="13"/>
                <w:b w:val="1"/>
                <w:bCs w:val="1"/>
                <w:color w:val="auto"/>
              </w:rPr>
              <w:t>Warrants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7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Mojix, Inc.</w:t>
            </w: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Warrant for Common Stock,</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CFF0FC"/>
          </w:tcPr>
          <w:p>
            <w:pPr>
              <w:spacing w:after="0"/>
              <w:rPr>
                <w:sz w:val="13"/>
                <w:szCs w:val="13"/>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exercise price $1.286/share,</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expires 12/13/2030</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(119 )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3"/>
                <w:szCs w:val="13"/>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Warrant for Common Stock,</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exercise price $2.1286/share,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2160" w:type="dxa"/>
            <w:vAlign w:val="bottom"/>
            <w:gridSpan w:val="2"/>
          </w:tcPr>
          <w:p>
            <w:pPr>
              <w:ind w:left="40"/>
              <w:spacing w:after="0"/>
              <w:rPr>
                <w:sz w:val="20"/>
                <w:szCs w:val="20"/>
                <w:color w:val="auto"/>
              </w:rPr>
            </w:pPr>
            <w:r>
              <w:rPr>
                <w:rFonts w:ascii="Arial" w:cs="Arial" w:eastAsia="Arial" w:hAnsi="Arial"/>
                <w:sz w:val="13"/>
                <w:szCs w:val="13"/>
                <w:color w:val="auto"/>
              </w:rPr>
              <w:t>expires 12/13/2030</w:t>
            </w: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(298 )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0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Warrant for Common Stock,</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CFF0FC"/>
          </w:tcPr>
          <w:p>
            <w:pPr>
              <w:spacing w:after="0"/>
              <w:rPr>
                <w:sz w:val="13"/>
                <w:szCs w:val="13"/>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exercise price $5.57338/share,</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FF0FC"/>
          </w:tcPr>
          <w:p>
            <w:pPr>
              <w:spacing w:after="0"/>
              <w:rPr>
                <w:sz w:val="15"/>
                <w:szCs w:val="15"/>
                <w:color w:val="auto"/>
              </w:rPr>
            </w:pPr>
          </w:p>
        </w:tc>
        <w:tc>
          <w:tcPr>
            <w:tcW w:w="2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expires 12/13/2030</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(829 )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700" w:type="dxa"/>
            <w:vAlign w:val="bottom"/>
          </w:tcPr>
          <w:p>
            <w:pPr>
              <w:ind w:left="260"/>
              <w:spacing w:after="0"/>
              <w:rPr>
                <w:sz w:val="20"/>
                <w:szCs w:val="20"/>
                <w:color w:val="auto"/>
              </w:rPr>
            </w:pPr>
            <w:r>
              <w:rPr>
                <w:rFonts w:ascii="Arial" w:cs="Arial" w:eastAsia="Arial" w:hAnsi="Arial"/>
                <w:sz w:val="13"/>
                <w:szCs w:val="13"/>
                <w:b w:val="1"/>
                <w:bCs w:val="1"/>
                <w:color w:val="auto"/>
              </w:rPr>
              <w:t>Total Warrants</w:t>
            </w:r>
          </w:p>
        </w:tc>
        <w:tc>
          <w:tcPr>
            <w:tcW w:w="4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(1,246 )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3860" w:type="dxa"/>
            <w:vAlign w:val="bottom"/>
            <w:gridSpan w:val="3"/>
            <w:shd w:val="clear" w:color="auto" w:fill="CFF0FC"/>
          </w:tcPr>
          <w:p>
            <w:pPr>
              <w:ind w:left="140"/>
              <w:spacing w:after="0"/>
              <w:rPr>
                <w:sz w:val="20"/>
                <w:szCs w:val="20"/>
                <w:color w:val="auto"/>
              </w:rPr>
            </w:pPr>
            <w:r>
              <w:rPr>
                <w:rFonts w:ascii="Arial" w:cs="Arial" w:eastAsia="Arial" w:hAnsi="Arial"/>
                <w:sz w:val="13"/>
                <w:szCs w:val="13"/>
                <w:b w:val="1"/>
                <w:bCs w:val="1"/>
                <w:color w:val="auto"/>
              </w:rPr>
              <w:t>Total Control Investments</w:t>
            </w:r>
          </w:p>
        </w:tc>
        <w:tc>
          <w:tcPr>
            <w:tcW w:w="12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4,097</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29,131</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3,548</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(17,250 )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(2,000 )</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(4,139 )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1700" w:type="dxa"/>
            <w:vAlign w:val="bottom"/>
            <w:tcBorders>
              <w:top w:val="single" w:sz="8" w:color="CFF0FC"/>
              <w:bottom w:val="single" w:sz="8" w:color="auto"/>
            </w:tcBorders>
          </w:tcPr>
          <w:p>
            <w:pPr>
              <w:spacing w:after="0"/>
              <w:rPr>
                <w:sz w:val="3"/>
                <w:szCs w:val="3"/>
                <w:color w:val="auto"/>
              </w:rPr>
            </w:pPr>
          </w:p>
        </w:tc>
        <w:tc>
          <w:tcPr>
            <w:tcW w:w="420" w:type="dxa"/>
            <w:vAlign w:val="bottom"/>
            <w:tcBorders>
              <w:top w:val="single" w:sz="8" w:color="CFF0FC"/>
              <w:bottom w:val="single" w:sz="8" w:color="auto"/>
            </w:tcBorders>
          </w:tcPr>
          <w:p>
            <w:pPr>
              <w:spacing w:after="0"/>
              <w:rPr>
                <w:sz w:val="3"/>
                <w:szCs w:val="3"/>
                <w:color w:val="auto"/>
              </w:rPr>
            </w:pPr>
          </w:p>
        </w:tc>
        <w:tc>
          <w:tcPr>
            <w:tcW w:w="174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2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0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ind w:left="360"/>
        <w:spacing w:after="0" w:line="199" w:lineRule="auto"/>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 w:lineRule="exact"/>
        <w:rPr>
          <w:sz w:val="20"/>
          <w:szCs w:val="20"/>
          <w:color w:val="auto"/>
        </w:rPr>
      </w:pPr>
    </w:p>
    <w:p>
      <w:pPr>
        <w:ind w:left="360" w:right="100"/>
        <w:spacing w:after="0" w:line="199"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ind w:left="360" w:right="60"/>
        <w:spacing w:after="0" w:line="199" w:lineRule="auto"/>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All investments in the portfolio company, which as of December 31, 2022 represented 1.97% of the Company’s net assets, may be deemed to be restricted securities under the Securities Act, and were valued at fair value as determined in good faith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40" w:orient="portrait"/>
          <w:cols w:equalWidth="0" w:num="1">
            <w:col w:w="10560"/>
          </w:cols>
          <w:pgMar w:left="660" w:top="562" w:right="680" w:bottom="1440" w:gutter="0" w:footer="0" w:header="0"/>
        </w:sectPr>
      </w:pPr>
    </w:p>
    <w:bookmarkStart w:id="36" w:name="page37"/>
    <w:bookmarkEnd w:id="36"/>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Portfolio Composition</w:t>
      </w:r>
    </w:p>
    <w:p>
      <w:pPr>
        <w:spacing w:after="0" w:line="19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following tables show the fair value of the Company's portfolio of investments by geographic region and industry as of June 30, 2023 and December 31,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ind w:left="88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5"/>
          </w:tcPr>
          <w:p>
            <w:pPr>
              <w:ind w:left="740"/>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Pr>
          <w:p>
            <w:pPr>
              <w:spacing w:after="0"/>
              <w:rPr>
                <w:sz w:val="15"/>
                <w:szCs w:val="15"/>
                <w:color w:val="auto"/>
              </w:rPr>
            </w:pPr>
          </w:p>
        </w:tc>
      </w:tr>
      <w:tr>
        <w:trPr>
          <w:trHeight w:val="156"/>
        </w:trPr>
        <w:tc>
          <w:tcPr>
            <w:tcW w:w="3800" w:type="dxa"/>
            <w:vAlign w:val="bottom"/>
          </w:tcPr>
          <w:p>
            <w:pPr>
              <w:spacing w:after="0"/>
              <w:rPr>
                <w:sz w:val="13"/>
                <w:szCs w:val="13"/>
                <w:color w:val="auto"/>
              </w:rPr>
            </w:pPr>
          </w:p>
        </w:tc>
        <w:tc>
          <w:tcPr>
            <w:tcW w:w="136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Investments at Fair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Investments at Fair</w:t>
            </w:r>
          </w:p>
        </w:tc>
        <w:tc>
          <w:tcPr>
            <w:tcW w:w="20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Arial" w:cs="Arial" w:eastAsia="Arial" w:hAnsi="Arial"/>
                <w:sz w:val="13"/>
                <w:szCs w:val="13"/>
                <w:b w:val="1"/>
                <w:bCs w:val="1"/>
                <w:color w:val="auto"/>
              </w:rPr>
              <w:t>Percentage of Net</w:t>
            </w:r>
          </w:p>
        </w:tc>
      </w:tr>
      <w:tr>
        <w:trPr>
          <w:trHeight w:val="183"/>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Geographic Region</w:t>
            </w:r>
          </w:p>
        </w:tc>
        <w:tc>
          <w:tcPr>
            <w:tcW w:w="300" w:type="dxa"/>
            <w:vAlign w:val="bottom"/>
          </w:tcPr>
          <w:p>
            <w:pPr>
              <w:spacing w:after="0"/>
              <w:rPr>
                <w:sz w:val="15"/>
                <w:szCs w:val="15"/>
                <w:color w:val="auto"/>
              </w:rPr>
            </w:pPr>
          </w:p>
        </w:tc>
        <w:tc>
          <w:tcPr>
            <w:tcW w:w="1060" w:type="dxa"/>
            <w:vAlign w:val="bottom"/>
          </w:tcPr>
          <w:p>
            <w:pPr>
              <w:jc w:val="right"/>
              <w:ind w:right="434"/>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20"/>
              <w:spacing w:after="0"/>
              <w:rPr>
                <w:sz w:val="20"/>
                <w:szCs w:val="20"/>
                <w:color w:val="auto"/>
              </w:rPr>
            </w:pPr>
            <w:r>
              <w:rPr>
                <w:rFonts w:ascii="Arial" w:cs="Arial" w:eastAsia="Arial" w:hAnsi="Arial"/>
                <w:sz w:val="13"/>
                <w:szCs w:val="13"/>
                <w:b w:val="1"/>
                <w:bCs w:val="1"/>
                <w:color w:val="auto"/>
              </w:rPr>
              <w:t>Percentage of Net Assets</w:t>
            </w:r>
          </w:p>
        </w:tc>
        <w:tc>
          <w:tcPr>
            <w:tcW w:w="30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Value</w:t>
            </w:r>
          </w:p>
        </w:tc>
        <w:tc>
          <w:tcPr>
            <w:tcW w:w="200" w:type="dxa"/>
            <w:vAlign w:val="bottom"/>
          </w:tcPr>
          <w:p>
            <w:pPr>
              <w:spacing w:after="0"/>
              <w:rPr>
                <w:sz w:val="15"/>
                <w:szCs w:val="15"/>
                <w:color w:val="auto"/>
              </w:rPr>
            </w:pPr>
          </w:p>
        </w:tc>
        <w:tc>
          <w:tcPr>
            <w:tcW w:w="1320" w:type="dxa"/>
            <w:vAlign w:val="bottom"/>
            <w:gridSpan w:val="2"/>
          </w:tcPr>
          <w:p>
            <w:pPr>
              <w:jc w:val="center"/>
              <w:ind w:left="214"/>
              <w:spacing w:after="0"/>
              <w:rPr>
                <w:sz w:val="20"/>
                <w:szCs w:val="20"/>
                <w:color w:val="auto"/>
              </w:rPr>
            </w:pPr>
            <w:r>
              <w:rPr>
                <w:rFonts w:ascii="Arial" w:cs="Arial" w:eastAsia="Arial" w:hAnsi="Arial"/>
                <w:sz w:val="13"/>
                <w:szCs w:val="13"/>
                <w:b w:val="1"/>
                <w:bCs w:val="1"/>
                <w:color w:val="auto"/>
              </w:rPr>
              <w:t>Assets</w:t>
            </w:r>
          </w:p>
        </w:tc>
        <w:tc>
          <w:tcPr>
            <w:tcW w:w="260" w:type="dxa"/>
            <w:vAlign w:val="bottom"/>
          </w:tcPr>
          <w:p>
            <w:pPr>
              <w:spacing w:after="0"/>
              <w:rPr>
                <w:sz w:val="15"/>
                <w:szCs w:val="15"/>
                <w:color w:val="auto"/>
              </w:rPr>
            </w:pPr>
          </w:p>
        </w:tc>
      </w:tr>
      <w:tr>
        <w:trPr>
          <w:trHeight w:val="180"/>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Western United States</w:t>
            </w:r>
          </w:p>
        </w:tc>
        <w:tc>
          <w:tcPr>
            <w:tcW w:w="30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346,340</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60.35</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6"/>
              </w:rPr>
              <w:t>%</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346,372</w:t>
            </w: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60.13</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Northeastern United States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328,179</w:t>
            </w:r>
          </w:p>
        </w:tc>
        <w:tc>
          <w:tcPr>
            <w:tcW w:w="1480" w:type="dxa"/>
            <w:vAlign w:val="bottom"/>
            <w:gridSpan w:val="3"/>
          </w:tcPr>
          <w:p>
            <w:pPr>
              <w:jc w:val="right"/>
              <w:spacing w:after="0"/>
              <w:rPr>
                <w:sz w:val="20"/>
                <w:szCs w:val="20"/>
                <w:color w:val="auto"/>
              </w:rPr>
            </w:pPr>
            <w:r>
              <w:rPr>
                <w:rFonts w:ascii="Arial" w:cs="Arial" w:eastAsia="Arial" w:hAnsi="Arial"/>
                <w:sz w:val="13"/>
                <w:szCs w:val="13"/>
                <w:color w:val="auto"/>
              </w:rPr>
              <w:t>57.18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351,654</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61.04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Midwestern United States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89,117</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15.53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74,745</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12.98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South Central United States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85,414</w:t>
            </w:r>
          </w:p>
        </w:tc>
        <w:tc>
          <w:tcPr>
            <w:tcW w:w="1480" w:type="dxa"/>
            <w:vAlign w:val="bottom"/>
            <w:gridSpan w:val="3"/>
          </w:tcPr>
          <w:p>
            <w:pPr>
              <w:jc w:val="right"/>
              <w:spacing w:after="0"/>
              <w:rPr>
                <w:sz w:val="20"/>
                <w:szCs w:val="20"/>
                <w:color w:val="auto"/>
              </w:rPr>
            </w:pPr>
            <w:r>
              <w:rPr>
                <w:rFonts w:ascii="Arial" w:cs="Arial" w:eastAsia="Arial" w:hAnsi="Arial"/>
                <w:sz w:val="13"/>
                <w:szCs w:val="13"/>
                <w:color w:val="auto"/>
              </w:rPr>
              <w:t>14.88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85,000</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14.76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Southeastern United States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81,200</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14.15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74,797</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12.98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United Kingdom</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75,874</w:t>
            </w:r>
          </w:p>
        </w:tc>
        <w:tc>
          <w:tcPr>
            <w:tcW w:w="1480" w:type="dxa"/>
            <w:vAlign w:val="bottom"/>
            <w:gridSpan w:val="3"/>
          </w:tcPr>
          <w:p>
            <w:pPr>
              <w:jc w:val="right"/>
              <w:spacing w:after="0"/>
              <w:rPr>
                <w:sz w:val="20"/>
                <w:szCs w:val="20"/>
                <w:color w:val="auto"/>
              </w:rPr>
            </w:pPr>
            <w:r>
              <w:rPr>
                <w:rFonts w:ascii="Arial" w:cs="Arial" w:eastAsia="Arial" w:hAnsi="Arial"/>
                <w:sz w:val="13"/>
                <w:szCs w:val="13"/>
                <w:color w:val="auto"/>
              </w:rPr>
              <w:t>13.22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60,783</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10.55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Germany</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48,357</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8.43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46,499</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8.07</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800" w:type="dxa"/>
            <w:vAlign w:val="bottom"/>
          </w:tcPr>
          <w:p>
            <w:pPr>
              <w:ind w:left="20"/>
              <w:spacing w:after="0"/>
              <w:rPr>
                <w:sz w:val="20"/>
                <w:szCs w:val="20"/>
                <w:color w:val="auto"/>
              </w:rPr>
            </w:pPr>
            <w:r>
              <w:rPr>
                <w:rFonts w:ascii="Arial" w:cs="Arial" w:eastAsia="Arial" w:hAnsi="Arial"/>
                <w:sz w:val="13"/>
                <w:szCs w:val="13"/>
                <w:color w:val="auto"/>
              </w:rPr>
              <w:t>Northwestern United States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26,573</w:t>
            </w:r>
          </w:p>
        </w:tc>
        <w:tc>
          <w:tcPr>
            <w:tcW w:w="1480" w:type="dxa"/>
            <w:vAlign w:val="bottom"/>
            <w:gridSpan w:val="3"/>
          </w:tcPr>
          <w:p>
            <w:pPr>
              <w:jc w:val="right"/>
              <w:spacing w:after="0"/>
              <w:rPr>
                <w:sz w:val="20"/>
                <w:szCs w:val="20"/>
                <w:color w:val="auto"/>
              </w:rPr>
            </w:pPr>
            <w:r>
              <w:rPr>
                <w:rFonts w:ascii="Arial" w:cs="Arial" w:eastAsia="Arial" w:hAnsi="Arial"/>
                <w:sz w:val="13"/>
                <w:szCs w:val="13"/>
                <w:color w:val="auto"/>
              </w:rPr>
              <w:t>4.63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72,615</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12.61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Canada</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14,267</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2.49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13,844</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80"/>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1,095,321</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190.86</w:t>
            </w:r>
          </w:p>
        </w:tc>
        <w:tc>
          <w:tcPr>
            <w:tcW w:w="120" w:type="dxa"/>
            <w:vAlign w:val="bottom"/>
          </w:tcPr>
          <w:p>
            <w:pPr>
              <w:spacing w:after="0"/>
              <w:rPr>
                <w:sz w:val="15"/>
                <w:szCs w:val="15"/>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w w:val="86"/>
              </w:rPr>
              <w:t>%</w:t>
            </w:r>
          </w:p>
        </w:tc>
        <w:tc>
          <w:tcPr>
            <w:tcW w:w="28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1,126,309</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195.52</w:t>
            </w:r>
          </w:p>
        </w:tc>
        <w:tc>
          <w:tcPr>
            <w:tcW w:w="100" w:type="dxa"/>
            <w:vAlign w:val="bottom"/>
          </w:tcPr>
          <w:p>
            <w:pPr>
              <w:spacing w:after="0"/>
              <w:rPr>
                <w:sz w:val="15"/>
                <w:szCs w:val="15"/>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0"/>
        </w:trPr>
        <w:tc>
          <w:tcPr>
            <w:tcW w:w="3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ind w:left="88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5"/>
          </w:tcPr>
          <w:p>
            <w:pPr>
              <w:ind w:left="960"/>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Pr>
          <w:p>
            <w:pPr>
              <w:spacing w:after="0"/>
              <w:rPr>
                <w:sz w:val="15"/>
                <w:szCs w:val="15"/>
                <w:color w:val="auto"/>
              </w:rPr>
            </w:pPr>
          </w:p>
        </w:tc>
      </w:tr>
      <w:tr>
        <w:trPr>
          <w:trHeight w:val="153"/>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Investments at Fair</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Investments at Fair</w:t>
            </w:r>
          </w:p>
        </w:tc>
        <w:tc>
          <w:tcPr>
            <w:tcW w:w="200" w:type="dxa"/>
            <w:vAlign w:val="bottom"/>
          </w:tcPr>
          <w:p>
            <w:pPr>
              <w:spacing w:after="0"/>
              <w:rPr>
                <w:sz w:val="13"/>
                <w:szCs w:val="13"/>
                <w:color w:val="auto"/>
              </w:rPr>
            </w:pPr>
          </w:p>
        </w:tc>
        <w:tc>
          <w:tcPr>
            <w:tcW w:w="1580" w:type="dxa"/>
            <w:vAlign w:val="bottom"/>
            <w:gridSpan w:val="3"/>
          </w:tcPr>
          <w:p>
            <w:pPr>
              <w:jc w:val="center"/>
              <w:spacing w:after="0"/>
              <w:rPr>
                <w:sz w:val="20"/>
                <w:szCs w:val="20"/>
                <w:color w:val="auto"/>
              </w:rPr>
            </w:pPr>
            <w:r>
              <w:rPr>
                <w:rFonts w:ascii="Arial" w:cs="Arial" w:eastAsia="Arial" w:hAnsi="Arial"/>
                <w:sz w:val="13"/>
                <w:szCs w:val="13"/>
                <w:b w:val="1"/>
                <w:bCs w:val="1"/>
                <w:color w:val="auto"/>
              </w:rPr>
              <w:t>Percentage of Net</w:t>
            </w:r>
          </w:p>
        </w:tc>
      </w:tr>
      <w:tr>
        <w:trPr>
          <w:trHeight w:val="18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Industry</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5"/>
                <w:szCs w:val="15"/>
                <w:color w:val="auto"/>
              </w:rPr>
            </w:pPr>
          </w:p>
        </w:tc>
        <w:tc>
          <w:tcPr>
            <w:tcW w:w="1900" w:type="dxa"/>
            <w:vAlign w:val="bottom"/>
            <w:gridSpan w:val="4"/>
          </w:tcPr>
          <w:p>
            <w:pPr>
              <w:ind w:left="20"/>
              <w:spacing w:after="0"/>
              <w:rPr>
                <w:sz w:val="20"/>
                <w:szCs w:val="20"/>
                <w:color w:val="auto"/>
              </w:rPr>
            </w:pPr>
            <w:r>
              <w:rPr>
                <w:rFonts w:ascii="Arial" w:cs="Arial" w:eastAsia="Arial" w:hAnsi="Arial"/>
                <w:sz w:val="13"/>
                <w:szCs w:val="13"/>
                <w:b w:val="1"/>
                <w:bCs w:val="1"/>
                <w:color w:val="auto"/>
              </w:rPr>
              <w:t>Percentage of Net Assets</w:t>
            </w:r>
          </w:p>
        </w:tc>
        <w:tc>
          <w:tcPr>
            <w:tcW w:w="8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Value</w:t>
            </w:r>
          </w:p>
        </w:tc>
        <w:tc>
          <w:tcPr>
            <w:tcW w:w="200" w:type="dxa"/>
            <w:vAlign w:val="bottom"/>
          </w:tcPr>
          <w:p>
            <w:pPr>
              <w:spacing w:after="0"/>
              <w:rPr>
                <w:sz w:val="15"/>
                <w:szCs w:val="15"/>
                <w:color w:val="auto"/>
              </w:rPr>
            </w:pPr>
          </w:p>
        </w:tc>
        <w:tc>
          <w:tcPr>
            <w:tcW w:w="1320" w:type="dxa"/>
            <w:vAlign w:val="bottom"/>
            <w:gridSpan w:val="2"/>
          </w:tcPr>
          <w:p>
            <w:pPr>
              <w:jc w:val="center"/>
              <w:ind w:left="214"/>
              <w:spacing w:after="0"/>
              <w:rPr>
                <w:sz w:val="20"/>
                <w:szCs w:val="20"/>
                <w:color w:val="auto"/>
              </w:rPr>
            </w:pPr>
            <w:r>
              <w:rPr>
                <w:rFonts w:ascii="Arial" w:cs="Arial" w:eastAsia="Arial" w:hAnsi="Arial"/>
                <w:sz w:val="13"/>
                <w:szCs w:val="13"/>
                <w:b w:val="1"/>
                <w:bCs w:val="1"/>
                <w:color w:val="auto"/>
              </w:rPr>
              <w:t>Assets</w:t>
            </w:r>
          </w:p>
        </w:tc>
        <w:tc>
          <w:tcPr>
            <w:tcW w:w="260" w:type="dxa"/>
            <w:vAlign w:val="bottom"/>
          </w:tcPr>
          <w:p>
            <w:pPr>
              <w:spacing w:after="0"/>
              <w:rPr>
                <w:sz w:val="15"/>
                <w:szCs w:val="15"/>
                <w:color w:val="auto"/>
              </w:rPr>
            </w:pPr>
          </w:p>
        </w:tc>
      </w:tr>
      <w:tr>
        <w:trPr>
          <w:trHeight w:val="180"/>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Health Care Technology</w:t>
            </w:r>
          </w:p>
        </w:tc>
        <w:tc>
          <w:tcPr>
            <w:tcW w:w="480" w:type="dxa"/>
            <w:vAlign w:val="bottom"/>
            <w:gridSpan w:val="2"/>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260,336</w:t>
            </w: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45.36</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w w:val="86"/>
              </w:rPr>
              <w:t>%</w:t>
            </w: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240,844</w:t>
            </w: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41.81</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w:t>
            </w:r>
          </w:p>
        </w:tc>
      </w:tr>
      <w:tr>
        <w:trPr>
          <w:trHeight w:val="307"/>
        </w:trPr>
        <w:tc>
          <w:tcPr>
            <w:tcW w:w="3620" w:type="dxa"/>
            <w:vAlign w:val="bottom"/>
          </w:tcPr>
          <w:p>
            <w:pPr>
              <w:ind w:left="20"/>
              <w:spacing w:after="0"/>
              <w:rPr>
                <w:sz w:val="20"/>
                <w:szCs w:val="20"/>
                <w:color w:val="auto"/>
              </w:rPr>
            </w:pPr>
            <w:r>
              <w:rPr>
                <w:rFonts w:ascii="Arial" w:cs="Arial" w:eastAsia="Arial" w:hAnsi="Arial"/>
                <w:sz w:val="13"/>
                <w:szCs w:val="13"/>
                <w:color w:val="auto"/>
              </w:rPr>
              <w:t>Application Software</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184,816</w:t>
            </w:r>
          </w:p>
        </w:tc>
        <w:tc>
          <w:tcPr>
            <w:tcW w:w="1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32.20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184,084</w:t>
            </w:r>
          </w:p>
        </w:tc>
        <w:tc>
          <w:tcPr>
            <w:tcW w:w="1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31.96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5"/>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Human Resource &amp; Employment Services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113,256</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19.73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97,788</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16.98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3"/>
                <w:szCs w:val="13"/>
                <w:color w:val="auto"/>
              </w:rPr>
              <w:t>Internet Software and Services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100,026</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17.43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149,780</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26.00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Data Processing &amp; Outsourced Services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98,517</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17.16</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97,404</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16.91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3"/>
                <w:szCs w:val="13"/>
                <w:color w:val="auto"/>
              </w:rPr>
              <w:t>Electronic Equipment &amp; Instruments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91,688</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15.98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78,114</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System Software</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82,745</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14.42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78,274</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13.58</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3"/>
                <w:szCs w:val="13"/>
                <w:color w:val="auto"/>
              </w:rPr>
              <w:t>Property &amp; Casualty Insurance</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63,631</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11.09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49,440</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8.58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Internet &amp; Direct Marketing Retail</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57,911</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55,986</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9.72</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3"/>
                <w:szCs w:val="13"/>
                <w:color w:val="auto"/>
              </w:rPr>
              <w:t>Education Services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25,486</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4.44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25,305</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Health Care Equipment</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15,120</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27,433</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4.76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3"/>
                <w:szCs w:val="13"/>
                <w:color w:val="auto"/>
              </w:rPr>
              <w:t>Technology Hardware, Storage &amp; Peripherals</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1,283</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1,068</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0.19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Specialized Consumer Services</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75"/>
        </w:trPr>
        <w:tc>
          <w:tcPr>
            <w:tcW w:w="3620" w:type="dxa"/>
            <w:vAlign w:val="bottom"/>
          </w:tcPr>
          <w:p>
            <w:pPr>
              <w:ind w:left="20"/>
              <w:spacing w:after="0"/>
              <w:rPr>
                <w:sz w:val="20"/>
                <w:szCs w:val="20"/>
                <w:color w:val="auto"/>
              </w:rPr>
            </w:pPr>
            <w:r>
              <w:rPr>
                <w:rFonts w:ascii="Arial" w:cs="Arial" w:eastAsia="Arial" w:hAnsi="Arial"/>
                <w:sz w:val="13"/>
                <w:szCs w:val="13"/>
                <w:color w:val="auto"/>
              </w:rPr>
              <w:t>Biotechnology</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0.02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39,925</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5"/>
        </w:trPr>
        <w:tc>
          <w:tcPr>
            <w:tcW w:w="3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Computer &amp; Electronics Retail</w:t>
            </w:r>
          </w:p>
        </w:tc>
        <w:tc>
          <w:tcPr>
            <w:tcW w:w="1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r>
      <w:tr>
        <w:trPr>
          <w:trHeight w:val="180"/>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8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1,095,321</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190.86</w:t>
            </w:r>
          </w:p>
        </w:tc>
        <w:tc>
          <w:tcPr>
            <w:tcW w:w="120" w:type="dxa"/>
            <w:vAlign w:val="bottom"/>
          </w:tcPr>
          <w:p>
            <w:pPr>
              <w:spacing w:after="0"/>
              <w:rPr>
                <w:sz w:val="15"/>
                <w:szCs w:val="15"/>
                <w:color w:val="auto"/>
              </w:rPr>
            </w:pPr>
          </w:p>
        </w:tc>
        <w:tc>
          <w:tcPr>
            <w:tcW w:w="260" w:type="dxa"/>
            <w:vAlign w:val="bottom"/>
          </w:tcPr>
          <w:p>
            <w:pPr>
              <w:jc w:val="right"/>
              <w:ind w:right="74"/>
              <w:spacing w:after="0"/>
              <w:rPr>
                <w:sz w:val="20"/>
                <w:szCs w:val="20"/>
                <w:color w:val="auto"/>
              </w:rPr>
            </w:pPr>
            <w:r>
              <w:rPr>
                <w:rFonts w:ascii="Arial" w:cs="Arial" w:eastAsia="Arial" w:hAnsi="Arial"/>
                <w:sz w:val="13"/>
                <w:szCs w:val="13"/>
                <w:color w:val="auto"/>
                <w:w w:val="86"/>
              </w:rPr>
              <w:t>%</w:t>
            </w:r>
          </w:p>
        </w:tc>
        <w:tc>
          <w:tcPr>
            <w:tcW w:w="2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1,126,309</w:t>
            </w: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color w:val="auto"/>
              </w:rPr>
              <w:t>195.52</w:t>
            </w:r>
          </w:p>
        </w:tc>
        <w:tc>
          <w:tcPr>
            <w:tcW w:w="100" w:type="dxa"/>
            <w:vAlign w:val="bottom"/>
          </w:tcPr>
          <w:p>
            <w:pPr>
              <w:spacing w:after="0"/>
              <w:rPr>
                <w:sz w:val="15"/>
                <w:szCs w:val="15"/>
                <w:color w:val="auto"/>
              </w:rPr>
            </w:pPr>
          </w:p>
        </w:tc>
        <w:tc>
          <w:tcPr>
            <w:tcW w:w="260" w:type="dxa"/>
            <w:vAlign w:val="bottom"/>
          </w:tcPr>
          <w:p>
            <w:pPr>
              <w:jc w:val="right"/>
              <w:ind w:right="54"/>
              <w:spacing w:after="0"/>
              <w:rPr>
                <w:sz w:val="20"/>
                <w:szCs w:val="20"/>
                <w:color w:val="auto"/>
              </w:rPr>
            </w:pPr>
            <w:r>
              <w:rPr>
                <w:rFonts w:ascii="Arial" w:cs="Arial" w:eastAsia="Arial" w:hAnsi="Arial"/>
                <w:sz w:val="13"/>
                <w:szCs w:val="13"/>
                <w:color w:val="auto"/>
              </w:rPr>
              <w:t>%</w:t>
            </w: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 Financial Instruments</w:t>
      </w:r>
    </w:p>
    <w:p>
      <w:pPr>
        <w:spacing w:after="0" w:line="196"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6"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Warrants provide exposure and potential gains upon equity gains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six months ended June 30, 2023, the Company had net realized gains (losses) of $0.0 million and $(1.2) million, respectively, and a net unrealized gain (loss) of $(0.9) million and $(2.6) million, respectively, from its investments in warrants. For the three and six months ended June 30, 2022, the Company had net realized gains (losses) of $0.0 million and $(0.3) million, respectively, and a net unrealized gain (loss) of ($ 1.0) million and $0.2 million, respectively, from its investments in warrants. Realized gains (losses) from warrants are included in the respective control, affiliate, or non-control/non -affiliate Net realized gain (loss) on investments on the Statement of Operations. Net change in unrealized gain (loss) from investments in warrants is included in the respective control, affiliate, or non-control/non-affiliate Net change in unrealized gain (loss) on investments on the Statement of Operations.</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40" w:orient="portrait"/>
          <w:cols w:equalWidth="0" w:num="1">
            <w:col w:w="10560"/>
          </w:cols>
          <w:pgMar w:left="660" w:top="562" w:right="680" w:bottom="1440" w:gutter="0" w:footer="0" w:header="0"/>
        </w:sectPr>
      </w:pPr>
    </w:p>
    <w:bookmarkStart w:id="37" w:name="page38"/>
    <w:bookmarkEnd w:id="37"/>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Fair Value of Financial Instruments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Company’s assets recorded at fair value have been categorized based upon a fair value hierarchy in accordance with ASC Topic 820. Refer to "Note 2  –  Summary of Significant Accounting Policies" for a discussion of the Company’s policies.</w:t>
      </w:r>
    </w:p>
    <w:p>
      <w:pPr>
        <w:spacing w:after="0" w:line="166"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Investments measured at fair value on a recurring basis are categorized in the tables below based upon the lowest level of significant input to the valuations as of June 30, 2023 and December 31, 2022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1160" w:type="dxa"/>
            <w:vAlign w:val="bottom"/>
            <w:vMerge w:val="restart"/>
          </w:tcPr>
          <w:p>
            <w:pPr>
              <w:jc w:val="right"/>
              <w:ind w:right="34"/>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Level 2</w:t>
            </w:r>
          </w:p>
        </w:tc>
        <w:tc>
          <w:tcPr>
            <w:tcW w:w="1340" w:type="dxa"/>
            <w:vAlign w:val="bottom"/>
            <w:gridSpan w:val="4"/>
          </w:tcPr>
          <w:p>
            <w:pPr>
              <w:jc w:val="right"/>
              <w:ind w:right="14"/>
              <w:spacing w:after="0"/>
              <w:rPr>
                <w:sz w:val="20"/>
                <w:szCs w:val="20"/>
                <w:color w:val="auto"/>
              </w:rPr>
            </w:pPr>
            <w:r>
              <w:rPr>
                <w:rFonts w:ascii="Arial" w:cs="Arial" w:eastAsia="Arial" w:hAnsi="Arial"/>
                <w:sz w:val="13"/>
                <w:szCs w:val="13"/>
                <w:b w:val="1"/>
                <w:bCs w:val="1"/>
                <w:color w:val="auto"/>
              </w:rPr>
              <w:t>As of June 30, 2023</w:t>
            </w:r>
          </w:p>
        </w:tc>
        <w:tc>
          <w:tcPr>
            <w:tcW w:w="12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30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20"/>
              <w:spacing w:after="0"/>
              <w:rPr>
                <w:sz w:val="20"/>
                <w:szCs w:val="20"/>
                <w:color w:val="auto"/>
              </w:rPr>
            </w:pPr>
            <w:r>
              <w:rPr>
                <w:rFonts w:ascii="Arial" w:cs="Arial" w:eastAsia="Arial" w:hAnsi="Arial"/>
                <w:sz w:val="13"/>
                <w:szCs w:val="13"/>
                <w:color w:val="auto"/>
              </w:rPr>
              <w:t>Senior Secured Term Loans</w:t>
            </w:r>
          </w:p>
        </w:tc>
        <w:tc>
          <w:tcPr>
            <w:tcW w:w="1160" w:type="dxa"/>
            <w:vAlign w:val="bottom"/>
          </w:tcPr>
          <w:p>
            <w:pPr>
              <w:jc w:val="right"/>
              <w:ind w:right="994"/>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954"/>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54"/>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1,030,136</w:t>
            </w:r>
          </w:p>
        </w:tc>
        <w:tc>
          <w:tcPr>
            <w:tcW w:w="100" w:type="dxa"/>
            <w:vAlign w:val="bottom"/>
          </w:tcPr>
          <w:p>
            <w:pPr>
              <w:spacing w:after="0"/>
              <w:rPr>
                <w:sz w:val="15"/>
                <w:szCs w:val="15"/>
                <w:color w:val="auto"/>
              </w:rPr>
            </w:pPr>
          </w:p>
        </w:tc>
        <w:tc>
          <w:tcPr>
            <w:tcW w:w="54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1,030,136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Second Lien Term Loans</w:t>
            </w:r>
          </w:p>
        </w:tc>
        <w:tc>
          <w:tcPr>
            <w:tcW w:w="1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14,064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14,064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20"/>
              <w:spacing w:after="0"/>
              <w:rPr>
                <w:sz w:val="20"/>
                <w:szCs w:val="20"/>
                <w:color w:val="auto"/>
              </w:rPr>
            </w:pPr>
            <w:r>
              <w:rPr>
                <w:rFonts w:ascii="Arial" w:cs="Arial" w:eastAsia="Arial" w:hAnsi="Arial"/>
                <w:sz w:val="13"/>
                <w:szCs w:val="13"/>
                <w:color w:val="auto"/>
              </w:rPr>
              <w:t>Preferred Stock</w:t>
            </w: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12,938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22,072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35,010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120"/>
              <w:spacing w:after="0"/>
              <w:rPr>
                <w:sz w:val="20"/>
                <w:szCs w:val="20"/>
                <w:color w:val="auto"/>
              </w:rPr>
            </w:pPr>
            <w:r>
              <w:rPr>
                <w:rFonts w:ascii="Arial" w:cs="Arial" w:eastAsia="Arial" w:hAnsi="Arial"/>
                <w:sz w:val="13"/>
                <w:szCs w:val="13"/>
                <w:color w:val="auto"/>
              </w:rPr>
              <w:t>Warrants</w:t>
            </w: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13,727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13,861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Portfolio Investments</w:t>
            </w: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14,275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1,080,912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1,095,321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rPr>
                <w:sz w:val="20"/>
                <w:szCs w:val="20"/>
                <w:color w:val="auto"/>
              </w:rPr>
            </w:pPr>
            <w:r>
              <w:rPr>
                <w:rFonts w:ascii="Arial" w:cs="Arial" w:eastAsia="Arial" w:hAnsi="Arial"/>
                <w:sz w:val="13"/>
                <w:szCs w:val="13"/>
                <w:color w:val="auto"/>
              </w:rPr>
              <w:t>Cash equivalents</w:t>
            </w: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37,586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37,586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w:t>
            </w:r>
          </w:p>
        </w:tc>
        <w:tc>
          <w:tcPr>
            <w:tcW w:w="1160" w:type="dxa"/>
            <w:vAlign w:val="bottom"/>
            <w:tcBorders>
              <w:bottom w:val="single" w:sz="8" w:color="auto"/>
            </w:tcBorders>
            <w:shd w:val="clear" w:color="auto" w:fill="CFF0FC"/>
          </w:tcPr>
          <w:p>
            <w:pPr>
              <w:jc w:val="right"/>
              <w:ind w:right="994"/>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51,861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54"/>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54"/>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1,080,912</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1,132,907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gridSpan w:val="7"/>
          </w:tcPr>
          <w:p>
            <w:pPr>
              <w:ind w:left="980"/>
              <w:spacing w:after="0"/>
              <w:rPr>
                <w:sz w:val="20"/>
                <w:szCs w:val="20"/>
                <w:color w:val="auto"/>
              </w:rPr>
            </w:pPr>
            <w:r>
              <w:rPr>
                <w:rFonts w:ascii="Arial" w:cs="Arial" w:eastAsia="Arial" w:hAnsi="Arial"/>
                <w:sz w:val="13"/>
                <w:szCs w:val="13"/>
                <w:b w:val="1"/>
                <w:bCs w:val="1"/>
                <w:color w:val="auto"/>
              </w:rPr>
              <w:t>As of December 31, 2022</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4"/>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74"/>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3</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r>
      <w:tr>
        <w:trPr>
          <w:trHeight w:val="180"/>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3"/>
                <w:szCs w:val="13"/>
                <w:color w:val="auto"/>
              </w:rPr>
              <w:t>Senior Secured Term Loans</w:t>
            </w:r>
          </w:p>
        </w:tc>
        <w:tc>
          <w:tcPr>
            <w:tcW w:w="1340" w:type="dxa"/>
            <w:vAlign w:val="bottom"/>
            <w:gridSpan w:val="2"/>
          </w:tcPr>
          <w:p>
            <w:pPr>
              <w:jc w:val="right"/>
              <w:ind w:right="994"/>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1054"/>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94"/>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1,080,121</w:t>
            </w:r>
          </w:p>
        </w:tc>
        <w:tc>
          <w:tcPr>
            <w:tcW w:w="100" w:type="dxa"/>
            <w:vAlign w:val="bottom"/>
          </w:tcPr>
          <w:p>
            <w:pPr>
              <w:spacing w:after="0"/>
              <w:rPr>
                <w:sz w:val="15"/>
                <w:szCs w:val="15"/>
                <w:color w:val="auto"/>
              </w:rPr>
            </w:pPr>
          </w:p>
        </w:tc>
        <w:tc>
          <w:tcPr>
            <w:tcW w:w="540" w:type="dxa"/>
            <w:vAlign w:val="bottom"/>
            <w:gridSpan w:val="2"/>
          </w:tcPr>
          <w:p>
            <w:pPr>
              <w:jc w:val="right"/>
              <w:ind w:right="214"/>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1,080,121</w:t>
            </w:r>
          </w:p>
        </w:tc>
        <w:tc>
          <w:tcPr>
            <w:tcW w:w="80" w:type="dxa"/>
            <w:vAlign w:val="bottom"/>
          </w:tcPr>
          <w:p>
            <w:pPr>
              <w:spacing w:after="0"/>
              <w:rPr>
                <w:sz w:val="15"/>
                <w:szCs w:val="15"/>
                <w:color w:val="auto"/>
              </w:rPr>
            </w:pPr>
          </w:p>
        </w:tc>
      </w:tr>
      <w:tr>
        <w:trPr>
          <w:trHeight w:val="185"/>
        </w:trPr>
        <w:tc>
          <w:tcPr>
            <w:tcW w:w="28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Second Lien Term Loans</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13,654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13,654</w:t>
            </w:r>
          </w:p>
        </w:tc>
        <w:tc>
          <w:tcPr>
            <w:tcW w:w="80" w:type="dxa"/>
            <w:vAlign w:val="bottom"/>
            <w:shd w:val="clear" w:color="auto" w:fill="CFF0FC"/>
          </w:tcPr>
          <w:p>
            <w:pPr>
              <w:spacing w:after="0"/>
              <w:rPr>
                <w:sz w:val="16"/>
                <w:szCs w:val="16"/>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3"/>
                <w:szCs w:val="13"/>
                <w:color w:val="auto"/>
              </w:rPr>
              <w:t>Preferred Stock</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12,335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12,682</w:t>
            </w:r>
          </w:p>
        </w:tc>
        <w:tc>
          <w:tcPr>
            <w:tcW w:w="80" w:type="dxa"/>
            <w:vAlign w:val="bottom"/>
          </w:tcPr>
          <w:p>
            <w:pPr>
              <w:spacing w:after="0"/>
              <w:rPr>
                <w:sz w:val="15"/>
                <w:szCs w:val="15"/>
                <w:color w:val="auto"/>
              </w:rPr>
            </w:pPr>
          </w:p>
        </w:tc>
      </w:tr>
      <w:tr>
        <w:trPr>
          <w:trHeight w:val="185"/>
        </w:trPr>
        <w:tc>
          <w:tcPr>
            <w:tcW w:w="28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3,097</w:t>
            </w:r>
          </w:p>
        </w:tc>
        <w:tc>
          <w:tcPr>
            <w:tcW w:w="80" w:type="dxa"/>
            <w:vAlign w:val="bottom"/>
            <w:shd w:val="clear" w:color="auto" w:fill="CFF0FC"/>
          </w:tcPr>
          <w:p>
            <w:pPr>
              <w:spacing w:after="0"/>
              <w:rPr>
                <w:sz w:val="16"/>
                <w:szCs w:val="16"/>
                <w:color w:val="auto"/>
              </w:rPr>
            </w:pPr>
          </w:p>
        </w:tc>
      </w:tr>
      <w:tr>
        <w:trPr>
          <w:trHeight w:val="175"/>
        </w:trPr>
        <w:tc>
          <w:tcPr>
            <w:tcW w:w="2880" w:type="dxa"/>
            <w:vAlign w:val="bottom"/>
          </w:tcPr>
          <w:p>
            <w:pPr>
              <w:ind w:left="120"/>
              <w:spacing w:after="0"/>
              <w:rPr>
                <w:sz w:val="20"/>
                <w:szCs w:val="20"/>
                <w:color w:val="auto"/>
              </w:rPr>
            </w:pPr>
            <w:r>
              <w:rPr>
                <w:rFonts w:ascii="Arial" w:cs="Arial" w:eastAsia="Arial" w:hAnsi="Arial"/>
                <w:sz w:val="13"/>
                <w:szCs w:val="13"/>
                <w:color w:val="auto"/>
              </w:rPr>
              <w:t>Warrants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16,650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16,755</w:t>
            </w:r>
          </w:p>
        </w:tc>
        <w:tc>
          <w:tcPr>
            <w:tcW w:w="80" w:type="dxa"/>
            <w:vAlign w:val="bottom"/>
          </w:tcPr>
          <w:p>
            <w:pPr>
              <w:spacing w:after="0"/>
              <w:rPr>
                <w:sz w:val="15"/>
                <w:szCs w:val="15"/>
                <w:color w:val="auto"/>
              </w:rPr>
            </w:pPr>
          </w:p>
        </w:tc>
      </w:tr>
      <w:tr>
        <w:trPr>
          <w:trHeight w:val="185"/>
        </w:trPr>
        <w:tc>
          <w:tcPr>
            <w:tcW w:w="2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Portfolio Investments</w:t>
            </w:r>
          </w:p>
        </w:tc>
        <w:tc>
          <w:tcPr>
            <w:tcW w:w="1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12,836</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1,111,946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1,126,309</w:t>
            </w:r>
          </w:p>
        </w:tc>
        <w:tc>
          <w:tcPr>
            <w:tcW w:w="80" w:type="dxa"/>
            <w:vAlign w:val="bottom"/>
            <w:shd w:val="clear" w:color="auto" w:fill="CFF0FC"/>
          </w:tcPr>
          <w:p>
            <w:pPr>
              <w:spacing w:after="0"/>
              <w:rPr>
                <w:sz w:val="16"/>
                <w:szCs w:val="16"/>
                <w:color w:val="auto"/>
              </w:rPr>
            </w:pPr>
          </w:p>
        </w:tc>
      </w:tr>
      <w:tr>
        <w:trPr>
          <w:trHeight w:val="175"/>
        </w:trPr>
        <w:tc>
          <w:tcPr>
            <w:tcW w:w="2880" w:type="dxa"/>
            <w:vAlign w:val="bottom"/>
          </w:tcPr>
          <w:p>
            <w:pPr>
              <w:ind w:left="20"/>
              <w:spacing w:after="0"/>
              <w:rPr>
                <w:sz w:val="20"/>
                <w:szCs w:val="20"/>
                <w:color w:val="auto"/>
              </w:rPr>
            </w:pPr>
            <w:r>
              <w:rPr>
                <w:rFonts w:ascii="Arial" w:cs="Arial" w:eastAsia="Arial" w:hAnsi="Arial"/>
                <w:sz w:val="13"/>
                <w:szCs w:val="13"/>
                <w:color w:val="auto"/>
              </w:rPr>
              <w:t>Cash equivalents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5,590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5,590</w:t>
            </w:r>
          </w:p>
        </w:tc>
        <w:tc>
          <w:tcPr>
            <w:tcW w:w="80" w:type="dxa"/>
            <w:vAlign w:val="bottom"/>
          </w:tcPr>
          <w:p>
            <w:pPr>
              <w:spacing w:after="0"/>
              <w:rPr>
                <w:sz w:val="15"/>
                <w:szCs w:val="15"/>
                <w:color w:val="auto"/>
              </w:rPr>
            </w:pPr>
          </w:p>
        </w:tc>
      </w:tr>
      <w:tr>
        <w:trPr>
          <w:trHeight w:val="225"/>
        </w:trPr>
        <w:tc>
          <w:tcPr>
            <w:tcW w:w="2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94"/>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18,426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54"/>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1,527</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94"/>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1,111,946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1,131,899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8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Company transfers investments in and out of Levels 1, 2 and 3 as of the beginning balance sheet date, based on changes in the use of observable and unobservable inputs utilized to perform the valuation for the period.</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40" w:orient="portrait"/>
          <w:cols w:equalWidth="0" w:num="1">
            <w:col w:w="10560"/>
          </w:cols>
          <w:pgMar w:left="660" w:top="562" w:right="680" w:bottom="1440" w:gutter="0" w:footer="0" w:header="0"/>
        </w:sectPr>
      </w:pPr>
    </w:p>
    <w:bookmarkStart w:id="38" w:name="page39"/>
    <w:bookmarkEnd w:id="38"/>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rollforward of Level 3 assets measured at fair value as of June 30, 2023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Senior Secured</w:t>
            </w:r>
          </w:p>
        </w:tc>
        <w:tc>
          <w:tcPr>
            <w:tcW w:w="120" w:type="dxa"/>
            <w:vAlign w:val="bottom"/>
          </w:tcPr>
          <w:p>
            <w:pPr>
              <w:spacing w:after="0"/>
              <w:rPr>
                <w:sz w:val="13"/>
                <w:szCs w:val="13"/>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Second Lien Term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Term Loans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Loans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Warrants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at December 31, 2022</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347</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1,174</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1,080,121</w:t>
            </w:r>
          </w:p>
        </w:tc>
        <w:tc>
          <w:tcPr>
            <w:tcW w:w="1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13,654</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16,650</w:t>
            </w: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1,111,946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color w:val="auto"/>
              </w:rPr>
              <w:t>Transfers out of Level 3</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investments</w:t>
            </w:r>
            <w:r>
              <w:rPr>
                <w:rFonts w:ascii="Arial" w:cs="Arial" w:eastAsia="Arial" w:hAnsi="Arial"/>
                <w:sz w:val="16"/>
                <w:szCs w:val="16"/>
                <w:color w:val="auto"/>
                <w:vertAlign w:val="superscript"/>
              </w:rPr>
              <w:t>(1)</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37,689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63,540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color w:val="auto"/>
              </w:rPr>
              <w:t>PIK interest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9,434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Sales or repayments of</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investments</w:t>
            </w:r>
            <w:r>
              <w:rPr>
                <w:rFonts w:ascii="Arial" w:cs="Arial" w:eastAsia="Arial" w:hAnsi="Arial"/>
                <w:sz w:val="16"/>
                <w:szCs w:val="16"/>
                <w:color w:val="auto"/>
                <w:vertAlign w:val="superscript"/>
              </w:rPr>
              <w:t>(1)</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(105,672 )</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(105,672 )</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color w:val="auto"/>
              </w:rPr>
              <w:t>Net realized gain (loss)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(1,178 )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(1,178 )</w:t>
            </w:r>
          </w:p>
        </w:tc>
        <w:tc>
          <w:tcPr>
            <w:tcW w:w="0" w:type="dxa"/>
            <w:vAlign w:val="bottom"/>
          </w:tcPr>
          <w:p>
            <w:pPr>
              <w:spacing w:after="0"/>
              <w:rPr>
                <w:sz w:val="1"/>
                <w:szCs w:val="1"/>
                <w:color w:val="auto"/>
              </w:rPr>
            </w:pPr>
          </w:p>
        </w:tc>
      </w:tr>
      <w:tr>
        <w:trPr>
          <w:trHeight w:val="166"/>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change in unrealized gain</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w:t>
            </w:r>
          </w:p>
        </w:tc>
        <w:tc>
          <w:tcPr>
            <w:tcW w:w="14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(3,275 )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(261 )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(2,596 )</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(2,486 )</w:t>
            </w:r>
          </w:p>
        </w:tc>
        <w:tc>
          <w:tcPr>
            <w:tcW w:w="0" w:type="dxa"/>
            <w:vAlign w:val="bottom"/>
          </w:tcPr>
          <w:p>
            <w:pPr>
              <w:spacing w:after="0"/>
              <w:rPr>
                <w:sz w:val="1"/>
                <w:szCs w:val="1"/>
                <w:color w:val="auto"/>
              </w:rPr>
            </w:pPr>
          </w:p>
        </w:tc>
      </w:tr>
      <w:tr>
        <w:trPr>
          <w:trHeight w:val="161"/>
        </w:trPr>
        <w:tc>
          <w:tcPr>
            <w:tcW w:w="2040" w:type="dxa"/>
            <w:vAlign w:val="bottom"/>
          </w:tcPr>
          <w:p>
            <w:pPr>
              <w:ind w:left="20"/>
              <w:spacing w:after="0"/>
              <w:rPr>
                <w:sz w:val="20"/>
                <w:szCs w:val="20"/>
                <w:color w:val="auto"/>
              </w:rPr>
            </w:pPr>
            <w:r>
              <w:rPr>
                <w:rFonts w:ascii="Arial" w:cs="Arial" w:eastAsia="Arial" w:hAnsi="Arial"/>
                <w:sz w:val="13"/>
                <w:szCs w:val="13"/>
                <w:color w:val="auto"/>
              </w:rPr>
              <w:t>Amortization of fixed income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Arial" w:cs="Arial" w:eastAsia="Arial" w:hAnsi="Arial"/>
                <w:sz w:val="13"/>
                <w:szCs w:val="13"/>
                <w:color w:val="auto"/>
              </w:rPr>
              <w:t>premiums or accretion of</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40" w:type="dxa"/>
            <w:vAlign w:val="bottom"/>
          </w:tcPr>
          <w:p>
            <w:pPr>
              <w:ind w:left="20"/>
              <w:spacing w:after="0"/>
              <w:rPr>
                <w:sz w:val="20"/>
                <w:szCs w:val="20"/>
                <w:color w:val="auto"/>
              </w:rPr>
            </w:pPr>
            <w:r>
              <w:rPr>
                <w:rFonts w:ascii="Arial" w:cs="Arial" w:eastAsia="Arial" w:hAnsi="Arial"/>
                <w:sz w:val="13"/>
                <w:szCs w:val="13"/>
                <w:color w:val="auto"/>
              </w:rPr>
              <w:t>discounts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4,924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4,979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at June 30, 2023</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22,072</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913</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1,030,136</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14,064</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13,727</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1,080,912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4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3"/>
                <w:szCs w:val="13"/>
                <w:color w:val="auto"/>
              </w:rPr>
              <w:t>Net change in unrealized gain</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Arial" w:cs="Arial" w:eastAsia="Arial" w:hAnsi="Arial"/>
                <w:sz w:val="13"/>
                <w:szCs w:val="13"/>
                <w:color w:val="auto"/>
              </w:rPr>
              <w:t>(loss) on Level 3 investments</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(3,275 )</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(259 )</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3,844</w:t>
            </w:r>
          </w:p>
        </w:tc>
        <w:tc>
          <w:tcPr>
            <w:tcW w:w="100" w:type="dxa"/>
            <w:vAlign w:val="bottom"/>
          </w:tcPr>
          <w:p>
            <w:pPr>
              <w:spacing w:after="0"/>
              <w:rPr>
                <w:sz w:val="13"/>
                <w:szCs w:val="13"/>
                <w:color w:val="auto"/>
              </w:rPr>
            </w:pPr>
          </w:p>
        </w:tc>
        <w:tc>
          <w:tcPr>
            <w:tcW w:w="380" w:type="dxa"/>
            <w:vAlign w:val="bottom"/>
            <w:gridSpan w:val="2"/>
            <w:vMerge w:val="restart"/>
          </w:tcPr>
          <w:p>
            <w:pPr>
              <w:jc w:val="right"/>
              <w:ind w:right="114"/>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(3,890 )</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(3,574 )</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Arial" w:cs="Arial" w:eastAsia="Arial" w:hAnsi="Arial"/>
                <w:sz w:val="13"/>
                <w:szCs w:val="13"/>
                <w:color w:val="auto"/>
              </w:rPr>
              <w:t>still held as of June 30, 2023</w:t>
            </w:r>
          </w:p>
        </w:tc>
        <w:tc>
          <w:tcPr>
            <w:tcW w:w="14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31"/>
          <w:szCs w:val="31"/>
          <w:color w:val="auto"/>
          <w:vertAlign w:val="superscript"/>
        </w:rPr>
        <w:t>(1)</w:t>
      </w:r>
      <w:r>
        <w:rPr>
          <w:rFonts w:ascii="Arial" w:cs="Arial" w:eastAsia="Arial" w:hAnsi="Arial"/>
          <w:sz w:val="13"/>
          <w:szCs w:val="13"/>
          <w:color w:val="auto"/>
        </w:rPr>
        <w:t>Net of reorganization and restructuring of investments.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rollforward of Level 3 assets measured at fair value as of June 30, 2022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Senior Secured</w:t>
            </w:r>
          </w:p>
        </w:tc>
        <w:tc>
          <w:tcPr>
            <w:tcW w:w="120" w:type="dxa"/>
            <w:vAlign w:val="bottom"/>
          </w:tcPr>
          <w:p>
            <w:pPr>
              <w:spacing w:after="0"/>
              <w:rPr>
                <w:sz w:val="13"/>
                <w:szCs w:val="13"/>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Second Lien Term</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Term Loans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Loans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Warrants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0"/>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at December 31, 2021</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1,332</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623,054</w:t>
            </w:r>
          </w:p>
        </w:tc>
        <w:tc>
          <w:tcPr>
            <w:tcW w:w="10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12,873</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20,087</w:t>
            </w:r>
          </w:p>
        </w:tc>
        <w:tc>
          <w:tcPr>
            <w:tcW w:w="1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657,346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color w:val="auto"/>
              </w:rPr>
              <w:t>Transfers out of Level 3</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investments</w:t>
            </w:r>
            <w:r>
              <w:rPr>
                <w:rFonts w:ascii="Arial" w:cs="Arial" w:eastAsia="Arial" w:hAnsi="Arial"/>
                <w:sz w:val="16"/>
                <w:szCs w:val="16"/>
                <w:color w:val="auto"/>
                <w:vertAlign w:val="superscript"/>
              </w:rPr>
              <w:t>(1)</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227,444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233,473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color w:val="auto"/>
              </w:rPr>
              <w:t>PIK interest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4,811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Sales or repayments of</w:t>
            </w: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investments</w:t>
            </w:r>
            <w:r>
              <w:rPr>
                <w:rFonts w:ascii="Arial" w:cs="Arial" w:eastAsia="Arial" w:hAnsi="Arial"/>
                <w:sz w:val="16"/>
                <w:szCs w:val="16"/>
                <w:color w:val="auto"/>
                <w:vertAlign w:val="superscript"/>
              </w:rPr>
              <w:t>(1)</w:t>
            </w:r>
          </w:p>
        </w:tc>
        <w:tc>
          <w:tcPr>
            <w:tcW w:w="14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(800 )</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(88,172 )</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(1,508 )</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(90,480 )</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color w:val="auto"/>
              </w:rPr>
              <w:t>Net realized gain (loss)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(267 )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(267 )</w:t>
            </w:r>
          </w:p>
        </w:tc>
        <w:tc>
          <w:tcPr>
            <w:tcW w:w="0" w:type="dxa"/>
            <w:vAlign w:val="bottom"/>
          </w:tcPr>
          <w:p>
            <w:pPr>
              <w:spacing w:after="0"/>
              <w:rPr>
                <w:sz w:val="1"/>
                <w:szCs w:val="1"/>
                <w:color w:val="auto"/>
              </w:rPr>
            </w:pPr>
          </w:p>
        </w:tc>
      </w:tr>
      <w:tr>
        <w:trPr>
          <w:trHeight w:val="166"/>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change in unrealized gain</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(loss)</w:t>
            </w:r>
          </w:p>
        </w:tc>
        <w:tc>
          <w:tcPr>
            <w:tcW w:w="14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(123 )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(3,226 )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(11,656 )</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(14,846 )</w:t>
            </w:r>
          </w:p>
        </w:tc>
        <w:tc>
          <w:tcPr>
            <w:tcW w:w="0" w:type="dxa"/>
            <w:vAlign w:val="bottom"/>
          </w:tcPr>
          <w:p>
            <w:pPr>
              <w:spacing w:after="0"/>
              <w:rPr>
                <w:sz w:val="1"/>
                <w:szCs w:val="1"/>
                <w:color w:val="auto"/>
              </w:rPr>
            </w:pPr>
          </w:p>
        </w:tc>
      </w:tr>
      <w:tr>
        <w:trPr>
          <w:trHeight w:val="161"/>
        </w:trPr>
        <w:tc>
          <w:tcPr>
            <w:tcW w:w="2040" w:type="dxa"/>
            <w:vAlign w:val="bottom"/>
          </w:tcPr>
          <w:p>
            <w:pPr>
              <w:ind w:left="20"/>
              <w:spacing w:after="0"/>
              <w:rPr>
                <w:sz w:val="20"/>
                <w:szCs w:val="20"/>
                <w:color w:val="auto"/>
              </w:rPr>
            </w:pPr>
            <w:r>
              <w:rPr>
                <w:rFonts w:ascii="Arial" w:cs="Arial" w:eastAsia="Arial" w:hAnsi="Arial"/>
                <w:sz w:val="13"/>
                <w:szCs w:val="13"/>
                <w:color w:val="auto"/>
              </w:rPr>
              <w:t>Amortization of fixed income</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Arial" w:cs="Arial" w:eastAsia="Arial" w:hAnsi="Arial"/>
                <w:sz w:val="13"/>
                <w:szCs w:val="13"/>
                <w:color w:val="auto"/>
              </w:rPr>
              <w:t>premiums or accretion of</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40" w:type="dxa"/>
            <w:vAlign w:val="bottom"/>
          </w:tcPr>
          <w:p>
            <w:pPr>
              <w:ind w:left="20"/>
              <w:spacing w:after="0"/>
              <w:rPr>
                <w:sz w:val="20"/>
                <w:szCs w:val="20"/>
                <w:color w:val="auto"/>
              </w:rPr>
            </w:pPr>
            <w:r>
              <w:rPr>
                <w:rFonts w:ascii="Arial" w:cs="Arial" w:eastAsia="Arial" w:hAnsi="Arial"/>
                <w:sz w:val="13"/>
                <w:szCs w:val="13"/>
                <w:color w:val="auto"/>
              </w:rPr>
              <w:t>discounts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3,515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3,571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Fair Value at June 30, 2022</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409</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758,996</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13,248</w:t>
            </w:r>
          </w:p>
        </w:tc>
        <w:tc>
          <w:tcPr>
            <w:tcW w:w="1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19,949</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793,927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040" w:type="dxa"/>
            <w:vAlign w:val="bottom"/>
            <w:tcBorders>
              <w:top w:val="single" w:sz="8" w:color="CFF0FC"/>
            </w:tcBorders>
          </w:tcPr>
          <w:p>
            <w:pPr>
              <w:ind w:left="20"/>
              <w:spacing w:after="0" w:line="137" w:lineRule="exact"/>
              <w:rPr>
                <w:sz w:val="20"/>
                <w:szCs w:val="20"/>
                <w:color w:val="auto"/>
              </w:rPr>
            </w:pPr>
            <w:r>
              <w:rPr>
                <w:rFonts w:ascii="Arial" w:cs="Arial" w:eastAsia="Arial" w:hAnsi="Arial"/>
                <w:sz w:val="13"/>
                <w:szCs w:val="13"/>
                <w:color w:val="auto"/>
              </w:rPr>
              <w:t>Net change in unrealized gain</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Arial" w:cs="Arial" w:eastAsia="Arial" w:hAnsi="Arial"/>
                <w:sz w:val="13"/>
                <w:szCs w:val="13"/>
                <w:color w:val="auto"/>
              </w:rPr>
              <w:t>(loss) on Level 3 investments</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(53 )</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3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(3,226 )</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(10,761 )</w:t>
            </w:r>
          </w:p>
        </w:tc>
        <w:tc>
          <w:tcPr>
            <w:tcW w:w="380" w:type="dxa"/>
            <w:vAlign w:val="bottom"/>
            <w:gridSpan w:val="2"/>
            <w:vMerge w:val="restart"/>
          </w:tcPr>
          <w:p>
            <w:pPr>
              <w:jc w:val="right"/>
              <w:ind w:right="114"/>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(1,407 )</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(15,447 )</w:t>
            </w:r>
          </w:p>
        </w:tc>
        <w:tc>
          <w:tcPr>
            <w:tcW w:w="0" w:type="dxa"/>
            <w:vAlign w:val="bottom"/>
          </w:tcPr>
          <w:p>
            <w:pPr>
              <w:spacing w:after="0"/>
              <w:rPr>
                <w:sz w:val="1"/>
                <w:szCs w:val="1"/>
                <w:color w:val="auto"/>
              </w:rPr>
            </w:pPr>
          </w:p>
        </w:tc>
      </w:tr>
      <w:tr>
        <w:trPr>
          <w:trHeight w:val="139"/>
        </w:trPr>
        <w:tc>
          <w:tcPr>
            <w:tcW w:w="2040" w:type="dxa"/>
            <w:vAlign w:val="bottom"/>
          </w:tcPr>
          <w:p>
            <w:pPr>
              <w:ind w:left="20"/>
              <w:spacing w:after="0" w:line="139" w:lineRule="exact"/>
              <w:rPr>
                <w:sz w:val="20"/>
                <w:szCs w:val="20"/>
                <w:color w:val="auto"/>
              </w:rPr>
            </w:pPr>
            <w:r>
              <w:rPr>
                <w:rFonts w:ascii="Arial" w:cs="Arial" w:eastAsia="Arial" w:hAnsi="Arial"/>
                <w:sz w:val="13"/>
                <w:szCs w:val="13"/>
                <w:color w:val="auto"/>
              </w:rPr>
              <w:t>still held as of June 30, 2022</w:t>
            </w:r>
          </w:p>
        </w:tc>
        <w:tc>
          <w:tcPr>
            <w:tcW w:w="140" w:type="dxa"/>
            <w:vAlign w:val="bottom"/>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31"/>
          <w:szCs w:val="31"/>
          <w:color w:val="auto"/>
          <w:vertAlign w:val="superscript"/>
        </w:rPr>
        <w:t>(1)</w:t>
      </w:r>
      <w:r>
        <w:rPr>
          <w:rFonts w:ascii="Arial" w:cs="Arial" w:eastAsia="Arial" w:hAnsi="Arial"/>
          <w:sz w:val="13"/>
          <w:szCs w:val="13"/>
          <w:color w:val="auto"/>
        </w:rPr>
        <w:t>Net of reorganization and restructuring of investments.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as of June 30, 2023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4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26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Arial" w:cs="Arial" w:eastAsia="Arial" w:hAnsi="Arial"/>
                <w:sz w:val="13"/>
                <w:szCs w:val="13"/>
                <w:b w:val="1"/>
                <w:bCs w:val="1"/>
                <w:color w:val="auto"/>
              </w:rPr>
              <w:t>Fair Value</w:t>
            </w:r>
          </w:p>
        </w:tc>
        <w:tc>
          <w:tcPr>
            <w:tcW w:w="2560" w:type="dxa"/>
            <w:vAlign w:val="bottom"/>
          </w:tcPr>
          <w:p>
            <w:pPr>
              <w:jc w:val="center"/>
              <w:ind w:right="14"/>
              <w:spacing w:after="0"/>
              <w:rPr>
                <w:sz w:val="20"/>
                <w:szCs w:val="20"/>
                <w:color w:val="auto"/>
              </w:rPr>
            </w:pPr>
            <w:r>
              <w:rPr>
                <w:rFonts w:ascii="Arial" w:cs="Arial" w:eastAsia="Arial" w:hAnsi="Arial"/>
                <w:sz w:val="13"/>
                <w:szCs w:val="13"/>
                <w:b w:val="1"/>
                <w:bCs w:val="1"/>
                <w:color w:val="auto"/>
              </w:rPr>
              <w:t>Valuation Technique</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rPr>
              <w:t>Unobservable Inputs</w:t>
            </w:r>
          </w:p>
        </w:tc>
        <w:tc>
          <w:tcPr>
            <w:tcW w:w="2080" w:type="dxa"/>
            <w:vAlign w:val="bottom"/>
          </w:tcPr>
          <w:p>
            <w:pPr>
              <w:jc w:val="center"/>
              <w:ind w:left="54"/>
              <w:spacing w:after="0"/>
              <w:rPr>
                <w:sz w:val="20"/>
                <w:szCs w:val="20"/>
                <w:color w:val="auto"/>
              </w:rPr>
            </w:pPr>
            <w:r>
              <w:rPr>
                <w:rFonts w:ascii="Arial" w:cs="Arial" w:eastAsia="Arial" w:hAnsi="Arial"/>
                <w:sz w:val="13"/>
                <w:szCs w:val="13"/>
                <w:b w:val="1"/>
                <w:bCs w:val="1"/>
                <w:color w:val="auto"/>
              </w:rPr>
              <w:t>Range (Weighted Average)</w:t>
            </w:r>
          </w:p>
        </w:tc>
      </w:tr>
      <w:tr>
        <w:trPr>
          <w:trHeight w:val="180"/>
        </w:trPr>
        <w:tc>
          <w:tcPr>
            <w:tcW w:w="2340" w:type="dxa"/>
            <w:vAlign w:val="bottom"/>
            <w:shd w:val="clear" w:color="auto" w:fill="CFF0FC"/>
          </w:tcPr>
          <w:p>
            <w:pPr>
              <w:ind w:left="20"/>
              <w:spacing w:after="0" w:line="180" w:lineRule="exact"/>
              <w:rPr>
                <w:sz w:val="20"/>
                <w:szCs w:val="20"/>
                <w:color w:val="auto"/>
              </w:rPr>
            </w:pPr>
            <w:r>
              <w:rPr>
                <w:rFonts w:ascii="Arial" w:cs="Arial" w:eastAsia="Arial" w:hAnsi="Arial"/>
                <w:sz w:val="13"/>
                <w:szCs w:val="13"/>
                <w:color w:val="auto"/>
              </w:rPr>
              <w:t>Senior Secured Term Loans</w:t>
            </w:r>
            <w:r>
              <w:rPr>
                <w:rFonts w:ascii="Arial" w:cs="Arial" w:eastAsia="Arial" w:hAnsi="Arial"/>
                <w:sz w:val="16"/>
                <w:szCs w:val="16"/>
                <w:color w:val="auto"/>
                <w:vertAlign w:val="superscript"/>
              </w:rPr>
              <w:t>(1)</w:t>
            </w:r>
          </w:p>
        </w:tc>
        <w:tc>
          <w:tcPr>
            <w:tcW w:w="26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1,000,168</w:t>
            </w:r>
          </w:p>
        </w:tc>
        <w:tc>
          <w:tcPr>
            <w:tcW w:w="120" w:type="dxa"/>
            <w:vAlign w:val="bottom"/>
            <w:shd w:val="clear" w:color="auto" w:fill="CFF0FC"/>
          </w:tcPr>
          <w:p>
            <w:pPr>
              <w:spacing w:after="0"/>
              <w:rPr>
                <w:sz w:val="15"/>
                <w:szCs w:val="15"/>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Discounted Cash Flow analysis</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11.0% - 26.9% (15.0%)</w:t>
            </w:r>
          </w:p>
        </w:tc>
      </w:tr>
      <w:tr>
        <w:trPr>
          <w:trHeight w:val="175"/>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Market approach</w:t>
            </w:r>
          </w:p>
        </w:tc>
        <w:tc>
          <w:tcPr>
            <w:tcW w:w="1980" w:type="dxa"/>
            <w:vAlign w:val="bottom"/>
          </w:tcPr>
          <w:p>
            <w:pPr>
              <w:jc w:val="center"/>
              <w:spacing w:after="0"/>
              <w:rPr>
                <w:sz w:val="20"/>
                <w:szCs w:val="20"/>
                <w:color w:val="auto"/>
              </w:rPr>
            </w:pPr>
            <w:r>
              <w:rPr>
                <w:rFonts w:ascii="Arial" w:cs="Arial" w:eastAsia="Arial" w:hAnsi="Arial"/>
                <w:sz w:val="13"/>
                <w:szCs w:val="13"/>
                <w:color w:val="auto"/>
              </w:rPr>
              <w:t>Origination yield</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w w:val="99"/>
              </w:rPr>
              <w:t>10.5% - 17.1% (13.3%)</w:t>
            </w:r>
          </w:p>
        </w:tc>
      </w:tr>
      <w:tr>
        <w:trPr>
          <w:trHeight w:val="185"/>
        </w:trPr>
        <w:tc>
          <w:tcPr>
            <w:tcW w:w="2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29,968</w:t>
            </w: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PWERM</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30.0% - 39.7% (35.9%)</w:t>
            </w:r>
          </w:p>
        </w:tc>
      </w:tr>
      <w:tr>
        <w:trPr>
          <w:trHeight w:val="180"/>
        </w:trPr>
        <w:tc>
          <w:tcPr>
            <w:tcW w:w="234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Second Lien Term Loans </w:t>
            </w:r>
            <w:r>
              <w:rPr>
                <w:rFonts w:ascii="Arial" w:cs="Arial" w:eastAsia="Arial" w:hAnsi="Arial"/>
                <w:sz w:val="16"/>
                <w:szCs w:val="16"/>
                <w:color w:val="auto"/>
                <w:vertAlign w:val="superscript"/>
              </w:rPr>
              <w:t>(1)</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14,064</w:t>
            </w:r>
          </w:p>
        </w:tc>
        <w:tc>
          <w:tcPr>
            <w:tcW w:w="120" w:type="dxa"/>
            <w:vAlign w:val="bottom"/>
          </w:tcPr>
          <w:p>
            <w:pPr>
              <w:spacing w:after="0"/>
              <w:rPr>
                <w:sz w:val="15"/>
                <w:szCs w:val="15"/>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Discounted Cash Flow analysis</w:t>
            </w:r>
          </w:p>
        </w:tc>
        <w:tc>
          <w:tcPr>
            <w:tcW w:w="1980" w:type="dxa"/>
            <w:vAlign w:val="bottom"/>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w w:val="99"/>
              </w:rPr>
              <w:t>16.1% - 16.1% (16.1%)</w:t>
            </w:r>
          </w:p>
        </w:tc>
      </w:tr>
      <w:tr>
        <w:trPr>
          <w:trHeight w:val="180"/>
        </w:trPr>
        <w:tc>
          <w:tcPr>
            <w:tcW w:w="2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Market approach</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Origination yield</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16.7% - 16.7% (16.7%)</w:t>
            </w:r>
          </w:p>
        </w:tc>
      </w:tr>
      <w:tr>
        <w:trPr>
          <w:trHeight w:val="161"/>
        </w:trPr>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Recent private market and merger and</w:t>
            </w:r>
          </w:p>
        </w:tc>
        <w:tc>
          <w:tcPr>
            <w:tcW w:w="19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70"/>
        </w:trPr>
        <w:tc>
          <w:tcPr>
            <w:tcW w:w="2340" w:type="dxa"/>
            <w:vAlign w:val="bottom"/>
          </w:tcPr>
          <w:p>
            <w:pPr>
              <w:ind w:left="20"/>
              <w:spacing w:after="0"/>
              <w:rPr>
                <w:sz w:val="20"/>
                <w:szCs w:val="20"/>
                <w:color w:val="auto"/>
              </w:rPr>
            </w:pPr>
            <w:r>
              <w:rPr>
                <w:rFonts w:ascii="Arial" w:cs="Arial" w:eastAsia="Arial" w:hAnsi="Arial"/>
                <w:sz w:val="13"/>
                <w:szCs w:val="13"/>
                <w:color w:val="auto"/>
              </w:rPr>
              <w:t>Preferred Stock</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254</w:t>
            </w:r>
          </w:p>
        </w:tc>
        <w:tc>
          <w:tcPr>
            <w:tcW w:w="120" w:type="dxa"/>
            <w:vAlign w:val="bottom"/>
          </w:tcPr>
          <w:p>
            <w:pPr>
              <w:spacing w:after="0"/>
              <w:rPr>
                <w:sz w:val="14"/>
                <w:szCs w:val="14"/>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acquisition transaction prices</w:t>
            </w:r>
          </w:p>
        </w:tc>
        <w:tc>
          <w:tcPr>
            <w:tcW w:w="1980" w:type="dxa"/>
            <w:vAlign w:val="bottom"/>
          </w:tcPr>
          <w:p>
            <w:pPr>
              <w:jc w:val="center"/>
              <w:spacing w:after="0"/>
              <w:rPr>
                <w:sz w:val="20"/>
                <w:szCs w:val="20"/>
                <w:color w:val="auto"/>
              </w:rPr>
            </w:pPr>
            <w:r>
              <w:rPr>
                <w:rFonts w:ascii="Arial" w:cs="Arial" w:eastAsia="Arial" w:hAnsi="Arial"/>
                <w:sz w:val="13"/>
                <w:szCs w:val="13"/>
                <w:color w:val="auto"/>
              </w:rPr>
              <w:t>N/A</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rPr>
              <w:t>N/A</w:t>
            </w:r>
          </w:p>
        </w:tc>
      </w:tr>
      <w:tr>
        <w:trPr>
          <w:trHeight w:val="185"/>
        </w:trPr>
        <w:tc>
          <w:tcPr>
            <w:tcW w:w="2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21,818</w:t>
            </w: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PWERM</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28.0% - 28.0% (28.0%)</w:t>
            </w:r>
          </w:p>
        </w:tc>
      </w:tr>
      <w:tr>
        <w:trPr>
          <w:trHeight w:val="161"/>
        </w:trPr>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Recent private market and merger and</w:t>
            </w:r>
          </w:p>
        </w:tc>
        <w:tc>
          <w:tcPr>
            <w:tcW w:w="19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70"/>
        </w:trPr>
        <w:tc>
          <w:tcPr>
            <w:tcW w:w="234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913</w:t>
            </w:r>
          </w:p>
        </w:tc>
        <w:tc>
          <w:tcPr>
            <w:tcW w:w="120" w:type="dxa"/>
            <w:vAlign w:val="bottom"/>
          </w:tcPr>
          <w:p>
            <w:pPr>
              <w:spacing w:after="0"/>
              <w:rPr>
                <w:sz w:val="14"/>
                <w:szCs w:val="14"/>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acquisition transaction prices</w:t>
            </w:r>
          </w:p>
        </w:tc>
        <w:tc>
          <w:tcPr>
            <w:tcW w:w="1980" w:type="dxa"/>
            <w:vAlign w:val="bottom"/>
          </w:tcPr>
          <w:p>
            <w:pPr>
              <w:jc w:val="center"/>
              <w:spacing w:after="0"/>
              <w:rPr>
                <w:sz w:val="20"/>
                <w:szCs w:val="20"/>
                <w:color w:val="auto"/>
              </w:rPr>
            </w:pPr>
            <w:r>
              <w:rPr>
                <w:rFonts w:ascii="Arial" w:cs="Arial" w:eastAsia="Arial" w:hAnsi="Arial"/>
                <w:sz w:val="13"/>
                <w:szCs w:val="13"/>
                <w:color w:val="auto"/>
              </w:rPr>
              <w:t>N/A</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rPr>
              <w:t>N/A</w:t>
            </w:r>
          </w:p>
        </w:tc>
      </w:tr>
      <w:tr>
        <w:trPr>
          <w:trHeight w:val="185"/>
        </w:trPr>
        <w:tc>
          <w:tcPr>
            <w:tcW w:w="2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Warrants</w:t>
            </w:r>
            <w:r>
              <w:rPr>
                <w:rFonts w:ascii="Arial" w:cs="Arial" w:eastAsia="Arial" w:hAnsi="Arial"/>
                <w:sz w:val="16"/>
                <w:szCs w:val="16"/>
                <w:color w:val="auto"/>
                <w:vertAlign w:val="superscript"/>
              </w:rPr>
              <w:t>(2)</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9,084</w:t>
            </w: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Option pricing model</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Risk-free interest rate</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rPr>
              <w:t>0.0% - 5.5% (4.0%)</w:t>
            </w:r>
          </w:p>
        </w:tc>
      </w:tr>
      <w:tr>
        <w:trPr>
          <w:trHeight w:val="175"/>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jc w:val="center"/>
              <w:ind w:right="14"/>
              <w:spacing w:after="0"/>
              <w:rPr>
                <w:sz w:val="20"/>
                <w:szCs w:val="20"/>
                <w:color w:val="auto"/>
              </w:rPr>
            </w:pPr>
            <w:r>
              <w:rPr>
                <w:rFonts w:ascii="Arial" w:cs="Arial" w:eastAsia="Arial" w:hAnsi="Arial"/>
                <w:sz w:val="13"/>
                <w:szCs w:val="13"/>
                <w:color w:val="auto"/>
              </w:rPr>
              <w:t>Average industry volatility</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rPr>
              <w:t>30.0% - 104.5% (48.7%)</w:t>
            </w:r>
          </w:p>
        </w:tc>
      </w:tr>
      <w:tr>
        <w:trPr>
          <w:trHeight w:val="185"/>
        </w:trPr>
        <w:tc>
          <w:tcPr>
            <w:tcW w:w="2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Estimated time to exit</w:t>
            </w:r>
          </w:p>
        </w:tc>
        <w:tc>
          <w:tcPr>
            <w:tcW w:w="208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0.5 - 5.0 (2.5 years)</w:t>
            </w:r>
          </w:p>
        </w:tc>
      </w:tr>
      <w:tr>
        <w:trPr>
          <w:trHeight w:val="175"/>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rPr>
              <w:t>Revenue multiples</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w w:val="99"/>
              </w:rPr>
              <w:t>1.02x - 36.13x (4.81x)</w:t>
            </w:r>
          </w:p>
        </w:tc>
      </w:tr>
      <w:tr>
        <w:trPr>
          <w:trHeight w:val="185"/>
        </w:trPr>
        <w:tc>
          <w:tcPr>
            <w:tcW w:w="2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4,643</w:t>
            </w: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PWERM</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20.0% - 40.0% (32.8%)</w:t>
            </w:r>
          </w:p>
        </w:tc>
      </w:tr>
      <w:tr>
        <w:trPr>
          <w:trHeight w:val="175"/>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rPr>
              <w:t>Revenue multiples</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rPr>
              <w:t>2.41x - 196.95x (17.13x)</w:t>
            </w:r>
          </w:p>
        </w:tc>
      </w:tr>
      <w:tr>
        <w:trPr>
          <w:trHeight w:val="225"/>
        </w:trPr>
        <w:tc>
          <w:tcPr>
            <w:tcW w:w="2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 Level 3 Investments</w:t>
            </w: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1,080,912</w:t>
            </w:r>
          </w:p>
        </w:tc>
        <w:tc>
          <w:tcPr>
            <w:tcW w:w="120" w:type="dxa"/>
            <w:vAlign w:val="bottom"/>
            <w:tcBorders>
              <w:bottom w:val="single" w:sz="8" w:color="CFF0FC"/>
            </w:tcBorders>
            <w:shd w:val="clear" w:color="auto" w:fill="CFF0FC"/>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spacing w:after="0"/>
              <w:rPr>
                <w:sz w:val="19"/>
                <w:szCs w:val="19"/>
                <w:color w:val="auto"/>
              </w:rPr>
            </w:pPr>
          </w:p>
        </w:tc>
      </w:tr>
    </w:tbl>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40" w:orient="portrait"/>
          <w:cols w:equalWidth="0" w:num="1">
            <w:col w:w="10560"/>
          </w:cols>
          <w:pgMar w:left="660" w:top="562" w:right="680" w:bottom="1440" w:gutter="0" w:footer="0" w:header="0"/>
        </w:sectPr>
      </w:pPr>
    </w:p>
    <w:bookmarkStart w:id="39" w:name="page40"/>
    <w:bookmarkEnd w:id="39"/>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as of December 31, 2022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340" w:type="dxa"/>
            <w:vAlign w:val="bottom"/>
          </w:tcPr>
          <w:p>
            <w:pPr>
              <w:ind w:left="20"/>
              <w:spacing w:after="0"/>
              <w:rPr>
                <w:sz w:val="20"/>
                <w:szCs w:val="20"/>
                <w:color w:val="auto"/>
              </w:rPr>
            </w:pPr>
            <w:r>
              <w:rPr>
                <w:rFonts w:ascii="Arial" w:cs="Arial" w:eastAsia="Arial" w:hAnsi="Arial"/>
                <w:sz w:val="13"/>
                <w:szCs w:val="13"/>
                <w:b w:val="1"/>
                <w:bCs w:val="1"/>
                <w:color w:val="auto"/>
              </w:rPr>
              <w:t>Description</w:t>
            </w:r>
          </w:p>
        </w:tc>
        <w:tc>
          <w:tcPr>
            <w:tcW w:w="26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b w:val="1"/>
                <w:bCs w:val="1"/>
                <w:color w:val="auto"/>
              </w:rPr>
              <w:t>Valuation Technique</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rPr>
              <w:t>Unobservable Inputs</w:t>
            </w:r>
          </w:p>
        </w:tc>
        <w:tc>
          <w:tcPr>
            <w:tcW w:w="2080" w:type="dxa"/>
            <w:vAlign w:val="bottom"/>
          </w:tcPr>
          <w:p>
            <w:pPr>
              <w:jc w:val="center"/>
              <w:ind w:left="54"/>
              <w:spacing w:after="0"/>
              <w:rPr>
                <w:sz w:val="20"/>
                <w:szCs w:val="20"/>
                <w:color w:val="auto"/>
              </w:rPr>
            </w:pPr>
            <w:r>
              <w:rPr>
                <w:rFonts w:ascii="Arial" w:cs="Arial" w:eastAsia="Arial" w:hAnsi="Arial"/>
                <w:sz w:val="13"/>
                <w:szCs w:val="13"/>
                <w:b w:val="1"/>
                <w:bCs w:val="1"/>
                <w:color w:val="auto"/>
              </w:rPr>
              <w:t>Range (Weighted Average)</w:t>
            </w:r>
          </w:p>
        </w:tc>
      </w:tr>
      <w:tr>
        <w:trPr>
          <w:trHeight w:val="180"/>
        </w:trPr>
        <w:tc>
          <w:tcPr>
            <w:tcW w:w="2340" w:type="dxa"/>
            <w:vAlign w:val="bottom"/>
            <w:shd w:val="clear" w:color="auto" w:fill="CFF0FC"/>
          </w:tcPr>
          <w:p>
            <w:pPr>
              <w:ind w:left="20"/>
              <w:spacing w:after="0" w:line="180" w:lineRule="exact"/>
              <w:rPr>
                <w:sz w:val="20"/>
                <w:szCs w:val="20"/>
                <w:color w:val="auto"/>
              </w:rPr>
            </w:pPr>
            <w:r>
              <w:rPr>
                <w:rFonts w:ascii="Arial" w:cs="Arial" w:eastAsia="Arial" w:hAnsi="Arial"/>
                <w:sz w:val="13"/>
                <w:szCs w:val="13"/>
                <w:color w:val="auto"/>
              </w:rPr>
              <w:t>Senior Secured Term Loans</w:t>
            </w:r>
            <w:r>
              <w:rPr>
                <w:rFonts w:ascii="Arial" w:cs="Arial" w:eastAsia="Arial" w:hAnsi="Arial"/>
                <w:sz w:val="16"/>
                <w:szCs w:val="16"/>
                <w:color w:val="auto"/>
                <w:vertAlign w:val="superscript"/>
              </w:rPr>
              <w:t>(1)</w:t>
            </w:r>
          </w:p>
        </w:tc>
        <w:tc>
          <w:tcPr>
            <w:tcW w:w="260" w:type="dxa"/>
            <w:vAlign w:val="bottom"/>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1,053,748</w:t>
            </w:r>
          </w:p>
        </w:tc>
        <w:tc>
          <w:tcPr>
            <w:tcW w:w="120" w:type="dxa"/>
            <w:vAlign w:val="bottom"/>
            <w:shd w:val="clear" w:color="auto" w:fill="CFF0FC"/>
          </w:tcPr>
          <w:p>
            <w:pPr>
              <w:spacing w:after="0"/>
              <w:rPr>
                <w:sz w:val="15"/>
                <w:szCs w:val="15"/>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Discounted Cash Flow analysis</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11.1% - 28.0% (15.2%)</w:t>
            </w:r>
          </w:p>
        </w:tc>
      </w:tr>
      <w:tr>
        <w:trPr>
          <w:trHeight w:val="175"/>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Market approach</w:t>
            </w:r>
          </w:p>
        </w:tc>
        <w:tc>
          <w:tcPr>
            <w:tcW w:w="1980" w:type="dxa"/>
            <w:vAlign w:val="bottom"/>
          </w:tcPr>
          <w:p>
            <w:pPr>
              <w:jc w:val="center"/>
              <w:spacing w:after="0"/>
              <w:rPr>
                <w:sz w:val="20"/>
                <w:szCs w:val="20"/>
                <w:color w:val="auto"/>
              </w:rPr>
            </w:pPr>
            <w:r>
              <w:rPr>
                <w:rFonts w:ascii="Arial" w:cs="Arial" w:eastAsia="Arial" w:hAnsi="Arial"/>
                <w:sz w:val="13"/>
                <w:szCs w:val="13"/>
                <w:color w:val="auto"/>
              </w:rPr>
              <w:t>Origination yield</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w w:val="99"/>
              </w:rPr>
              <w:t>10.5% - 19.3% (12.9%)</w:t>
            </w:r>
          </w:p>
        </w:tc>
      </w:tr>
      <w:tr>
        <w:trPr>
          <w:trHeight w:val="185"/>
        </w:trPr>
        <w:tc>
          <w:tcPr>
            <w:tcW w:w="2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26,373</w:t>
            </w: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PWERM</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27.4% - 37.4% (30.9%)</w:t>
            </w:r>
          </w:p>
        </w:tc>
      </w:tr>
      <w:tr>
        <w:trPr>
          <w:trHeight w:val="180"/>
        </w:trPr>
        <w:tc>
          <w:tcPr>
            <w:tcW w:w="2340" w:type="dxa"/>
            <w:vAlign w:val="bottom"/>
          </w:tcPr>
          <w:p>
            <w:pPr>
              <w:ind w:left="20"/>
              <w:spacing w:after="0" w:line="180" w:lineRule="exact"/>
              <w:rPr>
                <w:sz w:val="20"/>
                <w:szCs w:val="20"/>
                <w:color w:val="auto"/>
              </w:rPr>
            </w:pPr>
            <w:r>
              <w:rPr>
                <w:rFonts w:ascii="Arial" w:cs="Arial" w:eastAsia="Arial" w:hAnsi="Arial"/>
                <w:sz w:val="13"/>
                <w:szCs w:val="13"/>
                <w:color w:val="auto"/>
              </w:rPr>
              <w:t xml:space="preserve">Second Lien Term Loans </w:t>
            </w:r>
            <w:r>
              <w:rPr>
                <w:rFonts w:ascii="Arial" w:cs="Arial" w:eastAsia="Arial" w:hAnsi="Arial"/>
                <w:sz w:val="16"/>
                <w:szCs w:val="16"/>
                <w:color w:val="auto"/>
                <w:vertAlign w:val="superscript"/>
              </w:rPr>
              <w:t>(1)</w:t>
            </w:r>
          </w:p>
        </w:tc>
        <w:tc>
          <w:tcPr>
            <w:tcW w:w="26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13,654</w:t>
            </w:r>
          </w:p>
        </w:tc>
        <w:tc>
          <w:tcPr>
            <w:tcW w:w="120" w:type="dxa"/>
            <w:vAlign w:val="bottom"/>
          </w:tcPr>
          <w:p>
            <w:pPr>
              <w:spacing w:after="0"/>
              <w:rPr>
                <w:sz w:val="15"/>
                <w:szCs w:val="15"/>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Discounted Cash Flow analysis</w:t>
            </w:r>
          </w:p>
        </w:tc>
        <w:tc>
          <w:tcPr>
            <w:tcW w:w="1980" w:type="dxa"/>
            <w:vAlign w:val="bottom"/>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w w:val="99"/>
              </w:rPr>
              <w:t>16.1% - 16.1% (16.1%)</w:t>
            </w:r>
          </w:p>
        </w:tc>
      </w:tr>
      <w:tr>
        <w:trPr>
          <w:trHeight w:val="180"/>
        </w:trPr>
        <w:tc>
          <w:tcPr>
            <w:tcW w:w="2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Market approach</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Origination yield</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12.2% - 12.2% (12.2%)</w:t>
            </w:r>
          </w:p>
        </w:tc>
      </w:tr>
      <w:tr>
        <w:trPr>
          <w:trHeight w:val="161"/>
        </w:trPr>
        <w:tc>
          <w:tcPr>
            <w:tcW w:w="2340" w:type="dxa"/>
            <w:vAlign w:val="bottom"/>
          </w:tcPr>
          <w:p>
            <w:pPr>
              <w:ind w:left="20"/>
              <w:spacing w:after="0"/>
              <w:rPr>
                <w:sz w:val="20"/>
                <w:szCs w:val="20"/>
                <w:color w:val="auto"/>
              </w:rPr>
            </w:pPr>
            <w:r>
              <w:rPr>
                <w:rFonts w:ascii="Arial" w:cs="Arial" w:eastAsia="Arial" w:hAnsi="Arial"/>
                <w:sz w:val="13"/>
                <w:szCs w:val="13"/>
                <w:color w:val="auto"/>
              </w:rPr>
              <w:t>Preferred Stock</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Recent private market and merger and</w:t>
            </w:r>
          </w:p>
        </w:tc>
        <w:tc>
          <w:tcPr>
            <w:tcW w:w="198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71"/>
        </w:trPr>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14"/>
                <w:szCs w:val="14"/>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acquisition transaction prices</w:t>
            </w:r>
          </w:p>
        </w:tc>
        <w:tc>
          <w:tcPr>
            <w:tcW w:w="1980" w:type="dxa"/>
            <w:vAlign w:val="bottom"/>
          </w:tcPr>
          <w:p>
            <w:pPr>
              <w:jc w:val="center"/>
              <w:spacing w:after="0"/>
              <w:rPr>
                <w:sz w:val="20"/>
                <w:szCs w:val="20"/>
                <w:color w:val="auto"/>
              </w:rPr>
            </w:pPr>
            <w:r>
              <w:rPr>
                <w:rFonts w:ascii="Arial" w:cs="Arial" w:eastAsia="Arial" w:hAnsi="Arial"/>
                <w:sz w:val="13"/>
                <w:szCs w:val="13"/>
                <w:color w:val="auto"/>
              </w:rPr>
              <w:t>N/A</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rPr>
              <w:t>N/A</w:t>
            </w:r>
          </w:p>
        </w:tc>
      </w:tr>
      <w:tr>
        <w:trPr>
          <w:trHeight w:val="166"/>
        </w:trPr>
        <w:tc>
          <w:tcPr>
            <w:tcW w:w="23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Recent private market and merger and</w:t>
            </w:r>
          </w:p>
        </w:tc>
        <w:tc>
          <w:tcPr>
            <w:tcW w:w="1980" w:type="dxa"/>
            <w:vAlign w:val="bottom"/>
            <w:shd w:val="clear" w:color="auto" w:fill="CFF0FC"/>
          </w:tcPr>
          <w:p>
            <w:pPr>
              <w:spacing w:after="0"/>
              <w:rPr>
                <w:sz w:val="14"/>
                <w:szCs w:val="14"/>
                <w:color w:val="auto"/>
              </w:rPr>
            </w:pPr>
          </w:p>
        </w:tc>
        <w:tc>
          <w:tcPr>
            <w:tcW w:w="2080" w:type="dxa"/>
            <w:vAlign w:val="bottom"/>
            <w:shd w:val="clear" w:color="auto" w:fill="CFF0FC"/>
          </w:tcPr>
          <w:p>
            <w:pPr>
              <w:spacing w:after="0"/>
              <w:rPr>
                <w:sz w:val="14"/>
                <w:szCs w:val="14"/>
                <w:color w:val="auto"/>
              </w:rPr>
            </w:pPr>
          </w:p>
        </w:tc>
      </w:tr>
      <w:tr>
        <w:trPr>
          <w:trHeight w:val="176"/>
        </w:trPr>
        <w:tc>
          <w:tcPr>
            <w:tcW w:w="2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1,174</w:t>
            </w:r>
          </w:p>
        </w:tc>
        <w:tc>
          <w:tcPr>
            <w:tcW w:w="120" w:type="dxa"/>
            <w:vAlign w:val="bottom"/>
            <w:shd w:val="clear" w:color="auto" w:fill="CFF0FC"/>
          </w:tcPr>
          <w:p>
            <w:pPr>
              <w:spacing w:after="0"/>
              <w:rPr>
                <w:sz w:val="15"/>
                <w:szCs w:val="15"/>
                <w:color w:val="auto"/>
              </w:rPr>
            </w:pPr>
          </w:p>
        </w:tc>
        <w:tc>
          <w:tcPr>
            <w:tcW w:w="256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acquisition transaction prices</w:t>
            </w: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N/A</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rPr>
              <w:t>N/A</w:t>
            </w:r>
          </w:p>
        </w:tc>
      </w:tr>
      <w:tr>
        <w:trPr>
          <w:trHeight w:val="180"/>
        </w:trPr>
        <w:tc>
          <w:tcPr>
            <w:tcW w:w="2340" w:type="dxa"/>
            <w:vAlign w:val="bottom"/>
          </w:tcPr>
          <w:p>
            <w:pPr>
              <w:ind w:left="20"/>
              <w:spacing w:after="0" w:line="180" w:lineRule="exact"/>
              <w:rPr>
                <w:sz w:val="20"/>
                <w:szCs w:val="20"/>
                <w:color w:val="auto"/>
              </w:rPr>
            </w:pPr>
            <w:r>
              <w:rPr>
                <w:rFonts w:ascii="Arial" w:cs="Arial" w:eastAsia="Arial" w:hAnsi="Arial"/>
                <w:sz w:val="13"/>
                <w:szCs w:val="13"/>
                <w:color w:val="auto"/>
              </w:rPr>
              <w:t>Warrants</w:t>
            </w:r>
            <w:r>
              <w:rPr>
                <w:rFonts w:ascii="Arial" w:cs="Arial" w:eastAsia="Arial" w:hAnsi="Arial"/>
                <w:sz w:val="16"/>
                <w:szCs w:val="16"/>
                <w:color w:val="auto"/>
                <w:vertAlign w:val="superscript"/>
              </w:rPr>
              <w:t>(2)</w:t>
            </w:r>
          </w:p>
        </w:tc>
        <w:tc>
          <w:tcPr>
            <w:tcW w:w="26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10,246</w:t>
            </w:r>
          </w:p>
        </w:tc>
        <w:tc>
          <w:tcPr>
            <w:tcW w:w="120" w:type="dxa"/>
            <w:vAlign w:val="bottom"/>
          </w:tcPr>
          <w:p>
            <w:pPr>
              <w:spacing w:after="0"/>
              <w:rPr>
                <w:sz w:val="15"/>
                <w:szCs w:val="15"/>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Option pricing model</w:t>
            </w:r>
          </w:p>
        </w:tc>
        <w:tc>
          <w:tcPr>
            <w:tcW w:w="1980" w:type="dxa"/>
            <w:vAlign w:val="bottom"/>
          </w:tcPr>
          <w:p>
            <w:pPr>
              <w:jc w:val="center"/>
              <w:spacing w:after="0"/>
              <w:rPr>
                <w:sz w:val="20"/>
                <w:szCs w:val="20"/>
                <w:color w:val="auto"/>
              </w:rPr>
            </w:pPr>
            <w:r>
              <w:rPr>
                <w:rFonts w:ascii="Arial" w:cs="Arial" w:eastAsia="Arial" w:hAnsi="Arial"/>
                <w:sz w:val="13"/>
                <w:szCs w:val="13"/>
                <w:color w:val="auto"/>
                <w:w w:val="99"/>
              </w:rPr>
              <w:t>Risk-free interest rate</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rPr>
              <w:t>2.7% - 4.9% (4.3%)</w:t>
            </w:r>
          </w:p>
        </w:tc>
      </w:tr>
      <w:tr>
        <w:trPr>
          <w:trHeight w:val="180"/>
        </w:trPr>
        <w:tc>
          <w:tcPr>
            <w:tcW w:w="2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560" w:type="dxa"/>
            <w:vAlign w:val="bottom"/>
            <w:shd w:val="clear" w:color="auto" w:fill="CFF0FC"/>
          </w:tcPr>
          <w:p>
            <w:pPr>
              <w:spacing w:after="0"/>
              <w:rPr>
                <w:sz w:val="15"/>
                <w:szCs w:val="15"/>
                <w:color w:val="auto"/>
              </w:rPr>
            </w:pPr>
          </w:p>
        </w:tc>
        <w:tc>
          <w:tcPr>
            <w:tcW w:w="1980" w:type="dxa"/>
            <w:vAlign w:val="bottom"/>
            <w:shd w:val="clear" w:color="auto" w:fill="CFF0FC"/>
          </w:tcPr>
          <w:p>
            <w:pPr>
              <w:jc w:val="center"/>
              <w:ind w:right="14"/>
              <w:spacing w:after="0"/>
              <w:rPr>
                <w:sz w:val="20"/>
                <w:szCs w:val="20"/>
                <w:color w:val="auto"/>
              </w:rPr>
            </w:pPr>
            <w:r>
              <w:rPr>
                <w:rFonts w:ascii="Arial" w:cs="Arial" w:eastAsia="Arial" w:hAnsi="Arial"/>
                <w:sz w:val="13"/>
                <w:szCs w:val="13"/>
                <w:color w:val="auto"/>
              </w:rPr>
              <w:t>Average industry volatility</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25.0% - 98.4% (49.0%)</w:t>
            </w:r>
          </w:p>
        </w:tc>
      </w:tr>
      <w:tr>
        <w:trPr>
          <w:trHeight w:val="175"/>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rPr>
              <w:t>Estimated time to exit</w:t>
            </w:r>
          </w:p>
        </w:tc>
        <w:tc>
          <w:tcPr>
            <w:tcW w:w="2080" w:type="dxa"/>
            <w:vAlign w:val="bottom"/>
          </w:tcPr>
          <w:p>
            <w:pPr>
              <w:jc w:val="center"/>
              <w:ind w:left="54"/>
              <w:spacing w:after="0"/>
              <w:rPr>
                <w:sz w:val="20"/>
                <w:szCs w:val="20"/>
                <w:color w:val="auto"/>
              </w:rPr>
            </w:pPr>
            <w:r>
              <w:rPr>
                <w:rFonts w:ascii="Arial" w:cs="Arial" w:eastAsia="Arial" w:hAnsi="Arial"/>
                <w:sz w:val="13"/>
                <w:szCs w:val="13"/>
                <w:color w:val="auto"/>
              </w:rPr>
              <w:t>0.5 - 5.0 (2.2 years)</w:t>
            </w:r>
          </w:p>
        </w:tc>
      </w:tr>
      <w:tr>
        <w:trPr>
          <w:trHeight w:val="185"/>
        </w:trPr>
        <w:tc>
          <w:tcPr>
            <w:tcW w:w="2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Revenue multiples</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w w:val="99"/>
              </w:rPr>
              <w:t>1.16x - 88.63x (5.47x)</w:t>
            </w:r>
          </w:p>
        </w:tc>
      </w:tr>
      <w:tr>
        <w:trPr>
          <w:trHeight w:val="175"/>
        </w:trPr>
        <w:tc>
          <w:tcPr>
            <w:tcW w:w="2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6,404</w:t>
            </w:r>
          </w:p>
        </w:tc>
        <w:tc>
          <w:tcPr>
            <w:tcW w:w="120" w:type="dxa"/>
            <w:vAlign w:val="bottom"/>
          </w:tcPr>
          <w:p>
            <w:pPr>
              <w:spacing w:after="0"/>
              <w:rPr>
                <w:sz w:val="15"/>
                <w:szCs w:val="15"/>
                <w:color w:val="auto"/>
              </w:rPr>
            </w:pPr>
          </w:p>
        </w:tc>
        <w:tc>
          <w:tcPr>
            <w:tcW w:w="2560" w:type="dxa"/>
            <w:vAlign w:val="bottom"/>
          </w:tcPr>
          <w:p>
            <w:pPr>
              <w:jc w:val="center"/>
              <w:ind w:right="14"/>
              <w:spacing w:after="0"/>
              <w:rPr>
                <w:sz w:val="20"/>
                <w:szCs w:val="20"/>
                <w:color w:val="auto"/>
              </w:rPr>
            </w:pPr>
            <w:r>
              <w:rPr>
                <w:rFonts w:ascii="Arial" w:cs="Arial" w:eastAsia="Arial" w:hAnsi="Arial"/>
                <w:sz w:val="13"/>
                <w:szCs w:val="13"/>
                <w:color w:val="auto"/>
              </w:rPr>
              <w:t>PWERM</w:t>
            </w:r>
          </w:p>
        </w:tc>
        <w:tc>
          <w:tcPr>
            <w:tcW w:w="1980" w:type="dxa"/>
            <w:vAlign w:val="bottom"/>
          </w:tcPr>
          <w:p>
            <w:pPr>
              <w:jc w:val="center"/>
              <w:spacing w:after="0"/>
              <w:rPr>
                <w:sz w:val="20"/>
                <w:szCs w:val="20"/>
                <w:color w:val="auto"/>
              </w:rPr>
            </w:pPr>
            <w:r>
              <w:rPr>
                <w:rFonts w:ascii="Arial" w:cs="Arial" w:eastAsia="Arial" w:hAnsi="Arial"/>
                <w:sz w:val="13"/>
                <w:szCs w:val="13"/>
                <w:color w:val="auto"/>
                <w:w w:val="99"/>
              </w:rPr>
              <w:t>Discount rate</w:t>
            </w:r>
          </w:p>
        </w:tc>
        <w:tc>
          <w:tcPr>
            <w:tcW w:w="2080" w:type="dxa"/>
            <w:vAlign w:val="bottom"/>
          </w:tcPr>
          <w:p>
            <w:pPr>
              <w:jc w:val="center"/>
              <w:ind w:left="74"/>
              <w:spacing w:after="0"/>
              <w:rPr>
                <w:sz w:val="20"/>
                <w:szCs w:val="20"/>
                <w:color w:val="auto"/>
              </w:rPr>
            </w:pPr>
            <w:r>
              <w:rPr>
                <w:rFonts w:ascii="Arial" w:cs="Arial" w:eastAsia="Arial" w:hAnsi="Arial"/>
                <w:sz w:val="13"/>
                <w:szCs w:val="13"/>
                <w:color w:val="auto"/>
                <w:w w:val="99"/>
              </w:rPr>
              <w:t>20.0% - 40.0% (34.6%)</w:t>
            </w:r>
          </w:p>
        </w:tc>
      </w:tr>
      <w:tr>
        <w:trPr>
          <w:trHeight w:val="185"/>
        </w:trPr>
        <w:tc>
          <w:tcPr>
            <w:tcW w:w="2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560" w:type="dxa"/>
            <w:vAlign w:val="bottom"/>
            <w:shd w:val="clear" w:color="auto" w:fill="CFF0FC"/>
          </w:tcPr>
          <w:p>
            <w:pPr>
              <w:spacing w:after="0"/>
              <w:rPr>
                <w:sz w:val="16"/>
                <w:szCs w:val="16"/>
                <w:color w:val="auto"/>
              </w:rPr>
            </w:pPr>
          </w:p>
        </w:tc>
        <w:tc>
          <w:tcPr>
            <w:tcW w:w="19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Revenue multiples</w:t>
            </w:r>
          </w:p>
        </w:tc>
        <w:tc>
          <w:tcPr>
            <w:tcW w:w="2080" w:type="dxa"/>
            <w:vAlign w:val="bottom"/>
            <w:shd w:val="clear" w:color="auto" w:fill="CFF0FC"/>
          </w:tcPr>
          <w:p>
            <w:pPr>
              <w:jc w:val="center"/>
              <w:ind w:left="74"/>
              <w:spacing w:after="0"/>
              <w:rPr>
                <w:sz w:val="20"/>
                <w:szCs w:val="20"/>
                <w:color w:val="auto"/>
              </w:rPr>
            </w:pPr>
            <w:r>
              <w:rPr>
                <w:rFonts w:ascii="Arial" w:cs="Arial" w:eastAsia="Arial" w:hAnsi="Arial"/>
                <w:sz w:val="13"/>
                <w:szCs w:val="13"/>
                <w:color w:val="auto"/>
              </w:rPr>
              <w:t>2.35x - 199.38x (13.10x)</w:t>
            </w:r>
          </w:p>
        </w:tc>
      </w:tr>
      <w:tr>
        <w:trPr>
          <w:trHeight w:val="175"/>
        </w:trPr>
        <w:tc>
          <w:tcPr>
            <w:tcW w:w="2340" w:type="dxa"/>
            <w:vAlign w:val="bottom"/>
          </w:tcPr>
          <w:p>
            <w:pPr>
              <w:ind w:left="20"/>
              <w:spacing w:after="0"/>
              <w:rPr>
                <w:sz w:val="20"/>
                <w:szCs w:val="20"/>
                <w:color w:val="auto"/>
              </w:rPr>
            </w:pPr>
            <w:r>
              <w:rPr>
                <w:rFonts w:ascii="Arial" w:cs="Arial" w:eastAsia="Arial" w:hAnsi="Arial"/>
                <w:sz w:val="13"/>
                <w:szCs w:val="13"/>
                <w:color w:val="auto"/>
              </w:rPr>
              <w:t>Total Level 3 Investments</w:t>
            </w:r>
          </w:p>
        </w:tc>
        <w:tc>
          <w:tcPr>
            <w:tcW w:w="2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1,111,946</w:t>
            </w:r>
          </w:p>
        </w:tc>
        <w:tc>
          <w:tcPr>
            <w:tcW w:w="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0"/>
        </w:trPr>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41"/>
        </w:trPr>
        <w:tc>
          <w:tcPr>
            <w:tcW w:w="2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080" w:type="dxa"/>
            <w:vAlign w:val="bottom"/>
          </w:tcPr>
          <w:p>
            <w:pPr>
              <w:spacing w:after="0"/>
              <w:rPr>
                <w:sz w:val="3"/>
                <w:szCs w:val="3"/>
                <w:color w:val="auto"/>
              </w:rPr>
            </w:pPr>
          </w:p>
        </w:tc>
      </w:tr>
    </w:tbl>
    <w:p>
      <w:pPr>
        <w:spacing w:after="0" w:line="89" w:lineRule="exact"/>
        <w:rPr>
          <w:sz w:val="20"/>
          <w:szCs w:val="20"/>
          <w:color w:val="auto"/>
        </w:rPr>
      </w:pPr>
    </w:p>
    <w:p>
      <w:pPr>
        <w:ind w:left="360"/>
        <w:spacing w:after="0" w:line="230" w:lineRule="auto"/>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w:t>
      </w:r>
    </w:p>
    <w:p>
      <w:pPr>
        <w:spacing w:after="0" w:line="1" w:lineRule="exact"/>
        <w:rPr>
          <w:sz w:val="20"/>
          <w:szCs w:val="20"/>
          <w:color w:val="auto"/>
        </w:rPr>
      </w:pPr>
    </w:p>
    <w:p>
      <w:pPr>
        <w:ind w:left="360" w:right="60"/>
        <w:spacing w:after="0" w:line="231"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June 30, 2023 and the year ended December 31, 2022.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 Reported at Cost</w:t>
      </w:r>
    </w:p>
    <w:p>
      <w:pPr>
        <w:spacing w:after="0" w:line="19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fair value of the Company’s Credit Facility, April 2026 Notes, December 2026 Notes, July 2027 Notes, August 2027 Notes, and December 2027 Notes (as defined in "Note 7 – Borrowings") is estimated using the relative market yield approach. The fair value of the Company's Credit Facility, December 2026 Notes and August 2027 Notes are estimated using Level 3 inputs by discounting remaining payments using comparable market rates or market quotes for similar instruments at the measurement date. The fair value of the Company's July 2027 Notes and December 2027 Notes is based on vendor pricing received by the Company, which is considered a Level 2 input, and reflects the market close price of the notes traded on the Nasdaq Global Select Market LLC under the symbol "RWAYL" and "RWAYZ", respectively.</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As of both June 30, 2023, and December 31, 2022, the carrying value of the Credit Facility, April 2026 Notes, July 2027 Notes, August 2027 Notes, and December 2027 Notes approximates fair value. As of June 30, 2023, the fair value of the December 2026 Notes was approximately $53.6 million and the carrying value was approximately $69.3 million, net of unamortized deferred debt costs of $0.7 million. As of December 31, 2022, the fair value of the December 2026 Notes was approximately $57.0 million and the carrying value was approximately $69.2 million, net of unamortized deferred debt costs of $0.8 million.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Concentration of Credit Risk</w:t>
      </w:r>
    </w:p>
    <w:p>
      <w:pPr>
        <w:spacing w:after="0" w:line="196" w:lineRule="exact"/>
        <w:rPr>
          <w:sz w:val="20"/>
          <w:szCs w:val="20"/>
          <w:color w:val="auto"/>
        </w:rPr>
      </w:pPr>
    </w:p>
    <w:p>
      <w:pPr>
        <w:jc w:val="both"/>
        <w:ind w:right="100"/>
        <w:spacing w:after="0"/>
        <w:rPr>
          <w:sz w:val="20"/>
          <w:szCs w:val="20"/>
          <w:color w:val="auto"/>
        </w:rPr>
      </w:pPr>
      <w:r>
        <w:rPr>
          <w:rFonts w:ascii="Arial" w:cs="Arial" w:eastAsia="Arial" w:hAnsi="Arial"/>
          <w:sz w:val="16"/>
          <w:szCs w:val="16"/>
          <w:color w:val="auto"/>
        </w:rPr>
        <w:t>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w:t>
      </w:r>
    </w:p>
    <w:p>
      <w:pPr>
        <w:spacing w:after="0" w:line="16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amount of loss due to credit risk from the Company's investments, if borrowers completely fail to perform according to the terms of the loan agreement, is equal to the sum of the Company’s recorded investments and the portion of unfunded commitments currently eligible to be drawn. Refer to "Note 8 – Commitments and Contingencies" for a summary of the aggregate balance of unfunded as of June 30, 2023. The Company collateralizes its investments by obtaining a first priority security interest in a portfolio company’s assets, which may include its intellectual property.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40" w:orient="portrait"/>
          <w:cols w:equalWidth="0" w:num="1">
            <w:col w:w="10560"/>
          </w:cols>
          <w:pgMar w:left="660" w:top="562" w:right="680" w:bottom="1440" w:gutter="0" w:footer="0" w:header="0"/>
        </w:sectPr>
      </w:pPr>
    </w:p>
    <w:bookmarkStart w:id="40" w:name="page41"/>
    <w:bookmarkEnd w:id="40"/>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2" w:lineRule="exact"/>
        <w:rPr>
          <w:sz w:val="20"/>
          <w:szCs w:val="20"/>
          <w:color w:val="auto"/>
        </w:rPr>
      </w:pPr>
    </w:p>
    <w:p>
      <w:pPr>
        <w:jc w:val="both"/>
        <w:ind w:right="720"/>
        <w:spacing w:after="0" w:line="243" w:lineRule="auto"/>
        <w:rPr>
          <w:sz w:val="20"/>
          <w:szCs w:val="20"/>
          <w:color w:val="auto"/>
        </w:rPr>
      </w:pPr>
      <w:r>
        <w:rPr>
          <w:rFonts w:ascii="Arial" w:cs="Arial" w:eastAsia="Arial" w:hAnsi="Arial"/>
          <w:sz w:val="16"/>
          <w:szCs w:val="16"/>
          <w:color w:val="auto"/>
        </w:rPr>
        <w:t>As of June 30, 2023 and December 31, 2022, the Company’s five largest portfolio companies represented approximately 34.20% and 30.02%, respectively, of the total fair value of the Company’s debt investments in portfolio companies. As of June 30, 2023 and December 31, 2022, the Company had 13 and 16 portfolio companies, respectively, that represented 5% or more of the Company’s net assets.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Borrowings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Company's borrowings as of June 30, 2023 and December 31, 2022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5"/>
        </w:trPr>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Deferred Debt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20"/>
              <w:spacing w:after="0" w:line="146" w:lineRule="exact"/>
              <w:rPr>
                <w:sz w:val="20"/>
                <w:szCs w:val="20"/>
                <w:color w:val="auto"/>
              </w:rPr>
            </w:pPr>
            <w:r>
              <w:rPr>
                <w:rFonts w:ascii="Arial" w:cs="Arial" w:eastAsia="Arial" w:hAnsi="Arial"/>
                <w:sz w:val="13"/>
                <w:szCs w:val="13"/>
                <w:b w:val="1"/>
                <w:bCs w:val="1"/>
                <w:color w:val="auto"/>
              </w:rPr>
              <w:t>Deferred Debt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6" w:lineRule="exact"/>
              <w:rPr>
                <w:sz w:val="20"/>
                <w:szCs w:val="20"/>
                <w:color w:val="auto"/>
              </w:rPr>
            </w:pPr>
            <w:r>
              <w:rPr>
                <w:rFonts w:ascii="Arial" w:cs="Arial" w:eastAsia="Arial" w:hAnsi="Arial"/>
                <w:sz w:val="13"/>
                <w:szCs w:val="13"/>
                <w:b w:val="1"/>
                <w:bCs w:val="1"/>
                <w:color w:val="auto"/>
              </w:rPr>
              <w:t>Carrying</w:t>
            </w:r>
          </w:p>
        </w:tc>
      </w:tr>
      <w:tr>
        <w:trPr>
          <w:trHeight w:val="194"/>
        </w:trPr>
        <w:tc>
          <w:tcPr>
            <w:tcW w:w="1720" w:type="dxa"/>
            <w:vAlign w:val="bottom"/>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Commitment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6"/>
                <w:szCs w:val="16"/>
                <w:b w:val="1"/>
                <w:bCs w:val="1"/>
                <w:color w:val="auto"/>
                <w:vertAlign w:val="superscript"/>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6"/>
                <w:szCs w:val="16"/>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Commitment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6"/>
                <w:szCs w:val="16"/>
                <w:b w:val="1"/>
                <w:bCs w:val="1"/>
                <w:color w:val="auto"/>
                <w:vertAlign w:val="superscript"/>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Value</w:t>
            </w:r>
          </w:p>
        </w:tc>
      </w:tr>
      <w:tr>
        <w:trPr>
          <w:trHeight w:val="180"/>
        </w:trPr>
        <w:tc>
          <w:tcPr>
            <w:tcW w:w="1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Credit Facility</w:t>
            </w: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310,000</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(4,582 )</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305,418</w:t>
            </w:r>
          </w:p>
        </w:tc>
        <w:tc>
          <w:tcPr>
            <w:tcW w:w="10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425,000</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337,000</w:t>
            </w:r>
          </w:p>
        </w:tc>
        <w:tc>
          <w:tcPr>
            <w:tcW w:w="8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(4,640 )</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332,360</w:t>
            </w:r>
          </w:p>
        </w:tc>
        <w:tc>
          <w:tcPr>
            <w:tcW w:w="80" w:type="dxa"/>
            <w:vAlign w:val="bottom"/>
            <w:shd w:val="clear" w:color="auto" w:fill="CFF0FC"/>
          </w:tcPr>
          <w:p>
            <w:pPr>
              <w:spacing w:after="0"/>
              <w:rPr>
                <w:sz w:val="15"/>
                <w:szCs w:val="15"/>
                <w:color w:val="auto"/>
              </w:rPr>
            </w:pPr>
          </w:p>
        </w:tc>
      </w:tr>
      <w:tr>
        <w:trPr>
          <w:trHeight w:val="175"/>
        </w:trPr>
        <w:tc>
          <w:tcPr>
            <w:tcW w:w="1720" w:type="dxa"/>
            <w:vAlign w:val="bottom"/>
          </w:tcPr>
          <w:p>
            <w:pPr>
              <w:ind w:left="20"/>
              <w:spacing w:after="0"/>
              <w:rPr>
                <w:sz w:val="20"/>
                <w:szCs w:val="20"/>
                <w:color w:val="auto"/>
              </w:rPr>
            </w:pPr>
            <w:r>
              <w:rPr>
                <w:rFonts w:ascii="Arial" w:cs="Arial" w:eastAsia="Arial" w:hAnsi="Arial"/>
                <w:sz w:val="13"/>
                <w:szCs w:val="13"/>
                <w:color w:val="auto"/>
              </w:rPr>
              <w:t>April 2026 Notes</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(293 )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24,707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1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December 2026 Notes</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(682 )</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69,318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(818 )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69,182</w:t>
            </w:r>
          </w:p>
        </w:tc>
        <w:tc>
          <w:tcPr>
            <w:tcW w:w="80" w:type="dxa"/>
            <w:vAlign w:val="bottom"/>
            <w:shd w:val="clear" w:color="auto" w:fill="CFF0FC"/>
          </w:tcPr>
          <w:p>
            <w:pPr>
              <w:spacing w:after="0"/>
              <w:rPr>
                <w:sz w:val="16"/>
                <w:szCs w:val="16"/>
                <w:color w:val="auto"/>
              </w:rPr>
            </w:pPr>
          </w:p>
        </w:tc>
      </w:tr>
      <w:tr>
        <w:trPr>
          <w:trHeight w:val="175"/>
        </w:trPr>
        <w:tc>
          <w:tcPr>
            <w:tcW w:w="1720" w:type="dxa"/>
            <w:vAlign w:val="bottom"/>
          </w:tcPr>
          <w:p>
            <w:pPr>
              <w:ind w:left="20"/>
              <w:spacing w:after="0"/>
              <w:rPr>
                <w:sz w:val="20"/>
                <w:szCs w:val="20"/>
                <w:color w:val="auto"/>
              </w:rPr>
            </w:pPr>
            <w:r>
              <w:rPr>
                <w:rFonts w:ascii="Arial" w:cs="Arial" w:eastAsia="Arial" w:hAnsi="Arial"/>
                <w:sz w:val="13"/>
                <w:szCs w:val="13"/>
                <w:color w:val="auto"/>
              </w:rPr>
              <w:t>July 2027 Notes</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(2,202 )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78,298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80,500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80,500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(2,380 )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78,120</w:t>
            </w:r>
          </w:p>
        </w:tc>
        <w:tc>
          <w:tcPr>
            <w:tcW w:w="80" w:type="dxa"/>
            <w:vAlign w:val="bottom"/>
          </w:tcPr>
          <w:p>
            <w:pPr>
              <w:spacing w:after="0"/>
              <w:rPr>
                <w:sz w:val="15"/>
                <w:szCs w:val="15"/>
                <w:color w:val="auto"/>
              </w:rPr>
            </w:pPr>
          </w:p>
        </w:tc>
      </w:tr>
      <w:tr>
        <w:trPr>
          <w:trHeight w:val="185"/>
        </w:trPr>
        <w:tc>
          <w:tcPr>
            <w:tcW w:w="1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August 2027 Notes</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(581 )</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19,419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(653 )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19,347</w:t>
            </w:r>
          </w:p>
        </w:tc>
        <w:tc>
          <w:tcPr>
            <w:tcW w:w="80" w:type="dxa"/>
            <w:vAlign w:val="bottom"/>
            <w:shd w:val="clear" w:color="auto" w:fill="CFF0FC"/>
          </w:tcPr>
          <w:p>
            <w:pPr>
              <w:spacing w:after="0"/>
              <w:rPr>
                <w:sz w:val="16"/>
                <w:szCs w:val="16"/>
                <w:color w:val="auto"/>
              </w:rPr>
            </w:pPr>
          </w:p>
        </w:tc>
      </w:tr>
      <w:tr>
        <w:trPr>
          <w:trHeight w:val="175"/>
        </w:trPr>
        <w:tc>
          <w:tcPr>
            <w:tcW w:w="1720" w:type="dxa"/>
            <w:vAlign w:val="bottom"/>
          </w:tcPr>
          <w:p>
            <w:pPr>
              <w:ind w:left="20"/>
              <w:spacing w:after="0"/>
              <w:rPr>
                <w:sz w:val="20"/>
                <w:szCs w:val="20"/>
                <w:color w:val="auto"/>
              </w:rPr>
            </w:pPr>
            <w:r>
              <w:rPr>
                <w:rFonts w:ascii="Arial" w:cs="Arial" w:eastAsia="Arial" w:hAnsi="Arial"/>
                <w:sz w:val="13"/>
                <w:szCs w:val="13"/>
                <w:color w:val="auto"/>
              </w:rPr>
              <w:t>December 2027 Notes</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(1,637 )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50,113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51,750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51,750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(1,802 )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49,948</w:t>
            </w:r>
          </w:p>
        </w:tc>
        <w:tc>
          <w:tcPr>
            <w:tcW w:w="80" w:type="dxa"/>
            <w:vAlign w:val="bottom"/>
          </w:tcPr>
          <w:p>
            <w:pPr>
              <w:spacing w:after="0"/>
              <w:rPr>
                <w:sz w:val="15"/>
                <w:szCs w:val="15"/>
                <w:color w:val="auto"/>
              </w:rPr>
            </w:pPr>
          </w:p>
        </w:tc>
      </w:tr>
      <w:tr>
        <w:trPr>
          <w:trHeight w:val="205"/>
        </w:trPr>
        <w:tc>
          <w:tcPr>
            <w:tcW w:w="17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w:t>
            </w: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747,250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557,250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(9,977 )</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547,273</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647,250</w:t>
            </w:r>
          </w:p>
        </w:tc>
        <w:tc>
          <w:tcPr>
            <w:tcW w:w="1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559,250</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(10,293 )</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548,957</w:t>
            </w:r>
          </w:p>
        </w:tc>
        <w:tc>
          <w:tcPr>
            <w:tcW w:w="80" w:type="dxa"/>
            <w:vAlign w:val="bottom"/>
            <w:shd w:val="clear" w:color="auto" w:fill="CFF0FC"/>
          </w:tcPr>
          <w:p>
            <w:pPr>
              <w:spacing w:after="0"/>
              <w:rPr>
                <w:sz w:val="17"/>
                <w:szCs w:val="17"/>
                <w:color w:val="auto"/>
              </w:rPr>
            </w:pPr>
          </w:p>
        </w:tc>
      </w:tr>
      <w:tr>
        <w:trPr>
          <w:trHeight w:val="20"/>
        </w:trPr>
        <w:tc>
          <w:tcPr>
            <w:tcW w:w="17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83" w:lineRule="exact"/>
        <w:rPr>
          <w:sz w:val="20"/>
          <w:szCs w:val="20"/>
          <w:color w:val="auto"/>
        </w:rPr>
      </w:pPr>
    </w:p>
    <w:p>
      <w:pPr>
        <w:ind w:left="640" w:hanging="298"/>
        <w:spacing w:after="0"/>
        <w:tabs>
          <w:tab w:leader="none" w:pos="64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Net of accumulated amortization.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40" w:orient="portrait"/>
          <w:cols w:equalWidth="0" w:num="1">
            <w:col w:w="10560"/>
          </w:cols>
          <w:pgMar w:left="660" w:top="562" w:right="680" w:bottom="1440" w:gutter="0" w:footer="0" w:header="0"/>
        </w:sectPr>
      </w:pPr>
    </w:p>
    <w:bookmarkStart w:id="41" w:name="page42"/>
    <w:bookmarkEnd w:id="41"/>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For the three months ended June 30, 2023 and 2022, the components of interest expense, amortization of deferred debt costs, and the unused fees on the Credit Facility (as defined below) on the Company's borrowings were as follows (dollars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Interest and</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Amortization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Unused Facility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Other Debt</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5"/>
        </w:trPr>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Deferred Debt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360"/>
              <w:spacing w:after="0" w:line="146" w:lineRule="exact"/>
              <w:rPr>
                <w:sz w:val="20"/>
                <w:szCs w:val="20"/>
                <w:color w:val="auto"/>
              </w:rPr>
            </w:pPr>
            <w:r>
              <w:rPr>
                <w:rFonts w:ascii="Arial" w:cs="Arial" w:eastAsia="Arial" w:hAnsi="Arial"/>
                <w:sz w:val="13"/>
                <w:szCs w:val="13"/>
                <w:b w:val="1"/>
                <w:bCs w:val="1"/>
                <w:color w:val="auto"/>
              </w:rPr>
              <w:t>and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Financing</w:t>
            </w:r>
          </w:p>
        </w:tc>
        <w:tc>
          <w:tcPr>
            <w:tcW w:w="1400" w:type="dxa"/>
            <w:vAlign w:val="bottom"/>
            <w:gridSpan w:val="2"/>
          </w:tcPr>
          <w:p>
            <w:pPr>
              <w:jc w:val="right"/>
              <w:ind w:right="14"/>
              <w:spacing w:after="0" w:line="146" w:lineRule="exact"/>
              <w:rPr>
                <w:sz w:val="20"/>
                <w:szCs w:val="20"/>
                <w:color w:val="auto"/>
              </w:rPr>
            </w:pPr>
            <w:r>
              <w:rPr>
                <w:rFonts w:ascii="Arial" w:cs="Arial" w:eastAsia="Arial" w:hAnsi="Arial"/>
                <w:sz w:val="13"/>
                <w:szCs w:val="13"/>
                <w:b w:val="1"/>
                <w:bCs w:val="1"/>
                <w:color w:val="auto"/>
              </w:rPr>
              <w:t>Weighted Average</w:t>
            </w:r>
          </w:p>
        </w:tc>
      </w:tr>
      <w:tr>
        <w:trPr>
          <w:trHeight w:val="194"/>
        </w:trPr>
        <w:tc>
          <w:tcPr>
            <w:tcW w:w="3560" w:type="dxa"/>
            <w:vAlign w:val="bottom"/>
          </w:tcPr>
          <w:p>
            <w:pPr>
              <w:spacing w:after="0"/>
              <w:rPr>
                <w:sz w:val="16"/>
                <w:szCs w:val="16"/>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Interest Expense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Costs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 xml:space="preserve">Other Fees </w:t>
            </w:r>
            <w:r>
              <w:rPr>
                <w:rFonts w:ascii="Arial" w:cs="Arial" w:eastAsia="Arial" w:hAnsi="Arial"/>
                <w:sz w:val="16"/>
                <w:szCs w:val="16"/>
                <w:b w:val="1"/>
                <w:bCs w:val="1"/>
                <w:color w:val="auto"/>
                <w:w w:val="96"/>
                <w:vertAlign w:val="superscript"/>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Expenses</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Cost of Debt</w:t>
            </w:r>
          </w:p>
        </w:tc>
        <w:tc>
          <w:tcPr>
            <w:tcW w:w="200" w:type="dxa"/>
            <w:vAlign w:val="bottom"/>
          </w:tcPr>
          <w:p>
            <w:pPr>
              <w:spacing w:after="0"/>
              <w:rPr>
                <w:sz w:val="16"/>
                <w:szCs w:val="16"/>
                <w:color w:val="auto"/>
              </w:rPr>
            </w:pPr>
          </w:p>
        </w:tc>
      </w:tr>
      <w:tr>
        <w:trPr>
          <w:trHeight w:val="180"/>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Three Months Ended June 30, 2023</w:t>
            </w:r>
          </w:p>
        </w:tc>
        <w:tc>
          <w:tcPr>
            <w:tcW w:w="4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Credit Facility</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6,290</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5"/>
                <w:szCs w:val="15"/>
                <w:color w:val="auto"/>
              </w:rPr>
            </w:pP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6,966</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8.95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April 2026 Notes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December 2026 Notes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July 2027 Notes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1,651</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August 2027 Notes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December 2027 Notes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10,391</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5"/>
                <w:szCs w:val="15"/>
                <w:color w:val="auto"/>
              </w:rPr>
            </w:pP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11,410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6"/>
        </w:trPr>
        <w:tc>
          <w:tcPr>
            <w:tcW w:w="35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80"/>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Three Months Ended June 30, 2022</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Credit Facility</w:t>
            </w:r>
          </w:p>
        </w:tc>
        <w:tc>
          <w:tcPr>
            <w:tcW w:w="420" w:type="dxa"/>
            <w:vAlign w:val="bottom"/>
            <w:shd w:val="clear" w:color="auto" w:fill="CFF0FC"/>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w:t>
            </w: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December 2026 Notes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785</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5"/>
        </w:trPr>
        <w:tc>
          <w:tcPr>
            <w:tcW w:w="3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420" w:type="dxa"/>
            <w:vAlign w:val="bottom"/>
            <w:tcBorders>
              <w:bottom w:val="single" w:sz="8" w:color="auto"/>
            </w:tcBorders>
            <w:shd w:val="clear" w:color="auto" w:fill="CFF0FC"/>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1,610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2,336</w:t>
            </w:r>
          </w:p>
        </w:tc>
        <w:tc>
          <w:tcPr>
            <w:tcW w:w="1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r>
    </w:tbl>
    <w:p>
      <w:pPr>
        <w:spacing w:after="0" w:line="89" w:lineRule="exact"/>
        <w:rPr>
          <w:sz w:val="20"/>
          <w:szCs w:val="20"/>
          <w:color w:val="auto"/>
        </w:rPr>
      </w:pPr>
    </w:p>
    <w:p>
      <w:pPr>
        <w:ind w:left="480" w:right="180"/>
        <w:spacing w:after="0" w:line="204" w:lineRule="auto"/>
        <w:rPr>
          <w:sz w:val="20"/>
          <w:szCs w:val="20"/>
          <w:color w:val="auto"/>
        </w:rPr>
      </w:pPr>
      <w:r>
        <w:rPr>
          <w:rFonts w:ascii="Arial" w:cs="Arial" w:eastAsia="Arial" w:hAnsi="Arial"/>
          <w:sz w:val="26"/>
          <w:szCs w:val="26"/>
          <w:color w:val="2B333D"/>
          <w:vertAlign w:val="superscript"/>
        </w:rPr>
        <w:t>(1)</w:t>
      </w:r>
      <w:r>
        <w:rPr>
          <w:rFonts w:ascii="Arial" w:cs="Arial" w:eastAsia="Arial" w:hAnsi="Arial"/>
          <w:sz w:val="13"/>
          <w:szCs w:val="13"/>
          <w:color w:val="2B333D"/>
        </w:rPr>
        <w:t>Unused facility and other fees for the three months ended June 30, 2022 include supplemental fees of $0.2 million, which were incurred only in the first half of 2022 and were nonrecurring in nature.</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For the six months ended June 30, 2023 and 2022, the components of interest expense, amortization of deferred debt costs, and the unused fees on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(as defined below) on the Company's borrowings were as follows (dollars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Interest and</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3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Amortization of</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Unused Facility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Other Debt</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45"/>
        </w:trPr>
        <w:tc>
          <w:tcPr>
            <w:tcW w:w="3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9"/>
              </w:rPr>
              <w:t>Deferred Debt</w:t>
            </w:r>
          </w:p>
        </w:tc>
        <w:tc>
          <w:tcPr>
            <w:tcW w:w="100" w:type="dxa"/>
            <w:vAlign w:val="bottom"/>
          </w:tcPr>
          <w:p>
            <w:pPr>
              <w:spacing w:after="0"/>
              <w:rPr>
                <w:sz w:val="12"/>
                <w:szCs w:val="12"/>
                <w:color w:val="auto"/>
              </w:rPr>
            </w:pPr>
          </w:p>
        </w:tc>
        <w:tc>
          <w:tcPr>
            <w:tcW w:w="1180" w:type="dxa"/>
            <w:vAlign w:val="bottom"/>
            <w:gridSpan w:val="2"/>
          </w:tcPr>
          <w:p>
            <w:pPr>
              <w:ind w:left="360"/>
              <w:spacing w:after="0" w:line="146" w:lineRule="exact"/>
              <w:rPr>
                <w:sz w:val="20"/>
                <w:szCs w:val="20"/>
                <w:color w:val="auto"/>
              </w:rPr>
            </w:pPr>
            <w:r>
              <w:rPr>
                <w:rFonts w:ascii="Arial" w:cs="Arial" w:eastAsia="Arial" w:hAnsi="Arial"/>
                <w:sz w:val="13"/>
                <w:szCs w:val="13"/>
                <w:b w:val="1"/>
                <w:bCs w:val="1"/>
                <w:color w:val="auto"/>
              </w:rPr>
              <w:t>and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rPr>
              <w:t>Financing</w:t>
            </w:r>
          </w:p>
        </w:tc>
        <w:tc>
          <w:tcPr>
            <w:tcW w:w="1400" w:type="dxa"/>
            <w:vAlign w:val="bottom"/>
            <w:gridSpan w:val="2"/>
          </w:tcPr>
          <w:p>
            <w:pPr>
              <w:jc w:val="right"/>
              <w:ind w:right="14"/>
              <w:spacing w:after="0" w:line="146" w:lineRule="exact"/>
              <w:rPr>
                <w:sz w:val="20"/>
                <w:szCs w:val="20"/>
                <w:color w:val="auto"/>
              </w:rPr>
            </w:pPr>
            <w:r>
              <w:rPr>
                <w:rFonts w:ascii="Arial" w:cs="Arial" w:eastAsia="Arial" w:hAnsi="Arial"/>
                <w:sz w:val="13"/>
                <w:szCs w:val="13"/>
                <w:b w:val="1"/>
                <w:bCs w:val="1"/>
                <w:color w:val="auto"/>
              </w:rPr>
              <w:t>Weighted Average</w:t>
            </w:r>
          </w:p>
        </w:tc>
      </w:tr>
      <w:tr>
        <w:trPr>
          <w:trHeight w:val="194"/>
        </w:trPr>
        <w:tc>
          <w:tcPr>
            <w:tcW w:w="356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Arial" w:cs="Arial" w:eastAsia="Arial" w:hAnsi="Arial"/>
                <w:sz w:val="13"/>
                <w:szCs w:val="13"/>
                <w:b w:val="1"/>
                <w:bCs w:val="1"/>
                <w:color w:val="auto"/>
              </w:rPr>
              <w:t>Interest Expense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Costs</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 xml:space="preserve">Other Fees </w:t>
            </w:r>
            <w:r>
              <w:rPr>
                <w:rFonts w:ascii="Arial" w:cs="Arial" w:eastAsia="Arial" w:hAnsi="Arial"/>
                <w:sz w:val="16"/>
                <w:szCs w:val="16"/>
                <w:b w:val="1"/>
                <w:bCs w:val="1"/>
                <w:color w:val="auto"/>
                <w:w w:val="96"/>
                <w:vertAlign w:val="superscript"/>
              </w:rPr>
              <w:t>(1)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Expenses</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Cost of Debt</w:t>
            </w:r>
          </w:p>
        </w:tc>
        <w:tc>
          <w:tcPr>
            <w:tcW w:w="200" w:type="dxa"/>
            <w:vAlign w:val="bottom"/>
          </w:tcPr>
          <w:p>
            <w:pPr>
              <w:spacing w:after="0"/>
              <w:rPr>
                <w:sz w:val="16"/>
                <w:szCs w:val="16"/>
                <w:color w:val="auto"/>
              </w:rPr>
            </w:pPr>
          </w:p>
        </w:tc>
      </w:tr>
      <w:tr>
        <w:trPr>
          <w:trHeight w:val="180"/>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Six Months Ended June 30, 2023</w:t>
            </w:r>
          </w:p>
        </w:tc>
        <w:tc>
          <w:tcPr>
            <w:tcW w:w="4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Credit Facility</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12,699</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820</w:t>
            </w:r>
          </w:p>
        </w:tc>
        <w:tc>
          <w:tcPr>
            <w:tcW w:w="2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15"/>
                <w:szCs w:val="15"/>
                <w:color w:val="auto"/>
              </w:rPr>
            </w:pP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13,941</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8.65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April 2026 Notes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8.90</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December 2026 Notes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1,588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July 2027 Notes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3,289</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August 2027 Notes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7.72</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December 2027 Notes</w:t>
            </w:r>
          </w:p>
        </w:tc>
        <w:tc>
          <w:tcPr>
            <w:tcW w:w="4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2,254</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3560" w:type="dxa"/>
            <w:vAlign w:val="bottom"/>
          </w:tcPr>
          <w:p>
            <w:pPr>
              <w:ind w:left="180"/>
              <w:spacing w:after="0"/>
              <w:rPr>
                <w:sz w:val="20"/>
                <w:szCs w:val="20"/>
                <w:color w:val="auto"/>
              </w:rPr>
            </w:pPr>
            <w:r>
              <w:rPr>
                <w:rFonts w:ascii="Arial" w:cs="Arial" w:eastAsia="Arial" w:hAnsi="Arial"/>
                <w:sz w:val="13"/>
                <w:szCs w:val="13"/>
                <w:b w:val="1"/>
                <w:bCs w:val="1"/>
                <w:color w:val="auto"/>
              </w:rPr>
              <w:t>Total</w:t>
            </w:r>
          </w:p>
        </w:tc>
        <w:tc>
          <w:tcPr>
            <w:tcW w:w="420" w:type="dxa"/>
            <w:vAlign w:val="bottom"/>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20,438</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1,470</w:t>
            </w:r>
          </w:p>
        </w:tc>
        <w:tc>
          <w:tcPr>
            <w:tcW w:w="2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15"/>
                <w:szCs w:val="15"/>
                <w:color w:val="auto"/>
              </w:rPr>
            </w:pPr>
          </w:p>
        </w:tc>
        <w:tc>
          <w:tcPr>
            <w:tcW w:w="3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22,330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6"/>
        </w:trPr>
        <w:tc>
          <w:tcPr>
            <w:tcW w:w="35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80"/>
        </w:trPr>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Six Months Ended June 30, 2022</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0"/>
        </w:trPr>
        <w:tc>
          <w:tcPr>
            <w:tcW w:w="35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Credit Facility</w:t>
            </w:r>
          </w:p>
        </w:tc>
        <w:tc>
          <w:tcPr>
            <w:tcW w:w="420" w:type="dxa"/>
            <w:vAlign w:val="bottom"/>
            <w:shd w:val="clear" w:color="auto" w:fill="CFF0FC"/>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1,235</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w:t>
            </w: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2,588</w:t>
            </w: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8.05</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December 2026 Notes</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1,327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4.50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5"/>
        </w:trPr>
        <w:tc>
          <w:tcPr>
            <w:tcW w:w="3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420" w:type="dxa"/>
            <w:vAlign w:val="bottom"/>
            <w:tcBorders>
              <w:bottom w:val="single" w:sz="8" w:color="auto"/>
            </w:tcBorders>
            <w:shd w:val="clear" w:color="auto" w:fill="CFF0FC"/>
          </w:tcPr>
          <w:p>
            <w:pPr>
              <w:jc w:val="right"/>
              <w:ind w:right="274"/>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2,482</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394</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1,039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3,915</w:t>
            </w:r>
          </w:p>
        </w:tc>
        <w:tc>
          <w:tcPr>
            <w:tcW w:w="1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r>
      <w:tr>
        <w:trPr>
          <w:trHeight w:val="156"/>
        </w:trPr>
        <w:tc>
          <w:tcPr>
            <w:tcW w:w="6480" w:type="dxa"/>
            <w:vAlign w:val="bottom"/>
            <w:gridSpan w:val="8"/>
          </w:tcPr>
          <w:p>
            <w:pPr>
              <w:spacing w:after="0"/>
              <w:rPr>
                <w:sz w:val="13"/>
                <w:szCs w:val="13"/>
                <w:color w:val="auto"/>
              </w:rPr>
            </w:pPr>
          </w:p>
        </w:tc>
        <w:tc>
          <w:tcPr>
            <w:tcW w:w="3880" w:type="dxa"/>
            <w:vAlign w:val="bottom"/>
            <w:gridSpan w:val="8"/>
          </w:tcPr>
          <w:p>
            <w:pPr>
              <w:spacing w:after="0"/>
              <w:rPr>
                <w:sz w:val="13"/>
                <w:szCs w:val="13"/>
                <w:color w:val="auto"/>
              </w:rPr>
            </w:pPr>
          </w:p>
        </w:tc>
        <w:tc>
          <w:tcPr>
            <w:tcW w:w="200" w:type="dxa"/>
            <w:vAlign w:val="bottom"/>
          </w:tcPr>
          <w:p>
            <w:pPr>
              <w:spacing w:after="0"/>
              <w:rPr>
                <w:sz w:val="13"/>
                <w:szCs w:val="13"/>
                <w:color w:val="auto"/>
              </w:rPr>
            </w:pPr>
          </w:p>
        </w:tc>
      </w:tr>
      <w:tr>
        <w:trPr>
          <w:trHeight w:val="329"/>
        </w:trPr>
        <w:tc>
          <w:tcPr>
            <w:tcW w:w="6480" w:type="dxa"/>
            <w:vAlign w:val="bottom"/>
            <w:gridSpan w:val="8"/>
          </w:tcPr>
          <w:p>
            <w:pPr>
              <w:ind w:left="480"/>
              <w:spacing w:after="0"/>
              <w:rPr>
                <w:sz w:val="20"/>
                <w:szCs w:val="20"/>
                <w:color w:val="auto"/>
              </w:rPr>
            </w:pPr>
            <w:r>
              <w:rPr>
                <w:rFonts w:ascii="Arial" w:cs="Arial" w:eastAsia="Arial" w:hAnsi="Arial"/>
                <w:sz w:val="26"/>
                <w:szCs w:val="26"/>
                <w:color w:val="2B333D"/>
                <w:vertAlign w:val="superscript"/>
              </w:rPr>
              <w:t>(1)</w:t>
            </w:r>
            <w:r>
              <w:rPr>
                <w:rFonts w:ascii="Arial" w:cs="Arial" w:eastAsia="Arial" w:hAnsi="Arial"/>
                <w:sz w:val="13"/>
                <w:szCs w:val="13"/>
                <w:color w:val="2B333D"/>
              </w:rPr>
              <w:t>Unused facility and other fees for the six months ended June 30, 2022 include supplemental fees of</w:t>
            </w:r>
          </w:p>
        </w:tc>
        <w:tc>
          <w:tcPr>
            <w:tcW w:w="3880" w:type="dxa"/>
            <w:vAlign w:val="bottom"/>
            <w:gridSpan w:val="8"/>
          </w:tcPr>
          <w:p>
            <w:pPr>
              <w:ind w:left="20"/>
              <w:spacing w:after="0"/>
              <w:rPr>
                <w:sz w:val="20"/>
                <w:szCs w:val="20"/>
                <w:color w:val="auto"/>
              </w:rPr>
            </w:pPr>
            <w:r>
              <w:rPr>
                <w:rFonts w:ascii="Arial" w:cs="Arial" w:eastAsia="Arial" w:hAnsi="Arial"/>
                <w:sz w:val="13"/>
                <w:szCs w:val="13"/>
                <w:color w:val="2B333D"/>
              </w:rPr>
              <w:t>$0.4 million, which were incurred only in the first half of 2022 and</w:t>
            </w:r>
          </w:p>
        </w:tc>
        <w:tc>
          <w:tcPr>
            <w:tcW w:w="200" w:type="dxa"/>
            <w:vAlign w:val="bottom"/>
          </w:tcPr>
          <w:p>
            <w:pPr>
              <w:spacing w:after="0"/>
              <w:rPr>
                <w:sz w:val="24"/>
                <w:szCs w:val="24"/>
                <w:color w:val="auto"/>
              </w:rPr>
            </w:pPr>
          </w:p>
        </w:tc>
      </w:tr>
      <w:tr>
        <w:trPr>
          <w:trHeight w:val="165"/>
        </w:trPr>
        <w:tc>
          <w:tcPr>
            <w:tcW w:w="3560" w:type="dxa"/>
            <w:vAlign w:val="bottom"/>
          </w:tcPr>
          <w:p>
            <w:pPr>
              <w:ind w:left="480"/>
              <w:spacing w:after="0"/>
              <w:rPr>
                <w:sz w:val="20"/>
                <w:szCs w:val="20"/>
                <w:color w:val="auto"/>
              </w:rPr>
            </w:pPr>
            <w:r>
              <w:rPr>
                <w:rFonts w:ascii="Arial" w:cs="Arial" w:eastAsia="Arial" w:hAnsi="Arial"/>
                <w:sz w:val="13"/>
                <w:szCs w:val="13"/>
                <w:color w:val="2B333D"/>
              </w:rPr>
              <w:t>were nonrecurring in nature.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40" w:orient="portrait"/>
          <w:cols w:equalWidth="0" w:num="1">
            <w:col w:w="10560"/>
          </w:cols>
          <w:pgMar w:left="660" w:top="562" w:right="680" w:bottom="1440" w:gutter="0" w:footer="0" w:header="0"/>
        </w:sectPr>
      </w:pPr>
    </w:p>
    <w:bookmarkStart w:id="42" w:name="page43"/>
    <w:bookmarkEnd w:id="42"/>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Facility</w:t>
      </w:r>
    </w:p>
    <w:p>
      <w:pPr>
        <w:spacing w:after="0" w:line="196"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June 30, 2023, the Company had $ 500.0 million in total commitments available under the Credit Facility. The availability period under the Credit Facility expires on April 20, 2025 and is followed by a one-year amortization period. The stated maturity date under the Credit Facility is April 20, 2026, unless extended.</w:t>
      </w:r>
    </w:p>
    <w:p>
      <w:pPr>
        <w:spacing w:after="0" w:line="176"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Borrowings under the Credit Facility bear interest on a per annum rate equal to the Adjusted Term Secured Overnight Financing Rate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Credit Facility is collateralized by all eligible investment assets held by the Company. The Credit Facility contains representations and warranties and affirmative and negative covenants customary for secured financings of this type, including certain financial covenants such as a consolidated tangible net worth requirement and a required asset coverage ratio.</w:t>
      </w:r>
    </w:p>
    <w:p>
      <w:pPr>
        <w:spacing w:after="0" w:line="173"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For the three and six months ended June 30, 2023, the weighted average outstanding principal balance was $311.4 million and $322.3 million, respectively, and the weighted average effective interest rate was 8.10% and 7.95%, respectively. For the three and six months ended June 30, 2022, the weighted average outstanding principal balance was $86.7 million and $64.3 million, respectively, and the weighted average effective interest rate was 4.03% and 3.38%,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2026 Notes</w:t>
      </w:r>
    </w:p>
    <w:p>
      <w:pPr>
        <w:spacing w:after="0" w:line="196"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 xml:space="preserve">On December 10, 2021, the Company entered into a master note purchase agreement, completing a private debt offering of $70.0 million in aggregate principal amount of 4.25% interest- 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outstanding and future unsecured unsubordinated indebtedness issued by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2026 Notes</w:t>
      </w:r>
    </w:p>
    <w:p>
      <w:pPr>
        <w:spacing w:after="0" w:line="194"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 commencing on June 10, 2022.</w:t>
      </w:r>
    </w:p>
    <w:p>
      <w:pPr>
        <w:spacing w:after="0" w:line="173" w:lineRule="exact"/>
        <w:rPr>
          <w:sz w:val="20"/>
          <w:szCs w:val="20"/>
          <w:color w:val="auto"/>
        </w:rPr>
      </w:pPr>
    </w:p>
    <w:p>
      <w:pPr>
        <w:ind w:right="200"/>
        <w:spacing w:after="0" w:line="322" w:lineRule="auto"/>
        <w:rPr>
          <w:sz w:val="20"/>
          <w:szCs w:val="20"/>
          <w:color w:val="auto"/>
        </w:rPr>
      </w:pPr>
      <w:r>
        <w:rPr>
          <w:rFonts w:ascii="Arial" w:cs="Arial" w:eastAsia="Arial" w:hAnsi="Arial"/>
          <w:sz w:val="14"/>
          <w:szCs w:val="14"/>
          <w:color w:val="auto"/>
        </w:rPr>
        <w:t>Aggregate costs in connection with the December 2026 Notes issuance were $ 1.0 million, and were capitalized and deferred. As of June 30, 2023 and December 31, 2022, unamortized deferred debt costs related to the December 2026 Notes were $0.7 million and $0.8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April 2026 Notes</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 commencing on October 13, 2023.</w:t>
      </w:r>
    </w:p>
    <w:p>
      <w:pPr>
        <w:spacing w:after="0" w:line="173" w:lineRule="exact"/>
        <w:rPr>
          <w:sz w:val="20"/>
          <w:szCs w:val="20"/>
          <w:color w:val="auto"/>
        </w:rPr>
      </w:pPr>
    </w:p>
    <w:p>
      <w:pPr>
        <w:ind w:right="840"/>
        <w:spacing w:after="0" w:line="252" w:lineRule="auto"/>
        <w:rPr>
          <w:sz w:val="20"/>
          <w:szCs w:val="20"/>
          <w:color w:val="auto"/>
        </w:rPr>
      </w:pPr>
      <w:r>
        <w:rPr>
          <w:rFonts w:ascii="Arial" w:cs="Arial" w:eastAsia="Arial" w:hAnsi="Arial"/>
          <w:sz w:val="16"/>
          <w:szCs w:val="16"/>
          <w:color w:val="auto"/>
        </w:rPr>
        <w:t xml:space="preserve">Aggregate costs in connection with the April 2026 Notes issuance were $0.3 million, and were capitalized and deferred. As of June 30, 2023 </w:t>
      </w:r>
      <w:r>
        <w:rPr>
          <w:rFonts w:ascii="Arial" w:cs="Arial" w:eastAsia="Arial" w:hAnsi="Arial"/>
          <w:sz w:val="13"/>
          <w:szCs w:val="13"/>
          <w:color w:val="auto"/>
        </w:rPr>
        <w:t>,</w:t>
      </w:r>
      <w:r>
        <w:rPr>
          <w:rFonts w:ascii="Arial" w:cs="Arial" w:eastAsia="Arial" w:hAnsi="Arial"/>
          <w:sz w:val="16"/>
          <w:szCs w:val="16"/>
          <w:color w:val="auto"/>
        </w:rPr>
        <w:t xml:space="preserve"> unamortized deferred debt costs related to the April 2026 Notes were $0.3 million.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43" w:name="page44"/>
    <w:bookmarkEnd w:id="43"/>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2027 Notes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July 2027 Notes</w:t>
      </w:r>
    </w:p>
    <w:p>
      <w:pPr>
        <w:spacing w:after="0" w:line="194"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On July 28, 2022, the Company issued and sold $80.5 million in aggregate principal amount of 7.50% interest-bearing unsecured Notes due 2027 (the “July 2027 Notes”) under its shelf Registration Statement on Form N- 2.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7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July 2027 Notes bear an interest rate of 7.50% per year and are due on July 28, 2027. Interest on the 2027 Notes will be due quarterly in arrears on March 1, June 1, September 1 and December 1 of each year, commencing September 1, 2022.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pari passu with the Company's existing and future unsecured, unsubordinated indebtedness.</w:t>
      </w:r>
    </w:p>
    <w:p>
      <w:pPr>
        <w:spacing w:after="0" w:line="150"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Aggregate costs in connection with the July 2027 Notes issuance, including the underwriter’s discount and commissions, were $2.6 million, and were capitalized and deferred. As of June 30, 2023 and December 31, 2022, unamortized deferred debt costs related to the July 2027 Notes were $2.2 million and $2.4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August 2027 Notes</w:t>
      </w:r>
    </w:p>
    <w:p>
      <w:pPr>
        <w:spacing w:after="0" w:line="194" w:lineRule="exact"/>
        <w:rPr>
          <w:sz w:val="20"/>
          <w:szCs w:val="20"/>
          <w:color w:val="auto"/>
        </w:rPr>
      </w:pPr>
    </w:p>
    <w:p>
      <w:pPr>
        <w:ind w:right="540"/>
        <w:spacing w:after="0" w:line="252" w:lineRule="auto"/>
        <w:rPr>
          <w:sz w:val="20"/>
          <w:szCs w:val="20"/>
          <w:color w:val="auto"/>
        </w:rPr>
      </w:pPr>
      <w:r>
        <w:rPr>
          <w:rFonts w:ascii="Arial" w:cs="Arial" w:eastAsia="Arial" w:hAnsi="Arial"/>
          <w:sz w:val="16"/>
          <w:szCs w:val="16"/>
          <w:color w:val="auto"/>
        </w:rPr>
        <w:t>On August 31, 2022, the Company issued and sold a private debt offering of $20.0 million in aggregate principal amount of 7.00% interest-bearing unsecured Series 2022A Senior Notes due 2027 (the “August 2027 Notes”) to HCM Master Fund Limited.</w:t>
      </w:r>
    </w:p>
    <w:p>
      <w:pPr>
        <w:spacing w:after="0" w:line="166" w:lineRule="exact"/>
        <w:rPr>
          <w:sz w:val="20"/>
          <w:szCs w:val="20"/>
          <w:color w:val="auto"/>
        </w:rPr>
      </w:pPr>
    </w:p>
    <w:p>
      <w:pPr>
        <w:ind w:right="40"/>
        <w:spacing w:after="0"/>
        <w:rPr>
          <w:sz w:val="20"/>
          <w:szCs w:val="20"/>
          <w:color w:val="auto"/>
        </w:rPr>
      </w:pPr>
      <w:r>
        <w:rPr>
          <w:rFonts w:ascii="Arial" w:cs="Arial" w:eastAsia="Arial" w:hAnsi="Arial"/>
          <w:sz w:val="16"/>
          <w:szCs w:val="16"/>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commencing on February 15, 2023. The August 2027 Notes are general unsecured obligations of the Company that rank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with all outstanding and future unsecured unsubordinated indebtedness issued by the Company.</w:t>
      </w:r>
    </w:p>
    <w:p>
      <w:pPr>
        <w:spacing w:after="0" w:line="176" w:lineRule="exact"/>
        <w:rPr>
          <w:sz w:val="20"/>
          <w:szCs w:val="20"/>
          <w:color w:val="auto"/>
        </w:rPr>
      </w:pPr>
    </w:p>
    <w:p>
      <w:pPr>
        <w:ind w:right="440"/>
        <w:spacing w:after="0" w:line="252" w:lineRule="auto"/>
        <w:rPr>
          <w:sz w:val="20"/>
          <w:szCs w:val="20"/>
          <w:color w:val="auto"/>
        </w:rPr>
      </w:pPr>
      <w:r>
        <w:rPr>
          <w:rFonts w:ascii="Arial" w:cs="Arial" w:eastAsia="Arial" w:hAnsi="Arial"/>
          <w:sz w:val="16"/>
          <w:szCs w:val="16"/>
          <w:color w:val="auto"/>
        </w:rPr>
        <w:t>Aggregate costs in connection with the August 2027 Notes issuance were $0.7 million, and were capitalized and deferred. As of June 30, 2023 and December 31, 2022, unamortized deferred debt costs related to the August 2027 Notes were $0.6 million and $0.7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2027 Notes</w:t>
      </w:r>
    </w:p>
    <w:p>
      <w:pPr>
        <w:spacing w:after="0" w:line="194"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On December 7, 2022, the Company issued and sold $51.75 million in aggregate principal amount of 8.00% interest-bearing unsecured Notes due December 2027 (the "December 2027 Notes") under its shelf Registration Statement on Form N-2. The December 2027 Notes were issued pursuant to the Base Indenture dated July 28, 2022 (the "Base Indenture") and Second Supplemental Indenture, dated December 7, 2022 (together with the Base Indenture, the "Indenture"), between the Company and the Trustee, U.S. Bank Trust Company, National Association.</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The December 2027 Notes bear an interest rate of 8.0% per year and are due on December 28, 2027. Interest on the 2027 Notes will be due quarterly in arrears on March 1, June 1, September 1, and December 1 of each year, commencing March 1, 2023.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pari passu with the Company's existing and future unsecured, unsubordinated indebtedness.</w:t>
      </w:r>
    </w:p>
    <w:p>
      <w:pPr>
        <w:spacing w:after="0" w:line="17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Aggregate costs in connection with the December 2027 Notes issuance, including the underwriter's discount and commissions, were $1.8 million, and were capitalized and deferred. As of June 30, 2023 and December 31, 2022, unamortized deferred debt costs related to the December 2027 Notes were $1.6 million and $1.8 million,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44" w:name="page45"/>
    <w:bookmarkEnd w:id="44"/>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Commitments and Contingencies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Company’s contractual obligations as of June 30, 2023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Contractual Obligations </w:t>
            </w:r>
            <w:r>
              <w:rPr>
                <w:rFonts w:ascii="Arial" w:cs="Arial" w:eastAsia="Arial" w:hAnsi="Arial"/>
                <w:sz w:val="16"/>
                <w:szCs w:val="16"/>
                <w:b w:val="1"/>
                <w:bCs w:val="1"/>
                <w:color w:val="auto"/>
                <w:vertAlign w:val="superscript"/>
              </w:rPr>
              <w:t>(1)</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6"/>
          </w:tcPr>
          <w:p>
            <w:pPr>
              <w:ind w:left="380"/>
              <w:spacing w:after="0"/>
              <w:rPr>
                <w:sz w:val="20"/>
                <w:szCs w:val="20"/>
                <w:color w:val="auto"/>
              </w:rPr>
            </w:pPr>
            <w:r>
              <w:rPr>
                <w:rFonts w:ascii="Arial" w:cs="Arial" w:eastAsia="Arial" w:hAnsi="Arial"/>
                <w:sz w:val="13"/>
                <w:szCs w:val="13"/>
                <w:b w:val="1"/>
                <w:bCs w:val="1"/>
                <w:color w:val="auto"/>
              </w:rPr>
              <w:t>Payments Due by Period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54"/>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Less than 1 Year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More than 5 Years</w:t>
            </w:r>
          </w:p>
        </w:tc>
        <w:tc>
          <w:tcPr>
            <w:tcW w:w="0" w:type="dxa"/>
            <w:vAlign w:val="bottom"/>
          </w:tcPr>
          <w:p>
            <w:pPr>
              <w:spacing w:after="0"/>
              <w:rPr>
                <w:sz w:val="1"/>
                <w:szCs w:val="1"/>
                <w:color w:val="auto"/>
              </w:rPr>
            </w:pPr>
          </w:p>
        </w:tc>
      </w:tr>
      <w:tr>
        <w:trPr>
          <w:trHeight w:val="190"/>
        </w:trPr>
        <w:tc>
          <w:tcPr>
            <w:tcW w:w="2680" w:type="dxa"/>
            <w:vAlign w:val="bottom"/>
          </w:tcPr>
          <w:p>
            <w:pPr>
              <w:ind w:left="20"/>
              <w:spacing w:after="0"/>
              <w:rPr>
                <w:sz w:val="20"/>
                <w:szCs w:val="20"/>
                <w:color w:val="auto"/>
              </w:rPr>
            </w:pPr>
            <w:r>
              <w:rPr>
                <w:rFonts w:ascii="Arial" w:cs="Arial" w:eastAsia="Arial" w:hAnsi="Arial"/>
                <w:sz w:val="13"/>
                <w:szCs w:val="13"/>
                <w:color w:val="auto"/>
              </w:rPr>
              <w:t xml:space="preserve">Borrowings </w:t>
            </w:r>
            <w:r>
              <w:rPr>
                <w:rFonts w:ascii="Arial" w:cs="Arial" w:eastAsia="Arial" w:hAnsi="Arial"/>
                <w:sz w:val="16"/>
                <w:szCs w:val="16"/>
                <w:color w:val="auto"/>
                <w:vertAlign w:val="superscript"/>
              </w:rPr>
              <w:t>(2)</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6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Credit Facility</w:t>
            </w:r>
          </w:p>
        </w:tc>
        <w:tc>
          <w:tcPr>
            <w:tcW w:w="300" w:type="dxa"/>
            <w:vAlign w:val="bottom"/>
            <w:shd w:val="clear" w:color="auto" w:fill="CFF0FC"/>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310,000</w:t>
            </w:r>
          </w:p>
        </w:tc>
        <w:tc>
          <w:tcPr>
            <w:tcW w:w="400" w:type="dxa"/>
            <w:vAlign w:val="bottom"/>
            <w:gridSpan w:val="3"/>
            <w:shd w:val="clear" w:color="auto" w:fill="CFF0FC"/>
          </w:tcPr>
          <w:p>
            <w:pPr>
              <w:jc w:val="center"/>
              <w:ind w:left="174"/>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310,000</w:t>
            </w:r>
          </w:p>
        </w:tc>
        <w:tc>
          <w:tcPr>
            <w:tcW w:w="100" w:type="dxa"/>
            <w:vAlign w:val="bottom"/>
            <w:shd w:val="clear" w:color="auto" w:fill="CFF0FC"/>
          </w:tcPr>
          <w:p>
            <w:pPr>
              <w:spacing w:after="0"/>
              <w:rPr>
                <w:sz w:val="24"/>
                <w:szCs w:val="24"/>
                <w:color w:val="auto"/>
              </w:rPr>
            </w:pPr>
          </w:p>
        </w:tc>
        <w:tc>
          <w:tcPr>
            <w:tcW w:w="420" w:type="dxa"/>
            <w:vAlign w:val="bottom"/>
            <w:gridSpan w:val="2"/>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80" w:type="dxa"/>
            <w:vAlign w:val="bottom"/>
          </w:tcPr>
          <w:p>
            <w:pPr>
              <w:ind w:left="100"/>
              <w:spacing w:after="0"/>
              <w:rPr>
                <w:sz w:val="20"/>
                <w:szCs w:val="20"/>
                <w:color w:val="auto"/>
              </w:rPr>
            </w:pPr>
            <w:r>
              <w:rPr>
                <w:rFonts w:ascii="Arial" w:cs="Arial" w:eastAsia="Arial" w:hAnsi="Arial"/>
                <w:sz w:val="13"/>
                <w:szCs w:val="13"/>
                <w:color w:val="auto"/>
              </w:rPr>
              <w:t>2026 Notes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2027 Notes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152,250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152,250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80" w:type="dxa"/>
            <w:vAlign w:val="bottom"/>
          </w:tcPr>
          <w:p>
            <w:pPr>
              <w:ind w:left="180"/>
              <w:spacing w:after="0"/>
              <w:rPr>
                <w:sz w:val="20"/>
                <w:szCs w:val="20"/>
                <w:color w:val="auto"/>
              </w:rPr>
            </w:pPr>
            <w:r>
              <w:rPr>
                <w:rFonts w:ascii="Arial" w:cs="Arial" w:eastAsia="Arial" w:hAnsi="Arial"/>
                <w:sz w:val="13"/>
                <w:szCs w:val="13"/>
                <w:color w:val="auto"/>
              </w:rPr>
              <w:t>Total Borrowings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557,250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335,000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222,250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Deferred Incentive Fees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7,268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268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564,518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337,404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224,417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980" w:type="dxa"/>
            <w:vAlign w:val="bottom"/>
            <w:gridSpan w:val="16"/>
          </w:tcPr>
          <w:p>
            <w:pPr>
              <w:jc w:val="center"/>
              <w:ind w:right="26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Excludes interest payable on borrowings, accrued expenses, and commitments to extend credit to the Company’s portfolio companies.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40" w:type="dxa"/>
            <w:vAlign w:val="bottom"/>
            <w:gridSpan w:val="10"/>
          </w:tcPr>
          <w:p>
            <w:pPr>
              <w:ind w:left="360"/>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Amounts represent future principal repayments and not the carrying value of each liability (refer to</w:t>
            </w:r>
          </w:p>
        </w:tc>
        <w:tc>
          <w:tcPr>
            <w:tcW w:w="1580" w:type="dxa"/>
            <w:vAlign w:val="bottom"/>
            <w:gridSpan w:val="4"/>
          </w:tcPr>
          <w:p>
            <w:pPr>
              <w:jc w:val="right"/>
              <w:ind w:right="114"/>
              <w:spacing w:after="0"/>
              <w:rPr>
                <w:sz w:val="20"/>
                <w:szCs w:val="20"/>
                <w:color w:val="auto"/>
              </w:rPr>
            </w:pPr>
            <w:r>
              <w:rPr>
                <w:rFonts w:ascii="Arial" w:cs="Arial" w:eastAsia="Arial" w:hAnsi="Arial"/>
                <w:sz w:val="13"/>
                <w:szCs w:val="13"/>
                <w:color w:val="auto"/>
              </w:rPr>
              <w:t>“Note 7 – Borrowings”).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Company’s contractual obligations as of December 31, 2022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xml:space="preserve">Contractual Obligations </w:t>
            </w:r>
            <w:r>
              <w:rPr>
                <w:rFonts w:ascii="Arial" w:cs="Arial" w:eastAsia="Arial" w:hAnsi="Arial"/>
                <w:sz w:val="16"/>
                <w:szCs w:val="16"/>
                <w:b w:val="1"/>
                <w:bCs w:val="1"/>
                <w:color w:val="auto"/>
                <w:vertAlign w:val="superscript"/>
              </w:rPr>
              <w:t>(1)</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40" w:type="dxa"/>
            <w:vAlign w:val="bottom"/>
            <w:gridSpan w:val="6"/>
          </w:tcPr>
          <w:p>
            <w:pPr>
              <w:ind w:left="380"/>
              <w:spacing w:after="0"/>
              <w:rPr>
                <w:sz w:val="20"/>
                <w:szCs w:val="20"/>
                <w:color w:val="auto"/>
              </w:rPr>
            </w:pPr>
            <w:r>
              <w:rPr>
                <w:rFonts w:ascii="Arial" w:cs="Arial" w:eastAsia="Arial" w:hAnsi="Arial"/>
                <w:sz w:val="13"/>
                <w:szCs w:val="13"/>
                <w:b w:val="1"/>
                <w:bCs w:val="1"/>
                <w:color w:val="auto"/>
              </w:rPr>
              <w:t>Payments Due by Period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b w:val="1"/>
                <w:bCs w:val="1"/>
                <w:color w:val="auto"/>
              </w:rPr>
              <w:t>Less than 1 Year</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rPr>
              <w:t>More than 5 Years</w:t>
            </w:r>
          </w:p>
        </w:tc>
        <w:tc>
          <w:tcPr>
            <w:tcW w:w="0" w:type="dxa"/>
            <w:vAlign w:val="bottom"/>
          </w:tcPr>
          <w:p>
            <w:pPr>
              <w:spacing w:after="0"/>
              <w:rPr>
                <w:sz w:val="1"/>
                <w:szCs w:val="1"/>
                <w:color w:val="auto"/>
              </w:rPr>
            </w:pPr>
          </w:p>
        </w:tc>
      </w:tr>
      <w:tr>
        <w:trPr>
          <w:trHeight w:val="180"/>
        </w:trPr>
        <w:tc>
          <w:tcPr>
            <w:tcW w:w="2680" w:type="dxa"/>
            <w:vAlign w:val="bottom"/>
            <w:shd w:val="clear" w:color="auto" w:fill="CFF0FC"/>
          </w:tcPr>
          <w:p>
            <w:pPr>
              <w:ind w:left="20"/>
              <w:spacing w:after="0" w:line="180" w:lineRule="exact"/>
              <w:rPr>
                <w:sz w:val="20"/>
                <w:szCs w:val="20"/>
                <w:color w:val="auto"/>
              </w:rPr>
            </w:pPr>
            <w:r>
              <w:rPr>
                <w:rFonts w:ascii="Arial" w:cs="Arial" w:eastAsia="Arial" w:hAnsi="Arial"/>
                <w:sz w:val="13"/>
                <w:szCs w:val="13"/>
                <w:color w:val="auto"/>
              </w:rPr>
              <w:t xml:space="preserve">Borrowings </w:t>
            </w:r>
            <w:r>
              <w:rPr>
                <w:rFonts w:ascii="Arial" w:cs="Arial" w:eastAsia="Arial" w:hAnsi="Arial"/>
                <w:sz w:val="16"/>
                <w:szCs w:val="16"/>
                <w:color w:val="auto"/>
                <w:vertAlign w:val="superscript"/>
              </w:rPr>
              <w:t>(2)</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680" w:type="dxa"/>
            <w:vAlign w:val="bottom"/>
          </w:tcPr>
          <w:p>
            <w:pPr>
              <w:ind w:left="100"/>
              <w:spacing w:after="0"/>
              <w:rPr>
                <w:sz w:val="20"/>
                <w:szCs w:val="20"/>
                <w:color w:val="auto"/>
              </w:rPr>
            </w:pPr>
            <w:r>
              <w:rPr>
                <w:rFonts w:ascii="Arial" w:cs="Arial" w:eastAsia="Arial" w:hAnsi="Arial"/>
                <w:sz w:val="13"/>
                <w:szCs w:val="13"/>
                <w:color w:val="auto"/>
              </w:rPr>
              <w:t>Credit Facility</w:t>
            </w:r>
          </w:p>
        </w:tc>
        <w:tc>
          <w:tcPr>
            <w:tcW w:w="300" w:type="dxa"/>
            <w:vAlign w:val="bottom"/>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337,000</w:t>
            </w:r>
          </w:p>
        </w:tc>
        <w:tc>
          <w:tcPr>
            <w:tcW w:w="100" w:type="dxa"/>
            <w:vAlign w:val="bottom"/>
          </w:tcPr>
          <w:p>
            <w:pPr>
              <w:spacing w:after="0"/>
              <w:rPr>
                <w:sz w:val="24"/>
                <w:szCs w:val="24"/>
                <w:color w:val="auto"/>
              </w:rPr>
            </w:pPr>
          </w:p>
        </w:tc>
        <w:tc>
          <w:tcPr>
            <w:tcW w:w="300" w:type="dxa"/>
            <w:vAlign w:val="bottom"/>
            <w:gridSpan w:val="2"/>
          </w:tcPr>
          <w:p>
            <w:pPr>
              <w:jc w:val="center"/>
              <w:ind w:left="74"/>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34"/>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14"/>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337,000</w:t>
            </w:r>
          </w:p>
        </w:tc>
        <w:tc>
          <w:tcPr>
            <w:tcW w:w="1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2026 Notes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80" w:type="dxa"/>
            <w:vAlign w:val="bottom"/>
          </w:tcPr>
          <w:p>
            <w:pPr>
              <w:ind w:left="100"/>
              <w:spacing w:after="0"/>
              <w:rPr>
                <w:sz w:val="20"/>
                <w:szCs w:val="20"/>
                <w:color w:val="auto"/>
              </w:rPr>
            </w:pPr>
            <w:r>
              <w:rPr>
                <w:rFonts w:ascii="Arial" w:cs="Arial" w:eastAsia="Arial" w:hAnsi="Arial"/>
                <w:sz w:val="13"/>
                <w:szCs w:val="13"/>
                <w:color w:val="auto"/>
              </w:rPr>
              <w:t>2027 Notes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152,250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152,250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26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Borrowings</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559,250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559,250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Arial" w:cs="Arial" w:eastAsia="Arial" w:hAnsi="Arial"/>
                <w:sz w:val="13"/>
                <w:szCs w:val="13"/>
                <w:color w:val="auto"/>
              </w:rPr>
              <w:t>Deferred Incentive Fees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674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2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564,259</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674</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3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1,760</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560,273</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8980" w:type="dxa"/>
            <w:vAlign w:val="bottom"/>
            <w:gridSpan w:val="16"/>
          </w:tcPr>
          <w:p>
            <w:pPr>
              <w:jc w:val="center"/>
              <w:ind w:right="26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Excludes interest payable on borrowings, accrued expenses, and commitments to extend credit to the Company’s portfolio companies.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240" w:type="dxa"/>
            <w:vAlign w:val="bottom"/>
            <w:gridSpan w:val="10"/>
          </w:tcPr>
          <w:p>
            <w:pPr>
              <w:ind w:left="360"/>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Amounts represent future principal repayments and not the carrying value of each liability (refer to</w:t>
            </w:r>
          </w:p>
        </w:tc>
        <w:tc>
          <w:tcPr>
            <w:tcW w:w="1580" w:type="dxa"/>
            <w:vAlign w:val="bottom"/>
            <w:gridSpan w:val="4"/>
          </w:tcPr>
          <w:p>
            <w:pPr>
              <w:jc w:val="right"/>
              <w:ind w:right="114"/>
              <w:spacing w:after="0"/>
              <w:rPr>
                <w:sz w:val="20"/>
                <w:szCs w:val="20"/>
                <w:color w:val="auto"/>
              </w:rPr>
            </w:pPr>
            <w:r>
              <w:rPr>
                <w:rFonts w:ascii="Arial" w:cs="Arial" w:eastAsia="Arial" w:hAnsi="Arial"/>
                <w:sz w:val="13"/>
                <w:szCs w:val="13"/>
                <w:color w:val="auto"/>
              </w:rPr>
              <w:t>“Note 7 – Borrowings”).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196"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Company and RGC are not currently subject to any material legal proceedings, nor, to our knowledge, is any material legal proceeding threatened against us. From time to time, the Company or RGC may be a party to certain legal proceedings in the ordinary course of business, including proceedings relating to the enforcement of our rights under contracts with our portfolio companies. The Company's business is also subject to extensive regulation, which may result in regulatory proceedings against us. While the outcome of any such legal proceedings cannot be predicted with certainty, the Company does not expect that any such proceedings will have a material effect upon our financial condition or results of operations.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40" w:orient="portrait"/>
          <w:cols w:equalWidth="0" w:num="1">
            <w:col w:w="10560"/>
          </w:cols>
          <w:pgMar w:left="660" w:top="562" w:right="680" w:bottom="1440" w:gutter="0" w:footer="0" w:header="0"/>
        </w:sectPr>
      </w:pPr>
    </w:p>
    <w:bookmarkStart w:id="45" w:name="page46"/>
    <w:bookmarkEnd w:id="45"/>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our balance sheet. The availability of such unfunded loan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Company's unfunded loan commitments to provide debt financing to its portfolio companies amounted to $234.3 million and $315.7 million as of</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June 30, 2023 and December 31, 2022, respectively, shown in the table below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w:t>
            </w:r>
          </w:p>
        </w:tc>
      </w:tr>
      <w:tr>
        <w:trPr>
          <w:trHeight w:val="183"/>
        </w:trPr>
        <w:tc>
          <w:tcPr>
            <w:tcW w:w="4040" w:type="dxa"/>
            <w:vAlign w:val="bottom"/>
          </w:tcPr>
          <w:p>
            <w:pPr>
              <w:ind w:left="20"/>
              <w:spacing w:after="0"/>
              <w:rPr>
                <w:sz w:val="20"/>
                <w:szCs w:val="20"/>
                <w:color w:val="auto"/>
              </w:rPr>
            </w:pPr>
            <w:r>
              <w:rPr>
                <w:rFonts w:ascii="Arial" w:cs="Arial" w:eastAsia="Arial" w:hAnsi="Arial"/>
                <w:sz w:val="13"/>
                <w:szCs w:val="13"/>
                <w:b w:val="1"/>
                <w:bCs w:val="1"/>
                <w:color w:val="auto"/>
              </w:rPr>
              <w:t>Portfolio Company</w:t>
            </w:r>
          </w:p>
        </w:tc>
        <w:tc>
          <w:tcPr>
            <w:tcW w:w="2980" w:type="dxa"/>
            <w:vAlign w:val="bottom"/>
          </w:tcPr>
          <w:p>
            <w:pPr>
              <w:jc w:val="center"/>
              <w:ind w:left="34"/>
              <w:spacing w:after="0"/>
              <w:rPr>
                <w:sz w:val="20"/>
                <w:szCs w:val="20"/>
                <w:color w:val="auto"/>
              </w:rPr>
            </w:pPr>
            <w:r>
              <w:rPr>
                <w:rFonts w:ascii="Arial" w:cs="Arial" w:eastAsia="Arial" w:hAnsi="Arial"/>
                <w:sz w:val="13"/>
                <w:szCs w:val="13"/>
                <w:b w:val="1"/>
                <w:bCs w:val="1"/>
                <w:color w:val="auto"/>
              </w:rPr>
              <w:t>Investment Type</w:t>
            </w:r>
          </w:p>
        </w:tc>
        <w:tc>
          <w:tcPr>
            <w:tcW w:w="240" w:type="dxa"/>
            <w:vAlign w:val="bottom"/>
          </w:tcPr>
          <w:p>
            <w:pPr>
              <w:spacing w:after="0"/>
              <w:rPr>
                <w:sz w:val="15"/>
                <w:szCs w:val="15"/>
                <w:color w:val="auto"/>
              </w:rPr>
            </w:pPr>
          </w:p>
        </w:tc>
        <w:tc>
          <w:tcPr>
            <w:tcW w:w="1360" w:type="dxa"/>
            <w:vAlign w:val="bottom"/>
          </w:tcPr>
          <w:p>
            <w:pPr>
              <w:jc w:val="right"/>
              <w:ind w:right="294"/>
              <w:spacing w:after="0"/>
              <w:rPr>
                <w:sz w:val="20"/>
                <w:szCs w:val="20"/>
                <w:color w:val="auto"/>
              </w:rPr>
            </w:pPr>
            <w:r>
              <w:rPr>
                <w:rFonts w:ascii="Arial" w:cs="Arial" w:eastAsia="Arial" w:hAnsi="Arial"/>
                <w:sz w:val="13"/>
                <w:szCs w:val="13"/>
                <w:b w:val="1"/>
                <w:bCs w:val="1"/>
                <w:color w:val="auto"/>
              </w:rPr>
              <w:t>June 30, 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65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0"/>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3PL Central LLC (dba Extensiv)</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jc w:val="right"/>
              <w:ind w:right="74"/>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w:t>
            </w:r>
          </w:p>
        </w:tc>
        <w:tc>
          <w:tcPr>
            <w:tcW w:w="46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CFF0FC"/>
          </w:tcPr>
          <w:p>
            <w:pPr>
              <w:spacing w:after="0"/>
              <w:rPr>
                <w:sz w:val="15"/>
                <w:szCs w:val="15"/>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color w:val="auto"/>
              </w:rPr>
              <w:t>Brivo, Inc.</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16,000</w:t>
            </w:r>
          </w:p>
        </w:tc>
        <w:tc>
          <w:tcPr>
            <w:tcW w:w="80" w:type="dxa"/>
            <w:vAlign w:val="bottom"/>
          </w:tcPr>
          <w:p>
            <w:pPr>
              <w:spacing w:after="0"/>
              <w:rPr>
                <w:sz w:val="15"/>
                <w:szCs w:val="15"/>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CloudPay, Inc.</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CFF0FC"/>
          </w:tcPr>
          <w:p>
            <w:pPr>
              <w:spacing w:after="0"/>
              <w:rPr>
                <w:sz w:val="16"/>
                <w:szCs w:val="16"/>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color w:val="auto"/>
              </w:rPr>
              <w:t>Dtex Systems, Inc.</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5"/>
                <w:szCs w:val="15"/>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EBR Systems, Inc.</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w:t>
            </w:r>
          </w:p>
        </w:tc>
        <w:tc>
          <w:tcPr>
            <w:tcW w:w="80" w:type="dxa"/>
            <w:vAlign w:val="bottom"/>
            <w:shd w:val="clear" w:color="auto" w:fill="CFF0FC"/>
          </w:tcPr>
          <w:p>
            <w:pPr>
              <w:spacing w:after="0"/>
              <w:rPr>
                <w:sz w:val="16"/>
                <w:szCs w:val="16"/>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color w:val="auto"/>
              </w:rPr>
              <w:t>Intellisite Holdings, Inc. (dba Epic IO Technologies, Inc.)</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6,000</w:t>
            </w:r>
          </w:p>
        </w:tc>
        <w:tc>
          <w:tcPr>
            <w:tcW w:w="80" w:type="dxa"/>
            <w:vAlign w:val="bottom"/>
          </w:tcPr>
          <w:p>
            <w:pPr>
              <w:spacing w:after="0"/>
              <w:rPr>
                <w:sz w:val="15"/>
                <w:szCs w:val="15"/>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Interactions Corporation</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80" w:type="dxa"/>
            <w:vAlign w:val="bottom"/>
            <w:shd w:val="clear" w:color="auto" w:fill="CFF0FC"/>
          </w:tcPr>
          <w:p>
            <w:pPr>
              <w:spacing w:after="0"/>
              <w:rPr>
                <w:sz w:val="16"/>
                <w:szCs w:val="16"/>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color w:val="auto"/>
              </w:rPr>
              <w:t>Kin Insurance, Inc.</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11,111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5"/>
                <w:szCs w:val="15"/>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Madison Reed, Inc.</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2,400</w:t>
            </w:r>
          </w:p>
        </w:tc>
        <w:tc>
          <w:tcPr>
            <w:tcW w:w="80" w:type="dxa"/>
            <w:vAlign w:val="bottom"/>
            <w:shd w:val="clear" w:color="auto" w:fill="CFF0FC"/>
          </w:tcPr>
          <w:p>
            <w:pPr>
              <w:spacing w:after="0"/>
              <w:rPr>
                <w:sz w:val="16"/>
                <w:szCs w:val="16"/>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color w:val="auto"/>
              </w:rPr>
              <w:t>Moximed, Inc.</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15,000</w:t>
            </w:r>
          </w:p>
        </w:tc>
        <w:tc>
          <w:tcPr>
            <w:tcW w:w="80" w:type="dxa"/>
            <w:vAlign w:val="bottom"/>
          </w:tcPr>
          <w:p>
            <w:pPr>
              <w:spacing w:after="0"/>
              <w:rPr>
                <w:sz w:val="15"/>
                <w:szCs w:val="15"/>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Nalu Medical, Inc.</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80" w:type="dxa"/>
            <w:vAlign w:val="bottom"/>
            <w:shd w:val="clear" w:color="auto" w:fill="CFF0FC"/>
          </w:tcPr>
          <w:p>
            <w:pPr>
              <w:spacing w:after="0"/>
              <w:rPr>
                <w:sz w:val="16"/>
                <w:szCs w:val="16"/>
                <w:color w:val="auto"/>
              </w:rPr>
            </w:pPr>
          </w:p>
        </w:tc>
      </w:tr>
      <w:tr>
        <w:trPr>
          <w:trHeight w:val="187"/>
        </w:trPr>
        <w:tc>
          <w:tcPr>
            <w:tcW w:w="4040" w:type="dxa"/>
            <w:vAlign w:val="bottom"/>
          </w:tcPr>
          <w:p>
            <w:pPr>
              <w:ind w:left="20"/>
              <w:spacing w:after="0"/>
              <w:rPr>
                <w:sz w:val="20"/>
                <w:szCs w:val="20"/>
                <w:color w:val="auto"/>
              </w:rPr>
            </w:pPr>
            <w:r>
              <w:rPr>
                <w:rFonts w:ascii="Arial" w:cs="Arial" w:eastAsia="Arial" w:hAnsi="Arial"/>
                <w:sz w:val="13"/>
                <w:szCs w:val="13"/>
                <w:color w:val="auto"/>
              </w:rPr>
              <w:t>Revelle Aesthetics, Inc.</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12,500</w:t>
            </w:r>
          </w:p>
        </w:tc>
        <w:tc>
          <w:tcPr>
            <w:tcW w:w="80" w:type="dxa"/>
            <w:vAlign w:val="bottom"/>
          </w:tcPr>
          <w:p>
            <w:pPr>
              <w:spacing w:after="0"/>
              <w:rPr>
                <w:sz w:val="16"/>
                <w:szCs w:val="16"/>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Route 92 Medical, Inc.</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41,564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42,000</w:t>
            </w:r>
          </w:p>
        </w:tc>
        <w:tc>
          <w:tcPr>
            <w:tcW w:w="80" w:type="dxa"/>
            <w:vAlign w:val="bottom"/>
            <w:shd w:val="clear" w:color="auto" w:fill="CFF0FC"/>
          </w:tcPr>
          <w:p>
            <w:pPr>
              <w:spacing w:after="0"/>
              <w:rPr>
                <w:sz w:val="16"/>
                <w:szCs w:val="16"/>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color w:val="auto"/>
              </w:rPr>
              <w:t>SetPoint Medical Corporation</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40,000</w:t>
            </w:r>
          </w:p>
        </w:tc>
        <w:tc>
          <w:tcPr>
            <w:tcW w:w="80" w:type="dxa"/>
            <w:vAlign w:val="bottom"/>
          </w:tcPr>
          <w:p>
            <w:pPr>
              <w:spacing w:after="0"/>
              <w:rPr>
                <w:sz w:val="15"/>
                <w:szCs w:val="15"/>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Skillshare, Inc.</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CFF0FC"/>
          </w:tcPr>
          <w:p>
            <w:pPr>
              <w:spacing w:after="0"/>
              <w:rPr>
                <w:sz w:val="16"/>
                <w:szCs w:val="16"/>
                <w:color w:val="auto"/>
              </w:rPr>
            </w:pPr>
          </w:p>
        </w:tc>
      </w:tr>
      <w:tr>
        <w:trPr>
          <w:trHeight w:val="175"/>
        </w:trPr>
        <w:tc>
          <w:tcPr>
            <w:tcW w:w="4040" w:type="dxa"/>
            <w:vAlign w:val="bottom"/>
          </w:tcPr>
          <w:p>
            <w:pPr>
              <w:ind w:left="20"/>
              <w:spacing w:after="0"/>
              <w:rPr>
                <w:sz w:val="20"/>
                <w:szCs w:val="20"/>
                <w:color w:val="auto"/>
              </w:rPr>
            </w:pPr>
            <w:r>
              <w:rPr>
                <w:rFonts w:ascii="Arial" w:cs="Arial" w:eastAsia="Arial" w:hAnsi="Arial"/>
                <w:sz w:val="13"/>
                <w:szCs w:val="13"/>
                <w:color w:val="auto"/>
              </w:rPr>
              <w:t>Snagajob.com, Inc.</w:t>
            </w:r>
          </w:p>
        </w:tc>
        <w:tc>
          <w:tcPr>
            <w:tcW w:w="2980" w:type="dxa"/>
            <w:vAlign w:val="bottom"/>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6,785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6,785</w:t>
            </w:r>
          </w:p>
        </w:tc>
        <w:tc>
          <w:tcPr>
            <w:tcW w:w="80" w:type="dxa"/>
            <w:vAlign w:val="bottom"/>
          </w:tcPr>
          <w:p>
            <w:pPr>
              <w:spacing w:after="0"/>
              <w:rPr>
                <w:sz w:val="15"/>
                <w:szCs w:val="15"/>
                <w:color w:val="auto"/>
              </w:rPr>
            </w:pPr>
          </w:p>
        </w:tc>
      </w:tr>
      <w:tr>
        <w:trPr>
          <w:trHeight w:val="185"/>
        </w:trPr>
        <w:tc>
          <w:tcPr>
            <w:tcW w:w="4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Synack, Inc.</w:t>
            </w:r>
          </w:p>
        </w:tc>
        <w:tc>
          <w:tcPr>
            <w:tcW w:w="298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Senior Secured Term Loan</w:t>
            </w: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23,480</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w:t>
            </w:r>
          </w:p>
        </w:tc>
        <w:tc>
          <w:tcPr>
            <w:tcW w:w="80" w:type="dxa"/>
            <w:vAlign w:val="bottom"/>
            <w:shd w:val="clear" w:color="auto" w:fill="CFF0FC"/>
          </w:tcPr>
          <w:p>
            <w:pPr>
              <w:spacing w:after="0"/>
              <w:rPr>
                <w:sz w:val="16"/>
                <w:szCs w:val="16"/>
                <w:color w:val="auto"/>
              </w:rPr>
            </w:pPr>
          </w:p>
        </w:tc>
      </w:tr>
      <w:tr>
        <w:trPr>
          <w:trHeight w:val="180"/>
        </w:trPr>
        <w:tc>
          <w:tcPr>
            <w:tcW w:w="4040" w:type="dxa"/>
            <w:vAlign w:val="bottom"/>
          </w:tcPr>
          <w:p>
            <w:pPr>
              <w:ind w:left="20"/>
              <w:spacing w:after="0"/>
              <w:rPr>
                <w:sz w:val="20"/>
                <w:szCs w:val="20"/>
                <w:color w:val="auto"/>
              </w:rPr>
            </w:pPr>
            <w:r>
              <w:rPr>
                <w:rFonts w:ascii="Arial" w:cs="Arial" w:eastAsia="Arial" w:hAnsi="Arial"/>
                <w:sz w:val="13"/>
                <w:szCs w:val="13"/>
                <w:b w:val="1"/>
                <w:bCs w:val="1"/>
                <w:color w:val="auto"/>
              </w:rPr>
              <w:t>Total unused commitments to extend financing</w:t>
            </w:r>
          </w:p>
        </w:tc>
        <w:tc>
          <w:tcPr>
            <w:tcW w:w="2980" w:type="dxa"/>
            <w:vAlign w:val="bottom"/>
          </w:tcPr>
          <w:p>
            <w:pPr>
              <w:spacing w:after="0"/>
              <w:rPr>
                <w:sz w:val="15"/>
                <w:szCs w:val="15"/>
                <w:color w:val="auto"/>
              </w:rPr>
            </w:pPr>
          </w:p>
        </w:tc>
        <w:tc>
          <w:tcPr>
            <w:tcW w:w="24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234,340</w:t>
            </w:r>
          </w:p>
        </w:tc>
        <w:tc>
          <w:tcPr>
            <w:tcW w:w="120" w:type="dxa"/>
            <w:vAlign w:val="bottom"/>
          </w:tcPr>
          <w:p>
            <w:pPr>
              <w:spacing w:after="0"/>
              <w:rPr>
                <w:sz w:val="15"/>
                <w:szCs w:val="15"/>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315,685</w:t>
            </w:r>
          </w:p>
        </w:tc>
        <w:tc>
          <w:tcPr>
            <w:tcW w:w="80" w:type="dxa"/>
            <w:vAlign w:val="bottom"/>
          </w:tcPr>
          <w:p>
            <w:pPr>
              <w:spacing w:after="0"/>
              <w:rPr>
                <w:sz w:val="15"/>
                <w:szCs w:val="15"/>
                <w:color w:val="auto"/>
              </w:rPr>
            </w:pPr>
          </w:p>
        </w:tc>
      </w:tr>
      <w:tr>
        <w:trPr>
          <w:trHeight w:val="20"/>
        </w:trPr>
        <w:tc>
          <w:tcPr>
            <w:tcW w:w="40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40" w:orient="portrait"/>
          <w:cols w:equalWidth="0" w:num="1">
            <w:col w:w="10580"/>
          </w:cols>
          <w:pgMar w:left="660" w:top="562" w:right="660" w:bottom="1440" w:gutter="0" w:footer="0" w:header="0"/>
        </w:sectPr>
      </w:pPr>
    </w:p>
    <w:bookmarkStart w:id="46" w:name="page47"/>
    <w:bookmarkEnd w:id="46"/>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Net Assets</w:t>
      </w:r>
    </w:p>
    <w:p>
      <w:pPr>
        <w:spacing w:after="0" w:line="19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Company has the authority to issue 100,000,000 shares of common stock, $0.01 par value per share. In October 2015, in connection with the Company's formation, the Company issued and sold 1,667 shares of common stock to R. David Spreng, the President and Chief Executive Officer of the Company and Chairman of the Company's Board of Directors, for an aggregate purchase price of $25 thousand.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Private Common Stock Offerings</w:t>
      </w:r>
    </w:p>
    <w:p>
      <w:pPr>
        <w:spacing w:after="0" w:line="196"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73"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Beginning October 15, 2019 and ending September 29, 2021, the Company had completed multiple closings under its second private offering (the "Second Private Offering") and had accepted aggregate capital commitments of $181.7 million. In connection with the Second Private Offering the Company has issued 9,617,379 shares of its common stock for a total purchase price of $144.3 million. Concurrent with the IPO (as defined below), all undrawn commitments under the Second Private Offering were cancelled.</w:t>
      </w:r>
    </w:p>
    <w:p>
      <w:pPr>
        <w:spacing w:after="0" w:line="176" w:lineRule="exact"/>
        <w:rPr>
          <w:sz w:val="20"/>
          <w:szCs w:val="20"/>
          <w:color w:val="auto"/>
        </w:rPr>
      </w:pPr>
    </w:p>
    <w:p>
      <w:pPr>
        <w:jc w:val="both"/>
        <w:ind w:right="260"/>
        <w:spacing w:after="0" w:line="243" w:lineRule="auto"/>
        <w:rPr>
          <w:sz w:val="20"/>
          <w:szCs w:val="20"/>
          <w:color w:val="auto"/>
        </w:rPr>
      </w:pPr>
      <w:r>
        <w:rPr>
          <w:rFonts w:ascii="Arial" w:cs="Arial" w:eastAsia="Arial" w:hAnsi="Arial"/>
          <w:sz w:val="16"/>
          <w:szCs w:val="16"/>
          <w:color w:val="auto"/>
        </w:rPr>
        <w:t>On March 31, 2020 and March 24, 2021, the Company had issued in aggregate 22,564 shares as an additional direct investment by Runway Growth Holdings LLC, an affiliate of RGC, at a per-share price of $15.00 for total proceeds of $0.3 million in a private offering pursuant to an exemption from registration under Regulation D of the Securities Act.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Initial Public Offering</w:t>
      </w:r>
    </w:p>
    <w:p>
      <w:pPr>
        <w:spacing w:after="0" w:line="196"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the Nasdaq Global Select Market LLC on October 21, 2021 under the symbol “RWAY”.</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Program</w:t>
      </w:r>
    </w:p>
    <w:p>
      <w:pPr>
        <w:spacing w:after="0" w:line="19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 xml:space="preserve">On February 24, 2022, the Board of Directors approved a repurchase program (the “Repurchase Program”) under which the Company could have repurchased up to $25.0 million of its outstanding common stock. Under the Repurchase Program, the Company could have repurchased shares at management’s discretion from time to time in open-market transactions, in accordance with all applicable securities laws and regulations. As of June 30, 2023 and December 31, 2022, the Company had repurchased 871,345 shares of the Company's common stock under the </w:t>
      </w:r>
      <w:r>
        <w:rPr>
          <w:rFonts w:ascii="Arial" w:cs="Arial" w:eastAsia="Arial" w:hAnsi="Arial"/>
          <w:sz w:val="14"/>
          <w:szCs w:val="14"/>
          <w:color w:val="404040"/>
        </w:rPr>
        <w:t>Repurchase Program for an</w:t>
      </w:r>
      <w:r>
        <w:rPr>
          <w:rFonts w:ascii="Arial" w:cs="Arial" w:eastAsia="Arial" w:hAnsi="Arial"/>
          <w:sz w:val="14"/>
          <w:szCs w:val="14"/>
          <w:color w:val="auto"/>
        </w:rPr>
        <w:t xml:space="preserve"> </w:t>
      </w:r>
      <w:r>
        <w:rPr>
          <w:rFonts w:ascii="Arial" w:cs="Arial" w:eastAsia="Arial" w:hAnsi="Arial"/>
          <w:sz w:val="14"/>
          <w:szCs w:val="14"/>
          <w:color w:val="404040"/>
        </w:rPr>
        <w:t xml:space="preserve">aggregate purchase price of $10.8 million. </w:t>
      </w:r>
      <w:r>
        <w:rPr>
          <w:rFonts w:ascii="Arial" w:cs="Arial" w:eastAsia="Arial" w:hAnsi="Arial"/>
          <w:sz w:val="14"/>
          <w:szCs w:val="14"/>
          <w:color w:val="000000"/>
        </w:rPr>
        <w:t>The Board of Directors did not renew t</w:t>
      </w:r>
      <w:r>
        <w:rPr>
          <w:rFonts w:ascii="Arial" w:cs="Arial" w:eastAsia="Arial" w:hAnsi="Arial"/>
          <w:sz w:val="14"/>
          <w:szCs w:val="14"/>
          <w:color w:val="404040"/>
        </w:rPr>
        <w:t xml:space="preserve">he Repurchase Program, </w:t>
      </w:r>
      <w:r>
        <w:rPr>
          <w:rFonts w:ascii="Arial" w:cs="Arial" w:eastAsia="Arial" w:hAnsi="Arial"/>
          <w:sz w:val="14"/>
          <w:szCs w:val="14"/>
          <w:color w:val="000000"/>
        </w:rPr>
        <w:t>and it expired on February 24, 2023.</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Reinvestment Plan</w:t>
      </w:r>
    </w:p>
    <w:p>
      <w:pPr>
        <w:spacing w:after="0" w:line="196"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The Company maintains a dividend reinvestment plan for common stockholders (the "Dividend Reinvestment Plan") .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6"/>
          <w:szCs w:val="16"/>
          <w:color w:val="auto"/>
        </w:rPr>
        <w:t>During the three and six months ended June 30, 2023, the Company purchased 63,291 and 127,505 shares of common stock in the open market under the Dividend Reinvestment Plan for a total of $0.7 million and $1.5 million, respectively. During the three and six months ended June 30, 2022, the Company purchased 167,614 and 679,836 shares, respectively, of common stock in the open market and under the Dividend Reinvestment Plan for a total of $2.2 million and $9.6 million, respectively.</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62" w:right="740" w:bottom="1440" w:gutter="0" w:footer="0" w:header="0"/>
        </w:sectPr>
      </w:pPr>
    </w:p>
    <w:bookmarkStart w:id="47" w:name="page48"/>
    <w:bookmarkEnd w:id="47"/>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Distributions</w:t>
      </w:r>
    </w:p>
    <w:p>
      <w:pPr>
        <w:spacing w:after="0" w:line="19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spacing w:after="0" w:line="173"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For the three and six months ended June 30, 2023, the Company declared and paid dividends in the amount of $18.2 million and $36.5 million, respectively, of which $17.5 million and $34.9 million, respectively, was distributed in cash and the remainder distributed in shares to stockholders pursuant to the Company’s Dividend Reinvestment Plan. For the three and six months ended June 30, 2022, the Company declared dividends in the amount of $12.4 million, and $23.6 million of which $10.2 million and $13.9 million, respectively, was distributed in cash and the remainder distributed in shares to stockholders pursuant to the Company’s Dividend Reinvestment Plan.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summarized the distributions declared and paid since inception through June 30, 2023:</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2300" w:type="dxa"/>
            <w:vAlign w:val="bottom"/>
          </w:tcPr>
          <w:p>
            <w:pPr>
              <w:jc w:val="center"/>
              <w:ind w:right="234"/>
              <w:spacing w:after="0"/>
              <w:rPr>
                <w:sz w:val="20"/>
                <w:szCs w:val="20"/>
                <w:color w:val="auto"/>
              </w:rPr>
            </w:pPr>
            <w:r>
              <w:rPr>
                <w:rFonts w:ascii="Arial" w:cs="Arial" w:eastAsia="Arial" w:hAnsi="Arial"/>
                <w:sz w:val="13"/>
                <w:szCs w:val="13"/>
                <w:b w:val="1"/>
                <w:bCs w:val="1"/>
                <w:color w:val="auto"/>
              </w:rPr>
              <w:t>Declaration Date</w:t>
            </w:r>
          </w:p>
        </w:tc>
        <w:tc>
          <w:tcPr>
            <w:tcW w:w="2100" w:type="dxa"/>
            <w:vAlign w:val="bottom"/>
          </w:tcPr>
          <w:p>
            <w:pPr>
              <w:jc w:val="center"/>
              <w:ind w:left="14"/>
              <w:spacing w:after="0"/>
              <w:rPr>
                <w:sz w:val="20"/>
                <w:szCs w:val="20"/>
                <w:color w:val="auto"/>
              </w:rPr>
            </w:pPr>
            <w:r>
              <w:rPr>
                <w:rFonts w:ascii="Arial" w:cs="Arial" w:eastAsia="Arial" w:hAnsi="Arial"/>
                <w:sz w:val="13"/>
                <w:szCs w:val="13"/>
                <w:b w:val="1"/>
                <w:bCs w:val="1"/>
                <w:color w:val="auto"/>
                <w:w w:val="98"/>
              </w:rPr>
              <w:t>Type</w:t>
            </w:r>
          </w:p>
        </w:tc>
        <w:tc>
          <w:tcPr>
            <w:tcW w:w="2300" w:type="dxa"/>
            <w:vAlign w:val="bottom"/>
          </w:tcPr>
          <w:p>
            <w:pPr>
              <w:jc w:val="center"/>
              <w:ind w:left="54"/>
              <w:spacing w:after="0"/>
              <w:rPr>
                <w:sz w:val="20"/>
                <w:szCs w:val="20"/>
                <w:color w:val="auto"/>
              </w:rPr>
            </w:pPr>
            <w:r>
              <w:rPr>
                <w:rFonts w:ascii="Arial" w:cs="Arial" w:eastAsia="Arial" w:hAnsi="Arial"/>
                <w:sz w:val="13"/>
                <w:szCs w:val="13"/>
                <w:b w:val="1"/>
                <w:bCs w:val="1"/>
                <w:color w:val="auto"/>
              </w:rPr>
              <w:t>Record Date</w:t>
            </w:r>
          </w:p>
        </w:tc>
        <w:tc>
          <w:tcPr>
            <w:tcW w:w="1940" w:type="dxa"/>
            <w:vAlign w:val="bottom"/>
          </w:tcPr>
          <w:p>
            <w:pPr>
              <w:ind w:left="640"/>
              <w:spacing w:after="0"/>
              <w:rPr>
                <w:sz w:val="20"/>
                <w:szCs w:val="20"/>
                <w:color w:val="auto"/>
              </w:rPr>
            </w:pPr>
            <w:r>
              <w:rPr>
                <w:rFonts w:ascii="Arial" w:cs="Arial" w:eastAsia="Arial" w:hAnsi="Arial"/>
                <w:sz w:val="13"/>
                <w:szCs w:val="13"/>
                <w:b w:val="1"/>
                <w:bCs w:val="1"/>
                <w:color w:val="auto"/>
              </w:rPr>
              <w:t>Payment Date</w:t>
            </w:r>
          </w:p>
        </w:tc>
        <w:tc>
          <w:tcPr>
            <w:tcW w:w="160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Amount per Share</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rPr>
              <w:t>May 3, 2018</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34"/>
              <w:spacing w:after="0"/>
              <w:rPr>
                <w:sz w:val="20"/>
                <w:szCs w:val="20"/>
                <w:color w:val="auto"/>
              </w:rPr>
            </w:pPr>
            <w:r>
              <w:rPr>
                <w:rFonts w:ascii="Arial" w:cs="Arial" w:eastAsia="Arial" w:hAnsi="Arial"/>
                <w:sz w:val="13"/>
                <w:szCs w:val="13"/>
                <w:color w:val="auto"/>
              </w:rPr>
              <w:t>May 15, 2018</w:t>
            </w:r>
          </w:p>
        </w:tc>
        <w:tc>
          <w:tcPr>
            <w:tcW w:w="1940" w:type="dxa"/>
            <w:vAlign w:val="bottom"/>
          </w:tcPr>
          <w:p>
            <w:pPr>
              <w:jc w:val="center"/>
              <w:ind w:left="154"/>
              <w:spacing w:after="0"/>
              <w:rPr>
                <w:sz w:val="20"/>
                <w:szCs w:val="20"/>
                <w:color w:val="auto"/>
              </w:rPr>
            </w:pPr>
            <w:r>
              <w:rPr>
                <w:rFonts w:ascii="Arial" w:cs="Arial" w:eastAsia="Arial" w:hAnsi="Arial"/>
                <w:sz w:val="13"/>
                <w:szCs w:val="13"/>
                <w:color w:val="auto"/>
              </w:rPr>
              <w:t>May 31, 2018</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14"/>
              <w:spacing w:after="0"/>
              <w:rPr>
                <w:sz w:val="20"/>
                <w:szCs w:val="20"/>
                <w:color w:val="auto"/>
              </w:rPr>
            </w:pPr>
            <w:r>
              <w:rPr>
                <w:rFonts w:ascii="Arial" w:cs="Arial" w:eastAsia="Arial" w:hAnsi="Arial"/>
                <w:sz w:val="13"/>
                <w:szCs w:val="13"/>
                <w:color w:val="auto"/>
              </w:rPr>
              <w:t>July 26, 2018</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August 15, 2018</w:t>
            </w:r>
          </w:p>
        </w:tc>
        <w:tc>
          <w:tcPr>
            <w:tcW w:w="194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August 31, 2018</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rPr>
              <w:t>November 1, 2018</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rPr>
              <w:t>October 31, 2018</w:t>
            </w:r>
          </w:p>
        </w:tc>
        <w:tc>
          <w:tcPr>
            <w:tcW w:w="1940" w:type="dxa"/>
            <w:vAlign w:val="bottom"/>
          </w:tcPr>
          <w:p>
            <w:pPr>
              <w:jc w:val="center"/>
              <w:ind w:left="174"/>
              <w:spacing w:after="0"/>
              <w:rPr>
                <w:sz w:val="20"/>
                <w:szCs w:val="20"/>
                <w:color w:val="auto"/>
              </w:rPr>
            </w:pPr>
            <w:r>
              <w:rPr>
                <w:rFonts w:ascii="Arial" w:cs="Arial" w:eastAsia="Arial" w:hAnsi="Arial"/>
                <w:sz w:val="13"/>
                <w:szCs w:val="13"/>
                <w:color w:val="auto"/>
                <w:w w:val="99"/>
              </w:rPr>
              <w:t>November 15, 2018</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0.35</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March 22, 2019</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w w:val="99"/>
              </w:rPr>
              <w:t>March 22, 2019</w:t>
            </w: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3"/>
                <w:szCs w:val="13"/>
                <w:color w:val="auto"/>
                <w:w w:val="99"/>
              </w:rPr>
              <w:t>March 26, 2019</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rPr>
              <w:t>May 2, 2019</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rPr>
              <w:t>May 7, 2019</w:t>
            </w:r>
          </w:p>
        </w:tc>
        <w:tc>
          <w:tcPr>
            <w:tcW w:w="1940" w:type="dxa"/>
            <w:vAlign w:val="bottom"/>
          </w:tcPr>
          <w:p>
            <w:pPr>
              <w:jc w:val="center"/>
              <w:ind w:left="154"/>
              <w:spacing w:after="0"/>
              <w:rPr>
                <w:sz w:val="20"/>
                <w:szCs w:val="20"/>
                <w:color w:val="auto"/>
              </w:rPr>
            </w:pPr>
            <w:r>
              <w:rPr>
                <w:rFonts w:ascii="Arial" w:cs="Arial" w:eastAsia="Arial" w:hAnsi="Arial"/>
                <w:sz w:val="13"/>
                <w:szCs w:val="13"/>
                <w:color w:val="auto"/>
              </w:rPr>
              <w:t>May 21, 2019</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0.45</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May 2, 2019</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May 31, 2019</w:t>
            </w: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3"/>
                <w:szCs w:val="13"/>
                <w:color w:val="auto"/>
              </w:rPr>
              <w:t>July 16, 2019</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0.46</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14"/>
              <w:spacing w:after="0"/>
              <w:rPr>
                <w:sz w:val="20"/>
                <w:szCs w:val="20"/>
                <w:color w:val="auto"/>
              </w:rPr>
            </w:pPr>
            <w:r>
              <w:rPr>
                <w:rFonts w:ascii="Arial" w:cs="Arial" w:eastAsia="Arial" w:hAnsi="Arial"/>
                <w:sz w:val="13"/>
                <w:szCs w:val="13"/>
                <w:color w:val="auto"/>
              </w:rPr>
              <w:t>July 30, 2019</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rPr>
              <w:t>August 5, 2019</w:t>
            </w:r>
          </w:p>
        </w:tc>
        <w:tc>
          <w:tcPr>
            <w:tcW w:w="1940" w:type="dxa"/>
            <w:vAlign w:val="bottom"/>
          </w:tcPr>
          <w:p>
            <w:pPr>
              <w:jc w:val="center"/>
              <w:ind w:left="154"/>
              <w:spacing w:after="0"/>
              <w:rPr>
                <w:sz w:val="20"/>
                <w:szCs w:val="20"/>
                <w:color w:val="auto"/>
              </w:rPr>
            </w:pPr>
            <w:r>
              <w:rPr>
                <w:rFonts w:ascii="Arial" w:cs="Arial" w:eastAsia="Arial" w:hAnsi="Arial"/>
                <w:sz w:val="13"/>
                <w:szCs w:val="13"/>
                <w:color w:val="auto"/>
              </w:rPr>
              <w:t>August 26, 2019</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0.45</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September 27, 2019</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September 30, 2019</w:t>
            </w: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3"/>
                <w:szCs w:val="13"/>
                <w:color w:val="auto"/>
                <w:w w:val="99"/>
              </w:rPr>
              <w:t>November 12, 2019</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0.04</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rPr>
              <w:t>December 9, 2019</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w w:val="99"/>
              </w:rPr>
              <w:t>December 10, 2019</w:t>
            </w:r>
          </w:p>
        </w:tc>
        <w:tc>
          <w:tcPr>
            <w:tcW w:w="1940" w:type="dxa"/>
            <w:vAlign w:val="bottom"/>
          </w:tcPr>
          <w:p>
            <w:pPr>
              <w:jc w:val="center"/>
              <w:ind w:left="174"/>
              <w:spacing w:after="0"/>
              <w:rPr>
                <w:sz w:val="20"/>
                <w:szCs w:val="20"/>
                <w:color w:val="auto"/>
              </w:rPr>
            </w:pPr>
            <w:r>
              <w:rPr>
                <w:rFonts w:ascii="Arial" w:cs="Arial" w:eastAsia="Arial" w:hAnsi="Arial"/>
                <w:sz w:val="13"/>
                <w:szCs w:val="13"/>
                <w:color w:val="auto"/>
                <w:w w:val="99"/>
              </w:rPr>
              <w:t>December 23, 2019</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March 5, 2020</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March 6, 2020</w:t>
            </w: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3"/>
                <w:szCs w:val="13"/>
                <w:color w:val="auto"/>
                <w:w w:val="99"/>
              </w:rPr>
              <w:t>March 20, 2020</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rPr>
              <w:t>May 7, 2020</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rPr>
              <w:t>May 8, 2020</w:t>
            </w:r>
          </w:p>
        </w:tc>
        <w:tc>
          <w:tcPr>
            <w:tcW w:w="1940" w:type="dxa"/>
            <w:vAlign w:val="bottom"/>
          </w:tcPr>
          <w:p>
            <w:pPr>
              <w:jc w:val="center"/>
              <w:ind w:left="154"/>
              <w:spacing w:after="0"/>
              <w:rPr>
                <w:sz w:val="20"/>
                <w:szCs w:val="20"/>
                <w:color w:val="auto"/>
              </w:rPr>
            </w:pPr>
            <w:r>
              <w:rPr>
                <w:rFonts w:ascii="Arial" w:cs="Arial" w:eastAsia="Arial" w:hAnsi="Arial"/>
                <w:sz w:val="13"/>
                <w:szCs w:val="13"/>
                <w:color w:val="auto"/>
              </w:rPr>
              <w:t>May 21, 2020</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0.35</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August 5, 2020</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August 6, 2020</w:t>
            </w:r>
          </w:p>
        </w:tc>
        <w:tc>
          <w:tcPr>
            <w:tcW w:w="194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August 20, 2020</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0.36</w:t>
            </w:r>
          </w:p>
        </w:tc>
        <w:tc>
          <w:tcPr>
            <w:tcW w:w="0" w:type="dxa"/>
            <w:vAlign w:val="bottom"/>
          </w:tcPr>
          <w:p>
            <w:pPr>
              <w:spacing w:after="0"/>
              <w:rPr>
                <w:sz w:val="1"/>
                <w:szCs w:val="1"/>
                <w:color w:val="auto"/>
              </w:rPr>
            </w:pPr>
          </w:p>
        </w:tc>
      </w:tr>
      <w:tr>
        <w:trPr>
          <w:trHeight w:val="170"/>
        </w:trPr>
        <w:tc>
          <w:tcPr>
            <w:tcW w:w="2300" w:type="dxa"/>
            <w:vAlign w:val="bottom"/>
            <w:vMerge w:val="restart"/>
          </w:tcPr>
          <w:p>
            <w:pPr>
              <w:jc w:val="center"/>
              <w:ind w:right="214"/>
              <w:spacing w:after="0"/>
              <w:rPr>
                <w:sz w:val="20"/>
                <w:szCs w:val="20"/>
                <w:color w:val="auto"/>
              </w:rPr>
            </w:pPr>
            <w:r>
              <w:rPr>
                <w:rFonts w:ascii="Arial" w:cs="Arial" w:eastAsia="Arial" w:hAnsi="Arial"/>
                <w:sz w:val="13"/>
                <w:szCs w:val="13"/>
                <w:color w:val="auto"/>
              </w:rPr>
              <w:t>October 1, 2020</w:t>
            </w:r>
          </w:p>
        </w:tc>
        <w:tc>
          <w:tcPr>
            <w:tcW w:w="2100" w:type="dxa"/>
            <w:vAlign w:val="bottom"/>
            <w:vMerge w:val="restart"/>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vMerge w:val="restart"/>
          </w:tcPr>
          <w:p>
            <w:pPr>
              <w:jc w:val="center"/>
              <w:ind w:left="54"/>
              <w:spacing w:after="0"/>
              <w:rPr>
                <w:sz w:val="20"/>
                <w:szCs w:val="20"/>
                <w:color w:val="auto"/>
              </w:rPr>
            </w:pPr>
            <w:r>
              <w:rPr>
                <w:rFonts w:ascii="Arial" w:cs="Arial" w:eastAsia="Arial" w:hAnsi="Arial"/>
                <w:sz w:val="13"/>
                <w:szCs w:val="13"/>
                <w:color w:val="auto"/>
              </w:rPr>
              <w:t>October 1, 2020</w:t>
            </w:r>
          </w:p>
        </w:tc>
        <w:tc>
          <w:tcPr>
            <w:tcW w:w="1940" w:type="dxa"/>
            <w:vAlign w:val="bottom"/>
            <w:vMerge w:val="restart"/>
          </w:tcPr>
          <w:p>
            <w:pPr>
              <w:jc w:val="center"/>
              <w:ind w:left="174"/>
              <w:spacing w:after="0"/>
              <w:rPr>
                <w:sz w:val="20"/>
                <w:szCs w:val="20"/>
                <w:color w:val="auto"/>
              </w:rPr>
            </w:pPr>
            <w:r>
              <w:rPr>
                <w:rFonts w:ascii="Arial" w:cs="Arial" w:eastAsia="Arial" w:hAnsi="Arial"/>
                <w:sz w:val="13"/>
                <w:szCs w:val="13"/>
                <w:color w:val="auto"/>
                <w:w w:val="99"/>
              </w:rPr>
              <w:t>November 12, 2020</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89"/>
        </w:trPr>
        <w:tc>
          <w:tcPr>
            <w:tcW w:w="2300" w:type="dxa"/>
            <w:vAlign w:val="bottom"/>
            <w:vMerge w:val="continue"/>
          </w:tcPr>
          <w:p>
            <w:pPr>
              <w:spacing w:after="0"/>
              <w:rPr>
                <w:sz w:val="7"/>
                <w:szCs w:val="7"/>
                <w:color w:val="auto"/>
              </w:rPr>
            </w:pPr>
          </w:p>
        </w:tc>
        <w:tc>
          <w:tcPr>
            <w:tcW w:w="2100" w:type="dxa"/>
            <w:vAlign w:val="bottom"/>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March 4, 2021</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March 5, 2021</w:t>
            </w: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3"/>
                <w:szCs w:val="13"/>
                <w:color w:val="auto"/>
                <w:w w:val="99"/>
              </w:rPr>
              <w:t>March 19, 2021</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w w:val="99"/>
              </w:rPr>
              <w:t>April 29, 2021</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rPr>
              <w:t>April 30, 2021</w:t>
            </w:r>
          </w:p>
        </w:tc>
        <w:tc>
          <w:tcPr>
            <w:tcW w:w="1940" w:type="dxa"/>
            <w:vAlign w:val="bottom"/>
          </w:tcPr>
          <w:p>
            <w:pPr>
              <w:jc w:val="center"/>
              <w:ind w:left="154"/>
              <w:spacing w:after="0"/>
              <w:rPr>
                <w:sz w:val="20"/>
                <w:szCs w:val="20"/>
                <w:color w:val="auto"/>
              </w:rPr>
            </w:pPr>
            <w:r>
              <w:rPr>
                <w:rFonts w:ascii="Arial" w:cs="Arial" w:eastAsia="Arial" w:hAnsi="Arial"/>
                <w:sz w:val="13"/>
                <w:szCs w:val="13"/>
                <w:color w:val="auto"/>
              </w:rPr>
              <w:t>May 13, 2021</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0.37</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14"/>
              <w:spacing w:after="0"/>
              <w:rPr>
                <w:sz w:val="20"/>
                <w:szCs w:val="20"/>
                <w:color w:val="auto"/>
              </w:rPr>
            </w:pPr>
            <w:r>
              <w:rPr>
                <w:rFonts w:ascii="Arial" w:cs="Arial" w:eastAsia="Arial" w:hAnsi="Arial"/>
                <w:sz w:val="13"/>
                <w:szCs w:val="13"/>
                <w:color w:val="auto"/>
              </w:rPr>
              <w:t>July 19, 2021</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July 20, 2021</w:t>
            </w:r>
          </w:p>
        </w:tc>
        <w:tc>
          <w:tcPr>
            <w:tcW w:w="194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August 12, 2021</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0.34</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14"/>
              <w:spacing w:after="0"/>
              <w:rPr>
                <w:sz w:val="20"/>
                <w:szCs w:val="20"/>
                <w:color w:val="auto"/>
              </w:rPr>
            </w:pPr>
            <w:r>
              <w:rPr>
                <w:rFonts w:ascii="Arial" w:cs="Arial" w:eastAsia="Arial" w:hAnsi="Arial"/>
                <w:sz w:val="13"/>
                <w:szCs w:val="13"/>
                <w:color w:val="auto"/>
              </w:rPr>
              <w:t>October 28, 2021</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rPr>
              <w:t>November 8, 2021</w:t>
            </w:r>
          </w:p>
        </w:tc>
        <w:tc>
          <w:tcPr>
            <w:tcW w:w="1940" w:type="dxa"/>
            <w:vAlign w:val="bottom"/>
          </w:tcPr>
          <w:p>
            <w:pPr>
              <w:jc w:val="center"/>
              <w:ind w:left="174"/>
              <w:spacing w:after="0"/>
              <w:rPr>
                <w:sz w:val="20"/>
                <w:szCs w:val="20"/>
                <w:color w:val="auto"/>
              </w:rPr>
            </w:pPr>
            <w:r>
              <w:rPr>
                <w:rFonts w:ascii="Arial" w:cs="Arial" w:eastAsia="Arial" w:hAnsi="Arial"/>
                <w:sz w:val="13"/>
                <w:szCs w:val="13"/>
                <w:color w:val="auto"/>
                <w:w w:val="99"/>
              </w:rPr>
              <w:t>November 22, 2021</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February 24, 2022</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March 8, 2022</w:t>
            </w: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3"/>
                <w:szCs w:val="13"/>
                <w:color w:val="auto"/>
                <w:w w:val="99"/>
              </w:rPr>
              <w:t>March 22, 2022</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w w:val="99"/>
              </w:rPr>
              <w:t>April 28, 2022</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tcPr>
          <w:p>
            <w:pPr>
              <w:jc w:val="center"/>
              <w:ind w:left="34"/>
              <w:spacing w:after="0"/>
              <w:rPr>
                <w:sz w:val="20"/>
                <w:szCs w:val="20"/>
                <w:color w:val="auto"/>
              </w:rPr>
            </w:pPr>
            <w:r>
              <w:rPr>
                <w:rFonts w:ascii="Arial" w:cs="Arial" w:eastAsia="Arial" w:hAnsi="Arial"/>
                <w:sz w:val="13"/>
                <w:szCs w:val="13"/>
                <w:color w:val="auto"/>
              </w:rPr>
              <w:t>May 10, 2022</w:t>
            </w:r>
          </w:p>
        </w:tc>
        <w:tc>
          <w:tcPr>
            <w:tcW w:w="1940" w:type="dxa"/>
            <w:vAlign w:val="bottom"/>
          </w:tcPr>
          <w:p>
            <w:pPr>
              <w:jc w:val="center"/>
              <w:ind w:left="154"/>
              <w:spacing w:after="0"/>
              <w:rPr>
                <w:sz w:val="20"/>
                <w:szCs w:val="20"/>
                <w:color w:val="auto"/>
              </w:rPr>
            </w:pPr>
            <w:r>
              <w:rPr>
                <w:rFonts w:ascii="Arial" w:cs="Arial" w:eastAsia="Arial" w:hAnsi="Arial"/>
                <w:sz w:val="13"/>
                <w:szCs w:val="13"/>
                <w:color w:val="auto"/>
              </w:rPr>
              <w:t>May 24, 2022</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0.30</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14"/>
              <w:spacing w:after="0"/>
              <w:rPr>
                <w:sz w:val="20"/>
                <w:szCs w:val="20"/>
                <w:color w:val="auto"/>
              </w:rPr>
            </w:pPr>
            <w:r>
              <w:rPr>
                <w:rFonts w:ascii="Arial" w:cs="Arial" w:eastAsia="Arial" w:hAnsi="Arial"/>
                <w:sz w:val="13"/>
                <w:szCs w:val="13"/>
                <w:color w:val="auto"/>
              </w:rPr>
              <w:t>July 28, 2022</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August 9, 2022</w:t>
            </w:r>
          </w:p>
        </w:tc>
        <w:tc>
          <w:tcPr>
            <w:tcW w:w="194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August 23, 2022</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0.33</w:t>
            </w:r>
          </w:p>
        </w:tc>
        <w:tc>
          <w:tcPr>
            <w:tcW w:w="0" w:type="dxa"/>
            <w:vAlign w:val="bottom"/>
          </w:tcPr>
          <w:p>
            <w:pPr>
              <w:spacing w:after="0"/>
              <w:rPr>
                <w:sz w:val="1"/>
                <w:szCs w:val="1"/>
                <w:color w:val="auto"/>
              </w:rPr>
            </w:pPr>
          </w:p>
        </w:tc>
      </w:tr>
      <w:tr>
        <w:trPr>
          <w:trHeight w:val="170"/>
        </w:trPr>
        <w:tc>
          <w:tcPr>
            <w:tcW w:w="2300" w:type="dxa"/>
            <w:vAlign w:val="bottom"/>
            <w:vMerge w:val="restart"/>
          </w:tcPr>
          <w:p>
            <w:pPr>
              <w:jc w:val="center"/>
              <w:ind w:right="214"/>
              <w:spacing w:after="0"/>
              <w:rPr>
                <w:sz w:val="20"/>
                <w:szCs w:val="20"/>
                <w:color w:val="auto"/>
              </w:rPr>
            </w:pPr>
            <w:r>
              <w:rPr>
                <w:rFonts w:ascii="Arial" w:cs="Arial" w:eastAsia="Arial" w:hAnsi="Arial"/>
                <w:sz w:val="13"/>
                <w:szCs w:val="13"/>
                <w:color w:val="auto"/>
              </w:rPr>
              <w:t>October 27, 2022</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vMerge w:val="restart"/>
          </w:tcPr>
          <w:p>
            <w:pPr>
              <w:jc w:val="center"/>
              <w:ind w:left="54"/>
              <w:spacing w:after="0"/>
              <w:rPr>
                <w:sz w:val="20"/>
                <w:szCs w:val="20"/>
                <w:color w:val="auto"/>
              </w:rPr>
            </w:pPr>
            <w:r>
              <w:rPr>
                <w:rFonts w:ascii="Arial" w:cs="Arial" w:eastAsia="Arial" w:hAnsi="Arial"/>
                <w:sz w:val="13"/>
                <w:szCs w:val="13"/>
                <w:color w:val="auto"/>
              </w:rPr>
              <w:t>November 8, 2022</w:t>
            </w:r>
          </w:p>
        </w:tc>
        <w:tc>
          <w:tcPr>
            <w:tcW w:w="1940" w:type="dxa"/>
            <w:vAlign w:val="bottom"/>
            <w:vMerge w:val="restart"/>
          </w:tcPr>
          <w:p>
            <w:pPr>
              <w:jc w:val="center"/>
              <w:ind w:left="174"/>
              <w:spacing w:after="0"/>
              <w:rPr>
                <w:sz w:val="20"/>
                <w:szCs w:val="20"/>
                <w:color w:val="auto"/>
              </w:rPr>
            </w:pPr>
            <w:r>
              <w:rPr>
                <w:rFonts w:ascii="Arial" w:cs="Arial" w:eastAsia="Arial" w:hAnsi="Arial"/>
                <w:sz w:val="13"/>
                <w:szCs w:val="13"/>
                <w:color w:val="auto"/>
                <w:w w:val="99"/>
              </w:rPr>
              <w:t>November 22, 2022</w:t>
            </w:r>
          </w:p>
        </w:tc>
        <w:tc>
          <w:tcPr>
            <w:tcW w:w="800" w:type="dxa"/>
            <w:vAlign w:val="bottom"/>
            <w:vMerge w:val="restart"/>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34"/>
              <w:spacing w:after="0"/>
              <w:rPr>
                <w:sz w:val="20"/>
                <w:szCs w:val="20"/>
                <w:color w:val="auto"/>
              </w:rPr>
            </w:pPr>
            <w:r>
              <w:rPr>
                <w:rFonts w:ascii="Arial" w:cs="Arial" w:eastAsia="Arial" w:hAnsi="Arial"/>
                <w:sz w:val="13"/>
                <w:szCs w:val="13"/>
                <w:color w:val="auto"/>
              </w:rPr>
              <w:t>0.36</w:t>
            </w:r>
          </w:p>
        </w:tc>
        <w:tc>
          <w:tcPr>
            <w:tcW w:w="0" w:type="dxa"/>
            <w:vAlign w:val="bottom"/>
          </w:tcPr>
          <w:p>
            <w:pPr>
              <w:spacing w:after="0"/>
              <w:rPr>
                <w:sz w:val="1"/>
                <w:szCs w:val="1"/>
                <w:color w:val="auto"/>
              </w:rPr>
            </w:pPr>
          </w:p>
        </w:tc>
      </w:tr>
      <w:tr>
        <w:trPr>
          <w:trHeight w:val="149"/>
        </w:trPr>
        <w:tc>
          <w:tcPr>
            <w:tcW w:w="230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February 23, 2023</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54"/>
              <w:spacing w:after="0"/>
              <w:rPr>
                <w:sz w:val="20"/>
                <w:szCs w:val="20"/>
                <w:color w:val="auto"/>
              </w:rPr>
            </w:pPr>
            <w:r>
              <w:rPr>
                <w:rFonts w:ascii="Arial" w:cs="Arial" w:eastAsia="Arial" w:hAnsi="Arial"/>
                <w:sz w:val="13"/>
                <w:szCs w:val="13"/>
                <w:color w:val="auto"/>
              </w:rPr>
              <w:t>March 7, 2023</w:t>
            </w:r>
          </w:p>
        </w:tc>
        <w:tc>
          <w:tcPr>
            <w:tcW w:w="1940" w:type="dxa"/>
            <w:vAlign w:val="bottom"/>
            <w:shd w:val="clear" w:color="auto" w:fill="CFF0FC"/>
          </w:tcPr>
          <w:p>
            <w:pPr>
              <w:jc w:val="center"/>
              <w:ind w:left="174"/>
              <w:spacing w:after="0"/>
              <w:rPr>
                <w:sz w:val="20"/>
                <w:szCs w:val="20"/>
                <w:color w:val="auto"/>
              </w:rPr>
            </w:pPr>
            <w:r>
              <w:rPr>
                <w:rFonts w:ascii="Arial" w:cs="Arial" w:eastAsia="Arial" w:hAnsi="Arial"/>
                <w:sz w:val="13"/>
                <w:szCs w:val="13"/>
                <w:color w:val="auto"/>
                <w:w w:val="99"/>
              </w:rPr>
              <w:t>March 21, 2023</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75"/>
        </w:trPr>
        <w:tc>
          <w:tcPr>
            <w:tcW w:w="2300" w:type="dxa"/>
            <w:vAlign w:val="bottom"/>
          </w:tcPr>
          <w:p>
            <w:pPr>
              <w:jc w:val="center"/>
              <w:ind w:right="234"/>
              <w:spacing w:after="0"/>
              <w:rPr>
                <w:sz w:val="20"/>
                <w:szCs w:val="20"/>
                <w:color w:val="auto"/>
              </w:rPr>
            </w:pPr>
            <w:r>
              <w:rPr>
                <w:rFonts w:ascii="Arial" w:cs="Arial" w:eastAsia="Arial" w:hAnsi="Arial"/>
                <w:sz w:val="13"/>
                <w:szCs w:val="13"/>
                <w:color w:val="auto"/>
              </w:rPr>
              <w:t>February 23, 2023</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Supplemental</w:t>
            </w:r>
          </w:p>
        </w:tc>
        <w:tc>
          <w:tcPr>
            <w:tcW w:w="2300" w:type="dxa"/>
            <w:vAlign w:val="bottom"/>
          </w:tcPr>
          <w:p>
            <w:pPr>
              <w:jc w:val="center"/>
              <w:ind w:left="54"/>
              <w:spacing w:after="0"/>
              <w:rPr>
                <w:sz w:val="20"/>
                <w:szCs w:val="20"/>
                <w:color w:val="auto"/>
              </w:rPr>
            </w:pPr>
            <w:r>
              <w:rPr>
                <w:rFonts w:ascii="Arial" w:cs="Arial" w:eastAsia="Arial" w:hAnsi="Arial"/>
                <w:sz w:val="13"/>
                <w:szCs w:val="13"/>
                <w:color w:val="auto"/>
              </w:rPr>
              <w:t>March 7, 2023</w:t>
            </w:r>
          </w:p>
        </w:tc>
        <w:tc>
          <w:tcPr>
            <w:tcW w:w="1940" w:type="dxa"/>
            <w:vAlign w:val="bottom"/>
          </w:tcPr>
          <w:p>
            <w:pPr>
              <w:jc w:val="center"/>
              <w:ind w:left="174"/>
              <w:spacing w:after="0"/>
              <w:rPr>
                <w:sz w:val="20"/>
                <w:szCs w:val="20"/>
                <w:color w:val="auto"/>
              </w:rPr>
            </w:pPr>
            <w:r>
              <w:rPr>
                <w:rFonts w:ascii="Arial" w:cs="Arial" w:eastAsia="Arial" w:hAnsi="Arial"/>
                <w:sz w:val="13"/>
                <w:szCs w:val="13"/>
                <w:color w:val="auto"/>
                <w:w w:val="99"/>
              </w:rPr>
              <w:t>March 21, 2023</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r>
        <w:trPr>
          <w:trHeight w:val="185"/>
        </w:trPr>
        <w:tc>
          <w:tcPr>
            <w:tcW w:w="2300" w:type="dxa"/>
            <w:vAlign w:val="bottom"/>
            <w:shd w:val="clear" w:color="auto" w:fill="CFF0FC"/>
          </w:tcPr>
          <w:p>
            <w:pPr>
              <w:jc w:val="center"/>
              <w:ind w:right="234"/>
              <w:spacing w:after="0"/>
              <w:rPr>
                <w:sz w:val="20"/>
                <w:szCs w:val="20"/>
                <w:color w:val="auto"/>
              </w:rPr>
            </w:pPr>
            <w:r>
              <w:rPr>
                <w:rFonts w:ascii="Arial" w:cs="Arial" w:eastAsia="Arial" w:hAnsi="Arial"/>
                <w:sz w:val="13"/>
                <w:szCs w:val="13"/>
                <w:color w:val="auto"/>
              </w:rPr>
              <w:t>May 2, 2023</w:t>
            </w:r>
          </w:p>
        </w:tc>
        <w:tc>
          <w:tcPr>
            <w:tcW w:w="2100" w:type="dxa"/>
            <w:vAlign w:val="bottom"/>
            <w:shd w:val="clear" w:color="auto" w:fill="CFF0FC"/>
          </w:tcPr>
          <w:p>
            <w:pPr>
              <w:jc w:val="center"/>
              <w:ind w:left="14"/>
              <w:spacing w:after="0"/>
              <w:rPr>
                <w:sz w:val="20"/>
                <w:szCs w:val="20"/>
                <w:color w:val="auto"/>
              </w:rPr>
            </w:pPr>
            <w:r>
              <w:rPr>
                <w:rFonts w:ascii="Arial" w:cs="Arial" w:eastAsia="Arial" w:hAnsi="Arial"/>
                <w:sz w:val="13"/>
                <w:szCs w:val="13"/>
                <w:color w:val="auto"/>
              </w:rPr>
              <w:t>Quarterly</w:t>
            </w:r>
          </w:p>
        </w:tc>
        <w:tc>
          <w:tcPr>
            <w:tcW w:w="2300" w:type="dxa"/>
            <w:vAlign w:val="bottom"/>
            <w:shd w:val="clear" w:color="auto" w:fill="CFF0FC"/>
          </w:tcPr>
          <w:p>
            <w:pPr>
              <w:jc w:val="center"/>
              <w:ind w:left="34"/>
              <w:spacing w:after="0"/>
              <w:rPr>
                <w:sz w:val="20"/>
                <w:szCs w:val="20"/>
                <w:color w:val="auto"/>
              </w:rPr>
            </w:pPr>
            <w:r>
              <w:rPr>
                <w:rFonts w:ascii="Arial" w:cs="Arial" w:eastAsia="Arial" w:hAnsi="Arial"/>
                <w:sz w:val="13"/>
                <w:szCs w:val="13"/>
                <w:color w:val="auto"/>
              </w:rPr>
              <w:t>May 15, 2023</w:t>
            </w:r>
          </w:p>
        </w:tc>
        <w:tc>
          <w:tcPr>
            <w:tcW w:w="1940" w:type="dxa"/>
            <w:vAlign w:val="bottom"/>
            <w:shd w:val="clear" w:color="auto" w:fill="CFF0FC"/>
          </w:tcPr>
          <w:p>
            <w:pPr>
              <w:jc w:val="center"/>
              <w:ind w:left="154"/>
              <w:spacing w:after="0"/>
              <w:rPr>
                <w:sz w:val="20"/>
                <w:szCs w:val="20"/>
                <w:color w:val="auto"/>
              </w:rPr>
            </w:pPr>
            <w:r>
              <w:rPr>
                <w:rFonts w:ascii="Arial" w:cs="Arial" w:eastAsia="Arial" w:hAnsi="Arial"/>
                <w:sz w:val="13"/>
                <w:szCs w:val="13"/>
                <w:color w:val="auto"/>
              </w:rPr>
              <w:t>May 31, 2023</w:t>
            </w:r>
          </w:p>
        </w:tc>
        <w:tc>
          <w:tcPr>
            <w:tcW w:w="800" w:type="dxa"/>
            <w:vAlign w:val="bottom"/>
            <w:shd w:val="clear" w:color="auto" w:fill="CFF0FC"/>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0.40</w:t>
            </w:r>
          </w:p>
        </w:tc>
        <w:tc>
          <w:tcPr>
            <w:tcW w:w="0" w:type="dxa"/>
            <w:vAlign w:val="bottom"/>
          </w:tcPr>
          <w:p>
            <w:pPr>
              <w:spacing w:after="0"/>
              <w:rPr>
                <w:sz w:val="1"/>
                <w:szCs w:val="1"/>
                <w:color w:val="auto"/>
              </w:rPr>
            </w:pPr>
          </w:p>
        </w:tc>
      </w:tr>
      <w:tr>
        <w:trPr>
          <w:trHeight w:val="194"/>
        </w:trPr>
        <w:tc>
          <w:tcPr>
            <w:tcW w:w="2300" w:type="dxa"/>
            <w:vAlign w:val="bottom"/>
          </w:tcPr>
          <w:p>
            <w:pPr>
              <w:jc w:val="center"/>
              <w:ind w:right="234"/>
              <w:spacing w:after="0"/>
              <w:rPr>
                <w:sz w:val="20"/>
                <w:szCs w:val="20"/>
                <w:color w:val="auto"/>
              </w:rPr>
            </w:pPr>
            <w:r>
              <w:rPr>
                <w:rFonts w:ascii="Arial" w:cs="Arial" w:eastAsia="Arial" w:hAnsi="Arial"/>
                <w:sz w:val="13"/>
                <w:szCs w:val="13"/>
                <w:color w:val="auto"/>
              </w:rPr>
              <w:t>May 2, 2023</w:t>
            </w:r>
          </w:p>
        </w:tc>
        <w:tc>
          <w:tcPr>
            <w:tcW w:w="2100" w:type="dxa"/>
            <w:vAlign w:val="bottom"/>
          </w:tcPr>
          <w:p>
            <w:pPr>
              <w:jc w:val="center"/>
              <w:ind w:left="14"/>
              <w:spacing w:after="0"/>
              <w:rPr>
                <w:sz w:val="20"/>
                <w:szCs w:val="20"/>
                <w:color w:val="auto"/>
              </w:rPr>
            </w:pPr>
            <w:r>
              <w:rPr>
                <w:rFonts w:ascii="Arial" w:cs="Arial" w:eastAsia="Arial" w:hAnsi="Arial"/>
                <w:sz w:val="13"/>
                <w:szCs w:val="13"/>
                <w:color w:val="auto"/>
              </w:rPr>
              <w:t>Supplemental</w:t>
            </w:r>
          </w:p>
        </w:tc>
        <w:tc>
          <w:tcPr>
            <w:tcW w:w="2300" w:type="dxa"/>
            <w:vAlign w:val="bottom"/>
          </w:tcPr>
          <w:p>
            <w:pPr>
              <w:jc w:val="center"/>
              <w:ind w:left="34"/>
              <w:spacing w:after="0"/>
              <w:rPr>
                <w:sz w:val="20"/>
                <w:szCs w:val="20"/>
                <w:color w:val="auto"/>
              </w:rPr>
            </w:pPr>
            <w:r>
              <w:rPr>
                <w:rFonts w:ascii="Arial" w:cs="Arial" w:eastAsia="Arial" w:hAnsi="Arial"/>
                <w:sz w:val="13"/>
                <w:szCs w:val="13"/>
                <w:color w:val="auto"/>
              </w:rPr>
              <w:t>May 15, 2023</w:t>
            </w:r>
          </w:p>
        </w:tc>
        <w:tc>
          <w:tcPr>
            <w:tcW w:w="1940" w:type="dxa"/>
            <w:vAlign w:val="bottom"/>
          </w:tcPr>
          <w:p>
            <w:pPr>
              <w:jc w:val="center"/>
              <w:ind w:left="154"/>
              <w:spacing w:after="0"/>
              <w:rPr>
                <w:sz w:val="20"/>
                <w:szCs w:val="20"/>
                <w:color w:val="auto"/>
              </w:rPr>
            </w:pPr>
            <w:r>
              <w:rPr>
                <w:rFonts w:ascii="Arial" w:cs="Arial" w:eastAsia="Arial" w:hAnsi="Arial"/>
                <w:sz w:val="13"/>
                <w:szCs w:val="13"/>
                <w:color w:val="auto"/>
              </w:rPr>
              <w:t>May 31, 2023</w:t>
            </w:r>
          </w:p>
        </w:tc>
        <w:tc>
          <w:tcPr>
            <w:tcW w:w="800" w:type="dxa"/>
            <w:vAlign w:val="bottom"/>
          </w:tcPr>
          <w:p>
            <w:pPr>
              <w:jc w:val="right"/>
              <w:ind w:right="374"/>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4"/>
              <w:spacing w:after="0"/>
              <w:rPr>
                <w:sz w:val="20"/>
                <w:szCs w:val="20"/>
                <w:color w:val="auto"/>
              </w:rPr>
            </w:pPr>
            <w:r>
              <w:rPr>
                <w:rFonts w:ascii="Arial" w:cs="Arial" w:eastAsia="Arial" w:hAnsi="Arial"/>
                <w:sz w:val="13"/>
                <w:szCs w:val="13"/>
                <w:color w:val="auto"/>
              </w:rPr>
              <w:t>0.05</w:t>
            </w:r>
          </w:p>
        </w:tc>
        <w:tc>
          <w:tcPr>
            <w:tcW w:w="0" w:type="dxa"/>
            <w:vAlign w:val="bottom"/>
          </w:tcPr>
          <w:p>
            <w:pPr>
              <w:spacing w:after="0"/>
              <w:rPr>
                <w:sz w:val="1"/>
                <w:szCs w:val="1"/>
                <w:color w:val="auto"/>
              </w:rPr>
            </w:pPr>
          </w:p>
        </w:tc>
      </w:tr>
    </w:tbl>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62" w:right="740" w:bottom="1440" w:gutter="0" w:footer="0" w:header="0"/>
        </w:sectPr>
      </w:pPr>
    </w:p>
    <w:bookmarkStart w:id="48" w:name="page49"/>
    <w:bookmarkEnd w:id="48"/>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Income Taxes</w:t>
      </w:r>
    </w:p>
    <w:p>
      <w:pPr>
        <w:spacing w:after="0" w:line="196"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color w:val="auto"/>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United States federal income taxes in the future.</w:t>
      </w:r>
    </w:p>
    <w:p>
      <w:pPr>
        <w:spacing w:after="0" w:line="336"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appropriate tax character. Temporary differences arise when certain items of income, expense, gain or loss are recognized at some time in the future.</w:t>
      </w:r>
    </w:p>
    <w:p>
      <w:pPr>
        <w:spacing w:after="0" w:line="176"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following table sets forth the tax cost basis and the estimated aggregate gross unrealized gain (loss) on investments for federal income tax purposes as of and for the period ended June 30, 2023 and the year ended December 31, 2022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December 31, 2022</w:t>
            </w:r>
          </w:p>
        </w:tc>
      </w:tr>
      <w:tr>
        <w:trPr>
          <w:trHeight w:val="244"/>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Tax cost on investments</w:t>
            </w: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1,119,938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1,149,902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79"/>
        </w:trPr>
        <w:tc>
          <w:tcPr>
            <w:tcW w:w="7440" w:type="dxa"/>
            <w:vAlign w:val="bottom"/>
          </w:tcPr>
          <w:p>
            <w:pPr>
              <w:ind w:left="20"/>
              <w:spacing w:after="0"/>
              <w:rPr>
                <w:sz w:val="20"/>
                <w:szCs w:val="20"/>
                <w:color w:val="auto"/>
              </w:rPr>
            </w:pPr>
            <w:r>
              <w:rPr>
                <w:rFonts w:ascii="Arial" w:cs="Arial" w:eastAsia="Arial" w:hAnsi="Arial"/>
                <w:sz w:val="13"/>
                <w:szCs w:val="13"/>
                <w:color w:val="auto"/>
              </w:rPr>
              <w:t>Change in unrealized gain on a tax basis</w:t>
            </w:r>
          </w:p>
        </w:tc>
        <w:tc>
          <w:tcPr>
            <w:tcW w:w="200" w:type="dxa"/>
            <w:vAlign w:val="bottom"/>
          </w:tcPr>
          <w:p>
            <w:pPr>
              <w:jc w:val="right"/>
              <w:ind w:right="22"/>
              <w:spacing w:after="0" w:line="179"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12,941</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9,207</w:t>
            </w:r>
          </w:p>
        </w:tc>
        <w:tc>
          <w:tcPr>
            <w:tcW w:w="80" w:type="dxa"/>
            <w:vAlign w:val="bottom"/>
          </w:tcPr>
          <w:p>
            <w:pPr>
              <w:spacing w:after="0"/>
              <w:rPr>
                <w:sz w:val="15"/>
                <w:szCs w:val="15"/>
                <w:color w:val="auto"/>
              </w:rPr>
            </w:pPr>
          </w:p>
        </w:tc>
      </w:tr>
      <w:tr>
        <w:trPr>
          <w:trHeight w:val="205"/>
        </w:trPr>
        <w:tc>
          <w:tcPr>
            <w:tcW w:w="74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unrealized loss on a tax basis</w:t>
            </w:r>
          </w:p>
        </w:tc>
        <w:tc>
          <w:tcPr>
            <w:tcW w:w="2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(37,558 )</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(32,800 )</w:t>
            </w:r>
          </w:p>
        </w:tc>
      </w:tr>
      <w:tr>
        <w:trPr>
          <w:trHeight w:val="204"/>
        </w:trPr>
        <w:tc>
          <w:tcPr>
            <w:tcW w:w="7440" w:type="dxa"/>
            <w:vAlign w:val="bottom"/>
          </w:tcPr>
          <w:p>
            <w:pPr>
              <w:ind w:left="20"/>
              <w:spacing w:after="0"/>
              <w:rPr>
                <w:sz w:val="20"/>
                <w:szCs w:val="20"/>
                <w:color w:val="auto"/>
              </w:rPr>
            </w:pPr>
            <w:r>
              <w:rPr>
                <w:rFonts w:ascii="Arial" w:cs="Arial" w:eastAsia="Arial" w:hAnsi="Arial"/>
                <w:sz w:val="13"/>
                <w:szCs w:val="13"/>
                <w:color w:val="auto"/>
              </w:rPr>
              <w:t>Net unrealized gain (loss) on a tax basis</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(24,617 )</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3"/>
                <w:szCs w:val="13"/>
                <w:color w:val="auto"/>
              </w:rPr>
              <w:t>(23,593 )</w:t>
            </w:r>
          </w:p>
        </w:tc>
      </w:tr>
      <w:tr>
        <w:trPr>
          <w:trHeight w:val="20"/>
        </w:trPr>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The Company accounts for income taxes in conformity with ASC Topic 740 — Income Taxes ("ASC 740"). ASC 740 provides guidelines for how uncertain tax positions should be recognized, measured, presented and disclosed in Consolidated Financial Statements. ASC 740 requires the evaluation of tax positions taken or expected to be taken in the course of preparing the Company's tax returns to determine whether the tax positions are "more-likely- than- 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June 30, 2023 or December 31, 2022. Although the Company files federal and state tax returns, the Company's major tax jurisdiction is federal. The previous three tax year-ends and the interim tax period since then remain subject to examination by the Internal Revenue Service.</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If the Company does not distribute (or is not deemed to have distributed) each calendar year the sum of (1) 98% of its net ordinary income for each calendar year, (2) 98.2% of its capital gain net income for the one -year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52"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ectPr>
          <w:pgSz w:w="11900" w:h="16840" w:orient="portrait"/>
          <w:cols w:equalWidth="0" w:num="1">
            <w:col w:w="10600"/>
          </w:cols>
          <w:pgMar w:left="660" w:top="562" w:right="640" w:bottom="1440" w:gutter="0" w:footer="0" w:header="0"/>
        </w:sectPr>
      </w:pPr>
    </w:p>
    <w:bookmarkStart w:id="49" w:name="page50"/>
    <w:bookmarkEnd w:id="49"/>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Financial Highlights</w:t>
      </w:r>
    </w:p>
    <w:p>
      <w:pPr>
        <w:spacing w:after="0" w:line="292"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The following table sets forth the financial highlights for the six months ended June 30, 2023 and 2022 (in thousands, except for per share data and ratios):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760" w:type="dxa"/>
            <w:vAlign w:val="bottom"/>
            <w:gridSpan w:val="4"/>
          </w:tcPr>
          <w:p>
            <w:pPr>
              <w:jc w:val="right"/>
              <w:ind w:right="780"/>
              <w:spacing w:after="0"/>
              <w:rPr>
                <w:sz w:val="20"/>
                <w:szCs w:val="20"/>
                <w:color w:val="auto"/>
              </w:rPr>
            </w:pPr>
            <w:r>
              <w:rPr>
                <w:rFonts w:ascii="Arial" w:cs="Arial" w:eastAsia="Arial" w:hAnsi="Arial"/>
                <w:sz w:val="13"/>
                <w:szCs w:val="13"/>
                <w:b w:val="1"/>
                <w:bCs w:val="1"/>
                <w:color w:val="auto"/>
              </w:rPr>
              <w:t>Six Months Ended June 30,</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28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(In thousands, except share and per share data)</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2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jc w:val="right"/>
              <w:ind w:right="34"/>
              <w:spacing w:after="0"/>
              <w:rPr>
                <w:sz w:val="20"/>
                <w:szCs w:val="20"/>
                <w:color w:val="auto"/>
              </w:rPr>
            </w:pPr>
            <w:r>
              <w:rPr>
                <w:rFonts w:ascii="Arial" w:cs="Arial" w:eastAsia="Arial" w:hAnsi="Arial"/>
                <w:sz w:val="13"/>
                <w:szCs w:val="13"/>
                <w:b w:val="1"/>
                <w:bCs w:val="1"/>
                <w:color w:val="auto"/>
              </w:rPr>
              <w:t>2023</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528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3"/>
                <w:szCs w:val="13"/>
                <w:b w:val="1"/>
                <w:bCs w:val="1"/>
                <w:color w:val="auto"/>
              </w:rPr>
              <w:t>Per Share Data</w:t>
            </w:r>
            <w:r>
              <w:rPr>
                <w:rFonts w:ascii="Arial" w:cs="Arial" w:eastAsia="Arial" w:hAnsi="Arial"/>
                <w:sz w:val="16"/>
                <w:szCs w:val="16"/>
                <w:b w:val="1"/>
                <w:bCs w:val="1"/>
                <w:color w:val="auto"/>
                <w:vertAlign w:val="superscript"/>
              </w:rPr>
              <w:t>(1)</w:t>
            </w:r>
            <w:r>
              <w:rPr>
                <w:rFonts w:ascii="Arial" w:cs="Arial" w:eastAsia="Arial" w:hAnsi="Arial"/>
                <w:sz w:val="13"/>
                <w:szCs w:val="13"/>
                <w:b w:val="1"/>
                <w:bCs w:val="1"/>
                <w:color w:val="auto"/>
              </w:rPr>
              <w:t>:</w:t>
            </w: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80"/>
        </w:trPr>
        <w:tc>
          <w:tcPr>
            <w:tcW w:w="528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asset value at beginning of period</w:t>
            </w:r>
          </w:p>
        </w:tc>
        <w:tc>
          <w:tcPr>
            <w:tcW w:w="1520" w:type="dxa"/>
            <w:vAlign w:val="bottom"/>
          </w:tcPr>
          <w:p>
            <w:pPr>
              <w:jc w:val="right"/>
              <w:ind w:right="1374"/>
              <w:spacing w:after="0"/>
              <w:rPr>
                <w:sz w:val="20"/>
                <w:szCs w:val="20"/>
                <w:color w:val="auto"/>
              </w:rPr>
            </w:pPr>
            <w:r>
              <w:rPr>
                <w:rFonts w:ascii="Arial" w:cs="Arial" w:eastAsia="Arial" w:hAnsi="Arial"/>
                <w:sz w:val="13"/>
                <w:szCs w:val="13"/>
                <w:b w:val="1"/>
                <w:bCs w:val="1"/>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14.22</w:t>
            </w:r>
          </w:p>
        </w:tc>
        <w:tc>
          <w:tcPr>
            <w:tcW w:w="240" w:type="dxa"/>
            <w:vAlign w:val="bottom"/>
          </w:tcPr>
          <w:p>
            <w:pPr>
              <w:spacing w:after="0"/>
              <w:rPr>
                <w:sz w:val="15"/>
                <w:szCs w:val="15"/>
                <w:color w:val="auto"/>
              </w:rPr>
            </w:pPr>
          </w:p>
        </w:tc>
        <w:tc>
          <w:tcPr>
            <w:tcW w:w="1760" w:type="dxa"/>
            <w:vAlign w:val="bottom"/>
            <w:gridSpan w:val="2"/>
          </w:tcPr>
          <w:p>
            <w:pPr>
              <w:jc w:val="right"/>
              <w:ind w:right="142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14.65</w:t>
            </w:r>
          </w:p>
        </w:tc>
        <w:tc>
          <w:tcPr>
            <w:tcW w:w="240" w:type="dxa"/>
            <w:vAlign w:val="bottom"/>
          </w:tcPr>
          <w:p>
            <w:pPr>
              <w:spacing w:after="0"/>
              <w:rPr>
                <w:sz w:val="15"/>
                <w:szCs w:val="15"/>
                <w:color w:val="auto"/>
              </w:rPr>
            </w:pPr>
          </w:p>
        </w:tc>
      </w:tr>
      <w:tr>
        <w:trPr>
          <w:trHeight w:val="180"/>
        </w:trPr>
        <w:tc>
          <w:tcPr>
            <w:tcW w:w="52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Net investment income</w:t>
            </w: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0.65</w:t>
            </w:r>
          </w:p>
        </w:tc>
        <w:tc>
          <w:tcPr>
            <w:tcW w:w="240" w:type="dxa"/>
            <w:vAlign w:val="bottom"/>
            <w:shd w:val="clear" w:color="auto" w:fill="CFF0FC"/>
          </w:tcPr>
          <w:p>
            <w:pPr>
              <w:spacing w:after="0"/>
              <w:rPr>
                <w:sz w:val="15"/>
                <w:szCs w:val="15"/>
                <w:color w:val="auto"/>
              </w:rPr>
            </w:pPr>
          </w:p>
        </w:tc>
      </w:tr>
      <w:tr>
        <w:trPr>
          <w:trHeight w:val="175"/>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Net realized gain (loss)</w:t>
            </w:r>
          </w:p>
        </w:tc>
        <w:tc>
          <w:tcPr>
            <w:tcW w:w="15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0.01</w:t>
            </w:r>
          </w:p>
        </w:tc>
        <w:tc>
          <w:tcPr>
            <w:tcW w:w="240" w:type="dxa"/>
            <w:vAlign w:val="bottom"/>
          </w:tcPr>
          <w:p>
            <w:pPr>
              <w:spacing w:after="0"/>
              <w:rPr>
                <w:sz w:val="15"/>
                <w:szCs w:val="15"/>
                <w:color w:val="auto"/>
              </w:rPr>
            </w:pPr>
          </w:p>
        </w:tc>
      </w:tr>
      <w:tr>
        <w:trPr>
          <w:trHeight w:val="185"/>
        </w:trPr>
        <w:tc>
          <w:tcPr>
            <w:tcW w:w="52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Net change in unrealized gain (loss)</w:t>
            </w:r>
          </w:p>
        </w:tc>
        <w:tc>
          <w:tcPr>
            <w:tcW w:w="15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(0.61)</w:t>
            </w:r>
          </w:p>
        </w:tc>
        <w:tc>
          <w:tcPr>
            <w:tcW w:w="240" w:type="dxa"/>
            <w:vAlign w:val="bottom"/>
            <w:shd w:val="clear" w:color="auto" w:fill="CFF0FC"/>
          </w:tcPr>
          <w:p>
            <w:pPr>
              <w:spacing w:after="0"/>
              <w:rPr>
                <w:sz w:val="16"/>
                <w:szCs w:val="16"/>
                <w:color w:val="auto"/>
              </w:rPr>
            </w:pPr>
          </w:p>
        </w:tc>
      </w:tr>
      <w:tr>
        <w:trPr>
          <w:trHeight w:val="180"/>
        </w:trPr>
        <w:tc>
          <w:tcPr>
            <w:tcW w:w="528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 from investment operations</w:t>
            </w:r>
          </w:p>
        </w:tc>
        <w:tc>
          <w:tcPr>
            <w:tcW w:w="15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0.85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0.05</w:t>
            </w:r>
          </w:p>
        </w:tc>
        <w:tc>
          <w:tcPr>
            <w:tcW w:w="240" w:type="dxa"/>
            <w:vAlign w:val="bottom"/>
          </w:tcPr>
          <w:p>
            <w:pPr>
              <w:spacing w:after="0"/>
              <w:rPr>
                <w:sz w:val="15"/>
                <w:szCs w:val="15"/>
                <w:color w:val="auto"/>
              </w:rPr>
            </w:pPr>
          </w:p>
        </w:tc>
      </w:tr>
      <w:tr>
        <w:trPr>
          <w:trHeight w:val="180"/>
        </w:trPr>
        <w:tc>
          <w:tcPr>
            <w:tcW w:w="52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Distributions</w:t>
            </w: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(0.57)</w:t>
            </w:r>
          </w:p>
        </w:tc>
        <w:tc>
          <w:tcPr>
            <w:tcW w:w="240" w:type="dxa"/>
            <w:vAlign w:val="bottom"/>
            <w:shd w:val="clear" w:color="auto" w:fill="CFF0FC"/>
          </w:tcPr>
          <w:p>
            <w:pPr>
              <w:spacing w:after="0"/>
              <w:rPr>
                <w:sz w:val="15"/>
                <w:szCs w:val="15"/>
                <w:color w:val="auto"/>
              </w:rPr>
            </w:pPr>
          </w:p>
        </w:tc>
      </w:tr>
      <w:tr>
        <w:trPr>
          <w:trHeight w:val="175"/>
        </w:trPr>
        <w:tc>
          <w:tcPr>
            <w:tcW w:w="5280" w:type="dxa"/>
            <w:vAlign w:val="bottom"/>
            <w:gridSpan w:val="2"/>
          </w:tcPr>
          <w:p>
            <w:pPr>
              <w:ind w:left="100"/>
              <w:spacing w:after="0"/>
              <w:rPr>
                <w:sz w:val="20"/>
                <w:szCs w:val="20"/>
                <w:color w:val="auto"/>
              </w:rPr>
            </w:pPr>
            <w:r>
              <w:rPr>
                <w:rFonts w:ascii="Arial" w:cs="Arial" w:eastAsia="Arial" w:hAnsi="Arial"/>
                <w:sz w:val="13"/>
                <w:szCs w:val="13"/>
                <w:color w:val="auto"/>
              </w:rPr>
              <w:t>Accretion (dilution)</w:t>
            </w:r>
          </w:p>
        </w:tc>
        <w:tc>
          <w:tcPr>
            <w:tcW w:w="15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0.01</w:t>
            </w:r>
          </w:p>
        </w:tc>
        <w:tc>
          <w:tcPr>
            <w:tcW w:w="240" w:type="dxa"/>
            <w:vAlign w:val="bottom"/>
          </w:tcPr>
          <w:p>
            <w:pPr>
              <w:spacing w:after="0"/>
              <w:rPr>
                <w:sz w:val="15"/>
                <w:szCs w:val="15"/>
                <w:color w:val="auto"/>
              </w:rPr>
            </w:pPr>
          </w:p>
        </w:tc>
      </w:tr>
      <w:tr>
        <w:trPr>
          <w:trHeight w:val="225"/>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Net asset value at end of period</w:t>
            </w:r>
          </w:p>
        </w:tc>
        <w:tc>
          <w:tcPr>
            <w:tcW w:w="1520" w:type="dxa"/>
            <w:vAlign w:val="bottom"/>
            <w:shd w:val="clear" w:color="auto" w:fill="CFF0FC"/>
          </w:tcPr>
          <w:p>
            <w:pPr>
              <w:jc w:val="right"/>
              <w:ind w:right="137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14.17</w:t>
            </w:r>
          </w:p>
        </w:tc>
        <w:tc>
          <w:tcPr>
            <w:tcW w:w="24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14.14</w:t>
            </w:r>
          </w:p>
        </w:tc>
        <w:tc>
          <w:tcPr>
            <w:tcW w:w="240" w:type="dxa"/>
            <w:vAlign w:val="bottom"/>
            <w:shd w:val="clear" w:color="auto" w:fill="CFF0FC"/>
          </w:tcPr>
          <w:p>
            <w:pPr>
              <w:spacing w:after="0"/>
              <w:rPr>
                <w:sz w:val="19"/>
                <w:szCs w:val="19"/>
                <w:color w:val="auto"/>
              </w:rPr>
            </w:pPr>
          </w:p>
        </w:tc>
      </w:tr>
      <w:tr>
        <w:trPr>
          <w:trHeight w:val="156"/>
        </w:trPr>
        <w:tc>
          <w:tcPr>
            <w:tcW w:w="2820" w:type="dxa"/>
            <w:vAlign w:val="bottom"/>
            <w:tcBorders>
              <w:top w:val="single" w:sz="8" w:color="CFF0FC"/>
            </w:tcBorders>
          </w:tcPr>
          <w:p>
            <w:pPr>
              <w:spacing w:after="0"/>
              <w:rPr>
                <w:sz w:val="13"/>
                <w:szCs w:val="13"/>
                <w:color w:val="auto"/>
              </w:rPr>
            </w:pPr>
          </w:p>
        </w:tc>
        <w:tc>
          <w:tcPr>
            <w:tcW w:w="2460" w:type="dxa"/>
            <w:vAlign w:val="bottom"/>
            <w:tcBorders>
              <w:top w:val="single" w:sz="8" w:color="CFF0FC"/>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r>
      <w:tr>
        <w:trPr>
          <w:trHeight w:val="180"/>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Ratio/Supplemental Data:</w:t>
            </w: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80"/>
        </w:trPr>
        <w:tc>
          <w:tcPr>
            <w:tcW w:w="5280" w:type="dxa"/>
            <w:vAlign w:val="bottom"/>
            <w:gridSpan w:val="2"/>
          </w:tcPr>
          <w:p>
            <w:pPr>
              <w:ind w:left="20"/>
              <w:spacing w:after="0" w:line="180" w:lineRule="exact"/>
              <w:rPr>
                <w:sz w:val="20"/>
                <w:szCs w:val="20"/>
                <w:color w:val="auto"/>
              </w:rPr>
            </w:pPr>
            <w:r>
              <w:rPr>
                <w:rFonts w:ascii="Arial" w:cs="Arial" w:eastAsia="Arial" w:hAnsi="Arial"/>
                <w:sz w:val="13"/>
                <w:szCs w:val="13"/>
                <w:color w:val="auto"/>
              </w:rPr>
              <w:t>Total return based on net asset value</w:t>
            </w:r>
            <w:r>
              <w:rPr>
                <w:rFonts w:ascii="Arial" w:cs="Arial" w:eastAsia="Arial" w:hAnsi="Arial"/>
                <w:sz w:val="16"/>
                <w:szCs w:val="16"/>
                <w:color w:val="auto"/>
                <w:vertAlign w:val="superscript"/>
              </w:rPr>
              <w:t>(2)</w:t>
            </w: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(0.35) %</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(3.48) %</w:t>
            </w:r>
          </w:p>
        </w:tc>
      </w:tr>
      <w:tr>
        <w:trPr>
          <w:trHeight w:val="180"/>
        </w:trPr>
        <w:tc>
          <w:tcPr>
            <w:tcW w:w="528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3"/>
                <w:szCs w:val="13"/>
                <w:color w:val="auto"/>
              </w:rPr>
              <w:t>Total return based on market value</w:t>
            </w:r>
            <w:r>
              <w:rPr>
                <w:rFonts w:ascii="Arial" w:cs="Arial" w:eastAsia="Arial" w:hAnsi="Arial"/>
                <w:sz w:val="16"/>
                <w:szCs w:val="16"/>
                <w:color w:val="auto"/>
                <w:vertAlign w:val="superscript"/>
              </w:rPr>
              <w:t>(3)</w:t>
            </w:r>
          </w:p>
        </w:tc>
        <w:tc>
          <w:tcPr>
            <w:tcW w:w="15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14.32 %</w:t>
            </w: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(7.33) %</w:t>
            </w:r>
          </w:p>
        </w:tc>
      </w:tr>
      <w:tr>
        <w:trPr>
          <w:trHeight w:val="180"/>
        </w:trPr>
        <w:tc>
          <w:tcPr>
            <w:tcW w:w="5280" w:type="dxa"/>
            <w:vAlign w:val="bottom"/>
            <w:gridSpan w:val="2"/>
          </w:tcPr>
          <w:p>
            <w:pPr>
              <w:ind w:left="20"/>
              <w:spacing w:after="0" w:line="180" w:lineRule="exact"/>
              <w:rPr>
                <w:sz w:val="20"/>
                <w:szCs w:val="20"/>
                <w:color w:val="auto"/>
              </w:rPr>
            </w:pPr>
            <w:r>
              <w:rPr>
                <w:rFonts w:ascii="Arial" w:cs="Arial" w:eastAsia="Arial" w:hAnsi="Arial"/>
                <w:sz w:val="13"/>
                <w:szCs w:val="13"/>
                <w:color w:val="auto"/>
              </w:rPr>
              <w:t>Ratio of net investment income to average net assets</w:t>
            </w:r>
            <w:r>
              <w:rPr>
                <w:rFonts w:ascii="Arial" w:cs="Arial" w:eastAsia="Arial" w:hAnsi="Arial"/>
                <w:sz w:val="16"/>
                <w:szCs w:val="16"/>
                <w:color w:val="auto"/>
                <w:vertAlign w:val="superscript"/>
              </w:rPr>
              <w:t>(4)(5)</w:t>
            </w: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13.23 %</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9.01 %</w:t>
            </w:r>
          </w:p>
        </w:tc>
      </w:tr>
      <w:tr>
        <w:trPr>
          <w:trHeight w:val="180"/>
        </w:trPr>
        <w:tc>
          <w:tcPr>
            <w:tcW w:w="5280" w:type="dxa"/>
            <w:vAlign w:val="bottom"/>
            <w:gridSpan w:val="2"/>
            <w:shd w:val="clear" w:color="auto" w:fill="CFF0FC"/>
          </w:tcPr>
          <w:p>
            <w:pPr>
              <w:ind w:left="20"/>
              <w:spacing w:after="0" w:line="180" w:lineRule="exact"/>
              <w:rPr>
                <w:sz w:val="20"/>
                <w:szCs w:val="20"/>
                <w:color w:val="auto"/>
              </w:rPr>
            </w:pPr>
            <w:r>
              <w:rPr>
                <w:rFonts w:ascii="Arial" w:cs="Arial" w:eastAsia="Arial" w:hAnsi="Arial"/>
                <w:sz w:val="13"/>
                <w:szCs w:val="13"/>
                <w:color w:val="auto"/>
              </w:rPr>
              <w:t>Ratio of total operating expenses to average net assets</w:t>
            </w:r>
            <w:r>
              <w:rPr>
                <w:rFonts w:ascii="Arial" w:cs="Arial" w:eastAsia="Arial" w:hAnsi="Arial"/>
                <w:sz w:val="16"/>
                <w:szCs w:val="16"/>
                <w:color w:val="auto"/>
                <w:vertAlign w:val="superscript"/>
              </w:rPr>
              <w:t>(4)(5)</w:t>
            </w:r>
          </w:p>
        </w:tc>
        <w:tc>
          <w:tcPr>
            <w:tcW w:w="15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15.10 %</w:t>
            </w: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5.79 %</w:t>
            </w:r>
          </w:p>
        </w:tc>
      </w:tr>
      <w:tr>
        <w:trPr>
          <w:trHeight w:val="180"/>
        </w:trPr>
        <w:tc>
          <w:tcPr>
            <w:tcW w:w="5280" w:type="dxa"/>
            <w:vAlign w:val="bottom"/>
            <w:gridSpan w:val="2"/>
          </w:tcPr>
          <w:p>
            <w:pPr>
              <w:ind w:left="20"/>
              <w:spacing w:after="0" w:line="180" w:lineRule="exact"/>
              <w:rPr>
                <w:sz w:val="20"/>
                <w:szCs w:val="20"/>
                <w:color w:val="auto"/>
              </w:rPr>
            </w:pPr>
            <w:r>
              <w:rPr>
                <w:rFonts w:ascii="Arial" w:cs="Arial" w:eastAsia="Arial" w:hAnsi="Arial"/>
                <w:sz w:val="13"/>
                <w:szCs w:val="13"/>
                <w:color w:val="auto"/>
              </w:rPr>
              <w:t>Ratio of total operating expenses, excluding incentive fees, to average net assets</w:t>
            </w:r>
            <w:r>
              <w:rPr>
                <w:rFonts w:ascii="Arial" w:cs="Arial" w:eastAsia="Arial" w:hAnsi="Arial"/>
                <w:sz w:val="16"/>
                <w:szCs w:val="16"/>
                <w:color w:val="auto"/>
                <w:vertAlign w:val="superscript"/>
              </w:rPr>
              <w:t>(4)</w:t>
            </w: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11.79 %</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4.13 %</w:t>
            </w:r>
          </w:p>
        </w:tc>
      </w:tr>
      <w:tr>
        <w:trPr>
          <w:trHeight w:val="146"/>
        </w:trPr>
        <w:tc>
          <w:tcPr>
            <w:tcW w:w="5280" w:type="dxa"/>
            <w:vAlign w:val="bottom"/>
            <w:gridSpan w:val="2"/>
            <w:shd w:val="clear" w:color="auto" w:fill="CFF0FC"/>
          </w:tcPr>
          <w:p>
            <w:pPr>
              <w:ind w:left="20"/>
              <w:spacing w:after="0" w:line="146" w:lineRule="exact"/>
              <w:rPr>
                <w:sz w:val="20"/>
                <w:szCs w:val="20"/>
                <w:color w:val="auto"/>
              </w:rPr>
            </w:pPr>
            <w:r>
              <w:rPr>
                <w:rFonts w:ascii="Arial" w:cs="Arial" w:eastAsia="Arial" w:hAnsi="Arial"/>
                <w:sz w:val="13"/>
                <w:szCs w:val="13"/>
                <w:color w:val="auto"/>
              </w:rPr>
              <w:t>Ratio of net increase (decrease) in net assets resulting from operations to average</w:t>
            </w:r>
          </w:p>
        </w:tc>
        <w:tc>
          <w:tcPr>
            <w:tcW w:w="15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90"/>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net assets</w:t>
            </w:r>
            <w:r>
              <w:rPr>
                <w:rFonts w:ascii="Arial" w:cs="Arial" w:eastAsia="Arial" w:hAnsi="Arial"/>
                <w:sz w:val="16"/>
                <w:szCs w:val="16"/>
                <w:color w:val="auto"/>
                <w:vertAlign w:val="superscript"/>
              </w:rPr>
              <w:t>(4)</w:t>
            </w:r>
          </w:p>
        </w:tc>
        <w:tc>
          <w:tcPr>
            <w:tcW w:w="15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11.97 %</w:t>
            </w: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0.68 %</w:t>
            </w:r>
          </w:p>
        </w:tc>
      </w:tr>
      <w:tr>
        <w:trPr>
          <w:trHeight w:val="180"/>
        </w:trPr>
        <w:tc>
          <w:tcPr>
            <w:tcW w:w="5280" w:type="dxa"/>
            <w:vAlign w:val="bottom"/>
            <w:gridSpan w:val="2"/>
          </w:tcPr>
          <w:p>
            <w:pPr>
              <w:ind w:left="20"/>
              <w:spacing w:after="0" w:line="180" w:lineRule="exact"/>
              <w:rPr>
                <w:sz w:val="20"/>
                <w:szCs w:val="20"/>
                <w:color w:val="auto"/>
              </w:rPr>
            </w:pPr>
            <w:r>
              <w:rPr>
                <w:rFonts w:ascii="Arial" w:cs="Arial" w:eastAsia="Arial" w:hAnsi="Arial"/>
                <w:sz w:val="13"/>
                <w:szCs w:val="13"/>
                <w:color w:val="auto"/>
              </w:rPr>
              <w:t>Portfolio turnover rate</w:t>
            </w:r>
            <w:r>
              <w:rPr>
                <w:rFonts w:ascii="Arial" w:cs="Arial" w:eastAsia="Arial" w:hAnsi="Arial"/>
                <w:sz w:val="16"/>
                <w:szCs w:val="16"/>
                <w:color w:val="auto"/>
                <w:vertAlign w:val="superscript"/>
              </w:rPr>
              <w:t>(6)</w:t>
            </w: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5.72 %</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12.92 %</w:t>
            </w:r>
          </w:p>
        </w:tc>
      </w:tr>
      <w:tr>
        <w:trPr>
          <w:trHeight w:val="180"/>
        </w:trPr>
        <w:tc>
          <w:tcPr>
            <w:tcW w:w="2820" w:type="dxa"/>
            <w:vAlign w:val="bottom"/>
            <w:shd w:val="clear" w:color="auto" w:fill="CFF0FC"/>
          </w:tcPr>
          <w:p>
            <w:pPr>
              <w:spacing w:after="0"/>
              <w:rPr>
                <w:sz w:val="15"/>
                <w:szCs w:val="15"/>
                <w:color w:val="auto"/>
              </w:rPr>
            </w:pPr>
          </w:p>
        </w:tc>
        <w:tc>
          <w:tcPr>
            <w:tcW w:w="24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60" w:type="dxa"/>
            <w:vAlign w:val="bottom"/>
            <w:gridSpan w:val="2"/>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75"/>
        </w:trPr>
        <w:tc>
          <w:tcPr>
            <w:tcW w:w="5280" w:type="dxa"/>
            <w:vAlign w:val="bottom"/>
            <w:gridSpan w:val="2"/>
          </w:tcPr>
          <w:p>
            <w:pPr>
              <w:ind w:left="20"/>
              <w:spacing w:after="0"/>
              <w:rPr>
                <w:sz w:val="20"/>
                <w:szCs w:val="20"/>
                <w:color w:val="auto"/>
              </w:rPr>
            </w:pPr>
            <w:r>
              <w:rPr>
                <w:rFonts w:ascii="Arial" w:cs="Arial" w:eastAsia="Arial" w:hAnsi="Arial"/>
                <w:sz w:val="13"/>
                <w:szCs w:val="13"/>
                <w:color w:val="auto"/>
              </w:rPr>
              <w:t>Net assets at beginning of period</w:t>
            </w:r>
          </w:p>
        </w:tc>
        <w:tc>
          <w:tcPr>
            <w:tcW w:w="1520" w:type="dxa"/>
            <w:vAlign w:val="bottom"/>
          </w:tcPr>
          <w:p>
            <w:pPr>
              <w:jc w:val="right"/>
              <w:ind w:right="137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576,052</w:t>
            </w:r>
          </w:p>
        </w:tc>
        <w:tc>
          <w:tcPr>
            <w:tcW w:w="240" w:type="dxa"/>
            <w:vAlign w:val="bottom"/>
          </w:tcPr>
          <w:p>
            <w:pPr>
              <w:spacing w:after="0"/>
              <w:rPr>
                <w:sz w:val="15"/>
                <w:szCs w:val="15"/>
                <w:color w:val="auto"/>
              </w:rPr>
            </w:pPr>
          </w:p>
        </w:tc>
        <w:tc>
          <w:tcPr>
            <w:tcW w:w="1760" w:type="dxa"/>
            <w:vAlign w:val="bottom"/>
            <w:gridSpan w:val="2"/>
          </w:tcPr>
          <w:p>
            <w:pPr>
              <w:jc w:val="right"/>
              <w:ind w:right="14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606,195</w:t>
            </w:r>
          </w:p>
        </w:tc>
        <w:tc>
          <w:tcPr>
            <w:tcW w:w="240" w:type="dxa"/>
            <w:vAlign w:val="bottom"/>
          </w:tcPr>
          <w:p>
            <w:pPr>
              <w:spacing w:after="0"/>
              <w:rPr>
                <w:sz w:val="15"/>
                <w:szCs w:val="15"/>
                <w:color w:val="auto"/>
              </w:rPr>
            </w:pPr>
          </w:p>
        </w:tc>
      </w:tr>
      <w:tr>
        <w:trPr>
          <w:trHeight w:val="185"/>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Net assets at end of period</w:t>
            </w:r>
          </w:p>
        </w:tc>
        <w:tc>
          <w:tcPr>
            <w:tcW w:w="1520" w:type="dxa"/>
            <w:vAlign w:val="bottom"/>
            <w:shd w:val="clear" w:color="auto" w:fill="CFF0FC"/>
          </w:tcPr>
          <w:p>
            <w:pPr>
              <w:jc w:val="right"/>
              <w:ind w:right="1374"/>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573,898</w:t>
            </w:r>
          </w:p>
        </w:tc>
        <w:tc>
          <w:tcPr>
            <w:tcW w:w="24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4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579,413</w:t>
            </w:r>
          </w:p>
        </w:tc>
        <w:tc>
          <w:tcPr>
            <w:tcW w:w="240" w:type="dxa"/>
            <w:vAlign w:val="bottom"/>
            <w:shd w:val="clear" w:color="auto" w:fill="CFF0FC"/>
          </w:tcPr>
          <w:p>
            <w:pPr>
              <w:spacing w:after="0"/>
              <w:rPr>
                <w:sz w:val="16"/>
                <w:szCs w:val="16"/>
                <w:color w:val="auto"/>
              </w:rPr>
            </w:pPr>
          </w:p>
        </w:tc>
      </w:tr>
      <w:tr>
        <w:trPr>
          <w:trHeight w:val="175"/>
        </w:trPr>
        <w:tc>
          <w:tcPr>
            <w:tcW w:w="5280" w:type="dxa"/>
            <w:vAlign w:val="bottom"/>
            <w:gridSpan w:val="2"/>
          </w:tcPr>
          <w:p>
            <w:pPr>
              <w:ind w:left="20"/>
              <w:spacing w:after="0"/>
              <w:rPr>
                <w:sz w:val="20"/>
                <w:szCs w:val="20"/>
                <w:color w:val="auto"/>
              </w:rPr>
            </w:pPr>
            <w:r>
              <w:rPr>
                <w:rFonts w:ascii="Arial" w:cs="Arial" w:eastAsia="Arial" w:hAnsi="Arial"/>
                <w:sz w:val="13"/>
                <w:szCs w:val="13"/>
                <w:color w:val="auto"/>
              </w:rPr>
              <w:t>Average net assets</w:t>
            </w:r>
          </w:p>
        </w:tc>
        <w:tc>
          <w:tcPr>
            <w:tcW w:w="1520" w:type="dxa"/>
            <w:vAlign w:val="bottom"/>
          </w:tcPr>
          <w:p>
            <w:pPr>
              <w:jc w:val="right"/>
              <w:ind w:right="1374"/>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577,921</w:t>
            </w:r>
          </w:p>
        </w:tc>
        <w:tc>
          <w:tcPr>
            <w:tcW w:w="240" w:type="dxa"/>
            <w:vAlign w:val="bottom"/>
          </w:tcPr>
          <w:p>
            <w:pPr>
              <w:spacing w:after="0"/>
              <w:rPr>
                <w:sz w:val="15"/>
                <w:szCs w:val="15"/>
                <w:color w:val="auto"/>
              </w:rPr>
            </w:pPr>
          </w:p>
        </w:tc>
        <w:tc>
          <w:tcPr>
            <w:tcW w:w="1760" w:type="dxa"/>
            <w:vAlign w:val="bottom"/>
            <w:gridSpan w:val="2"/>
          </w:tcPr>
          <w:p>
            <w:pPr>
              <w:jc w:val="right"/>
              <w:ind w:right="14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602,997</w:t>
            </w:r>
          </w:p>
        </w:tc>
        <w:tc>
          <w:tcPr>
            <w:tcW w:w="240" w:type="dxa"/>
            <w:vAlign w:val="bottom"/>
          </w:tcPr>
          <w:p>
            <w:pPr>
              <w:spacing w:after="0"/>
              <w:rPr>
                <w:sz w:val="15"/>
                <w:szCs w:val="15"/>
                <w:color w:val="auto"/>
              </w:rPr>
            </w:pPr>
          </w:p>
        </w:tc>
      </w:tr>
      <w:tr>
        <w:trPr>
          <w:trHeight w:val="185"/>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Weighted average shares outstanding for the period, basic</w:t>
            </w:r>
          </w:p>
        </w:tc>
        <w:tc>
          <w:tcPr>
            <w:tcW w:w="15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40,509,269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41,294,985</w:t>
            </w:r>
          </w:p>
        </w:tc>
        <w:tc>
          <w:tcPr>
            <w:tcW w:w="240" w:type="dxa"/>
            <w:vAlign w:val="bottom"/>
            <w:shd w:val="clear" w:color="auto" w:fill="CFF0FC"/>
          </w:tcPr>
          <w:p>
            <w:pPr>
              <w:spacing w:after="0"/>
              <w:rPr>
                <w:sz w:val="16"/>
                <w:szCs w:val="16"/>
                <w:color w:val="auto"/>
              </w:rPr>
            </w:pPr>
          </w:p>
        </w:tc>
      </w:tr>
      <w:tr>
        <w:trPr>
          <w:trHeight w:val="84"/>
        </w:trPr>
        <w:tc>
          <w:tcPr>
            <w:tcW w:w="282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89" w:lineRule="exact"/>
        <w:rPr>
          <w:sz w:val="20"/>
          <w:szCs w:val="20"/>
          <w:color w:val="auto"/>
        </w:rPr>
      </w:pPr>
    </w:p>
    <w:p>
      <w:pPr>
        <w:ind w:left="36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All per share activity is calculated based on the weighted-average shares outstanding for the relevant period.</w:t>
      </w:r>
    </w:p>
    <w:p>
      <w:pPr>
        <w:spacing w:after="0" w:line="21" w:lineRule="exact"/>
        <w:rPr>
          <w:sz w:val="20"/>
          <w:szCs w:val="20"/>
          <w:color w:val="auto"/>
        </w:rPr>
      </w:pPr>
    </w:p>
    <w:p>
      <w:pPr>
        <w:ind w:left="360" w:right="180"/>
        <w:spacing w:after="0" w:line="199"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Total return based on net asset value is calculated as the change in net asset value per share during the period, divided by the beginning net asset values per share. The total returns are not annualized.</w:t>
      </w:r>
    </w:p>
    <w:p>
      <w:pPr>
        <w:spacing w:after="0" w:line="13" w:lineRule="exact"/>
        <w:rPr>
          <w:sz w:val="20"/>
          <w:szCs w:val="20"/>
          <w:color w:val="auto"/>
        </w:rPr>
      </w:pPr>
    </w:p>
    <w:p>
      <w:pPr>
        <w:ind w:left="360"/>
        <w:spacing w:after="0"/>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Total return based on market value is calculated as the change in market value per share during the period plus dividends, divided by beginning market value per share.</w:t>
      </w:r>
    </w:p>
    <w:p>
      <w:pPr>
        <w:ind w:left="360"/>
        <w:spacing w:after="0"/>
        <w:rPr>
          <w:sz w:val="20"/>
          <w:szCs w:val="20"/>
          <w:color w:val="auto"/>
        </w:rPr>
      </w:pPr>
      <w:r>
        <w:rPr>
          <w:rFonts w:ascii="Arial" w:cs="Arial" w:eastAsia="Arial" w:hAnsi="Arial"/>
          <w:sz w:val="13"/>
          <w:szCs w:val="13"/>
          <w:color w:val="auto"/>
        </w:rPr>
        <w:t>The total returns are not annualized.</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26"/>
          <w:szCs w:val="26"/>
          <w:color w:val="auto"/>
          <w:vertAlign w:val="superscript"/>
        </w:rPr>
        <w:t>(4)</w:t>
      </w:r>
      <w:r>
        <w:rPr>
          <w:rFonts w:ascii="Arial" w:cs="Arial" w:eastAsia="Arial" w:hAnsi="Arial"/>
          <w:sz w:val="13"/>
          <w:szCs w:val="13"/>
          <w:color w:val="auto"/>
        </w:rPr>
        <w:t>The ratios are calculated based on weighted average net assets for the relevant period and are annualized.</w:t>
      </w:r>
    </w:p>
    <w:p>
      <w:pPr>
        <w:spacing w:after="0" w:line="21" w:lineRule="exact"/>
        <w:rPr>
          <w:sz w:val="20"/>
          <w:szCs w:val="20"/>
          <w:color w:val="auto"/>
        </w:rPr>
      </w:pPr>
    </w:p>
    <w:p>
      <w:pPr>
        <w:ind w:left="360" w:right="160"/>
        <w:spacing w:after="0" w:line="199" w:lineRule="auto"/>
        <w:rPr>
          <w:sz w:val="20"/>
          <w:szCs w:val="20"/>
          <w:color w:val="auto"/>
        </w:rPr>
      </w:pPr>
      <w:r>
        <w:rPr>
          <w:rFonts w:ascii="Arial" w:cs="Arial" w:eastAsia="Arial" w:hAnsi="Arial"/>
          <w:sz w:val="26"/>
          <w:szCs w:val="26"/>
          <w:color w:val="auto"/>
          <w:vertAlign w:val="superscript"/>
        </w:rPr>
        <w:t>(5)</w:t>
      </w:r>
      <w:r>
        <w:rPr>
          <w:rFonts w:ascii="Arial" w:cs="Arial" w:eastAsia="Arial" w:hAnsi="Arial"/>
          <w:sz w:val="13"/>
          <w:szCs w:val="13"/>
          <w:color w:val="auto"/>
        </w:rPr>
        <w:t>The ratio includes annualized incentive fees and as incentive fees are performance driven, the amount expensed in future periods may vary significantly and is dependent on overall investment performance, early terminations, scheduled prepayments and other liquidity events.</w:t>
      </w:r>
    </w:p>
    <w:p>
      <w:pPr>
        <w:spacing w:after="0" w:line="88" w:lineRule="exact"/>
        <w:rPr>
          <w:sz w:val="20"/>
          <w:szCs w:val="20"/>
          <w:color w:val="auto"/>
        </w:rPr>
      </w:pPr>
    </w:p>
    <w:p>
      <w:pPr>
        <w:ind w:left="360" w:right="220"/>
        <w:spacing w:after="0" w:line="204" w:lineRule="auto"/>
        <w:rPr>
          <w:sz w:val="20"/>
          <w:szCs w:val="20"/>
          <w:color w:val="auto"/>
        </w:rPr>
      </w:pPr>
      <w:r>
        <w:rPr>
          <w:rFonts w:ascii="Arial" w:cs="Arial" w:eastAsia="Arial" w:hAnsi="Arial"/>
          <w:sz w:val="26"/>
          <w:szCs w:val="26"/>
          <w:color w:val="auto"/>
          <w:vertAlign w:val="superscript"/>
        </w:rPr>
        <w:t>(6)</w:t>
      </w:r>
      <w:r>
        <w:rPr>
          <w:rFonts w:ascii="Arial" w:cs="Arial" w:eastAsia="Arial" w:hAnsi="Arial"/>
          <w:sz w:val="13"/>
          <w:szCs w:val="13"/>
          <w:color w:val="auto"/>
        </w:rPr>
        <w:t>The portfolio turnover rate for the period is calculated by taking the lesser of investment portfolio purchases or sales during the period, divided by the average investment portfolio value during the period. As such, portfolio turnover rate is not annualized.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40" w:orient="portrait"/>
          <w:cols w:equalWidth="0" w:num="1">
            <w:col w:w="10560"/>
          </w:cols>
          <w:pgMar w:left="660" w:top="562" w:right="680" w:bottom="1440" w:gutter="0" w:footer="0" w:header="0"/>
        </w:sectPr>
      </w:pPr>
    </w:p>
    <w:bookmarkStart w:id="50" w:name="page51"/>
    <w:bookmarkEnd w:id="50"/>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Subsequent Events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evaluated events subsequent to June 30, 2023 through August 8, 2023.</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July 10, 2023, the Company funded an investment of $20.0 million to Elevate Services, Inc.</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On July 18 and July 27, 2023 the Company funded investments of $0.6 million and $0.8 million, respectively, to Fidelis Cybersecurity, Inc. On July 31 and August 1, 2023, the Company received $16.7 million and $1.0 million, respectively, from the sale of investments in Fidelis Cybersecurity, Inc., representing payment in full to the Company.</w:t>
      </w:r>
    </w:p>
    <w:p>
      <w:pPr>
        <w:spacing w:after="0" w:line="16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On July 18, 2023, the Company received share issuance proceeds from Marley Spoon AG ("Marley Spoon") in connection with Marley Spoon's business combination transaction. On July 26, 2023, the Company received $5.4 million as a partial repayment of its loan to Marley Spoon.</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On July 31, 2023, the Company announced that R. David Spreng, the Company’s President, Chief Executive Officer and Chairman of the Board of Directors, will be taking a temporary leave of absence from the Company in order to undergo treatment for a medical condition. In connection with Mr. Spreng’s temporary leave of absence, the Board of Directors made certain temporary and permanent appointments on July 31, 2023, effective immediately. Thomas B. Raterman was appointed to temporarily serve as Acting President of the Company. Mr. Raterman joined the Company in 2015 as Chief Financial Officer, Treasurer and Secretary, was appointed Chief Operating Officer in 2021, and will continue to serve in these roles. Greg Greifeld, the Managing Director, Deputy Chief Investment Officer and Head of Credit at RGC, was appointed to temporarily serve as Acting Chief Executive Officer of the Company. Mr. Greifeld will continue to serve as in his existing aforementioned roles. Julie Persily, Chair of the Audit Committee of the Board of Directors and independent director, was appointed to temporarily serve as Acting Chairperson of the Board of Directors. Mr. Raterman, Mr. Greifeld, and Ms. Persily will serve in their respective acting positions until R. David Spreng returns to his duties as President and Chief Executive Officer, or until their successors are elected and qualified, or until their sooner death, resignation or removal from office. In addition, Ms. Persily was permanently appointed as Lead Independent Director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August 1, 2023, Allurion Technologies, Inc. prepaid its outstanding principal balance of $55.0 million on its senior secured loan.</w:t>
      </w:r>
    </w:p>
    <w:p>
      <w:pPr>
        <w:spacing w:after="0" w:line="176"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On August 1, 2023, the Board of Directors declared an ordinary distribution of $0.40 per share and a supplemental distribution of $0.05 per share for stockholders of record on August 15, 2023 payable on or before August 31, 2023.</w:t>
      </w:r>
    </w:p>
    <w:p>
      <w:pPr>
        <w:spacing w:after="0" w:line="154"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On August 3, 2023, the Company entered into an amendment to its custody agreement, dated as of January 6, 2017, with U.S. Bank Trust Company, National Association, as successor in interest to U.S. Bank National Association, as custodian (the “Custodian”) and U.S. Bank National Association, as document custodian (the “Document Custodian”) to provide for custody services for Foreign Assets by the Custodian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51" w:name="page52"/>
    <w:bookmarkEnd w:id="51"/>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57" w:lineRule="exact"/>
        <w:rPr>
          <w:sz w:val="20"/>
          <w:szCs w:val="20"/>
          <w:color w:val="auto"/>
        </w:rPr>
      </w:pPr>
    </w:p>
    <w:p>
      <w:pPr>
        <w:ind w:left="20"/>
        <w:spacing w:after="0" w:line="188" w:lineRule="exact"/>
        <w:rPr>
          <w:sz w:val="20"/>
          <w:szCs w:val="20"/>
          <w:color w:val="auto"/>
        </w:rPr>
      </w:pPr>
      <w:r>
        <w:rPr>
          <w:rFonts w:ascii="Arial" w:cs="Arial" w:eastAsia="Arial" w:hAnsi="Arial"/>
          <w:sz w:val="16"/>
          <w:szCs w:val="16"/>
          <w:color w:val="auto"/>
        </w:rPr>
        <w:t>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 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•changes in political, economic or industry conditions, the interest rate environment or conditions affecting the financial and capital markets;</w:t>
      </w:r>
    </w:p>
    <w:p>
      <w:pPr>
        <w:spacing w:after="0" w:line="92" w:lineRule="exact"/>
        <w:rPr>
          <w:sz w:val="20"/>
          <w:szCs w:val="20"/>
          <w:color w:val="auto"/>
        </w:rPr>
      </w:pPr>
    </w:p>
    <w:p>
      <w:pPr>
        <w:ind w:left="360" w:right="160"/>
        <w:spacing w:after="0" w:line="322" w:lineRule="auto"/>
        <w:rPr>
          <w:sz w:val="20"/>
          <w:szCs w:val="20"/>
          <w:color w:val="auto"/>
        </w:rPr>
      </w:pPr>
      <w:r>
        <w:rPr>
          <w:rFonts w:ascii="Arial" w:cs="Arial" w:eastAsia="Arial" w:hAnsi="Arial"/>
          <w:sz w:val="14"/>
          <w:szCs w:val="14"/>
          <w:color w:val="auto"/>
        </w:rPr>
        <w:t>•an economic downturn or recession, as well as the impairment or failure of financial institutions on both a global and domestic scale, could impair our portfolio companies’ ability to continue to operate, which could lead to the loss of some or all of our investments in such portfolio companies;</w:t>
      </w:r>
    </w:p>
    <w:p>
      <w:pPr>
        <w:spacing w:after="0" w:line="24" w:lineRule="exact"/>
        <w:rPr>
          <w:sz w:val="20"/>
          <w:szCs w:val="20"/>
          <w:color w:val="auto"/>
        </w:rPr>
      </w:pPr>
    </w:p>
    <w:p>
      <w:pPr>
        <w:ind w:left="360" w:right="560"/>
        <w:spacing w:after="0" w:line="252" w:lineRule="auto"/>
        <w:rPr>
          <w:sz w:val="20"/>
          <w:szCs w:val="20"/>
          <w:color w:val="auto"/>
        </w:rPr>
      </w:pPr>
      <w:r>
        <w:rPr>
          <w:rFonts w:ascii="Arial" w:cs="Arial" w:eastAsia="Arial" w:hAnsi="Arial"/>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70" w:lineRule="exact"/>
        <w:rPr>
          <w:sz w:val="20"/>
          <w:szCs w:val="20"/>
          <w:color w:val="auto"/>
        </w:rPr>
      </w:pPr>
    </w:p>
    <w:p>
      <w:pPr>
        <w:ind w:left="360" w:right="480"/>
        <w:spacing w:after="0" w:line="360" w:lineRule="auto"/>
        <w:rPr>
          <w:sz w:val="20"/>
          <w:szCs w:val="20"/>
          <w:color w:val="auto"/>
        </w:rPr>
      </w:pPr>
      <w:r>
        <w:rPr>
          <w:rFonts w:ascii="Arial" w:cs="Arial" w:eastAsia="Arial" w:hAnsi="Arial"/>
          <w:sz w:val="16"/>
          <w:szCs w:val="16"/>
          <w:color w:val="auto"/>
        </w:rPr>
        <w:t>•a contraction of available credit and/or an inability to access the equity markets that could impair our lending and investment activities; •interest rate volatility that could adversely affect our results, particularly to the extent that we use leverage as part of our investment strategy; •the impact of interest and inflation rates on our business prospects and the prospects of our portfolio companies;</w:t>
      </w:r>
    </w:p>
    <w:p>
      <w:pPr>
        <w:ind w:left="360" w:right="4900"/>
        <w:spacing w:after="0" w:line="360" w:lineRule="auto"/>
        <w:rPr>
          <w:sz w:val="20"/>
          <w:szCs w:val="20"/>
          <w:color w:val="auto"/>
        </w:rPr>
      </w:pPr>
      <w:r>
        <w:rPr>
          <w:rFonts w:ascii="Arial" w:cs="Arial" w:eastAsia="Arial" w:hAnsi="Arial"/>
          <w:sz w:val="16"/>
          <w:szCs w:val="16"/>
          <w:color w:val="auto"/>
        </w:rPr>
        <w:t>•our business prospects and the prospects of our portfolio companies; •our contractual arrangements and relationships with third parties; •the ability of our portfolio companies to achieve their objectives; •competition with other entities and our affiliates for investment opportunities; •the speculative and illiquid nature of our investments;</w:t>
      </w:r>
    </w:p>
    <w:p>
      <w:pPr>
        <w:ind w:left="360"/>
        <w:spacing w:after="0"/>
        <w:rPr>
          <w:sz w:val="20"/>
          <w:szCs w:val="20"/>
          <w:color w:val="auto"/>
        </w:rPr>
      </w:pPr>
      <w:r>
        <w:rPr>
          <w:rFonts w:ascii="Arial" w:cs="Arial" w:eastAsia="Arial" w:hAnsi="Arial"/>
          <w:sz w:val="16"/>
          <w:szCs w:val="16"/>
          <w:color w:val="auto"/>
        </w:rPr>
        <w:t>•the use of borrowed money to finance a portion of our investments;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adequacy of our financing sources and working capital;</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loss of key personnel;</w:t>
      </w:r>
    </w:p>
    <w:p>
      <w:pPr>
        <w:spacing w:after="0" w:line="53"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•the timing of cash flows, if any, from the operations of our portfolio companies and the impact of the COVID</w:t>
      </w:r>
      <w:r>
        <w:rPr>
          <w:rFonts w:ascii="MS PGothic" w:cs="MS PGothic" w:eastAsia="MS PGothic" w:hAnsi="MS PGothic"/>
          <w:sz w:val="16"/>
          <w:szCs w:val="16"/>
          <w:color w:val="auto"/>
        </w:rPr>
        <w:t>‑</w:t>
      </w:r>
      <w:r>
        <w:rPr>
          <w:rFonts w:ascii="Arial" w:cs="Arial" w:eastAsia="Arial" w:hAnsi="Arial"/>
          <w:sz w:val="16"/>
          <w:szCs w:val="16"/>
          <w:color w:val="auto"/>
        </w:rPr>
        <w:t>19 pandemic thereon;</w:t>
      </w:r>
    </w:p>
    <w:p>
      <w:pPr>
        <w:spacing w:after="0" w:line="132" w:lineRule="exact"/>
        <w:rPr>
          <w:sz w:val="20"/>
          <w:szCs w:val="20"/>
          <w:color w:val="auto"/>
        </w:rPr>
      </w:pPr>
    </w:p>
    <w:p>
      <w:pPr>
        <w:ind w:left="360" w:right="540"/>
        <w:spacing w:after="0" w:line="252" w:lineRule="auto"/>
        <w:rPr>
          <w:sz w:val="20"/>
          <w:szCs w:val="20"/>
          <w:color w:val="auto"/>
        </w:rPr>
      </w:pPr>
      <w:r>
        <w:rPr>
          <w:rFonts w:ascii="Arial" w:cs="Arial" w:eastAsia="Arial" w:hAnsi="Arial"/>
          <w:sz w:val="16"/>
          <w:szCs w:val="16"/>
          <w:color w:val="auto"/>
        </w:rPr>
        <w:t>•the ability of our external investment adviser, Runway Growth Capital LLC (“RGC”), to locate suitable investments for us and to monitor and administer our investments;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ability of RGC to attract and retain highly talented professionals;</w:t>
      </w:r>
    </w:p>
    <w:p>
      <w:pPr>
        <w:spacing w:after="0" w:line="92" w:lineRule="exact"/>
        <w:rPr>
          <w:sz w:val="20"/>
          <w:szCs w:val="20"/>
          <w:color w:val="auto"/>
        </w:rPr>
      </w:pPr>
    </w:p>
    <w:p>
      <w:pPr>
        <w:ind w:left="360" w:right="20"/>
        <w:spacing w:after="0" w:line="252" w:lineRule="auto"/>
        <w:rPr>
          <w:sz w:val="20"/>
          <w:szCs w:val="20"/>
          <w:color w:val="auto"/>
        </w:rPr>
      </w:pPr>
      <w:r>
        <w:rPr>
          <w:rFonts w:ascii="Arial" w:cs="Arial" w:eastAsia="Arial" w:hAnsi="Arial"/>
          <w:sz w:val="16"/>
          <w:szCs w:val="16"/>
          <w:color w:val="auto"/>
        </w:rPr>
        <w:t>•our ability to qualify and maintain our qualification as a regulated investment company (“RIC”) under Subchapter M of the Internal Revenue Code of 1986, as amended (the “Code”), and as a business development company (“BDC”);</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52" w:name="page53"/>
    <w:bookmarkEnd w:id="52"/>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left="360" w:right="820"/>
        <w:spacing w:after="0" w:line="252" w:lineRule="auto"/>
        <w:rPr>
          <w:sz w:val="20"/>
          <w:szCs w:val="20"/>
          <w:color w:val="auto"/>
        </w:rPr>
      </w:pPr>
      <w:r>
        <w:rPr>
          <w:rFonts w:ascii="Arial" w:cs="Arial" w:eastAsia="Arial" w:hAnsi="Arial"/>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effect of legal, tax, and regulatory changes; and</w:t>
      </w:r>
    </w:p>
    <w:p>
      <w:pPr>
        <w:spacing w:after="0" w:line="92" w:lineRule="exact"/>
        <w:rPr>
          <w:sz w:val="20"/>
          <w:szCs w:val="20"/>
          <w:color w:val="auto"/>
        </w:rPr>
      </w:pPr>
    </w:p>
    <w:p>
      <w:pPr>
        <w:ind w:left="360" w:right="200"/>
        <w:spacing w:after="0" w:line="243" w:lineRule="auto"/>
        <w:rPr>
          <w:sz w:val="20"/>
          <w:szCs w:val="20"/>
          <w:color w:val="auto"/>
        </w:rPr>
      </w:pPr>
      <w:r>
        <w:rPr>
          <w:rFonts w:ascii="Arial" w:cs="Arial" w:eastAsia="Arial" w:hAnsi="Arial"/>
          <w:sz w:val="16"/>
          <w:szCs w:val="16"/>
          <w:color w:val="auto"/>
        </w:rPr>
        <w:t>•the other risks, uncertainties and other factors we identify under “Risk Factors” in Part I, Item 1A of our annual report on Form 10-K for the year ended December 31, 2022, filed with the Securities and Exchange Commission (the "SEC") on March 2, 2023 and in this quarterly report on Form 10-Q.</w:t>
      </w:r>
    </w:p>
    <w:p>
      <w:pPr>
        <w:spacing w:after="0" w:line="77"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 -looking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year ended December 31, 2022, filed with the SEC on March 2, 2023.</w:t>
      </w:r>
    </w:p>
    <w:p>
      <w:pPr>
        <w:spacing w:after="0" w:line="137" w:lineRule="exact"/>
        <w:rPr>
          <w:sz w:val="20"/>
          <w:szCs w:val="20"/>
          <w:color w:val="auto"/>
        </w:rPr>
      </w:pPr>
    </w:p>
    <w:p>
      <w:pPr>
        <w:ind w:right="40"/>
        <w:spacing w:after="0" w:line="197" w:lineRule="exact"/>
        <w:rPr>
          <w:sz w:val="20"/>
          <w:szCs w:val="20"/>
          <w:color w:val="auto"/>
        </w:rPr>
      </w:pPr>
      <w:r>
        <w:rPr>
          <w:rFonts w:ascii="Arial" w:cs="Arial" w:eastAsia="Arial" w:hAnsi="Arial"/>
          <w:sz w:val="16"/>
          <w:szCs w:val="16"/>
          <w:color w:val="auto"/>
        </w:rPr>
        <w:t>We have based the forward -looking statements included in this Form 10</w:t>
      </w:r>
      <w:r>
        <w:rPr>
          <w:rFonts w:ascii="MS PGothic" w:cs="MS PGothic" w:eastAsia="MS PGothic" w:hAnsi="MS PGothic"/>
          <w:sz w:val="16"/>
          <w:szCs w:val="16"/>
          <w:color w:val="auto"/>
        </w:rPr>
        <w:t>‑</w:t>
      </w:r>
      <w:r>
        <w:rPr>
          <w:rFonts w:ascii="Arial" w:cs="Arial" w:eastAsia="Arial" w:hAnsi="Arial"/>
          <w:sz w:val="16"/>
          <w:szCs w:val="16"/>
          <w:color w:val="auto"/>
        </w:rPr>
        <w:t>Q on information available to us on the date of this Form 10</w:t>
      </w:r>
      <w:r>
        <w:rPr>
          <w:rFonts w:ascii="MS PGothic" w:cs="MS PGothic" w:eastAsia="MS PGothic" w:hAnsi="MS PGothic"/>
          <w:sz w:val="16"/>
          <w:szCs w:val="16"/>
          <w:color w:val="auto"/>
        </w:rPr>
        <w:t>‑</w:t>
      </w:r>
      <w:r>
        <w:rPr>
          <w:rFonts w:ascii="Arial" w:cs="Arial" w:eastAsia="Arial" w:hAnsi="Arial"/>
          <w:sz w:val="16"/>
          <w:szCs w:val="16"/>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and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51" w:lineRule="exact"/>
        <w:rPr>
          <w:sz w:val="20"/>
          <w:szCs w:val="20"/>
          <w:color w:val="auto"/>
        </w:rPr>
      </w:pPr>
    </w:p>
    <w:p>
      <w:pPr>
        <w:spacing w:after="0" w:line="202" w:lineRule="exact"/>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financial statements and the related notes thereto contained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96"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Runway Growth Finance Corp. ("we," "us," "our," or the "Company"), a Maryland corporation formed on August 31, 2015, is structured as an externally managed, non -diversified closed-end management investment company. On August 18, 2021, we changed our name to "Runway Growth Finance Corp." from "Runway Growth Credit Fund Inc." We are a specialty finance company focused on providing senior secured loans to high growth- potential companies in technology, life sciences, healthcare information and services, business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San Diego, California; Dallas, Texas; and New York, New York.</w:t>
      </w:r>
    </w:p>
    <w:p>
      <w:pPr>
        <w:spacing w:after="0" w:line="151"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We have elected to be regulated as a business development company ("BDC") under the Investment Company Act of 1940, as amended (together with the rules and regulations promulgated thereunder, the "1940 Act"). We have also elected to be treated as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79"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(December 31, 2026), or until the earliest of (i) the last day of the first fiscal year in which we have total annual gross revenue of $1.235 billion or more, (ii) December 31 of the fiscal year in which we become a “large accelerated filer” as defined in Rule 12b- 2 under the Securities Exchange Act of 1934, as amended (together with the rules and regulations promulgated thereunder, the “Exchange Act”), (which would occur if the market value of our common stock held by non-affiliates exceeds $ 700.0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53" w:name="page54"/>
    <w:bookmarkEnd w:id="53"/>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We are externally managed by RGC, an investment adviser that has registered with the SEC under the Investment Advisers Act of 1940, as amended.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Administrator, a wholly-owned subsidiary of RGC, provides all the administrative services necessary for us to operate.</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On August 10, 2020, we, RGC, and certain other funds and accounts sponsored or managed by RGC and/or its affiliates were granted an order (the “Order”),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the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and is consistent with our investment strategies and policies.</w:t>
      </w:r>
    </w:p>
    <w:p>
      <w:pPr>
        <w:spacing w:after="0" w:line="177"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On August 30, 2022, we received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Portfolio Composition and Investment Activity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Portfolio Composition</w:t>
      </w:r>
    </w:p>
    <w:p>
      <w:pPr>
        <w:spacing w:after="0" w:line="19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At June 30, 2023, we had investments in 49 portfolio companies, representing 23 companies in which we held loan and warrant investments, two companies in which we held loan investments and shares of common, preferred stock, or a combination with warrants, six companies in which we held a loan investment only, thirteen companies in which we held warrant investments only, and five companies in which we held shares of common or preferred stock only, or a combination with warrants. At December 31, 2022, we had investments in 49 portfolio companies, representing 28 companies in which we held loan and warrant investments, one companies in which we held loan investments and shares of common, preferred stock, or a combination with warrants, six companies in which we held a loan investment only, nine companies in which we held warrant investments only, and five companies in which we held shares of common or preferred stock only, or a combination with warrants.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fair value of our investments, by asset class, as of June 30, 2023 and December 31, 2022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2023</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ind w:left="80"/>
              <w:spacing w:after="0"/>
              <w:rPr>
                <w:sz w:val="20"/>
                <w:szCs w:val="20"/>
                <w:color w:val="auto"/>
              </w:rPr>
            </w:pPr>
            <w:r>
              <w:rPr>
                <w:rFonts w:ascii="Arial" w:cs="Arial" w:eastAsia="Arial" w:hAnsi="Arial"/>
                <w:sz w:val="13"/>
                <w:szCs w:val="13"/>
                <w:b w:val="1"/>
                <w:bCs w:val="1"/>
                <w:color w:val="auto"/>
              </w:rPr>
              <w:t>December 31, 2022</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900" w:type="dxa"/>
            <w:vAlign w:val="bottom"/>
          </w:tcPr>
          <w:p>
            <w:pPr>
              <w:ind w:left="20"/>
              <w:spacing w:after="0"/>
              <w:rPr>
                <w:sz w:val="20"/>
                <w:szCs w:val="20"/>
                <w:color w:val="auto"/>
              </w:rPr>
            </w:pPr>
            <w:r>
              <w:rPr>
                <w:rFonts w:ascii="Arial" w:cs="Arial" w:eastAsia="Arial" w:hAnsi="Arial"/>
                <w:sz w:val="13"/>
                <w:szCs w:val="13"/>
                <w:b w:val="1"/>
                <w:bCs w:val="1"/>
                <w:color w:val="auto"/>
              </w:rPr>
              <w:t>Investments</w:t>
            </w:r>
          </w:p>
        </w:tc>
        <w:tc>
          <w:tcPr>
            <w:tcW w:w="26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Arial" w:cs="Arial" w:eastAsia="Arial" w:hAnsi="Arial"/>
                <w:sz w:val="13"/>
                <w:szCs w:val="13"/>
                <w:b w:val="1"/>
                <w:bCs w:val="1"/>
                <w:color w:val="auto"/>
              </w:rPr>
              <w:t>Fair Value</w:t>
            </w:r>
          </w:p>
        </w:tc>
        <w:tc>
          <w:tcPr>
            <w:tcW w:w="260" w:type="dxa"/>
            <w:vAlign w:val="bottom"/>
          </w:tcPr>
          <w:p>
            <w:pPr>
              <w:spacing w:after="0"/>
              <w:rPr>
                <w:sz w:val="15"/>
                <w:szCs w:val="15"/>
                <w:color w:val="auto"/>
              </w:rPr>
            </w:pPr>
          </w:p>
        </w:tc>
        <w:tc>
          <w:tcPr>
            <w:tcW w:w="1480" w:type="dxa"/>
            <w:vAlign w:val="bottom"/>
            <w:gridSpan w:val="2"/>
          </w:tcPr>
          <w:p>
            <w:pPr>
              <w:jc w:val="right"/>
              <w:ind w:right="134"/>
              <w:spacing w:after="0"/>
              <w:rPr>
                <w:sz w:val="20"/>
                <w:szCs w:val="20"/>
                <w:color w:val="auto"/>
              </w:rPr>
            </w:pPr>
            <w:r>
              <w:rPr>
                <w:rFonts w:ascii="Arial" w:cs="Arial" w:eastAsia="Arial" w:hAnsi="Arial"/>
                <w:sz w:val="13"/>
                <w:szCs w:val="13"/>
                <w:b w:val="1"/>
                <w:bCs w:val="1"/>
                <w:color w:val="auto"/>
              </w:rPr>
              <w:t>% of Total Portfolio</w:t>
            </w:r>
          </w:p>
        </w:tc>
        <w:tc>
          <w:tcPr>
            <w:tcW w:w="28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 of Total Portfolio</w:t>
            </w:r>
          </w:p>
        </w:tc>
      </w:tr>
      <w:tr>
        <w:trPr>
          <w:trHeight w:val="180"/>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r>
      <w:tr>
        <w:trPr>
          <w:trHeight w:val="161"/>
        </w:trPr>
        <w:tc>
          <w:tcPr>
            <w:tcW w:w="1900" w:type="dxa"/>
            <w:vAlign w:val="bottom"/>
          </w:tcPr>
          <w:p>
            <w:pPr>
              <w:ind w:left="100"/>
              <w:spacing w:after="0"/>
              <w:rPr>
                <w:sz w:val="20"/>
                <w:szCs w:val="20"/>
                <w:color w:val="auto"/>
              </w:rPr>
            </w:pPr>
            <w:r>
              <w:rPr>
                <w:rFonts w:ascii="Arial" w:cs="Arial" w:eastAsia="Arial" w:hAnsi="Arial"/>
                <w:sz w:val="13"/>
                <w:szCs w:val="13"/>
                <w:color w:val="auto"/>
              </w:rPr>
              <w:t>Senior Secured Term</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0"/>
        </w:trPr>
        <w:tc>
          <w:tcPr>
            <w:tcW w:w="1900" w:type="dxa"/>
            <w:vAlign w:val="bottom"/>
          </w:tcPr>
          <w:p>
            <w:pPr>
              <w:ind w:left="100"/>
              <w:spacing w:after="0"/>
              <w:rPr>
                <w:sz w:val="20"/>
                <w:szCs w:val="20"/>
                <w:color w:val="auto"/>
              </w:rPr>
            </w:pPr>
            <w:r>
              <w:rPr>
                <w:rFonts w:ascii="Arial" w:cs="Arial" w:eastAsia="Arial" w:hAnsi="Arial"/>
                <w:sz w:val="13"/>
                <w:szCs w:val="13"/>
                <w:color w:val="auto"/>
              </w:rPr>
              <w:t>Loans</w:t>
            </w:r>
          </w:p>
        </w:tc>
        <w:tc>
          <w:tcPr>
            <w:tcW w:w="260" w:type="dxa"/>
            <w:vAlign w:val="bottom"/>
          </w:tcPr>
          <w:p>
            <w:pPr>
              <w:jc w:val="right"/>
              <w:ind w:right="114"/>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1,043,099</w:t>
            </w:r>
          </w:p>
        </w:tc>
        <w:tc>
          <w:tcPr>
            <w:tcW w:w="100" w:type="dxa"/>
            <w:vAlign w:val="bottom"/>
          </w:tcPr>
          <w:p>
            <w:pPr>
              <w:spacing w:after="0"/>
              <w:rPr>
                <w:sz w:val="14"/>
                <w:szCs w:val="14"/>
                <w:color w:val="auto"/>
              </w:rPr>
            </w:pPr>
          </w:p>
        </w:tc>
        <w:tc>
          <w:tcPr>
            <w:tcW w:w="34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1,030,136</w:t>
            </w:r>
          </w:p>
        </w:tc>
        <w:tc>
          <w:tcPr>
            <w:tcW w:w="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94.05</w:t>
            </w:r>
          </w:p>
        </w:tc>
        <w:tc>
          <w:tcPr>
            <w:tcW w:w="40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1,096,724</w:t>
            </w:r>
          </w:p>
        </w:tc>
        <w:tc>
          <w:tcPr>
            <w:tcW w:w="100" w:type="dxa"/>
            <w:vAlign w:val="bottom"/>
          </w:tcPr>
          <w:p>
            <w:pPr>
              <w:spacing w:after="0"/>
              <w:rPr>
                <w:sz w:val="14"/>
                <w:szCs w:val="14"/>
                <w:color w:val="auto"/>
              </w:rPr>
            </w:pPr>
          </w:p>
        </w:tc>
        <w:tc>
          <w:tcPr>
            <w:tcW w:w="30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1,080,121</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95.90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1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Second Lien Term Loans</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14,058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14,064</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13,654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13,654</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240" w:type="dxa"/>
            <w:vAlign w:val="bottom"/>
            <w:shd w:val="clear" w:color="auto" w:fill="CFF0FC"/>
          </w:tcPr>
          <w:p>
            <w:pPr>
              <w:spacing w:after="0"/>
              <w:rPr>
                <w:sz w:val="16"/>
                <w:szCs w:val="16"/>
                <w:color w:val="auto"/>
              </w:rPr>
            </w:pPr>
          </w:p>
        </w:tc>
      </w:tr>
      <w:tr>
        <w:trPr>
          <w:trHeight w:val="175"/>
        </w:trPr>
        <w:tc>
          <w:tcPr>
            <w:tcW w:w="1900" w:type="dxa"/>
            <w:vAlign w:val="bottom"/>
          </w:tcPr>
          <w:p>
            <w:pPr>
              <w:ind w:left="100"/>
              <w:spacing w:after="0"/>
              <w:rPr>
                <w:sz w:val="20"/>
                <w:szCs w:val="20"/>
                <w:color w:val="auto"/>
              </w:rPr>
            </w:pPr>
            <w:r>
              <w:rPr>
                <w:rFonts w:ascii="Arial" w:cs="Arial" w:eastAsia="Arial" w:hAnsi="Arial"/>
                <w:sz w:val="13"/>
                <w:szCs w:val="13"/>
                <w:color w:val="auto"/>
              </w:rPr>
              <w:t>Preferred Stocks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37,382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35,010</w:t>
            </w:r>
          </w:p>
        </w:tc>
        <w:tc>
          <w:tcPr>
            <w:tcW w:w="1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3.19</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12,382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12,682</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1.13</w:t>
            </w:r>
          </w:p>
        </w:tc>
        <w:tc>
          <w:tcPr>
            <w:tcW w:w="240" w:type="dxa"/>
            <w:vAlign w:val="bottom"/>
          </w:tcPr>
          <w:p>
            <w:pPr>
              <w:spacing w:after="0"/>
              <w:rPr>
                <w:sz w:val="15"/>
                <w:szCs w:val="15"/>
                <w:color w:val="auto"/>
              </w:rPr>
            </w:pPr>
          </w:p>
        </w:tc>
      </w:tr>
      <w:tr>
        <w:trPr>
          <w:trHeight w:val="185"/>
        </w:trPr>
        <w:tc>
          <w:tcPr>
            <w:tcW w:w="1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Common Stocks</w:t>
            </w: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2,250</w:t>
            </w:r>
          </w:p>
        </w:tc>
        <w:tc>
          <w:tcPr>
            <w:tcW w:w="1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0.21</w:t>
            </w:r>
          </w:p>
        </w:tc>
        <w:tc>
          <w:tcPr>
            <w:tcW w:w="4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3,097</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0.27</w:t>
            </w:r>
          </w:p>
        </w:tc>
        <w:tc>
          <w:tcPr>
            <w:tcW w:w="240" w:type="dxa"/>
            <w:vAlign w:val="bottom"/>
            <w:shd w:val="clear" w:color="auto" w:fill="CFF0FC"/>
          </w:tcPr>
          <w:p>
            <w:pPr>
              <w:spacing w:after="0"/>
              <w:rPr>
                <w:sz w:val="16"/>
                <w:szCs w:val="16"/>
                <w:color w:val="auto"/>
              </w:rPr>
            </w:pPr>
          </w:p>
        </w:tc>
      </w:tr>
      <w:tr>
        <w:trPr>
          <w:trHeight w:val="175"/>
        </w:trPr>
        <w:tc>
          <w:tcPr>
            <w:tcW w:w="1900" w:type="dxa"/>
            <w:vAlign w:val="bottom"/>
          </w:tcPr>
          <w:p>
            <w:pPr>
              <w:ind w:left="100"/>
              <w:spacing w:after="0"/>
              <w:rPr>
                <w:sz w:val="20"/>
                <w:szCs w:val="20"/>
                <w:color w:val="auto"/>
              </w:rPr>
            </w:pPr>
            <w:r>
              <w:rPr>
                <w:rFonts w:ascii="Arial" w:cs="Arial" w:eastAsia="Arial" w:hAnsi="Arial"/>
                <w:sz w:val="13"/>
                <w:szCs w:val="13"/>
                <w:color w:val="auto"/>
              </w:rPr>
              <w:t>Warrants</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18,800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13,861</w:t>
            </w:r>
          </w:p>
        </w:tc>
        <w:tc>
          <w:tcPr>
            <w:tcW w:w="1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3"/>
                <w:szCs w:val="13"/>
                <w:color w:val="auto"/>
              </w:rPr>
              <w:t>1.27</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19,127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16,755</w:t>
            </w:r>
          </w:p>
        </w:tc>
        <w:tc>
          <w:tcPr>
            <w:tcW w:w="3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1.49</w:t>
            </w:r>
          </w:p>
        </w:tc>
        <w:tc>
          <w:tcPr>
            <w:tcW w:w="240" w:type="dxa"/>
            <w:vAlign w:val="bottom"/>
          </w:tcPr>
          <w:p>
            <w:pPr>
              <w:spacing w:after="0"/>
              <w:rPr>
                <w:sz w:val="15"/>
                <w:szCs w:val="15"/>
                <w:color w:val="auto"/>
              </w:rPr>
            </w:pPr>
          </w:p>
        </w:tc>
      </w:tr>
      <w:tr>
        <w:trPr>
          <w:trHeight w:val="381"/>
        </w:trPr>
        <w:tc>
          <w:tcPr>
            <w:tcW w:w="1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Investments</w:t>
            </w:r>
          </w:p>
        </w:tc>
        <w:tc>
          <w:tcPr>
            <w:tcW w:w="26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1,122,054</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1,095,321</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40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1,150,602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1,126,309</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r>
    </w:tbl>
    <w:p>
      <w:pPr>
        <w:spacing w:after="0" w:line="281" w:lineRule="exact"/>
        <w:rPr>
          <w:sz w:val="20"/>
          <w:szCs w:val="20"/>
          <w:color w:val="auto"/>
        </w:rPr>
      </w:pPr>
    </w:p>
    <w:p>
      <w:pPr>
        <w:ind w:right="380"/>
        <w:spacing w:after="0" w:line="275" w:lineRule="auto"/>
        <w:rPr>
          <w:sz w:val="20"/>
          <w:szCs w:val="20"/>
          <w:color w:val="auto"/>
        </w:rPr>
      </w:pPr>
      <w:r>
        <w:rPr>
          <w:rFonts w:ascii="Arial" w:cs="Arial" w:eastAsia="Arial" w:hAnsi="Arial"/>
          <w:sz w:val="14"/>
          <w:szCs w:val="14"/>
          <w:color w:val="231F20"/>
        </w:rPr>
        <w:t xml:space="preserve">For the three and six months ended June 30, 2023, our debt investment portfolio had a dollar-weighted annualized yield of 16.69% and 15.65%, respectively. For the </w:t>
      </w:r>
      <w:r>
        <w:rPr>
          <w:rFonts w:ascii="Arial" w:cs="Arial" w:eastAsia="Arial" w:hAnsi="Arial"/>
          <w:sz w:val="14"/>
          <w:szCs w:val="14"/>
          <w:color w:val="000000"/>
        </w:rPr>
        <w:t>three and six months ended June 30, 2022</w:t>
      </w:r>
      <w:r>
        <w:rPr>
          <w:rFonts w:ascii="Arial" w:cs="Arial" w:eastAsia="Arial" w:hAnsi="Arial"/>
          <w:sz w:val="14"/>
          <w:szCs w:val="14"/>
          <w:color w:val="231F20"/>
        </w:rPr>
        <w:t>, our debt investment portfolio had a dollar-weighted annualized yield of 15.11% and</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231F20"/>
        </w:rPr>
        <w:t>13. 44%, respectively. We calculate the yield on dollar-weighted debt investments for any period measured as (1) total related investment income during the period divided by (2) the daily average of the fair value of debt investments outstanding during the period. As of June 30, 2023, our debt investments had a dollar-weighted average outstanding term of 56 months at origination and a dollar-weighted average remaining term of 40 months, or approximately 3.4 years. As of June 30, 2023, substantially all of our debt investments had an original committed principal amount of between $6.0 million and $85.0 million, repayment terms of between 37 months and 82 months and pay cash interest at annual interest rates of between 7.01% and 16.51%.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40" w:orient="portrait"/>
          <w:cols w:equalWidth="0" w:num="1">
            <w:col w:w="10580"/>
          </w:cols>
          <w:pgMar w:left="660" w:top="562" w:right="660" w:bottom="1440" w:gutter="0" w:footer="0" w:header="0"/>
        </w:sectPr>
      </w:pPr>
    </w:p>
    <w:bookmarkStart w:id="54" w:name="page55"/>
    <w:bookmarkEnd w:id="54"/>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The following table shows our dollar-weighted annualized yield by investment type for the </w:t>
      </w:r>
      <w:r>
        <w:rPr>
          <w:rFonts w:ascii="Arial" w:cs="Arial" w:eastAsia="Arial" w:hAnsi="Arial"/>
          <w:sz w:val="16"/>
          <w:szCs w:val="16"/>
          <w:color w:val="000000"/>
        </w:rPr>
        <w:t>three and six months ended June 30, 2023 and 2022</w:t>
      </w:r>
      <w:r>
        <w:rPr>
          <w:rFonts w:ascii="Arial" w:cs="Arial" w:eastAsia="Arial" w:hAnsi="Arial"/>
          <w:sz w:val="16"/>
          <w:szCs w:val="16"/>
          <w:color w:val="231F20"/>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0" w:type="dxa"/>
            <w:vAlign w:val="bottom"/>
            <w:gridSpan w:val="3"/>
          </w:tcPr>
          <w:p>
            <w:pPr>
              <w:jc w:val="right"/>
              <w:ind w:right="514"/>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6"/>
                <w:szCs w:val="16"/>
                <w:b w:val="1"/>
                <w:bCs w:val="1"/>
                <w:color w:val="auto"/>
                <w:vertAlign w:val="superscript"/>
              </w:rPr>
              <w:t>(1)</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5"/>
              </w:rPr>
              <w:t>Cost</w:t>
            </w:r>
            <w:r>
              <w:rPr>
                <w:rFonts w:ascii="Arial" w:cs="Arial" w:eastAsia="Arial" w:hAnsi="Arial"/>
                <w:sz w:val="16"/>
                <w:szCs w:val="16"/>
                <w:b w:val="1"/>
                <w:bCs w:val="1"/>
                <w:color w:val="auto"/>
                <w:w w:val="85"/>
                <w:vertAlign w:val="superscript"/>
              </w:rPr>
              <w:t>(2)</w:t>
            </w: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0"/>
        </w:trPr>
        <w:tc>
          <w:tcPr>
            <w:tcW w:w="130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5"/>
                <w:szCs w:val="15"/>
                <w:color w:val="auto"/>
              </w:rPr>
            </w:pPr>
          </w:p>
        </w:tc>
        <w:tc>
          <w:tcPr>
            <w:tcW w:w="2000" w:type="dxa"/>
            <w:vAlign w:val="bottom"/>
            <w:gridSpan w:val="3"/>
          </w:tcPr>
          <w:p>
            <w:pPr>
              <w:jc w:val="right"/>
              <w:ind w:right="34"/>
              <w:spacing w:after="0"/>
              <w:rPr>
                <w:sz w:val="20"/>
                <w:szCs w:val="20"/>
                <w:color w:val="auto"/>
              </w:rPr>
            </w:pPr>
            <w:r>
              <w:rPr>
                <w:rFonts w:ascii="Arial" w:cs="Arial" w:eastAsia="Arial" w:hAnsi="Arial"/>
                <w:sz w:val="13"/>
                <w:szCs w:val="13"/>
                <w:b w:val="1"/>
                <w:bCs w:val="1"/>
                <w:color w:val="auto"/>
              </w:rPr>
              <w:t>Six Months Ended June 30,</w:t>
            </w:r>
          </w:p>
        </w:tc>
        <w:tc>
          <w:tcPr>
            <w:tcW w:w="30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44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180" w:type="dxa"/>
            <w:vAlign w:val="bottom"/>
          </w:tcPr>
          <w:p>
            <w:pPr>
              <w:spacing w:after="0"/>
              <w:rPr>
                <w:sz w:val="15"/>
                <w:szCs w:val="15"/>
                <w:color w:val="auto"/>
              </w:rPr>
            </w:pPr>
          </w:p>
        </w:tc>
      </w:tr>
      <w:tr>
        <w:trPr>
          <w:trHeight w:val="183"/>
        </w:trPr>
        <w:tc>
          <w:tcPr>
            <w:tcW w:w="1300" w:type="dxa"/>
            <w:vAlign w:val="bottom"/>
          </w:tcPr>
          <w:p>
            <w:pPr>
              <w:spacing w:after="0"/>
              <w:rPr>
                <w:sz w:val="15"/>
                <w:szCs w:val="15"/>
                <w:color w:val="auto"/>
              </w:rPr>
            </w:pPr>
          </w:p>
        </w:tc>
        <w:tc>
          <w:tcPr>
            <w:tcW w:w="94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58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5"/>
                <w:szCs w:val="15"/>
                <w:color w:val="auto"/>
              </w:rPr>
            </w:pPr>
          </w:p>
        </w:tc>
        <w:tc>
          <w:tcPr>
            <w:tcW w:w="800" w:type="dxa"/>
            <w:vAlign w:val="bottom"/>
          </w:tcPr>
          <w:p>
            <w:pPr>
              <w:jc w:val="right"/>
              <w:ind w:right="134"/>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5"/>
                <w:szCs w:val="15"/>
                <w:color w:val="auto"/>
              </w:rPr>
            </w:pPr>
          </w:p>
        </w:tc>
        <w:tc>
          <w:tcPr>
            <w:tcW w:w="760" w:type="dxa"/>
            <w:vAlign w:val="bottom"/>
          </w:tcPr>
          <w:p>
            <w:pPr>
              <w:jc w:val="right"/>
              <w:ind w:right="154"/>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5"/>
                <w:szCs w:val="15"/>
                <w:color w:val="auto"/>
              </w:rPr>
            </w:pPr>
          </w:p>
        </w:tc>
        <w:tc>
          <w:tcPr>
            <w:tcW w:w="880" w:type="dxa"/>
            <w:vAlign w:val="bottom"/>
          </w:tcPr>
          <w:p>
            <w:pPr>
              <w:jc w:val="right"/>
              <w:ind w:right="154"/>
              <w:spacing w:after="0"/>
              <w:rPr>
                <w:sz w:val="20"/>
                <w:szCs w:val="20"/>
                <w:color w:val="auto"/>
              </w:rPr>
            </w:pPr>
            <w:r>
              <w:rPr>
                <w:rFonts w:ascii="Arial" w:cs="Arial" w:eastAsia="Arial" w:hAnsi="Arial"/>
                <w:sz w:val="13"/>
                <w:szCs w:val="13"/>
                <w:b w:val="1"/>
                <w:bCs w:val="1"/>
                <w:color w:val="auto"/>
              </w:rPr>
              <w:t>2023</w:t>
            </w:r>
          </w:p>
        </w:tc>
        <w:tc>
          <w:tcPr>
            <w:tcW w:w="400" w:type="dxa"/>
            <w:vAlign w:val="bottom"/>
          </w:tcPr>
          <w:p>
            <w:pPr>
              <w:spacing w:after="0"/>
              <w:rPr>
                <w:sz w:val="15"/>
                <w:szCs w:val="15"/>
                <w:color w:val="auto"/>
              </w:rPr>
            </w:pPr>
          </w:p>
        </w:tc>
        <w:tc>
          <w:tcPr>
            <w:tcW w:w="740" w:type="dxa"/>
            <w:vAlign w:val="bottom"/>
          </w:tcPr>
          <w:p>
            <w:pPr>
              <w:jc w:val="right"/>
              <w:ind w:right="154"/>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Arial" w:cs="Arial" w:eastAsia="Arial" w:hAnsi="Arial"/>
                <w:sz w:val="13"/>
                <w:szCs w:val="13"/>
                <w:b w:val="1"/>
                <w:bCs w:val="1"/>
                <w:color w:val="auto"/>
              </w:rPr>
              <w:t>2023</w:t>
            </w:r>
          </w:p>
        </w:tc>
        <w:tc>
          <w:tcPr>
            <w:tcW w:w="400" w:type="dxa"/>
            <w:vAlign w:val="bottom"/>
          </w:tcPr>
          <w:p>
            <w:pPr>
              <w:spacing w:after="0"/>
              <w:rPr>
                <w:sz w:val="15"/>
                <w:szCs w:val="15"/>
                <w:color w:val="auto"/>
              </w:rPr>
            </w:pPr>
          </w:p>
        </w:tc>
        <w:tc>
          <w:tcPr>
            <w:tcW w:w="720" w:type="dxa"/>
            <w:vAlign w:val="bottom"/>
          </w:tcPr>
          <w:p>
            <w:pPr>
              <w:jc w:val="right"/>
              <w:ind w:right="134"/>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5"/>
                <w:szCs w:val="15"/>
                <w:color w:val="auto"/>
              </w:rPr>
            </w:pPr>
          </w:p>
        </w:tc>
      </w:tr>
      <w:tr>
        <w:trPr>
          <w:trHeight w:val="180"/>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Investment type:</w:t>
            </w: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1300" w:type="dxa"/>
            <w:vAlign w:val="bottom"/>
          </w:tcPr>
          <w:p>
            <w:pPr>
              <w:ind w:left="20"/>
              <w:spacing w:after="0"/>
              <w:rPr>
                <w:sz w:val="20"/>
                <w:szCs w:val="20"/>
                <w:color w:val="auto"/>
              </w:rPr>
            </w:pPr>
            <w:r>
              <w:rPr>
                <w:rFonts w:ascii="Arial" w:cs="Arial" w:eastAsia="Arial" w:hAnsi="Arial"/>
                <w:sz w:val="13"/>
                <w:szCs w:val="13"/>
                <w:color w:val="auto"/>
              </w:rPr>
              <w:t>Debt investments</w:t>
            </w:r>
          </w:p>
        </w:tc>
        <w:tc>
          <w:tcPr>
            <w:tcW w:w="940" w:type="dxa"/>
            <w:vAlign w:val="bottom"/>
          </w:tcPr>
          <w:p>
            <w:pPr>
              <w:jc w:val="right"/>
              <w:spacing w:after="0"/>
              <w:rPr>
                <w:sz w:val="20"/>
                <w:szCs w:val="20"/>
                <w:color w:val="auto"/>
              </w:rPr>
            </w:pPr>
            <w:r>
              <w:rPr>
                <w:rFonts w:ascii="Arial" w:cs="Arial" w:eastAsia="Arial" w:hAnsi="Arial"/>
                <w:sz w:val="13"/>
                <w:szCs w:val="13"/>
                <w:color w:val="auto"/>
              </w:rPr>
              <w:t>16.69</w:t>
            </w:r>
          </w:p>
        </w:tc>
        <w:tc>
          <w:tcPr>
            <w:tcW w:w="58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15.11</w:t>
            </w:r>
          </w:p>
        </w:tc>
        <w:tc>
          <w:tcPr>
            <w:tcW w:w="3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15.65</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13.44</w:t>
            </w:r>
          </w:p>
        </w:tc>
        <w:tc>
          <w:tcPr>
            <w:tcW w:w="3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16.42</w:t>
            </w:r>
          </w:p>
        </w:tc>
        <w:tc>
          <w:tcPr>
            <w:tcW w:w="4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14.95</w:t>
            </w:r>
          </w:p>
        </w:tc>
        <w:tc>
          <w:tcPr>
            <w:tcW w:w="4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15.40</w:t>
            </w:r>
          </w:p>
        </w:tc>
        <w:tc>
          <w:tcPr>
            <w:tcW w:w="4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13.31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1300" w:type="dxa"/>
            <w:vAlign w:val="bottom"/>
            <w:shd w:val="clear" w:color="auto" w:fill="CFF0FC"/>
          </w:tcPr>
          <w:p>
            <w:pPr>
              <w:ind w:left="20"/>
              <w:spacing w:after="0"/>
              <w:rPr>
                <w:sz w:val="20"/>
                <w:szCs w:val="20"/>
                <w:color w:val="auto"/>
              </w:rPr>
            </w:pPr>
            <w:r>
              <w:rPr>
                <w:rFonts w:ascii="Arial" w:cs="Arial" w:eastAsia="Arial" w:hAnsi="Arial"/>
                <w:sz w:val="13"/>
                <w:szCs w:val="13"/>
                <w:color w:val="auto"/>
              </w:rPr>
              <w:t>Equity interest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w:t>
            </w:r>
          </w:p>
        </w:tc>
        <w:tc>
          <w:tcPr>
            <w:tcW w:w="580" w:type="dxa"/>
            <w:vAlign w:val="bottom"/>
            <w:shd w:val="clear" w:color="auto" w:fill="CFF0FC"/>
          </w:tcPr>
          <w:p>
            <w:pPr>
              <w:jc w:val="right"/>
              <w:ind w:right="334"/>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3.21</w:t>
            </w:r>
          </w:p>
        </w:tc>
        <w:tc>
          <w:tcPr>
            <w:tcW w:w="360" w:type="dxa"/>
            <w:vAlign w:val="bottom"/>
            <w:shd w:val="clear" w:color="auto" w:fill="CFF0FC"/>
          </w:tcPr>
          <w:p>
            <w:pPr>
              <w:jc w:val="right"/>
              <w:ind w:right="134"/>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2.83</w:t>
            </w:r>
          </w:p>
        </w:tc>
        <w:tc>
          <w:tcPr>
            <w:tcW w:w="440" w:type="dxa"/>
            <w:vAlign w:val="bottom"/>
            <w:shd w:val="clear" w:color="auto" w:fill="CFF0FC"/>
          </w:tcPr>
          <w:p>
            <w:pPr>
              <w:jc w:val="right"/>
              <w:ind w:right="194"/>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3.27</w:t>
            </w:r>
          </w:p>
        </w:tc>
        <w:tc>
          <w:tcPr>
            <w:tcW w:w="300" w:type="dxa"/>
            <w:vAlign w:val="bottom"/>
            <w:shd w:val="clear" w:color="auto" w:fill="CFF0FC"/>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w:t>
            </w:r>
          </w:p>
        </w:tc>
        <w:tc>
          <w:tcPr>
            <w:tcW w:w="4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ind w:right="14"/>
              <w:spacing w:after="0"/>
              <w:rPr>
                <w:sz w:val="20"/>
                <w:szCs w:val="20"/>
                <w:color w:val="auto"/>
              </w:rPr>
            </w:pPr>
            <w:r>
              <w:rPr>
                <w:rFonts w:ascii="Arial" w:cs="Arial" w:eastAsia="Arial" w:hAnsi="Arial"/>
                <w:sz w:val="13"/>
                <w:szCs w:val="13"/>
                <w:color w:val="auto"/>
              </w:rPr>
              <w:t>3.26</w:t>
            </w:r>
          </w:p>
        </w:tc>
        <w:tc>
          <w:tcPr>
            <w:tcW w:w="440" w:type="dxa"/>
            <w:vAlign w:val="bottom"/>
            <w:shd w:val="clear" w:color="auto" w:fill="CFF0FC"/>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2.31</w:t>
            </w:r>
          </w:p>
        </w:tc>
        <w:tc>
          <w:tcPr>
            <w:tcW w:w="400" w:type="dxa"/>
            <w:vAlign w:val="bottom"/>
            <w:shd w:val="clear" w:color="auto" w:fill="CFF0FC"/>
          </w:tcPr>
          <w:p>
            <w:pPr>
              <w:jc w:val="right"/>
              <w:ind w:right="174"/>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206"/>
        </w:trPr>
        <w:tc>
          <w:tcPr>
            <w:tcW w:w="1300" w:type="dxa"/>
            <w:vAlign w:val="bottom"/>
          </w:tcPr>
          <w:p>
            <w:pPr>
              <w:ind w:left="20"/>
              <w:spacing w:after="0"/>
              <w:rPr>
                <w:sz w:val="20"/>
                <w:szCs w:val="20"/>
                <w:color w:val="auto"/>
              </w:rPr>
            </w:pPr>
            <w:r>
              <w:rPr>
                <w:rFonts w:ascii="Arial" w:cs="Arial" w:eastAsia="Arial" w:hAnsi="Arial"/>
                <w:sz w:val="13"/>
                <w:szCs w:val="13"/>
                <w:color w:val="auto"/>
              </w:rPr>
              <w:t>All investments</w:t>
            </w:r>
          </w:p>
        </w:tc>
        <w:tc>
          <w:tcPr>
            <w:tcW w:w="940" w:type="dxa"/>
            <w:vAlign w:val="bottom"/>
          </w:tcPr>
          <w:p>
            <w:pPr>
              <w:jc w:val="right"/>
              <w:spacing w:after="0"/>
              <w:rPr>
                <w:sz w:val="20"/>
                <w:szCs w:val="20"/>
                <w:color w:val="auto"/>
              </w:rPr>
            </w:pPr>
            <w:r>
              <w:rPr>
                <w:rFonts w:ascii="Arial" w:cs="Arial" w:eastAsia="Arial" w:hAnsi="Arial"/>
                <w:sz w:val="13"/>
                <w:szCs w:val="13"/>
                <w:color w:val="auto"/>
              </w:rPr>
              <w:t>16.00</w:t>
            </w:r>
          </w:p>
        </w:tc>
        <w:tc>
          <w:tcPr>
            <w:tcW w:w="58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14.43</w:t>
            </w:r>
          </w:p>
        </w:tc>
        <w:tc>
          <w:tcPr>
            <w:tcW w:w="3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15.10</w:t>
            </w:r>
          </w:p>
        </w:tc>
        <w:tc>
          <w:tcPr>
            <w:tcW w:w="44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4"/>
              <w:spacing w:after="0"/>
              <w:rPr>
                <w:sz w:val="20"/>
                <w:szCs w:val="20"/>
                <w:color w:val="auto"/>
              </w:rPr>
            </w:pPr>
            <w:r>
              <w:rPr>
                <w:rFonts w:ascii="Arial" w:cs="Arial" w:eastAsia="Arial" w:hAnsi="Arial"/>
                <w:sz w:val="13"/>
                <w:szCs w:val="13"/>
                <w:color w:val="auto"/>
              </w:rPr>
              <w:t>12.81</w:t>
            </w:r>
          </w:p>
        </w:tc>
        <w:tc>
          <w:tcPr>
            <w:tcW w:w="30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15.56</w:t>
            </w:r>
          </w:p>
        </w:tc>
        <w:tc>
          <w:tcPr>
            <w:tcW w:w="4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14.30</w:t>
            </w:r>
          </w:p>
        </w:tc>
        <w:tc>
          <w:tcPr>
            <w:tcW w:w="44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14.73</w:t>
            </w:r>
          </w:p>
        </w:tc>
        <w:tc>
          <w:tcPr>
            <w:tcW w:w="40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12.76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70"/>
        </w:trPr>
        <w:tc>
          <w:tcPr>
            <w:tcW w:w="1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89" w:lineRule="exact"/>
        <w:rPr>
          <w:sz w:val="20"/>
          <w:szCs w:val="20"/>
          <w:color w:val="auto"/>
        </w:rPr>
      </w:pPr>
    </w:p>
    <w:p>
      <w:pPr>
        <w:ind w:left="360" w:right="20"/>
        <w:spacing w:after="0" w:line="209" w:lineRule="auto"/>
        <w:rPr>
          <w:sz w:val="20"/>
          <w:szCs w:val="20"/>
          <w:color w:val="auto"/>
        </w:rPr>
      </w:pPr>
      <w:r>
        <w:rPr>
          <w:rFonts w:ascii="Arial" w:cs="Arial" w:eastAsia="Arial" w:hAnsi="Arial"/>
          <w:sz w:val="31"/>
          <w:szCs w:val="31"/>
          <w:color w:val="auto"/>
          <w:vertAlign w:val="superscript"/>
        </w:rPr>
        <w:t>(1)</w:t>
      </w:r>
      <w:r>
        <w:rPr>
          <w:rFonts w:ascii="Arial" w:cs="Arial" w:eastAsia="Arial" w:hAnsi="Arial"/>
          <w:sz w:val="13"/>
          <w:szCs w:val="13"/>
          <w:color w:val="auto"/>
        </w:rPr>
        <w:t>We calculate the dollar- 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89" w:lineRule="exact"/>
        <w:rPr>
          <w:sz w:val="20"/>
          <w:szCs w:val="20"/>
          <w:color w:val="auto"/>
        </w:rPr>
      </w:pPr>
    </w:p>
    <w:p>
      <w:pPr>
        <w:jc w:val="both"/>
        <w:ind w:left="360"/>
        <w:spacing w:after="0" w:line="209" w:lineRule="auto"/>
        <w:rPr>
          <w:sz w:val="20"/>
          <w:szCs w:val="20"/>
          <w:color w:val="auto"/>
        </w:rPr>
      </w:pPr>
      <w:r>
        <w:rPr>
          <w:rFonts w:ascii="Arial" w:cs="Arial" w:eastAsia="Arial" w:hAnsi="Arial"/>
          <w:sz w:val="31"/>
          <w:szCs w:val="31"/>
          <w:color w:val="auto"/>
          <w:vertAlign w:val="superscript"/>
        </w:rPr>
        <w:t>(2)</w:t>
      </w:r>
      <w:r>
        <w:rPr>
          <w:rFonts w:ascii="Arial" w:cs="Arial" w:eastAsia="Arial" w:hAnsi="Arial"/>
          <w:sz w:val="13"/>
          <w:szCs w:val="13"/>
          <w:color w:val="auto"/>
        </w:rPr>
        <w:t>We calculate the dollar -weighted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Activity</w:t>
      </w:r>
    </w:p>
    <w:p>
      <w:pPr>
        <w:spacing w:after="0" w:line="194"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six months ended June 30, 2023, the Company did not fund any new portfolio companies and funded $63.5 million in eight existing portfolio companies, net of upfront loan origination fees. The Company also received $98.9 million in loan repayments from six portfolio companies and $6.8 million in scheduled principal payments from two portfolio companies. There were no proceeds from the termination of warrants, sale of preferred stock, and sale of common stock. During the six months ended June 30, 2022, the Company funded $151.2 million in six new portfolio companies and $82.3 million in nine existing portfolio companies, net of upfront loan origination fees. The Company also received $80.9 million in loan repayments from four portfolio companies and $7.3 million in scheduled principal payments from two portfolio companies. There was $5.9 million in proceeds from the termination of warrants, sale of preferred stock, and sale of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Portfolio Reconciliation</w:t>
      </w:r>
    </w:p>
    <w:p>
      <w:pPr>
        <w:spacing w:after="0" w:line="196" w:lineRule="exact"/>
        <w:rPr>
          <w:sz w:val="20"/>
          <w:szCs w:val="20"/>
          <w:color w:val="auto"/>
        </w:rPr>
      </w:pPr>
    </w:p>
    <w:p>
      <w:pPr>
        <w:ind w:right="800"/>
        <w:spacing w:after="0" w:line="252" w:lineRule="auto"/>
        <w:rPr>
          <w:sz w:val="20"/>
          <w:szCs w:val="20"/>
          <w:color w:val="auto"/>
        </w:rPr>
      </w:pPr>
      <w:r>
        <w:rPr>
          <w:rFonts w:ascii="Arial" w:cs="Arial" w:eastAsia="Arial" w:hAnsi="Arial"/>
          <w:sz w:val="16"/>
          <w:szCs w:val="16"/>
          <w:color w:val="auto"/>
        </w:rPr>
        <w:t>The following is a reconciliation of our investment portfolio, including U.S. Treasury Bills, for the six months ended June 30, 2023 and 2022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Six Months Ended June 30,</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ind w:right="73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20" w:type="dxa"/>
            <w:vAlign w:val="bottom"/>
          </w:tcPr>
          <w:p>
            <w:pPr>
              <w:jc w:val="right"/>
              <w:ind w:right="654"/>
              <w:spacing w:after="0"/>
              <w:rPr>
                <w:sz w:val="20"/>
                <w:szCs w:val="20"/>
                <w:color w:val="auto"/>
              </w:rPr>
            </w:pPr>
            <w:r>
              <w:rPr>
                <w:rFonts w:ascii="Arial" w:cs="Arial" w:eastAsia="Arial" w:hAnsi="Arial"/>
                <w:sz w:val="13"/>
                <w:szCs w:val="13"/>
                <w:b w:val="1"/>
                <w:bCs w:val="1"/>
                <w:color w:val="auto"/>
                <w:w w:val="96"/>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3"/>
                <w:szCs w:val="13"/>
                <w:color w:val="auto"/>
              </w:rPr>
              <w:t>Beginning investment portfolio</w:t>
            </w:r>
          </w:p>
        </w:tc>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1,126,309</w:t>
            </w:r>
          </w:p>
        </w:tc>
        <w:tc>
          <w:tcPr>
            <w:tcW w:w="100" w:type="dxa"/>
            <w:vAlign w:val="bottom"/>
          </w:tcPr>
          <w:p>
            <w:pPr>
              <w:spacing w:after="0"/>
              <w:rPr>
                <w:sz w:val="15"/>
                <w:szCs w:val="15"/>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729,516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investments</w:t>
            </w:r>
          </w:p>
        </w:tc>
        <w:tc>
          <w:tcPr>
            <w:tcW w:w="4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63,540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233,473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3"/>
                <w:szCs w:val="13"/>
                <w:color w:val="auto"/>
              </w:rPr>
              <w:t>Purchases of U.S. Treasury Bills</w:t>
            </w:r>
          </w:p>
        </w:tc>
        <w:tc>
          <w:tcPr>
            <w:tcW w:w="4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34,974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PIK interest</w:t>
            </w:r>
          </w:p>
        </w:tc>
        <w:tc>
          <w:tcPr>
            <w:tcW w:w="4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9,783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3"/>
                <w:szCs w:val="13"/>
                <w:color w:val="auto"/>
              </w:rPr>
              <w:t>Sales or repayments of investments</w:t>
            </w:r>
          </w:p>
        </w:tc>
        <w:tc>
          <w:tcPr>
            <w:tcW w:w="44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3"/>
                <w:szCs w:val="13"/>
                <w:color w:val="auto"/>
              </w:rPr>
              <w:t>(98,901 )</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(86,793 )</w:t>
            </w:r>
          </w:p>
        </w:tc>
        <w:tc>
          <w:tcPr>
            <w:tcW w:w="0" w:type="dxa"/>
            <w:vAlign w:val="bottom"/>
          </w:tcPr>
          <w:p>
            <w:pPr>
              <w:spacing w:after="0"/>
              <w:rPr>
                <w:sz w:val="1"/>
                <w:szCs w:val="1"/>
                <w:color w:val="auto"/>
              </w:rPr>
            </w:pPr>
          </w:p>
        </w:tc>
      </w:tr>
      <w:tr>
        <w:trPr>
          <w:trHeight w:val="185"/>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Scheduled principal payments of investments</w:t>
            </w:r>
          </w:p>
        </w:tc>
        <w:tc>
          <w:tcPr>
            <w:tcW w:w="44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(6,771 )</w:t>
            </w: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(7,266 )</w:t>
            </w:r>
          </w:p>
        </w:tc>
        <w:tc>
          <w:tcPr>
            <w:tcW w:w="0" w:type="dxa"/>
            <w:vAlign w:val="bottom"/>
          </w:tcPr>
          <w:p>
            <w:pPr>
              <w:spacing w:after="0"/>
              <w:rPr>
                <w:sz w:val="1"/>
                <w:szCs w:val="1"/>
                <w:color w:val="auto"/>
              </w:rPr>
            </w:pPr>
          </w:p>
        </w:tc>
      </w:tr>
      <w:tr>
        <w:trPr>
          <w:trHeight w:val="180"/>
        </w:trPr>
        <w:tc>
          <w:tcPr>
            <w:tcW w:w="6600" w:type="dxa"/>
            <w:vAlign w:val="bottom"/>
          </w:tcPr>
          <w:p>
            <w:pPr>
              <w:ind w:left="20"/>
              <w:spacing w:after="0" w:line="180" w:lineRule="exact"/>
              <w:rPr>
                <w:sz w:val="20"/>
                <w:szCs w:val="20"/>
                <w:color w:val="auto"/>
              </w:rPr>
            </w:pPr>
            <w:r>
              <w:rPr>
                <w:rFonts w:ascii="Arial" w:cs="Arial" w:eastAsia="Arial" w:hAnsi="Arial"/>
                <w:sz w:val="13"/>
                <w:szCs w:val="13"/>
                <w:color w:val="auto"/>
              </w:rPr>
              <w:t>Sales and maturities of U.S. Treasury Bills</w:t>
            </w:r>
            <w:r>
              <w:rPr>
                <w:rFonts w:ascii="Arial" w:cs="Arial" w:eastAsia="Arial" w:hAnsi="Arial"/>
                <w:sz w:val="16"/>
                <w:szCs w:val="16"/>
                <w:color w:val="auto"/>
                <w:vertAlign w:val="superscript"/>
              </w:rPr>
              <w:t>(1)</w:t>
            </w:r>
          </w:p>
        </w:tc>
        <w:tc>
          <w:tcPr>
            <w:tcW w:w="440" w:type="dxa"/>
            <w:vAlign w:val="bottom"/>
          </w:tcPr>
          <w:p>
            <w:pPr>
              <w:spacing w:after="0"/>
              <w:rPr>
                <w:sz w:val="15"/>
                <w:szCs w:val="15"/>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3"/>
                <w:szCs w:val="13"/>
                <w:color w:val="auto"/>
              </w:rPr>
              <w:t>(35,000 )</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(45,000 )</w:t>
            </w:r>
          </w:p>
        </w:tc>
        <w:tc>
          <w:tcPr>
            <w:tcW w:w="0" w:type="dxa"/>
            <w:vAlign w:val="bottom"/>
          </w:tcPr>
          <w:p>
            <w:pPr>
              <w:spacing w:after="0"/>
              <w:rPr>
                <w:sz w:val="1"/>
                <w:szCs w:val="1"/>
                <w:color w:val="auto"/>
              </w:rPr>
            </w:pPr>
          </w:p>
        </w:tc>
      </w:tr>
      <w:tr>
        <w:trPr>
          <w:trHeight w:val="180"/>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realized gain (loss) on investments</w:t>
            </w:r>
          </w:p>
        </w:tc>
        <w:tc>
          <w:tcPr>
            <w:tcW w:w="4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(1,178 )</w:t>
            </w: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0" w:type="dxa"/>
            <w:vAlign w:val="bottom"/>
          </w:tcPr>
          <w:p>
            <w:pPr>
              <w:ind w:left="20"/>
              <w:spacing w:after="0"/>
              <w:rPr>
                <w:sz w:val="20"/>
                <w:szCs w:val="20"/>
                <w:color w:val="auto"/>
              </w:rPr>
            </w:pPr>
            <w:r>
              <w:rPr>
                <w:rFonts w:ascii="Arial" w:cs="Arial" w:eastAsia="Arial" w:hAnsi="Arial"/>
                <w:sz w:val="13"/>
                <w:szCs w:val="13"/>
                <w:color w:val="auto"/>
              </w:rPr>
              <w:t>Net change in unrealized gain (loss) on investments</w:t>
            </w:r>
          </w:p>
        </w:tc>
        <w:tc>
          <w:tcPr>
            <w:tcW w:w="440" w:type="dxa"/>
            <w:vAlign w:val="bottom"/>
          </w:tcPr>
          <w:p>
            <w:pPr>
              <w:spacing w:after="0"/>
              <w:rPr>
                <w:sz w:val="14"/>
                <w:szCs w:val="14"/>
                <w:color w:val="auto"/>
              </w:rPr>
            </w:pPr>
          </w:p>
        </w:tc>
        <w:tc>
          <w:tcPr>
            <w:tcW w:w="15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(2,440 )</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(25,434 )</w:t>
            </w:r>
          </w:p>
        </w:tc>
        <w:tc>
          <w:tcPr>
            <w:tcW w:w="0" w:type="dxa"/>
            <w:vAlign w:val="bottom"/>
          </w:tcPr>
          <w:p>
            <w:pPr>
              <w:spacing w:after="0"/>
              <w:rPr>
                <w:sz w:val="1"/>
                <w:szCs w:val="1"/>
                <w:color w:val="auto"/>
              </w:rPr>
            </w:pPr>
          </w:p>
        </w:tc>
      </w:tr>
      <w:tr>
        <w:trPr>
          <w:trHeight w:val="113"/>
        </w:trPr>
        <w:tc>
          <w:tcPr>
            <w:tcW w:w="6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6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Amortization of fixed income premiums or accretion of discounts</w:t>
            </w:r>
          </w:p>
        </w:tc>
        <w:tc>
          <w:tcPr>
            <w:tcW w:w="4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600" w:type="dxa"/>
            <w:vAlign w:val="bottom"/>
          </w:tcPr>
          <w:p>
            <w:pPr>
              <w:ind w:left="20"/>
              <w:spacing w:after="0"/>
              <w:rPr>
                <w:sz w:val="20"/>
                <w:szCs w:val="20"/>
                <w:color w:val="auto"/>
              </w:rPr>
            </w:pPr>
            <w:r>
              <w:rPr>
                <w:rFonts w:ascii="Arial" w:cs="Arial" w:eastAsia="Arial" w:hAnsi="Arial"/>
                <w:sz w:val="13"/>
                <w:szCs w:val="13"/>
                <w:color w:val="auto"/>
              </w:rPr>
              <w:t>Ending investment portfolio</w:t>
            </w:r>
          </w:p>
        </w:tc>
        <w:tc>
          <w:tcPr>
            <w:tcW w:w="440" w:type="dxa"/>
            <w:vAlign w:val="bottom"/>
          </w:tcPr>
          <w:p>
            <w:pPr>
              <w:jc w:val="right"/>
              <w:ind w:right="294"/>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1,095,321</w:t>
            </w:r>
          </w:p>
        </w:tc>
        <w:tc>
          <w:tcPr>
            <w:tcW w:w="100" w:type="dxa"/>
            <w:vAlign w:val="bottom"/>
          </w:tcPr>
          <w:p>
            <w:pPr>
              <w:spacing w:after="0"/>
              <w:rPr>
                <w:sz w:val="15"/>
                <w:szCs w:val="15"/>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807,729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40" w:orient="portrait"/>
          <w:cols w:equalWidth="0" w:num="1">
            <w:col w:w="10560"/>
          </w:cols>
          <w:pgMar w:left="660" w:top="562" w:right="680" w:bottom="1440" w:gutter="0" w:footer="0" w:header="0"/>
        </w:sectPr>
      </w:pPr>
    </w:p>
    <w:bookmarkStart w:id="55" w:name="page56"/>
    <w:bookmarkEnd w:id="55"/>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Quality</w:t>
      </w:r>
    </w:p>
    <w:p>
      <w:pPr>
        <w:spacing w:after="0" w:line="196"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ectPr>
          <w:pgSz w:w="11900" w:h="16840" w:orient="portrait"/>
          <w:cols w:equalWidth="0" w:num="1">
            <w:col w:w="10580"/>
          </w:cols>
          <w:pgMar w:left="660" w:top="562" w:right="660" w:bottom="1440" w:gutter="0" w:footer="0" w:header="0"/>
        </w:sectPr>
      </w:pPr>
    </w:p>
    <w:p>
      <w:pPr>
        <w:spacing w:after="0" w:line="201" w:lineRule="exact"/>
        <w:rPr>
          <w:sz w:val="20"/>
          <w:szCs w:val="20"/>
          <w:color w:val="auto"/>
        </w:rPr>
      </w:pPr>
    </w:p>
    <w:p>
      <w:pPr>
        <w:jc w:val="center"/>
        <w:ind w:right="3540"/>
        <w:spacing w:after="0"/>
        <w:rPr>
          <w:sz w:val="20"/>
          <w:szCs w:val="20"/>
          <w:color w:val="auto"/>
        </w:rPr>
      </w:pPr>
      <w:r>
        <w:rPr>
          <w:rFonts w:ascii="Arial" w:cs="Arial" w:eastAsia="Arial" w:hAnsi="Arial"/>
          <w:sz w:val="12"/>
          <w:szCs w:val="12"/>
          <w:b w:val="1"/>
          <w:bCs w:val="1"/>
          <w:color w:val="auto"/>
        </w:rPr>
        <w:t>Investment</w:t>
      </w:r>
    </w:p>
    <w:p>
      <w:pPr>
        <w:spacing w:after="0" w:line="34" w:lineRule="exact"/>
        <w:rPr>
          <w:sz w:val="20"/>
          <w:szCs w:val="20"/>
          <w:color w:val="auto"/>
        </w:rPr>
      </w:pPr>
    </w:p>
    <w:p>
      <w:pPr>
        <w:jc w:val="center"/>
        <w:ind w:right="3540"/>
        <w:spacing w:after="0"/>
        <w:rPr>
          <w:sz w:val="20"/>
          <w:szCs w:val="20"/>
          <w:color w:val="auto"/>
        </w:rPr>
      </w:pPr>
      <w:r>
        <w:rPr>
          <w:rFonts w:ascii="Arial" w:cs="Arial" w:eastAsia="Arial" w:hAnsi="Arial"/>
          <w:sz w:val="13"/>
          <w:szCs w:val="13"/>
          <w:b w:val="1"/>
          <w:bCs w:val="1"/>
          <w:color w:val="auto"/>
        </w:rPr>
        <w:t>Rating</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4180"/>
        <w:spacing w:after="0"/>
        <w:rPr>
          <w:sz w:val="20"/>
          <w:szCs w:val="20"/>
          <w:color w:val="auto"/>
        </w:rPr>
      </w:pPr>
      <w:r>
        <w:rPr>
          <w:rFonts w:ascii="Arial" w:cs="Arial" w:eastAsia="Arial" w:hAnsi="Arial"/>
          <w:sz w:val="13"/>
          <w:szCs w:val="13"/>
          <w:b w:val="1"/>
          <w:bCs w:val="1"/>
          <w:color w:val="auto"/>
        </w:rPr>
        <w:t>Rating Definition</w:t>
      </w:r>
    </w:p>
    <w:p>
      <w:pPr>
        <w:spacing w:after="0" w:line="144" w:lineRule="exact"/>
        <w:rPr>
          <w:sz w:val="20"/>
          <w:szCs w:val="20"/>
          <w:color w:val="auto"/>
        </w:rPr>
      </w:pPr>
    </w:p>
    <w:p>
      <w:pPr>
        <w:sectPr>
          <w:pgSz w:w="11900" w:h="16840" w:orient="portrait"/>
          <w:cols w:equalWidth="0" w:num="2">
            <w:col w:w="4620" w:space="720"/>
            <w:col w:w="5240"/>
          </w:cols>
          <w:pgMar w:left="660" w:top="562" w:right="660" w:bottom="1440" w:gutter="0" w:footer="0" w:header="0"/>
          <w:type w:val="continuous"/>
        </w:sectPr>
      </w:pPr>
    </w:p>
    <w:p>
      <w:pPr>
        <w:ind w:left="1180" w:hanging="676"/>
        <w:spacing w:after="0"/>
        <w:tabs>
          <w:tab w:leader="none" w:pos="1180" w:val="left"/>
        </w:tabs>
        <w:numPr>
          <w:ilvl w:val="0"/>
          <w:numId w:val="12"/>
        </w:numPr>
        <w:rPr>
          <w:rFonts w:ascii="Arial" w:cs="Arial" w:eastAsia="Arial" w:hAnsi="Arial"/>
          <w:sz w:val="26"/>
          <w:szCs w:val="26"/>
          <w:color w:val="auto"/>
          <w:vertAlign w:val="superscript"/>
        </w:rPr>
      </w:pPr>
      <w:r>
        <w:rPr>
          <w:rFonts w:ascii="Arial" w:cs="Arial" w:eastAsia="Arial" w:hAnsi="Arial"/>
          <w:sz w:val="13"/>
          <w:szCs w:val="13"/>
          <w:color w:val="auto"/>
        </w:rPr>
        <w:t>Performing above plan and/or strong enterprise profile, value, financial performance/coverage. Maintaining full covenant and payment compliance as agreed.</w:t>
      </w:r>
    </w:p>
    <w:p>
      <w:pPr>
        <w:spacing w:after="0" w:line="23" w:lineRule="exact"/>
        <w:rPr>
          <w:sz w:val="20"/>
          <w:szCs w:val="20"/>
          <w:color w:val="auto"/>
        </w:rPr>
      </w:pPr>
    </w:p>
    <w:p>
      <w:pPr>
        <w:ind w:left="1180" w:right="600" w:hanging="676"/>
        <w:spacing w:after="0" w:line="263" w:lineRule="auto"/>
        <w:tabs>
          <w:tab w:leader="none" w:pos="11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Performing at or reasonably close to plan. Acceptable business prospects, enterprise value, financial coverage. Maintaining key covenant and payment compliance as agreed. All new loans are initially graded Category 2.</w:t>
      </w:r>
    </w:p>
    <w:p>
      <w:pPr>
        <w:ind w:left="1180" w:right="140" w:hanging="676"/>
        <w:spacing w:after="0" w:line="269" w:lineRule="auto"/>
        <w:tabs>
          <w:tab w:leader="none" w:pos="1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ind w:left="1180" w:right="60" w:hanging="676"/>
        <w:spacing w:after="0" w:line="263" w:lineRule="auto"/>
        <w:tabs>
          <w:tab w:leader="none" w:pos="1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1" w:lineRule="exact"/>
        <w:rPr>
          <w:sz w:val="20"/>
          <w:szCs w:val="20"/>
          <w:color w:val="auto"/>
        </w:rPr>
      </w:pPr>
    </w:p>
    <w:p>
      <w:pPr>
        <w:ind w:left="1180" w:right="280" w:hanging="676"/>
        <w:spacing w:after="0" w:line="276" w:lineRule="auto"/>
        <w:tabs>
          <w:tab w:leader="none" w:pos="11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investment ratings of our debt investments at fair value as of June 30, 2023 and December 31, 2022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center"/>
              <w:ind w:left="114"/>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ind w:left="120"/>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53"/>
        </w:trPr>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left="114"/>
              <w:spacing w:after="0"/>
              <w:rPr>
                <w:sz w:val="20"/>
                <w:szCs w:val="20"/>
                <w:color w:val="auto"/>
              </w:rPr>
            </w:pPr>
            <w:r>
              <w:rPr>
                <w:rFonts w:ascii="Arial" w:cs="Arial" w:eastAsia="Arial" w:hAnsi="Arial"/>
                <w:sz w:val="13"/>
                <w:szCs w:val="13"/>
                <w:b w:val="1"/>
                <w:bCs w:val="1"/>
                <w:color w:val="auto"/>
              </w:rPr>
              <w:t>Portfolio</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Portfolio</w:t>
            </w:r>
          </w:p>
        </w:tc>
        <w:tc>
          <w:tcPr>
            <w:tcW w:w="0" w:type="dxa"/>
            <w:vAlign w:val="bottom"/>
          </w:tcPr>
          <w:p>
            <w:pPr>
              <w:spacing w:after="0"/>
              <w:rPr>
                <w:sz w:val="1"/>
                <w:szCs w:val="1"/>
                <w:color w:val="auto"/>
              </w:rPr>
            </w:pPr>
          </w:p>
        </w:tc>
      </w:tr>
      <w:tr>
        <w:trPr>
          <w:trHeight w:val="183"/>
        </w:trPr>
        <w:tc>
          <w:tcPr>
            <w:tcW w:w="1920" w:type="dxa"/>
            <w:vAlign w:val="bottom"/>
          </w:tcPr>
          <w:p>
            <w:pPr>
              <w:jc w:val="center"/>
              <w:ind w:right="74"/>
              <w:spacing w:after="0"/>
              <w:rPr>
                <w:sz w:val="20"/>
                <w:szCs w:val="20"/>
                <w:color w:val="auto"/>
              </w:rPr>
            </w:pPr>
            <w:r>
              <w:rPr>
                <w:rFonts w:ascii="Arial" w:cs="Arial" w:eastAsia="Arial" w:hAnsi="Arial"/>
                <w:sz w:val="13"/>
                <w:szCs w:val="13"/>
                <w:b w:val="1"/>
                <w:bCs w:val="1"/>
                <w:color w:val="auto"/>
              </w:rPr>
              <w:t>Investment Rating</w:t>
            </w:r>
          </w:p>
        </w:tc>
        <w:tc>
          <w:tcPr>
            <w:tcW w:w="180" w:type="dxa"/>
            <w:vAlign w:val="bottom"/>
          </w:tcPr>
          <w:p>
            <w:pPr>
              <w:spacing w:after="0"/>
              <w:rPr>
                <w:sz w:val="15"/>
                <w:szCs w:val="15"/>
                <w:color w:val="auto"/>
              </w:rPr>
            </w:pPr>
          </w:p>
        </w:tc>
        <w:tc>
          <w:tcPr>
            <w:tcW w:w="1020" w:type="dxa"/>
            <w:vAlign w:val="bottom"/>
          </w:tcPr>
          <w:p>
            <w:pPr>
              <w:jc w:val="right"/>
              <w:ind w:right="214"/>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4"/>
          </w:tcPr>
          <w:p>
            <w:pPr>
              <w:ind w:left="80"/>
              <w:spacing w:after="0"/>
              <w:rPr>
                <w:sz w:val="20"/>
                <w:szCs w:val="20"/>
                <w:color w:val="auto"/>
              </w:rPr>
            </w:pPr>
            <w:r>
              <w:rPr>
                <w:rFonts w:ascii="Arial" w:cs="Arial" w:eastAsia="Arial" w:hAnsi="Arial"/>
                <w:sz w:val="13"/>
                <w:szCs w:val="13"/>
                <w:b w:val="1"/>
                <w:bCs w:val="1"/>
                <w:color w:val="auto"/>
              </w:rPr>
              <w:t>% of Total Portfolio</w:t>
            </w:r>
          </w:p>
        </w:tc>
        <w:tc>
          <w:tcPr>
            <w:tcW w:w="920" w:type="dxa"/>
            <w:vAlign w:val="bottom"/>
          </w:tcPr>
          <w:p>
            <w:pPr>
              <w:jc w:val="center"/>
              <w:ind w:left="94"/>
              <w:spacing w:after="0"/>
              <w:rPr>
                <w:sz w:val="20"/>
                <w:szCs w:val="20"/>
                <w:color w:val="auto"/>
              </w:rPr>
            </w:pPr>
            <w:r>
              <w:rPr>
                <w:rFonts w:ascii="Arial" w:cs="Arial" w:eastAsia="Arial" w:hAnsi="Arial"/>
                <w:sz w:val="13"/>
                <w:szCs w:val="13"/>
                <w:b w:val="1"/>
                <w:bCs w:val="1"/>
                <w:color w:val="auto"/>
              </w:rPr>
              <w:t>Companies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3"/>
                <w:szCs w:val="13"/>
                <w:b w:val="1"/>
                <w:bCs w:val="1"/>
                <w:color w:val="auto"/>
              </w:rPr>
              <w:t>% of Total Portfolio</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Companies</w:t>
            </w:r>
          </w:p>
        </w:tc>
        <w:tc>
          <w:tcPr>
            <w:tcW w:w="0" w:type="dxa"/>
            <w:vAlign w:val="bottom"/>
          </w:tcPr>
          <w:p>
            <w:pPr>
              <w:spacing w:after="0"/>
              <w:rPr>
                <w:sz w:val="1"/>
                <w:szCs w:val="1"/>
                <w:color w:val="auto"/>
              </w:rPr>
            </w:pPr>
          </w:p>
        </w:tc>
      </w:tr>
      <w:tr>
        <w:trPr>
          <w:trHeight w:val="180"/>
        </w:trPr>
        <w:tc>
          <w:tcPr>
            <w:tcW w:w="1920" w:type="dxa"/>
            <w:vAlign w:val="bottom"/>
            <w:shd w:val="clear" w:color="auto" w:fill="CFF0FC"/>
          </w:tcPr>
          <w:p>
            <w:pPr>
              <w:jc w:val="center"/>
              <w:ind w:right="74"/>
              <w:spacing w:after="0"/>
              <w:rPr>
                <w:sz w:val="20"/>
                <w:szCs w:val="20"/>
                <w:color w:val="auto"/>
              </w:rPr>
            </w:pPr>
            <w:r>
              <w:rPr>
                <w:rFonts w:ascii="Arial" w:cs="Arial" w:eastAsia="Arial" w:hAnsi="Arial"/>
                <w:sz w:val="13"/>
                <w:szCs w:val="13"/>
                <w:color w:val="auto"/>
                <w:w w:val="82"/>
              </w:rPr>
              <w:t>1</w:t>
            </w:r>
          </w:p>
        </w:tc>
        <w:tc>
          <w:tcPr>
            <w:tcW w:w="18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gridSpan w:val="4"/>
            <w:shd w:val="clear" w:color="auto" w:fill="CFF0FC"/>
          </w:tcPr>
          <w:p>
            <w:pPr>
              <w:jc w:val="right"/>
              <w:ind w:right="140"/>
              <w:spacing w:after="0"/>
              <w:rPr>
                <w:sz w:val="20"/>
                <w:szCs w:val="20"/>
                <w:color w:val="auto"/>
              </w:rPr>
            </w:pPr>
            <w:r>
              <w:rPr>
                <w:rFonts w:ascii="Arial" w:cs="Arial" w:eastAsia="Arial" w:hAnsi="Arial"/>
                <w:sz w:val="13"/>
                <w:szCs w:val="13"/>
                <w:color w:val="auto"/>
              </w:rPr>
              <w:t>—  %</w:t>
            </w:r>
          </w:p>
        </w:tc>
        <w:tc>
          <w:tcPr>
            <w:tcW w:w="9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20" w:type="dxa"/>
            <w:vAlign w:val="bottom"/>
            <w:gridSpan w:val="4"/>
            <w:shd w:val="clear" w:color="auto" w:fill="CFF0FC"/>
          </w:tcPr>
          <w:p>
            <w:pPr>
              <w:jc w:val="right"/>
              <w:ind w:right="100"/>
              <w:spacing w:after="0"/>
              <w:rPr>
                <w:sz w:val="20"/>
                <w:szCs w:val="20"/>
                <w:color w:val="auto"/>
              </w:rPr>
            </w:pPr>
            <w:r>
              <w:rPr>
                <w:rFonts w:ascii="Arial" w:cs="Arial" w:eastAsia="Arial" w:hAnsi="Arial"/>
                <w:sz w:val="13"/>
                <w:szCs w:val="13"/>
                <w:color w:val="auto"/>
              </w:rPr>
              <w:t>—  %</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920" w:type="dxa"/>
            <w:vAlign w:val="bottom"/>
          </w:tcPr>
          <w:p>
            <w:pPr>
              <w:jc w:val="center"/>
              <w:ind w:right="74"/>
              <w:spacing w:after="0"/>
              <w:rPr>
                <w:sz w:val="20"/>
                <w:szCs w:val="20"/>
                <w:color w:val="auto"/>
              </w:rPr>
            </w:pPr>
            <w:r>
              <w:rPr>
                <w:rFonts w:ascii="Arial" w:cs="Arial" w:eastAsia="Arial" w:hAnsi="Arial"/>
                <w:sz w:val="13"/>
                <w:szCs w:val="13"/>
                <w:color w:val="auto"/>
                <w:w w:val="82"/>
              </w:rPr>
              <w:t>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870,162</w:t>
            </w:r>
          </w:p>
        </w:tc>
        <w:tc>
          <w:tcPr>
            <w:tcW w:w="1480" w:type="dxa"/>
            <w:vAlign w:val="bottom"/>
            <w:gridSpan w:val="3"/>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6"/>
              </w:rPr>
              <w:t>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1,006,247</w:t>
            </w:r>
          </w:p>
        </w:tc>
        <w:tc>
          <w:tcPr>
            <w:tcW w:w="1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jc w:val="center"/>
              <w:ind w:right="74"/>
              <w:spacing w:after="0"/>
              <w:rPr>
                <w:sz w:val="20"/>
                <w:szCs w:val="20"/>
                <w:color w:val="auto"/>
              </w:rPr>
            </w:pPr>
            <w:r>
              <w:rPr>
                <w:rFonts w:ascii="Arial" w:cs="Arial" w:eastAsia="Arial" w:hAnsi="Arial"/>
                <w:sz w:val="13"/>
                <w:szCs w:val="13"/>
                <w:color w:val="auto"/>
                <w:w w:val="82"/>
              </w:rPr>
              <w:t>3</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162,425</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14.8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78,238</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tcPr>
          <w:p>
            <w:pPr>
              <w:jc w:val="center"/>
              <w:ind w:right="74"/>
              <w:spacing w:after="0"/>
              <w:rPr>
                <w:sz w:val="20"/>
                <w:szCs w:val="20"/>
                <w:color w:val="auto"/>
              </w:rPr>
            </w:pPr>
            <w:r>
              <w:rPr>
                <w:rFonts w:ascii="Arial" w:cs="Arial" w:eastAsia="Arial" w:hAnsi="Arial"/>
                <w:sz w:val="13"/>
                <w:szCs w:val="13"/>
                <w:color w:val="auto"/>
                <w:w w:val="82"/>
              </w:rPr>
              <w:t>4</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1920" w:type="dxa"/>
            <w:vAlign w:val="bottom"/>
            <w:shd w:val="clear" w:color="auto" w:fill="CFF0FC"/>
          </w:tcPr>
          <w:p>
            <w:pPr>
              <w:jc w:val="center"/>
              <w:ind w:right="74"/>
              <w:spacing w:after="0"/>
              <w:rPr>
                <w:sz w:val="20"/>
                <w:szCs w:val="20"/>
                <w:color w:val="auto"/>
              </w:rPr>
            </w:pPr>
            <w:r>
              <w:rPr>
                <w:rFonts w:ascii="Arial" w:cs="Arial" w:eastAsia="Arial" w:hAnsi="Arial"/>
                <w:sz w:val="13"/>
                <w:szCs w:val="13"/>
                <w:color w:val="auto"/>
                <w:w w:val="82"/>
              </w:rPr>
              <w:t>5</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11,613</w:t>
            </w:r>
          </w:p>
        </w:tc>
        <w:tc>
          <w:tcPr>
            <w:tcW w:w="14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9,290</w:t>
            </w:r>
          </w:p>
        </w:tc>
        <w:tc>
          <w:tcPr>
            <w:tcW w:w="1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1,044,200</w:t>
            </w:r>
          </w:p>
        </w:tc>
        <w:tc>
          <w:tcPr>
            <w:tcW w:w="1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6"/>
              </w:rPr>
              <w:t>31</w:t>
            </w:r>
          </w:p>
        </w:tc>
        <w:tc>
          <w:tcPr>
            <w:tcW w:w="1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1,093,775</w:t>
            </w:r>
          </w:p>
        </w:tc>
        <w:tc>
          <w:tcPr>
            <w:tcW w:w="1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97.1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highlight w:val="white"/>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Loans and Debt Securities on Non-Accrual Status</w:t>
      </w:r>
    </w:p>
    <w:p>
      <w:pPr>
        <w:spacing w:after="0" w:line="196"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As of June 30, 2023, and December 31, 2022, we have not written off any accrued and uncollected PIK interest. As of June 30, 2023, we had one loan to Pivot3, Inc. on non-accrual status. The loan, with a cost basis of $18.0 million and a fair value of $11.6 million, represents 1.06% of the total investment portfolio. From being placed on non-accrual status through June 30, 2023, cumulative interest of $5.1 million would be receivable and $0.3 million OID would be accreted into the cost basis, for a total of $5.4 million not recorded in Interest income from control investments on the Statement of Operations. As of December 31, 2022, we had one loan to Pivot3, Inc. on non-accrual status. The loan, with a cost basis of $19.2 million and a fair market value of $9.3 million represents 0.8% of the total investment portfolio. From being placed on non-accrual status through December 31, 2022, cumulative interest of $3.6 million would be payable and $0.3 million OID would be accreted into the cost basis, for a total of $3.9 million not recorded in Interest income from control investments on the Statement of Operations.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40" w:orient="portrait"/>
          <w:cols w:equalWidth="0" w:num="1">
            <w:col w:w="10580"/>
          </w:cols>
          <w:pgMar w:left="660" w:top="562" w:right="660" w:bottom="1440" w:gutter="0" w:footer="0" w:header="0"/>
          <w:type w:val="continuous"/>
        </w:sectPr>
      </w:pPr>
    </w:p>
    <w:bookmarkStart w:id="56" w:name="page57"/>
    <w:bookmarkEnd w:id="56"/>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9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An important measure of our financial performance is net increase/(decrease) in net assets resulting from operations, which includes net investment income/(loss), net realized gain/(loss) and net unrealized gain/(loss).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gain/(loss) on investments is the net change in the fair value of our investment portfolio.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June 30, 2023 and 2022</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comparison of the results of our operations for the three months ended June 30, 2023 and 2022 (dollars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4"/>
          </w:tcPr>
          <w:p>
            <w:pPr>
              <w:jc w:val="right"/>
              <w:ind w:right="74"/>
              <w:spacing w:after="0"/>
              <w:rPr>
                <w:sz w:val="20"/>
                <w:szCs w:val="20"/>
                <w:color w:val="auto"/>
              </w:rPr>
            </w:pPr>
            <w:r>
              <w:rPr>
                <w:rFonts w:ascii="Arial" w:cs="Arial" w:eastAsia="Arial" w:hAnsi="Arial"/>
                <w:sz w:val="13"/>
                <w:szCs w:val="13"/>
                <w:b w:val="1"/>
                <w:bCs w:val="1"/>
                <w:color w:val="auto"/>
              </w:rPr>
              <w:t>Three Months Ended June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2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60" w:type="dxa"/>
            <w:vAlign w:val="bottom"/>
          </w:tcPr>
          <w:p>
            <w:pPr>
              <w:jc w:val="right"/>
              <w:ind w:right="14"/>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Per Share</w:t>
            </w:r>
            <w:r>
              <w:rPr>
                <w:rFonts w:ascii="Arial" w:cs="Arial" w:eastAsia="Arial" w:hAnsi="Arial"/>
                <w:sz w:val="16"/>
                <w:szCs w:val="16"/>
                <w:b w:val="1"/>
                <w:bCs w:val="1"/>
                <w:color w:val="auto"/>
                <w:vertAlign w:val="superscript"/>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Per Share</w:t>
            </w:r>
            <w:r>
              <w:rPr>
                <w:rFonts w:ascii="Arial" w:cs="Arial" w:eastAsia="Arial" w:hAnsi="Arial"/>
                <w:sz w:val="16"/>
                <w:szCs w:val="16"/>
                <w:b w:val="1"/>
                <w:bCs w:val="1"/>
                <w:color w:val="auto"/>
                <w:w w:val="97"/>
                <w:vertAlign w:val="superscript"/>
              </w:rPr>
              <w:t>(1)</w:t>
            </w: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Investment income</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Interest and dividend income</w:t>
            </w:r>
          </w:p>
        </w:tc>
        <w:tc>
          <w:tcPr>
            <w:tcW w:w="960" w:type="dxa"/>
            <w:vAlign w:val="bottom"/>
          </w:tcPr>
          <w:p>
            <w:pPr>
              <w:jc w:val="right"/>
              <w:ind w:right="79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41,155</w:t>
            </w:r>
          </w:p>
        </w:tc>
        <w:tc>
          <w:tcPr>
            <w:tcW w:w="100" w:type="dxa"/>
            <w:vAlign w:val="bottom"/>
          </w:tcPr>
          <w:p>
            <w:pPr>
              <w:spacing w:after="0"/>
              <w:rPr>
                <w:sz w:val="15"/>
                <w:szCs w:val="15"/>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5"/>
                <w:szCs w:val="15"/>
                <w:color w:val="auto"/>
              </w:rPr>
            </w:pPr>
          </w:p>
        </w:tc>
        <w:tc>
          <w:tcPr>
            <w:tcW w:w="104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24,494</w:t>
            </w:r>
          </w:p>
        </w:tc>
        <w:tc>
          <w:tcPr>
            <w:tcW w:w="8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0.59</w:t>
            </w:r>
          </w:p>
        </w:tc>
        <w:tc>
          <w:tcPr>
            <w:tcW w:w="80" w:type="dxa"/>
            <w:vAlign w:val="bottom"/>
          </w:tcPr>
          <w:p>
            <w:pPr>
              <w:spacing w:after="0"/>
              <w:rPr>
                <w:sz w:val="15"/>
                <w:szCs w:val="15"/>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Other income</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FF0FC"/>
          </w:tcPr>
          <w:p>
            <w:pPr>
              <w:spacing w:after="0"/>
              <w:rPr>
                <w:sz w:val="16"/>
                <w:szCs w:val="16"/>
                <w:color w:val="auto"/>
              </w:rPr>
            </w:pPr>
          </w:p>
        </w:tc>
      </w:tr>
      <w:tr>
        <w:trPr>
          <w:trHeight w:val="180"/>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investment income</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41,895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25,025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0.61</w:t>
            </w:r>
          </w:p>
        </w:tc>
        <w:tc>
          <w:tcPr>
            <w:tcW w:w="80" w:type="dxa"/>
            <w:vAlign w:val="bottom"/>
          </w:tcPr>
          <w:p>
            <w:pPr>
              <w:spacing w:after="0"/>
              <w:rPr>
                <w:sz w:val="15"/>
                <w:szCs w:val="15"/>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Management fees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0.07</w:t>
            </w:r>
          </w:p>
        </w:tc>
        <w:tc>
          <w:tcPr>
            <w:tcW w:w="80" w:type="dxa"/>
            <w:vAlign w:val="bottom"/>
          </w:tcPr>
          <w:p>
            <w:pPr>
              <w:spacing w:after="0"/>
              <w:rPr>
                <w:sz w:val="15"/>
                <w:szCs w:val="15"/>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Incentive fees</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4,920</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0.09</w:t>
            </w:r>
          </w:p>
        </w:tc>
        <w:tc>
          <w:tcPr>
            <w:tcW w:w="80" w:type="dxa"/>
            <w:vAlign w:val="bottom"/>
            <w:shd w:val="clear" w:color="auto" w:fill="CFF0FC"/>
          </w:tcPr>
          <w:p>
            <w:pPr>
              <w:spacing w:after="0"/>
              <w:rPr>
                <w:sz w:val="16"/>
                <w:szCs w:val="16"/>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Interest and other debt financing expenses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11,410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0.06</w:t>
            </w:r>
          </w:p>
        </w:tc>
        <w:tc>
          <w:tcPr>
            <w:tcW w:w="80" w:type="dxa"/>
            <w:vAlign w:val="bottom"/>
          </w:tcPr>
          <w:p>
            <w:pPr>
              <w:spacing w:after="0"/>
              <w:rPr>
                <w:sz w:val="15"/>
                <w:szCs w:val="15"/>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Professional fees</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813</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FF0FC"/>
          </w:tcPr>
          <w:p>
            <w:pPr>
              <w:spacing w:after="0"/>
              <w:rPr>
                <w:sz w:val="16"/>
                <w:szCs w:val="16"/>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Administration agreement expenses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5"/>
                <w:szCs w:val="15"/>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Insurance expense</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FF0FC"/>
          </w:tcPr>
          <w:p>
            <w:pPr>
              <w:spacing w:after="0"/>
              <w:rPr>
                <w:sz w:val="16"/>
                <w:szCs w:val="16"/>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Tax expense</w:t>
            </w:r>
          </w:p>
        </w:tc>
        <w:tc>
          <w:tcPr>
            <w:tcW w:w="9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Other expenses</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FF0FC"/>
          </w:tcPr>
          <w:p>
            <w:pPr>
              <w:spacing w:after="0"/>
              <w:rPr>
                <w:sz w:val="16"/>
                <w:szCs w:val="16"/>
                <w:color w:val="auto"/>
              </w:rPr>
            </w:pPr>
          </w:p>
        </w:tc>
      </w:tr>
      <w:tr>
        <w:trPr>
          <w:trHeight w:val="180"/>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operating expenses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22,219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0.26</w:t>
            </w:r>
          </w:p>
        </w:tc>
        <w:tc>
          <w:tcPr>
            <w:tcW w:w="80" w:type="dxa"/>
            <w:vAlign w:val="bottom"/>
          </w:tcPr>
          <w:p>
            <w:pPr>
              <w:spacing w:after="0"/>
              <w:rPr>
                <w:sz w:val="15"/>
                <w:szCs w:val="15"/>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Net investment income</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19,676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0.49</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0.35</w:t>
            </w:r>
          </w:p>
        </w:tc>
        <w:tc>
          <w:tcPr>
            <w:tcW w:w="80" w:type="dxa"/>
            <w:vAlign w:val="bottom"/>
            <w:shd w:val="clear" w:color="auto" w:fill="CFF0FC"/>
          </w:tcPr>
          <w:p>
            <w:pPr>
              <w:spacing w:after="0"/>
              <w:rPr>
                <w:sz w:val="15"/>
                <w:szCs w:val="15"/>
                <w:color w:val="auto"/>
              </w:rPr>
            </w:pPr>
          </w:p>
        </w:tc>
      </w:tr>
      <w:tr>
        <w:trPr>
          <w:trHeight w:val="180"/>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Realized gain (loss) on investments</w:t>
            </w:r>
          </w:p>
        </w:tc>
        <w:tc>
          <w:tcPr>
            <w:tcW w:w="9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5"/>
                <w:szCs w:val="15"/>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Net change in unrealized gain (loss) on investments</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(16,199 )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(0.39 )</w:t>
            </w:r>
          </w:p>
        </w:tc>
      </w:tr>
      <w:tr>
        <w:trPr>
          <w:trHeight w:val="336"/>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22,320</w:t>
            </w: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0.55</w:t>
            </w:r>
          </w:p>
        </w:tc>
        <w:tc>
          <w:tcPr>
            <w:tcW w:w="100" w:type="dxa"/>
            <w:vAlign w:val="bottom"/>
          </w:tcPr>
          <w:p>
            <w:pPr>
              <w:spacing w:after="0"/>
              <w:rPr>
                <w:sz w:val="24"/>
                <w:szCs w:val="24"/>
                <w:color w:val="auto"/>
              </w:rPr>
            </w:pPr>
          </w:p>
        </w:tc>
        <w:tc>
          <w:tcPr>
            <w:tcW w:w="104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(817 )</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(0.02 )</w:t>
            </w:r>
          </w:p>
        </w:tc>
      </w:tr>
      <w:tr>
        <w:trPr>
          <w:trHeight w:val="20"/>
        </w:trPr>
        <w:tc>
          <w:tcPr>
            <w:tcW w:w="2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
        </w:trPr>
        <w:tc>
          <w:tcPr>
            <w:tcW w:w="2820" w:type="dxa"/>
            <w:vAlign w:val="bottom"/>
            <w:tcBorders>
              <w:bottom w:val="single" w:sz="8" w:color="auto"/>
            </w:tcBorders>
          </w:tcPr>
          <w:p>
            <w:pPr>
              <w:spacing w:after="0"/>
              <w:rPr>
                <w:sz w:val="3"/>
                <w:szCs w:val="3"/>
                <w:color w:val="auto"/>
              </w:rPr>
            </w:pPr>
          </w:p>
        </w:tc>
        <w:tc>
          <w:tcPr>
            <w:tcW w:w="1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r>
    </w:tbl>
    <w:p>
      <w:pPr>
        <w:ind w:left="360"/>
        <w:spacing w:after="0" w:line="186" w:lineRule="auto"/>
        <w:rPr>
          <w:sz w:val="20"/>
          <w:szCs w:val="20"/>
          <w:color w:val="auto"/>
        </w:rPr>
      </w:pPr>
      <w:r>
        <w:rPr>
          <w:rFonts w:ascii="Arial" w:cs="Arial" w:eastAsia="Arial" w:hAnsi="Arial"/>
          <w:sz w:val="31"/>
          <w:szCs w:val="31"/>
          <w:color w:val="auto"/>
          <w:vertAlign w:val="superscript"/>
        </w:rPr>
        <w:t>(1)</w:t>
      </w:r>
      <w:r>
        <w:rPr>
          <w:rFonts w:ascii="Arial" w:cs="Arial" w:eastAsia="Arial" w:hAnsi="Arial"/>
          <w:sz w:val="13"/>
          <w:szCs w:val="13"/>
          <w:color w:val="auto"/>
        </w:rPr>
        <w:t>The basic per share figures noted above are based on weighted averages of 40,509,269 and 41,215,664 shares outstanding for the three months ended June 30, 2023 and</w:t>
      </w:r>
    </w:p>
    <w:p>
      <w:pPr>
        <w:ind w:left="360"/>
        <w:spacing w:after="0"/>
        <w:rPr>
          <w:sz w:val="20"/>
          <w:szCs w:val="20"/>
          <w:color w:val="auto"/>
        </w:rPr>
      </w:pPr>
      <w:r>
        <w:rPr>
          <w:rFonts w:ascii="Arial" w:cs="Arial" w:eastAsia="Arial" w:hAnsi="Arial"/>
          <w:sz w:val="13"/>
          <w:szCs w:val="13"/>
          <w:color w:val="auto"/>
        </w:rPr>
        <w:t>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Income</w:t>
      </w:r>
    </w:p>
    <w:p>
      <w:pPr>
        <w:spacing w:after="0" w:line="19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investments in loans will generally range from between $10.0 million to $100.0 million, and the upper end of this range may increase as we raise additional capital.</w:t>
      </w:r>
    </w:p>
    <w:p>
      <w:pPr>
        <w:spacing w:after="0" w:line="176"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40" w:orient="portrait"/>
          <w:cols w:equalWidth="0" w:num="1">
            <w:col w:w="10580"/>
          </w:cols>
          <w:pgMar w:left="660" w:top="562" w:right="660" w:bottom="1440" w:gutter="0" w:footer="0" w:header="0"/>
        </w:sectPr>
      </w:pPr>
    </w:p>
    <w:bookmarkStart w:id="57" w:name="page58"/>
    <w:bookmarkEnd w:id="57"/>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for the three months ended June 30, 2023 and 2022 was $41.9 million and $25.0 million, respectively, and includes non-recurring income of $2.8 million and $1.7 million, respectively. Non -recurring income includes, but is not limited to, unamortized OID, prepayment fees and amendment fees. The increase in investment income for the three months ended June 30, 2023 compared to the three months ended June 30, 2022 was primarily due to increased interest income driven by our deployment of capital, increased invested balance, and increased market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Expenses</w:t>
      </w:r>
    </w:p>
    <w:p>
      <w:pPr>
        <w:spacing w:after="0" w:line="194" w:lineRule="exact"/>
        <w:rPr>
          <w:sz w:val="20"/>
          <w:szCs w:val="20"/>
          <w:color w:val="auto"/>
        </w:rPr>
      </w:pPr>
    </w:p>
    <w:p>
      <w:pPr>
        <w:jc w:val="both"/>
        <w:ind w:right="140"/>
        <w:spacing w:after="0" w:line="243" w:lineRule="auto"/>
        <w:rPr>
          <w:sz w:val="20"/>
          <w:szCs w:val="20"/>
          <w:color w:val="auto"/>
        </w:rPr>
      </w:pPr>
      <w:r>
        <w:rPr>
          <w:rFonts w:ascii="Arial" w:cs="Arial" w:eastAsia="Arial" w:hAnsi="Arial"/>
          <w:sz w:val="16"/>
          <w:szCs w:val="16"/>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37" w:lineRule="exact"/>
        <w:rPr>
          <w:sz w:val="20"/>
          <w:szCs w:val="20"/>
          <w:color w:val="auto"/>
        </w:rPr>
      </w:pPr>
    </w:p>
    <w:p>
      <w:pPr>
        <w:ind w:left="360" w:right="360"/>
        <w:spacing w:after="0" w:line="252" w:lineRule="auto"/>
        <w:rPr>
          <w:sz w:val="20"/>
          <w:szCs w:val="20"/>
          <w:color w:val="auto"/>
        </w:rPr>
      </w:pPr>
      <w:r>
        <w:rPr>
          <w:rFonts w:ascii="Arial" w:cs="Arial" w:eastAsia="Arial" w:hAnsi="Arial"/>
          <w:sz w:val="16"/>
          <w:szCs w:val="16"/>
          <w:color w:val="auto"/>
        </w:rPr>
        <w:t>•our pro -rata portion of fees and expenses related an initial public offering in connection with a Spin-Off transaction (as defined in "Note 9 – Net Assets" to our financial statements in Part I, Item 1 of this Form 10-Q);</w:t>
      </w:r>
    </w:p>
    <w:p>
      <w:pPr>
        <w:spacing w:after="0" w:line="70" w:lineRule="exact"/>
        <w:rPr>
          <w:sz w:val="20"/>
          <w:szCs w:val="20"/>
          <w:color w:val="auto"/>
        </w:rPr>
      </w:pPr>
    </w:p>
    <w:p>
      <w:pPr>
        <w:ind w:left="360" w:right="3300"/>
        <w:spacing w:after="0" w:line="411" w:lineRule="auto"/>
        <w:rPr>
          <w:sz w:val="20"/>
          <w:szCs w:val="20"/>
          <w:color w:val="auto"/>
        </w:rPr>
      </w:pPr>
      <w:r>
        <w:rPr>
          <w:rFonts w:ascii="Arial" w:cs="Arial" w:eastAsia="Arial" w:hAnsi="Arial"/>
          <w:sz w:val="14"/>
          <w:szCs w:val="14"/>
          <w:color w:val="auto"/>
        </w:rPr>
        <w:t>•fees and expenses related to public and private offerings, sales and repurchases of our securities; •calculating our net asset value (including the cost and expenses of any independent valuation firm);</w:t>
      </w:r>
    </w:p>
    <w:p>
      <w:pPr>
        <w:spacing w:after="0" w:line="1" w:lineRule="exact"/>
        <w:rPr>
          <w:sz w:val="20"/>
          <w:szCs w:val="20"/>
          <w:color w:val="auto"/>
        </w:rPr>
      </w:pPr>
    </w:p>
    <w:p>
      <w:pPr>
        <w:jc w:val="both"/>
        <w:ind w:left="360" w:right="80"/>
        <w:spacing w:after="0" w:line="243" w:lineRule="auto"/>
        <w:rPr>
          <w:sz w:val="20"/>
          <w:szCs w:val="20"/>
          <w:color w:val="auto"/>
        </w:rPr>
      </w:pPr>
      <w:r>
        <w:rPr>
          <w:rFonts w:ascii="Arial" w:cs="Arial" w:eastAsia="Arial" w:hAnsi="Arial"/>
          <w:sz w:val="16"/>
          <w:szCs w:val="16"/>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payable on debt incurred to finance our investments;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•sales and purchases of our common stock and other securities;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•investment advisory and management fees;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•administration fees payable under the Administration Agreement;</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•transfer agent and custodial fees;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•federal and state registration fees;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costs of registration and listing our securities on any securities exchange;</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•U.S. federal, state and local taxes;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•independent directors’ fees and expenses;</w:t>
      </w:r>
    </w:p>
    <w:p>
      <w:pPr>
        <w:spacing w:after="0" w:line="92" w:lineRule="exact"/>
        <w:rPr>
          <w:sz w:val="20"/>
          <w:szCs w:val="20"/>
          <w:color w:val="auto"/>
        </w:rPr>
      </w:pPr>
    </w:p>
    <w:p>
      <w:pPr>
        <w:ind w:left="360" w:right="500"/>
        <w:spacing w:after="0" w:line="360" w:lineRule="auto"/>
        <w:rPr>
          <w:sz w:val="20"/>
          <w:szCs w:val="20"/>
          <w:color w:val="auto"/>
        </w:rPr>
      </w:pPr>
      <w:r>
        <w:rPr>
          <w:rFonts w:ascii="Arial" w:cs="Arial" w:eastAsia="Arial" w:hAnsi="Arial"/>
          <w:sz w:val="16"/>
          <w:szCs w:val="16"/>
          <w:color w:val="auto"/>
        </w:rPr>
        <w:t>•costs of preparing and filing reports or other documents required by the SEC, the Financial Industry Regulatory Authority or other regulators; •costs of any reports, proxy statements or other notices to stockholders, including printing costs;</w:t>
      </w:r>
    </w:p>
    <w:p>
      <w:pPr>
        <w:ind w:left="360"/>
        <w:spacing w:after="0"/>
        <w:rPr>
          <w:sz w:val="20"/>
          <w:szCs w:val="20"/>
          <w:color w:val="auto"/>
        </w:rPr>
      </w:pPr>
      <w:r>
        <w:rPr>
          <w:rFonts w:ascii="Arial" w:cs="Arial" w:eastAsia="Arial" w:hAnsi="Arial"/>
          <w:sz w:val="16"/>
          <w:szCs w:val="16"/>
          <w:color w:val="auto"/>
        </w:rPr>
        <w:t>•our allocable portion of any fidelity bond, directors’ and officers’ errors and omissions liability insurance, and any other insurance premiums;</w:t>
      </w:r>
    </w:p>
    <w:p>
      <w:pPr>
        <w:spacing w:after="0" w:line="92" w:lineRule="exact"/>
        <w:rPr>
          <w:sz w:val="20"/>
          <w:szCs w:val="20"/>
          <w:color w:val="auto"/>
        </w:rPr>
      </w:pPr>
    </w:p>
    <w:p>
      <w:pPr>
        <w:ind w:left="360" w:right="180"/>
        <w:spacing w:after="0" w:line="252" w:lineRule="auto"/>
        <w:rPr>
          <w:sz w:val="20"/>
          <w:szCs w:val="20"/>
          <w:color w:val="auto"/>
        </w:rPr>
      </w:pPr>
      <w:r>
        <w:rPr>
          <w:rFonts w:ascii="Arial" w:cs="Arial" w:eastAsia="Arial" w:hAnsi="Arial"/>
          <w:sz w:val="16"/>
          <w:szCs w:val="16"/>
          <w:color w:val="auto"/>
        </w:rPr>
        <w:t>•direct costs and expenses of administration, including printing, mailing, long distance telephone, copying, secretarial and other staff, independent auditors and outside legal costs; and</w:t>
      </w:r>
    </w:p>
    <w:p>
      <w:pPr>
        <w:spacing w:after="0" w:line="70" w:lineRule="exact"/>
        <w:rPr>
          <w:sz w:val="20"/>
          <w:szCs w:val="20"/>
          <w:color w:val="auto"/>
        </w:rPr>
      </w:pPr>
    </w:p>
    <w:p>
      <w:pPr>
        <w:ind w:left="360" w:right="400"/>
        <w:spacing w:after="0"/>
        <w:rPr>
          <w:sz w:val="20"/>
          <w:szCs w:val="20"/>
          <w:color w:val="auto"/>
        </w:rPr>
      </w:pPr>
      <w:r>
        <w:rPr>
          <w:rFonts w:ascii="Arial" w:cs="Arial" w:eastAsia="Arial" w:hAnsi="Arial"/>
          <w:sz w:val="16"/>
          <w:szCs w:val="16"/>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76"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Operating expenses for the three months ended June 30, 2023 and 2022 were $22.2 million and $10.5 million, respectively. Operating expenses increased for the three months ended June 30, 2023 from the three months ended June 30, 2022 primarily due to an increase in interest expense as a result of increased leverage, performance-based incentive fees, and management fees. Operating expenses for the three months ended June 30, 2023 and 2022 were $0.55 and $0.26 per share, respectively.</w:t>
      </w:r>
    </w:p>
    <w:p>
      <w:pPr>
        <w:spacing w:after="0" w:line="176" w:lineRule="exact"/>
        <w:rPr>
          <w:sz w:val="20"/>
          <w:szCs w:val="20"/>
          <w:color w:val="auto"/>
        </w:rPr>
      </w:pPr>
    </w:p>
    <w:p>
      <w:pPr>
        <w:jc w:val="both"/>
        <w:ind w:right="100"/>
        <w:spacing w:after="0" w:line="243" w:lineRule="auto"/>
        <w:rPr>
          <w:sz w:val="20"/>
          <w:szCs w:val="20"/>
          <w:color w:val="auto"/>
        </w:rPr>
      </w:pPr>
      <w:r>
        <w:rPr>
          <w:rFonts w:ascii="Arial" w:cs="Arial" w:eastAsia="Arial" w:hAnsi="Arial"/>
          <w:sz w:val="16"/>
          <w:szCs w:val="16"/>
          <w:color w:val="auto"/>
        </w:rPr>
        <w:t>Management fees for the three months ended June 30, 2023 and 2022 were $ 4.3 million and $2.8 million, respectively. Management fees increased for the three months ended June 30, 2023 from the three months ended June 30, 2022 primarily due to an increase in gross assets, offset by a decrease in the base management rate from 1.6% to 1.5% per annum.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58" w:name="page59"/>
    <w:bookmarkEnd w:id="58"/>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Incentive fees for the three months ended June 30, 2023 and 2022 were $ 4.9 million and $ 3.6 million, respectively. Incentive fees increased for the three months ended June 30, 2023 from the three months ended June 30, 2022 primarily due to an increase in net investment income. For the three months ended June 30, 2023, $3.4 million of the incentive fees were payable in cash, and $1.5 million were deferred and accrued. For the three months ended June 30, 2022, $ 3.0 million of the incentive fees were payable in cash, and $0.6 million were deferred and accrued. Incentive fees related to PIK or deferred interest are accrued and payment is deferred until such interest is collected in cash. Incentive fees for the three months ended June 30, 2023 and 2022 were $0.12 and $0.09 per share,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Income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investment income for the three months ended June 30, 2023 and 2022 was $ 19.7 million and $14.5 million, respectively. Net investment income increased for the three months ended June 30, 2023 from the three months ended June 30, 2022 was primarily due to rising interest rates on our investments, partially offset by an increase in interest expense, performance-based incentive fees, and management fees. Net investment income for the three months ended June 30, 2023 and 2022 was $0.49 and $0.35 per share,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Realized Gain (Loss) on Investments</w:t>
      </w:r>
    </w:p>
    <w:p>
      <w:pPr>
        <w:spacing w:after="0" w:line="194" w:lineRule="exact"/>
        <w:rPr>
          <w:sz w:val="20"/>
          <w:szCs w:val="20"/>
          <w:color w:val="auto"/>
        </w:rPr>
      </w:pPr>
    </w:p>
    <w:p>
      <w:pPr>
        <w:ind w:right="20"/>
        <w:spacing w:after="0" w:line="322" w:lineRule="auto"/>
        <w:rPr>
          <w:sz w:val="20"/>
          <w:szCs w:val="20"/>
          <w:color w:val="auto"/>
        </w:rPr>
      </w:pPr>
      <w:r>
        <w:rPr>
          <w:rFonts w:ascii="Arial" w:cs="Arial" w:eastAsia="Arial" w:hAnsi="Arial"/>
          <w:sz w:val="14"/>
          <w:szCs w:val="14"/>
          <w:color w:val="auto"/>
        </w:rPr>
        <w:t>There were no net realized gains (losses) on investments for the three months ended June 30, 2023. The net realized gain on investments of $0.9 million for the three months ended June 30, 2022 was primarily due to the gain on a portion of our investment in the common stock of Brilliant Earth Group, Inc.</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Change in Unrealized Gain (Loss) on Investments</w:t>
      </w:r>
    </w:p>
    <w:p>
      <w:pPr>
        <w:spacing w:after="0" w:line="194"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Net change in unrealized gain (loss) on investments of $2.6 million for the three months ended June 30, 2023 was primarily due to an increase in the fair value of our senior secured loans to Brivo, Inc., as well as a recovery of $1.2 million in liquidation of assets related to the senior secured loan to Pivot3, Inc., which released prior unrealized loss recorded on the investment. The net change in unrealized loss on investments of $ 16.2 million for the three months ended June 30, 2022 was primarily due to decreases in the fair value of our investment in the senior secured loan to Pivot3, Inc. and common stock of Brilliant Earth Group, Inc.</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59" w:name="page60"/>
    <w:bookmarkEnd w:id="59"/>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Increase (Decrease) in Net Assets Resulting from Operations</w:t>
      </w:r>
    </w:p>
    <w:p>
      <w:pPr>
        <w:spacing w:after="0" w:line="194" w:lineRule="exact"/>
        <w:rPr>
          <w:sz w:val="20"/>
          <w:szCs w:val="20"/>
          <w:color w:val="auto"/>
        </w:rPr>
      </w:pPr>
    </w:p>
    <w:p>
      <w:pPr>
        <w:ind w:right="40"/>
        <w:spacing w:after="0"/>
        <w:rPr>
          <w:sz w:val="20"/>
          <w:szCs w:val="20"/>
          <w:color w:val="auto"/>
        </w:rPr>
      </w:pPr>
      <w:r>
        <w:rPr>
          <w:rFonts w:ascii="Arial" w:cs="Arial" w:eastAsia="Arial" w:hAnsi="Arial"/>
          <w:sz w:val="16"/>
          <w:szCs w:val="16"/>
          <w:color w:val="auto"/>
        </w:rPr>
        <w:t>We had a net increase in net assets resulting from operations of $ 22.3 million for the three months ended June 30, 2023, as compared to a net decrease in net assets resulting from operations of $ 0.8 million for the three months ended June 30, 2022. The net increase in net assets resulting from operations for the three months ended June 30, 2023 from the three months ended June 30, 2022 was primarily due to the comparative net change in unrealized gain (loss), as well as an increase in net investment income for the three months ended June 30, 2023.</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Six Months Ended June 30, 2023 and 2022</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comparison of the results of our operations for the six months ended June 30, 2023 and 2022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4"/>
          </w:tcPr>
          <w:p>
            <w:pPr>
              <w:jc w:val="right"/>
              <w:ind w:right="154"/>
              <w:spacing w:after="0"/>
              <w:rPr>
                <w:sz w:val="20"/>
                <w:szCs w:val="20"/>
                <w:color w:val="auto"/>
              </w:rPr>
            </w:pPr>
            <w:r>
              <w:rPr>
                <w:rFonts w:ascii="Arial" w:cs="Arial" w:eastAsia="Arial" w:hAnsi="Arial"/>
                <w:sz w:val="13"/>
                <w:szCs w:val="13"/>
                <w:b w:val="1"/>
                <w:bCs w:val="1"/>
                <w:color w:val="auto"/>
              </w:rPr>
              <w:t>Six Months Ended June 30,</w:t>
            </w: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auto"/>
              </w:rPr>
              <w:t>Total</w:t>
            </w:r>
          </w:p>
        </w:tc>
        <w:tc>
          <w:tcPr>
            <w:tcW w:w="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Per Share</w:t>
            </w:r>
            <w:r>
              <w:rPr>
                <w:rFonts w:ascii="Arial" w:cs="Arial" w:eastAsia="Arial" w:hAnsi="Arial"/>
                <w:sz w:val="16"/>
                <w:szCs w:val="16"/>
                <w:b w:val="1"/>
                <w:bCs w:val="1"/>
                <w:color w:val="auto"/>
                <w:vertAlign w:val="superscript"/>
              </w:rPr>
              <w:t>(1)</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w w:val="97"/>
              </w:rPr>
              <w:t>Per Share</w:t>
            </w:r>
            <w:r>
              <w:rPr>
                <w:rFonts w:ascii="Arial" w:cs="Arial" w:eastAsia="Arial" w:hAnsi="Arial"/>
                <w:sz w:val="16"/>
                <w:szCs w:val="16"/>
                <w:b w:val="1"/>
                <w:bCs w:val="1"/>
                <w:color w:val="auto"/>
                <w:w w:val="97"/>
                <w:vertAlign w:val="superscript"/>
              </w:rPr>
              <w:t>(1)</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Investment income</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Interest and dividend income</w:t>
            </w:r>
          </w:p>
        </w:tc>
        <w:tc>
          <w:tcPr>
            <w:tcW w:w="960" w:type="dxa"/>
            <w:vAlign w:val="bottom"/>
          </w:tcPr>
          <w:p>
            <w:pPr>
              <w:jc w:val="right"/>
              <w:ind w:right="794"/>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80,420</w:t>
            </w:r>
          </w:p>
        </w:tc>
        <w:tc>
          <w:tcPr>
            <w:tcW w:w="100" w:type="dxa"/>
            <w:vAlign w:val="bottom"/>
          </w:tcPr>
          <w:p>
            <w:pPr>
              <w:spacing w:after="0"/>
              <w:rPr>
                <w:sz w:val="15"/>
                <w:szCs w:val="15"/>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5"/>
                <w:szCs w:val="15"/>
                <w:color w:val="auto"/>
              </w:rPr>
            </w:pPr>
          </w:p>
        </w:tc>
        <w:tc>
          <w:tcPr>
            <w:tcW w:w="104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43,335</w:t>
            </w:r>
          </w:p>
        </w:tc>
        <w:tc>
          <w:tcPr>
            <w:tcW w:w="8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gridSpan w:val="2"/>
            <w:vMerge w:val="restart"/>
            <w:shd w:val="clear" w:color="auto" w:fill="CFF0FC"/>
          </w:tcPr>
          <w:p>
            <w:pPr>
              <w:ind w:left="100"/>
              <w:spacing w:after="0"/>
              <w:rPr>
                <w:sz w:val="20"/>
                <w:szCs w:val="20"/>
                <w:color w:val="auto"/>
              </w:rPr>
            </w:pPr>
            <w:r>
              <w:rPr>
                <w:rFonts w:ascii="Arial" w:cs="Arial" w:eastAsia="Arial" w:hAnsi="Arial"/>
                <w:sz w:val="13"/>
                <w:szCs w:val="13"/>
                <w:color w:val="auto"/>
              </w:rPr>
              <w:t>Other income</w:t>
            </w:r>
          </w:p>
        </w:tc>
        <w:tc>
          <w:tcPr>
            <w:tcW w:w="960" w:type="dxa"/>
            <w:vAlign w:val="bottom"/>
            <w:shd w:val="clear" w:color="auto" w:fill="CFF0FC"/>
          </w:tcPr>
          <w:p>
            <w:pPr>
              <w:spacing w:after="0"/>
              <w:rPr>
                <w:sz w:val="15"/>
                <w:szCs w:val="15"/>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922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780" w:type="dxa"/>
            <w:vAlign w:val="bottom"/>
            <w:gridSpan w:val="2"/>
            <w:vMerge w:val="continue"/>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5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520" w:type="dxa"/>
            <w:vAlign w:val="bottom"/>
            <w:vMerge w:val="continue"/>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investment income</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81,205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44,257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Operating expenses</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Management fees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8,296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5,422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Incentive fees</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9,483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0.23</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4,965</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80" w:type="dxa"/>
            <w:vAlign w:val="bottom"/>
            <w:gridSpan w:val="2"/>
            <w:vMerge w:val="restart"/>
          </w:tcPr>
          <w:p>
            <w:pPr>
              <w:ind w:left="100"/>
              <w:spacing w:after="0"/>
              <w:rPr>
                <w:sz w:val="20"/>
                <w:szCs w:val="20"/>
                <w:color w:val="auto"/>
              </w:rPr>
            </w:pPr>
            <w:r>
              <w:rPr>
                <w:rFonts w:ascii="Arial" w:cs="Arial" w:eastAsia="Arial" w:hAnsi="Arial"/>
                <w:sz w:val="13"/>
                <w:szCs w:val="13"/>
                <w:color w:val="auto"/>
              </w:rPr>
              <w:t>Interest and other debt financing expenses</w:t>
            </w: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22,330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0.55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3,915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47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Professional fees</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1,008</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1,195</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Administration agreement expenses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Insurance expense</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80" w:type="dxa"/>
            <w:vAlign w:val="bottom"/>
            <w:gridSpan w:val="2"/>
          </w:tcPr>
          <w:p>
            <w:pPr>
              <w:ind w:left="100"/>
              <w:spacing w:after="0"/>
              <w:rPr>
                <w:sz w:val="20"/>
                <w:szCs w:val="20"/>
                <w:color w:val="auto"/>
              </w:rPr>
            </w:pPr>
            <w:r>
              <w:rPr>
                <w:rFonts w:ascii="Arial" w:cs="Arial" w:eastAsia="Arial" w:hAnsi="Arial"/>
                <w:sz w:val="13"/>
                <w:szCs w:val="13"/>
                <w:color w:val="auto"/>
              </w:rPr>
              <w:t>Tax expense</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Other expenses</w:t>
            </w:r>
          </w:p>
        </w:tc>
        <w:tc>
          <w:tcPr>
            <w:tcW w:w="9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operating expenses</w:t>
            </w:r>
          </w:p>
        </w:tc>
        <w:tc>
          <w:tcPr>
            <w:tcW w:w="9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43,283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17,319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Net investment income</w:t>
            </w:r>
          </w:p>
        </w:tc>
        <w:tc>
          <w:tcPr>
            <w:tcW w:w="9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37,922</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0.94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26,938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0.65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Realized gain (loss) on investments</w:t>
            </w:r>
          </w:p>
        </w:tc>
        <w:tc>
          <w:tcPr>
            <w:tcW w:w="9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(1,178 )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(0.03 )</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Net change in unrealized gain (loss) on investments</w:t>
            </w:r>
          </w:p>
        </w:tc>
        <w:tc>
          <w:tcPr>
            <w:tcW w:w="96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(2,440 )</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(0.06 )</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(25,434 )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(0.62 )</w:t>
            </w:r>
          </w:p>
        </w:tc>
        <w:tc>
          <w:tcPr>
            <w:tcW w:w="0" w:type="dxa"/>
            <w:vAlign w:val="bottom"/>
          </w:tcPr>
          <w:p>
            <w:pPr>
              <w:spacing w:after="0"/>
              <w:rPr>
                <w:sz w:val="1"/>
                <w:szCs w:val="1"/>
                <w:color w:val="auto"/>
              </w:rPr>
            </w:pPr>
          </w:p>
        </w:tc>
      </w:tr>
      <w:tr>
        <w:trPr>
          <w:trHeight w:val="336"/>
        </w:trPr>
        <w:tc>
          <w:tcPr>
            <w:tcW w:w="4780" w:type="dxa"/>
            <w:vAlign w:val="bottom"/>
            <w:gridSpan w:val="2"/>
          </w:tcPr>
          <w:p>
            <w:pPr>
              <w:ind w:left="20"/>
              <w:spacing w:after="0"/>
              <w:rPr>
                <w:sz w:val="20"/>
                <w:szCs w:val="20"/>
                <w:color w:val="auto"/>
              </w:rPr>
            </w:pPr>
            <w:r>
              <w:rPr>
                <w:rFonts w:ascii="Arial" w:cs="Arial" w:eastAsia="Arial" w:hAnsi="Arial"/>
                <w:sz w:val="13"/>
                <w:szCs w:val="13"/>
                <w:b w:val="1"/>
                <w:bCs w:val="1"/>
                <w:color w:val="auto"/>
              </w:rPr>
              <w:t>Net increase (decrease) in net assets resulting from operations</w:t>
            </w: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34,304</w:t>
            </w:r>
          </w:p>
        </w:tc>
        <w:tc>
          <w:tcPr>
            <w:tcW w:w="10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0.85</w:t>
            </w:r>
          </w:p>
        </w:tc>
        <w:tc>
          <w:tcPr>
            <w:tcW w:w="100" w:type="dxa"/>
            <w:vAlign w:val="bottom"/>
          </w:tcPr>
          <w:p>
            <w:pPr>
              <w:spacing w:after="0"/>
              <w:rPr>
                <w:sz w:val="24"/>
                <w:szCs w:val="24"/>
                <w:color w:val="auto"/>
              </w:rPr>
            </w:pPr>
          </w:p>
        </w:tc>
        <w:tc>
          <w:tcPr>
            <w:tcW w:w="1040" w:type="dxa"/>
            <w:vAlign w:val="bottom"/>
            <w:gridSpan w:val="2"/>
          </w:tcPr>
          <w:p>
            <w:pPr>
              <w:jc w:val="right"/>
              <w:ind w:right="754"/>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2,036</w:t>
            </w:r>
          </w:p>
        </w:tc>
        <w:tc>
          <w:tcPr>
            <w:tcW w:w="8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820" w:type="dxa"/>
            <w:vAlign w:val="bottom"/>
            <w:tcBorders>
              <w:bottom w:val="single" w:sz="8" w:color="auto"/>
            </w:tcBorders>
          </w:tcPr>
          <w:p>
            <w:pPr>
              <w:spacing w:after="0"/>
              <w:rPr>
                <w:sz w:val="3"/>
                <w:szCs w:val="3"/>
                <w:color w:val="auto"/>
              </w:rPr>
            </w:pPr>
          </w:p>
        </w:tc>
        <w:tc>
          <w:tcPr>
            <w:tcW w:w="1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60"/>
        <w:spacing w:after="0" w:line="186" w:lineRule="auto"/>
        <w:rPr>
          <w:sz w:val="20"/>
          <w:szCs w:val="20"/>
          <w:color w:val="auto"/>
        </w:rPr>
      </w:pPr>
      <w:r>
        <w:rPr>
          <w:rFonts w:ascii="Arial" w:cs="Arial" w:eastAsia="Arial" w:hAnsi="Arial"/>
          <w:sz w:val="31"/>
          <w:szCs w:val="31"/>
          <w:color w:val="auto"/>
          <w:vertAlign w:val="superscript"/>
        </w:rPr>
        <w:t>(1)</w:t>
      </w:r>
      <w:r>
        <w:rPr>
          <w:rFonts w:ascii="Arial" w:cs="Arial" w:eastAsia="Arial" w:hAnsi="Arial"/>
          <w:sz w:val="13"/>
          <w:szCs w:val="13"/>
          <w:color w:val="auto"/>
        </w:rPr>
        <w:t>The basic per share figures noted above are based on weighted averages of 40,509,269 and 41,294,985 shares outstanding for the six months ended June 30, 2023 and</w:t>
      </w:r>
    </w:p>
    <w:p>
      <w:pPr>
        <w:ind w:left="360"/>
        <w:spacing w:after="0"/>
        <w:rPr>
          <w:sz w:val="20"/>
          <w:szCs w:val="20"/>
          <w:color w:val="auto"/>
        </w:rPr>
      </w:pPr>
      <w:r>
        <w:rPr>
          <w:rFonts w:ascii="Arial" w:cs="Arial" w:eastAsia="Arial" w:hAnsi="Arial"/>
          <w:sz w:val="13"/>
          <w:szCs w:val="13"/>
          <w:color w:val="auto"/>
        </w:rPr>
        <w:t>2022,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Income</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4"/>
          <w:szCs w:val="14"/>
          <w:color w:val="auto"/>
        </w:rPr>
        <w:t>Investment income for the six months ended June 30, 2023 and 2022 was $81.2 million and $44.3 million, respectively, and includes non-recurring income of $3.4 million and $2.5 million, respectively. Non -recurring income includes, but is not limited to, unamortized OID, prepayment fees and amendment fees. The increase in investment income for the six months ended June 30, 2023 compared to the six months ended June 30, 2022 was primarily due to increased interest income driven by our deployment of capital, increased invested balance, and increased market interest rates.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Expenses</w:t>
      </w:r>
    </w:p>
    <w:p>
      <w:pPr>
        <w:spacing w:after="0" w:line="19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Operating expenses for the six months ended June 30, 2023 and 2022 were $43.3 million and $ 17.3 million, respectively. Operating expenses increased for the six months ended June 30, 2023 from the six months ended June 30, 2022 primarily due to an increase in interest expense as a result of increased leverage, performance -based incentive fees, and management fees. Operating expenses for the six months ended June 30, 2023 and 2022 were $1.07 and $0.42 per share, respectively.</w:t>
      </w:r>
    </w:p>
    <w:p>
      <w:pPr>
        <w:spacing w:after="0" w:line="176"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Management fees for the six months ended June 30, 2023 and 2022 were $8.3 million and $5.4 million, respectively. Management fees increased for the six months ended June 30, 2023 from the six months ended June 30, 2022 primarily due to an increase in gross assets, offset by a decrease in the base management rate from 1.6% to 1.5% per annum.</w:t>
      </w:r>
    </w:p>
    <w:p>
      <w:pPr>
        <w:spacing w:after="0" w:line="173" w:lineRule="exact"/>
        <w:rPr>
          <w:sz w:val="20"/>
          <w:szCs w:val="20"/>
          <w:color w:val="auto"/>
        </w:rPr>
      </w:pPr>
    </w:p>
    <w:p>
      <w:pPr>
        <w:ind w:right="60"/>
        <w:spacing w:after="0"/>
        <w:rPr>
          <w:sz w:val="20"/>
          <w:szCs w:val="20"/>
          <w:color w:val="auto"/>
        </w:rPr>
      </w:pPr>
      <w:r>
        <w:rPr>
          <w:rFonts w:ascii="Arial" w:cs="Arial" w:eastAsia="Arial" w:hAnsi="Arial"/>
          <w:sz w:val="16"/>
          <w:szCs w:val="16"/>
          <w:color w:val="auto"/>
        </w:rPr>
        <w:t>Incentive fees for the six months ended June 30, 2023 and 2022 were $ 9.5 million and $ 5.0 million, respectively. Incentive fees increased for the six months ended June 30, 2023 from the six months ended June 30, 2022 primarily due to an increase in net investment income. For the six months ended June 30, 2023, $6.9 million of the incentive fees were payable in cash, and $2.6 million were deferred and accrued. For the six months ended June 30, 2022, $4.1 million of the incentive fees were payable in cash, and $0.9 million were deferred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ectPr>
          <w:pgSz w:w="11900" w:h="16840" w:orient="portrait"/>
          <w:cols w:equalWidth="0" w:num="1">
            <w:col w:w="10560"/>
          </w:cols>
          <w:pgMar w:left="660" w:top="562" w:right="680" w:bottom="1440" w:gutter="0" w:footer="0" w:header="0"/>
        </w:sectPr>
      </w:pPr>
    </w:p>
    <w:bookmarkStart w:id="60" w:name="page61"/>
    <w:bookmarkEnd w:id="60"/>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and accrued. Incentive fees related to PIK or deferred interest are accrued and payment is deferred until such interest is collected in cash. Incentive fees for the six months ended June 30, 2023 and 2022 were $0.23 and $0.12 per share,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Income</w:t>
      </w:r>
    </w:p>
    <w:p>
      <w:pPr>
        <w:spacing w:after="0" w:line="194"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Net investment income for the six months ended June 30, 2023 and 2022 was $37.9 million and $26.9 million, respectively. Net investment income increased for the six months ended June 30, 2023 from the six months ended June 30, 2022 primarily due to rising interest rates partially offset by an increase in performance-based incentive fees, management fees, debt financing fees, and interest expense. Net investment income for the six months ended June 30, 2023 and 2022 was $0.94 and $0.65 per share,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Realized Gain (Loss) on Investments</w:t>
      </w:r>
    </w:p>
    <w:p>
      <w:pPr>
        <w:spacing w:after="0" w:line="19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Net realized losses on investments of $1.2 million for the six months ended June 30, 2023 was attributable to our investments in CareCloud, Inc. and Gynesonics, Inc warrants. The net realized gain on investments of $0.5 million for the six months ended June 30, 2022 was primarily due to the gain on a portion of our investment in the common stock of Brilliant Earth Group, Inc. partially offset by the loss on our investments in the preferred stock and warrants in CareCloud, Inc.</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Change in Unrealized Gain (Loss) on Investments</w:t>
      </w:r>
    </w:p>
    <w:p>
      <w:pPr>
        <w:spacing w:after="0" w:line="19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Net change in unrealized loss on investments of $2.4 million for the six months ended June 30, 2023 was primarily due to decreases in the fair value of our investments in Gynesonics, Inc., offset by an increase in the fair value of our senior secured loans to Brivo, Inc., as well as a recovery of $ 1.2 million in liquidation of assets related to the senior secured loan to Pivot3, Inc., which released prior unrealized loss recorded on the investment. The net change in unrealized loss on investments of $25.4 million for the six months ended June 30, 2022 was primarily due to decreases in the fair value of our investments in the senior secured loan to Pivot3 Holdings, Inc., common stock of Brilliant Earth Group, Inc., and common stock of Coginiti Corp.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Increase (Decrease) in Net Assets Resulting from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had a net increase in net assets resulting from operations of $34.3 million and $2.0 million for the six months ended June 30, 2023 and 2022, respectively. The net increase in net assets resulting from operations for the six months ended June 30, 2023 from the six months ended June 30, 2022 was primarily due to the comparative net change in unrealized gain (loss), as well as an increase in net investment income for the six months ended June 30, 2023.</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Condition, Liquidity, Capital Resources and Obligations</w:t>
      </w:r>
    </w:p>
    <w:p>
      <w:pPr>
        <w:spacing w:after="0" w:line="196"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5" w:lineRule="exact"/>
        <w:rPr>
          <w:sz w:val="20"/>
          <w:szCs w:val="20"/>
          <w:color w:val="auto"/>
        </w:rPr>
      </w:pPr>
    </w:p>
    <w:p>
      <w:pPr>
        <w:jc w:val="both"/>
        <w:ind w:right="100"/>
        <w:spacing w:after="0" w:line="243" w:lineRule="auto"/>
        <w:rPr>
          <w:sz w:val="20"/>
          <w:szCs w:val="20"/>
          <w:color w:val="auto"/>
        </w:rPr>
      </w:pPr>
      <w:r>
        <w:rPr>
          <w:rFonts w:ascii="Arial" w:cs="Arial" w:eastAsia="Arial" w:hAnsi="Arial"/>
          <w:sz w:val="16"/>
          <w:szCs w:val="16"/>
          <w:color w:val="auto"/>
        </w:rPr>
        <w:t>During the six months ended June 30, 2023, we principally funded our operations from (i) cash receipts from interest, dividend, and fee income from our investment portfolio and (ii) cash proceeds from the realization of portfolio investments through the repayments of debt investments and the sale of debt and equity investments.</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During the six months ended June 30, 2023, our operating activities provided $71.6 million of cash and cash equivalents, compared to $73.0 million used during the six months ended June 30, 2022, respectively. The $144.6 million increase in cash provided by operating activities was primarily due to a $135.0 million decrease in purchases of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our financing activities used $ 39.6 million of cash, compared to $75.1 million provided by financing activities during the six months ended June 30, 2022 . The $114.7 million increase in cash flows used in financing activities was primarily due to decreased net borrowing activity of $154.0 million and increased dividend distributions of $12.9 million, offset by decreased reverse repurchase agreements of $44.8 million.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61" w:name="page62"/>
    <w:bookmarkEnd w:id="61"/>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As of June 30, 2023, our net assets totaled $573.9 million, with a net asset value per share of $ 14.17. We intend to continue to operate in order to generate cash flows from operations, including income earned from investments in our portfolio companies. Our primary use of funds will be investments in portfolio companies and cash distributions to holders of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 Liquidity and Capital Resources</w:t>
      </w:r>
    </w:p>
    <w:p>
      <w:pPr>
        <w:spacing w:after="0" w:line="194"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As of June 30, 2023, we had $227.7 million in available liquidity, including $37.7 million in cash and cash equivalents, and approximately $190.0 million available under our Credit Facility, subject to borrowing base capacity. As of June 30, 2023, we had $310.0 million of secured debt outstanding under our Credit Facility, which are floating interest rate obligations and $247.3 million of unsecured debt outstanding under 2026 and 2027 Notes, which are all fixed interest rate debt obligations. Refer to "Note 7 – Borrowings" to our financial statements in Part I, Item 1 of this Form 10-Q for additional discussion of our debt obligations.</w:t>
      </w:r>
    </w:p>
    <w:p>
      <w:pPr>
        <w:spacing w:after="0" w:line="164" w:lineRule="exact"/>
        <w:rPr>
          <w:sz w:val="20"/>
          <w:szCs w:val="20"/>
          <w:color w:val="auto"/>
        </w:rPr>
      </w:pPr>
    </w:p>
    <w:p>
      <w:pPr>
        <w:jc w:val="both"/>
        <w:ind w:right="60"/>
        <w:spacing w:after="0" w:line="295" w:lineRule="auto"/>
        <w:rPr>
          <w:sz w:val="20"/>
          <w:szCs w:val="20"/>
          <w:color w:val="auto"/>
        </w:rPr>
      </w:pPr>
      <w:r>
        <w:rPr>
          <w:rFonts w:ascii="Arial" w:cs="Arial" w:eastAsia="Arial" w:hAnsi="Arial"/>
          <w:sz w:val="14"/>
          <w:szCs w:val="14"/>
          <w:color w:val="auto"/>
        </w:rPr>
        <w:t>Pursuant to the 1940 Act, we are permitted to incur borrowings, issue debt securities, or issue preferred stock unless immediately after the borrowings or issuance the ratio of total assets (less total liabilities other than indebtedness) to total indebtedness plus preferred stock is less than 150% (at least 200% prior to June 17, 2022). As of June 30, 2023 and December 31, 2022, our asset coverage ratio was 203% for both periods ended.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As detailed above, our diverse and well-structured balance sheet is designed to provide a long-term focused and sustainable investment platform.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Currently, we believe we have sufficient liquidity to support our near-term capital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Commitments and Obligations</w:t>
      </w:r>
    </w:p>
    <w:p>
      <w:pPr>
        <w:spacing w:after="0" w:line="194" w:lineRule="exact"/>
        <w:rPr>
          <w:sz w:val="20"/>
          <w:szCs w:val="20"/>
          <w:color w:val="auto"/>
        </w:rPr>
      </w:pPr>
    </w:p>
    <w:p>
      <w:pPr>
        <w:jc w:val="both"/>
        <w:ind w:right="160"/>
        <w:spacing w:after="0"/>
        <w:rPr>
          <w:sz w:val="20"/>
          <w:szCs w:val="20"/>
          <w:color w:val="auto"/>
        </w:rPr>
      </w:pPr>
      <w:r>
        <w:rPr>
          <w:rFonts w:ascii="Arial" w:cs="Arial" w:eastAsia="Arial" w:hAnsi="Arial"/>
          <w:sz w:val="16"/>
          <w:szCs w:val="16"/>
          <w:color w:val="auto"/>
        </w:rPr>
        <w:t>Our significant contractual payment obligations relate to our borrowings and deferred incentive fees. As of June 30, 2023, we had $557.3 million of debt outstanding, none of which was due within the next year, $335.0 million within 1 to 3 years, and $222.3 million beyond 3 years. As of June 30, 2023, we had $7.3 million of deferred incentive fees, $0.8 million of which was due within the next year, $2.4 million within 1 to 3 years, and $4.0 million beyond 3 years.</w:t>
      </w:r>
    </w:p>
    <w:p>
      <w:pPr>
        <w:spacing w:after="0" w:line="176" w:lineRule="exact"/>
        <w:rPr>
          <w:sz w:val="20"/>
          <w:szCs w:val="20"/>
          <w:color w:val="auto"/>
        </w:rPr>
      </w:pPr>
    </w:p>
    <w:p>
      <w:pPr>
        <w:ind w:right="280"/>
        <w:spacing w:after="0" w:line="243" w:lineRule="auto"/>
        <w:rPr>
          <w:sz w:val="20"/>
          <w:szCs w:val="20"/>
          <w:color w:val="auto"/>
        </w:rPr>
      </w:pPr>
      <w:r>
        <w:rPr>
          <w:rFonts w:ascii="Arial" w:cs="Arial" w:eastAsia="Arial" w:hAnsi="Arial"/>
          <w:sz w:val="16"/>
          <w:szCs w:val="16"/>
          <w:color w:val="auto"/>
        </w:rPr>
        <w:t>In addition to our on-balance sheet contractual obligations, in the normal course of business, we have future cash requirements related our financial instruments with off-balance sheet risk. These consist of unfunded loan commitments to extend credit, in the form of loans, to our portfolio companies. Unfunded loan commitments to provide funds to portfolio companies are not reflected on our balance sheet.</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unfunded loan commitments may be significant from time to time. As of June 30, 2023, we had $234.3 million in unfunded loan commitments to provide debt financing to its portfolio companies The availability of unfunded loan commitments are dependent upon the portfolio company reaching certain performance milestones and time -based cancellation provisions before the loan commitment becomes available. Furthermore, our credit agreements generally contain customary lending provisions which allow us relief from funding obligations for previously made unfunded commitments in instances where the underlying company experiences materially adverse events that affect the financial condition or business outlook for the company. These commitments will be subject to the same underwriting and ongoing portfolio maintenance as are the on -balance sheet financial instruments that we hold. Since these commitments may expire without being drawn upon, the total commitment amount does not necessarily represent future cash requirements. We maintain sufficient liquidity (through cash on hand and available borrowings under the Credit Facility) to fund such unfunded loan commitments should the need arise. As of June 30, 2023, we had approximately $103.0 million of available unfunded commitments eligible to be drawn based on achieved milestones. Refer to “Note 8 – Commitments and Contingencies” of our financial statements in Part I, Item 1 of this Form 10-Q for a summary of unfunded loan commitments by portfolio company as of June 30, 2023.</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Arial" w:cs="Arial" w:eastAsia="Arial" w:hAnsi="Arial"/>
          <w:sz w:val="16"/>
          <w:szCs w:val="16"/>
          <w:i w:val="1"/>
          <w:iCs w:val="1"/>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w:t>
      </w:r>
    </w:p>
    <w:p>
      <w:pPr>
        <w:spacing w:after="0" w:line="194" w:lineRule="exact"/>
        <w:rPr>
          <w:sz w:val="20"/>
          <w:szCs w:val="20"/>
          <w:color w:val="auto"/>
        </w:rPr>
      </w:pPr>
    </w:p>
    <w:p>
      <w:pPr>
        <w:ind w:right="280"/>
        <w:spacing w:after="0" w:line="243" w:lineRule="auto"/>
        <w:rPr>
          <w:sz w:val="20"/>
          <w:szCs w:val="20"/>
          <w:color w:val="auto"/>
        </w:rPr>
      </w:pPr>
      <w:r>
        <w:rPr>
          <w:rFonts w:ascii="Arial" w:cs="Arial" w:eastAsia="Arial" w:hAnsi="Arial"/>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73"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 xml:space="preserve">During the three and six months ended June 30, 2023, we declared and paid dividends in the amount of $18.2 million and $36.5 million, respectively, of which $17.5 million and $34.9 million, respectively, was distributed in cash and the remainder distributed in shares to stockholders pursuant to the Company’s Dividend Reinvestment Plan. </w:t>
      </w:r>
      <w:r>
        <w:rPr>
          <w:rFonts w:ascii="Arial" w:cs="Arial" w:eastAsia="Arial" w:hAnsi="Arial"/>
          <w:sz w:val="16"/>
          <w:szCs w:val="16"/>
          <w:color w:val="231F20"/>
        </w:rPr>
        <w:t>During the year ended December 31, 2022, we declared and paid</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62" w:name="page63"/>
    <w:bookmarkEnd w:id="62"/>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231F20"/>
        </w:rPr>
        <w:t>dividends in the amount of $51.6 million, of which $40.7 million was distributed in cash and the remainder distributed in shares to stockholders pursuant to our Dividend Reinvestment Plan.</w:t>
      </w:r>
    </w:p>
    <w:p>
      <w:pPr>
        <w:spacing w:after="0" w:line="166"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The timing and amount of our distributions, if any, will be determined by our Board of Directors and will be declared out of assets legally available for distribution. Refer to "Note 9 – Net Assets" of our financial statements in Part I, Item 1 of this Form 10-Q for a summary of the distributions declared and paid since inception.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Estimates</w:t>
      </w:r>
    </w:p>
    <w:p>
      <w:pPr>
        <w:spacing w:after="0" w:line="19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 xml:space="preserve">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w:t>
      </w:r>
      <w:r>
        <w:rPr>
          <w:rFonts w:ascii="Arial" w:cs="Arial" w:eastAsia="Arial" w:hAnsi="Arial"/>
          <w:sz w:val="16"/>
          <w:szCs w:val="16"/>
          <w:b w:val="1"/>
          <w:bCs w:val="1"/>
          <w:color w:val="auto"/>
        </w:rPr>
        <w:t>–</w:t>
      </w:r>
      <w:r>
        <w:rPr>
          <w:rFonts w:ascii="Arial" w:cs="Arial" w:eastAsia="Arial" w:hAnsi="Arial"/>
          <w:sz w:val="16"/>
          <w:szCs w:val="16"/>
          <w:color w:val="auto"/>
        </w:rPr>
        <w:t xml:space="preserve"> Summary of Significant Accounting Policies” to our financial statements in Part I, Item 1 of this Form 10-Q. We consider the most significant accounting policies to be those related to our Fair Value Measurements and Income Taxes.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63" w:name="page64"/>
    <w:bookmarkEnd w:id="63"/>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We commenced investment activities in portfolio securities during the quarter ended June 30, 2017 and commenced investment activities in U.S.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Treasury Bills during the quarter ended December 31, 2016.</w:t>
      </w:r>
    </w:p>
    <w:p>
      <w:pPr>
        <w:spacing w:after="0" w:line="178" w:lineRule="exact"/>
        <w:rPr>
          <w:sz w:val="20"/>
          <w:szCs w:val="20"/>
          <w:color w:val="auto"/>
        </w:rPr>
      </w:pPr>
    </w:p>
    <w:p>
      <w:pPr>
        <w:ind w:right="80"/>
        <w:spacing w:after="0" w:line="183" w:lineRule="exact"/>
        <w:rPr>
          <w:sz w:val="20"/>
          <w:szCs w:val="20"/>
          <w:color w:val="auto"/>
        </w:rPr>
      </w:pPr>
      <w:r>
        <w:rPr>
          <w:rFonts w:ascii="Arial" w:cs="Arial" w:eastAsia="Arial" w:hAnsi="Arial"/>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ongoing economic effects of the COVID</w:t>
      </w:r>
      <w:r>
        <w:rPr>
          <w:rFonts w:ascii="MS PGothic" w:cs="MS PGothic" w:eastAsia="MS PGothic" w:hAnsi="MS PGothic"/>
          <w:sz w:val="16"/>
          <w:szCs w:val="16"/>
          <w:color w:val="auto"/>
        </w:rPr>
        <w:t>‑</w:t>
      </w:r>
      <w:r>
        <w:rPr>
          <w:rFonts w:ascii="Arial" w:cs="Arial" w:eastAsia="Arial" w:hAnsi="Arial"/>
          <w:sz w:val="16"/>
          <w:szCs w:val="16"/>
          <w:color w:val="auto"/>
        </w:rPr>
        <w:t>19 pandemic has introduced significant volatility in the financial markets, and the effects of this volatility could materially impact our market risks.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Risk</w:t>
      </w:r>
    </w:p>
    <w:p>
      <w:pPr>
        <w:spacing w:after="0" w:line="19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96"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spacing w:after="0" w:line="179"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As of June 30, 2023, 100.0% of our performing debt portfolio investments bore interest at variable rates, consisting of approximately 64.0% based on SOFR and 36.0% based on Prime. As a policy, any interest above the cash cap, if applicable, as determined on an individual loan basis will accrue to principal and be treated as PIK interest. A hypothetical 200 basis point increase (decrease) in the interest rates on our variable-rate debt investments could increase our investment income by a maximum of $20.3 million and decrease our investment income by a maximum of $19.7 million, due to certain floors, on an annual basis.</w:t>
      </w:r>
    </w:p>
    <w:p>
      <w:pPr>
        <w:spacing w:after="0" w:line="176" w:lineRule="exact"/>
        <w:rPr>
          <w:sz w:val="20"/>
          <w:szCs w:val="20"/>
          <w:color w:val="auto"/>
        </w:rPr>
      </w:pPr>
    </w:p>
    <w:p>
      <w:pPr>
        <w:ind w:right="340"/>
        <w:spacing w:after="0" w:line="275" w:lineRule="auto"/>
        <w:rPr>
          <w:sz w:val="20"/>
          <w:szCs w:val="20"/>
          <w:color w:val="auto"/>
        </w:rPr>
      </w:pPr>
      <w:r>
        <w:rPr>
          <w:rFonts w:ascii="Arial" w:cs="Arial" w:eastAsia="Arial" w:hAnsi="Arial"/>
          <w:sz w:val="14"/>
          <w:szCs w:val="14"/>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w:t>
      </w:r>
    </w:p>
    <w:p>
      <w:pPr>
        <w:spacing w:after="0" w:line="1" w:lineRule="exact"/>
        <w:rPr>
          <w:sz w:val="20"/>
          <w:szCs w:val="20"/>
          <w:color w:val="auto"/>
        </w:rPr>
      </w:pPr>
    </w:p>
    <w:p>
      <w:pPr>
        <w:ind w:right="40"/>
        <w:spacing w:after="0" w:line="307" w:lineRule="auto"/>
        <w:rPr>
          <w:sz w:val="20"/>
          <w:szCs w:val="20"/>
          <w:color w:val="auto"/>
        </w:rPr>
      </w:pPr>
      <w:r>
        <w:rPr>
          <w:rFonts w:ascii="Arial" w:cs="Arial" w:eastAsia="Arial" w:hAnsi="Arial"/>
          <w:sz w:val="14"/>
          <w:szCs w:val="14"/>
          <w:color w:val="auto"/>
        </w:rPr>
        <w:t>3.35% per annum depending on the Company's leverage ratio and number of eligible loans in the collateral pool. For additional information regarding the interest rate associated with each of our debt borrowings, refer to "Note 7 – Borrowings" to our financial statements in Part I, Item 1 of this Form 10-Q.</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76" w:lineRule="exact"/>
        <w:rPr>
          <w:sz w:val="20"/>
          <w:szCs w:val="20"/>
          <w:color w:val="auto"/>
        </w:rPr>
      </w:pPr>
    </w:p>
    <w:p>
      <w:pPr>
        <w:jc w:val="both"/>
        <w:ind w:right="140"/>
        <w:spacing w:after="0" w:line="243" w:lineRule="auto"/>
        <w:rPr>
          <w:sz w:val="20"/>
          <w:szCs w:val="20"/>
          <w:color w:val="auto"/>
        </w:rPr>
      </w:pPr>
      <w:r>
        <w:rPr>
          <w:rFonts w:ascii="Arial" w:cs="Arial" w:eastAsia="Arial" w:hAnsi="Arial"/>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64" w:name="page65"/>
    <w:bookmarkEnd w:id="64"/>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72"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auto"/>
        </w:rPr>
        <w:t>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6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on foreign financial markets.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9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6"/>
          <w:szCs w:val="16"/>
          <w:color w:val="auto"/>
        </w:rPr>
        <w:t>‑</w:t>
      </w:r>
      <w:r>
        <w:rPr>
          <w:rFonts w:ascii="Arial" w:cs="Arial" w:eastAsia="Arial" w:hAnsi="Arial"/>
          <w:sz w:val="16"/>
          <w:szCs w:val="16"/>
          <w:color w:val="auto"/>
        </w:rPr>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6"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62" w:right="740" w:bottom="1440" w:gutter="0" w:footer="0" w:header="0"/>
        </w:sectPr>
      </w:pPr>
    </w:p>
    <w:bookmarkStart w:id="65" w:name="page66"/>
    <w:bookmarkEnd w:id="65"/>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 OTHER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6"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we may face. Additional risks and uncertainties not currently known to us or that we currently deem to be immaterial also may materially adversely affect our business, financial condition and/or operating results.</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June 30, 2023 to the risk factors discussed in “Risk Factors” in Part I, Item 1A of our annual report on Form 10-K for the year ended December 31, 2022, filed with the SEC on March 2, 2023.</w:t>
      </w:r>
    </w:p>
    <w:p>
      <w:pPr>
        <w:spacing w:after="0" w:line="264" w:lineRule="exact"/>
        <w:rPr>
          <w:sz w:val="20"/>
          <w:szCs w:val="20"/>
          <w:color w:val="auto"/>
        </w:rPr>
      </w:pPr>
    </w:p>
    <w:p>
      <w:pPr>
        <w:ind w:right="980"/>
        <w:spacing w:after="0" w:line="278" w:lineRule="auto"/>
        <w:rPr>
          <w:sz w:val="20"/>
          <w:szCs w:val="20"/>
          <w:color w:val="auto"/>
        </w:rPr>
      </w:pPr>
      <w:r>
        <w:rPr>
          <w:rFonts w:ascii="Arial" w:cs="Arial" w:eastAsia="Arial" w:hAnsi="Arial"/>
          <w:sz w:val="16"/>
          <w:szCs w:val="16"/>
          <w:b w:val="1"/>
          <w:bCs w:val="1"/>
          <w:i w:val="1"/>
          <w:iCs w:val="1"/>
          <w:color w:val="auto"/>
        </w:rPr>
        <w:t>Our business and our portfolio companies may be susceptible to economic slowdowns or recessions and to risks related to bank impairments or failures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Many of the portfolio companies in which we have invested or expect to make investments are likely to be susceptible to economic slowdowns or recessions and may be unable to repay our loans during such periods. Unfavorable economic conditions also could increase our funding costs, limit our access to the capital markets or result in a decision by lenders not to extend credit to us. These events could prevent us from increasing our investments and harm business, financial condition, operating results and prospects. In March 2023, the Federal Deposit Insurance Corporation (“FDIC”) took control of Silicon Valley Bank and Signature Bank and subsequently in May 2023 of First Republic Bank due to liquidity concerns and concerns that have arisen regarding the stability of other banks and financial institutions. Also, the impairment or failure of one or more banks with whom the Company, its portfolio companies, and/or the Adviser transact may inhibit the ability of the Company or its portfolio companies to access depository accounts. In such cases, we may be forced to delay or forgo investments, resulting in lower performance. In the event of such a failure of a banking institution where we or one or more of our portfolio companies holds depository accounts, access to such accounts could be restricted and FDIC protection may not be available for balances in excess of amounts insured by the FDIC. In such instances, we and our affected portfolio companies would not recover such excess, uninsured amounts. To the extent that we or the portfolio companies are impacted, the ability to access existing cash, cash equivalents and investments, or to access existing or enter into new banking arrangements or facilities to service our portfolio companies, may be threatened. We had no depository relationships with Silicon Valley Bank, Signature Bank, or First Republic Bank, nor did we participate in any credit facilities that were agented by or included these banks as lenders. A number of our portfolio companies had operating relationships with these banks and may have experienced operational disruptions, all of which have since been resolved.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57" w:lineRule="exact"/>
        <w:rPr>
          <w:sz w:val="20"/>
          <w:szCs w:val="20"/>
          <w:color w:val="auto"/>
        </w:rPr>
      </w:pPr>
    </w:p>
    <w:p>
      <w:pPr>
        <w:ind w:right="80"/>
        <w:spacing w:after="0" w:line="221" w:lineRule="exact"/>
        <w:rPr>
          <w:sz w:val="20"/>
          <w:szCs w:val="20"/>
          <w:color w:val="auto"/>
        </w:rPr>
      </w:pPr>
      <w:r>
        <w:rPr>
          <w:rFonts w:ascii="Arial" w:cs="Arial" w:eastAsia="Arial" w:hAnsi="Arial"/>
          <w:sz w:val="16"/>
          <w:szCs w:val="16"/>
          <w:color w:val="auto"/>
        </w:rPr>
        <w:t>Other than pursuant to our Dividend Reinvestment Plan, and except as previously reported by us on our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we did not sell any securities during the period covered by this Form 10</w:t>
      </w:r>
      <w:r>
        <w:rPr>
          <w:rFonts w:ascii="MS PGothic" w:cs="MS PGothic" w:eastAsia="MS PGothic" w:hAnsi="MS PGothic"/>
          <w:sz w:val="16"/>
          <w:szCs w:val="16"/>
          <w:color w:val="auto"/>
        </w:rPr>
        <w:t>‑</w:t>
      </w:r>
      <w:r>
        <w:rPr>
          <w:rFonts w:ascii="Arial" w:cs="Arial" w:eastAsia="Arial" w:hAnsi="Arial"/>
          <w:sz w:val="16"/>
          <w:szCs w:val="16"/>
          <w:color w:val="auto"/>
        </w:rPr>
        <w:t>Q that were not registered under the Securities Act.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66" w:name="page67"/>
    <w:bookmarkEnd w:id="66"/>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96" w:lineRule="exact"/>
        <w:rPr>
          <w:sz w:val="20"/>
          <w:szCs w:val="20"/>
          <w:color w:val="auto"/>
        </w:rPr>
      </w:pPr>
    </w:p>
    <w:p>
      <w:pPr>
        <w:jc w:val="both"/>
        <w:ind w:right="380"/>
        <w:spacing w:after="0" w:line="243" w:lineRule="auto"/>
        <w:rPr>
          <w:sz w:val="20"/>
          <w:szCs w:val="20"/>
          <w:color w:val="auto"/>
        </w:rPr>
      </w:pPr>
      <w:r>
        <w:rPr>
          <w:rFonts w:ascii="Arial" w:cs="Arial" w:eastAsia="Arial" w:hAnsi="Arial"/>
          <w:sz w:val="16"/>
          <w:szCs w:val="16"/>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62" w:right="760" w:bottom="1440" w:gutter="0" w:footer="0" w:header="0"/>
        </w:sectPr>
      </w:pPr>
    </w:p>
    <w:bookmarkStart w:id="67" w:name="page68"/>
    <w:bookmarkEnd w:id="67"/>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 SEC:</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12"/>
        </w:trPr>
        <w:tc>
          <w:tcPr>
            <w:tcW w:w="860" w:type="dxa"/>
            <w:vAlign w:val="bottom"/>
            <w:vMerge w:val="restart"/>
          </w:tcPr>
          <w:p>
            <w:pPr>
              <w:spacing w:after="0"/>
              <w:rPr>
                <w:sz w:val="20"/>
                <w:szCs w:val="20"/>
                <w:color w:val="auto"/>
              </w:rPr>
            </w:pPr>
            <w:r>
              <w:rPr>
                <w:rFonts w:ascii="Arial" w:cs="Arial" w:eastAsia="Arial" w:hAnsi="Arial"/>
                <w:sz w:val="13"/>
                <w:szCs w:val="13"/>
                <w:color w:val="auto"/>
              </w:rPr>
              <w:t>3.1</w:t>
            </w:r>
          </w:p>
        </w:tc>
        <w:tc>
          <w:tcPr>
            <w:tcW w:w="2400" w:type="dxa"/>
            <w:vAlign w:val="bottom"/>
            <w:gridSpan w:val="4"/>
            <w:vMerge w:val="restart"/>
          </w:tcPr>
          <w:p>
            <w:pPr>
              <w:spacing w:after="0"/>
              <w:rPr>
                <w:rFonts w:ascii="Arial" w:cs="Arial" w:eastAsia="Arial" w:hAnsi="Arial"/>
                <w:sz w:val="13"/>
                <w:szCs w:val="13"/>
                <w:color w:val="0000FF"/>
              </w:rPr>
            </w:pPr>
            <w:hyperlink r:id="rId124">
              <w:r>
                <w:rPr>
                  <w:rFonts w:ascii="Arial" w:cs="Arial" w:eastAsia="Arial" w:hAnsi="Arial"/>
                  <w:sz w:val="13"/>
                  <w:szCs w:val="13"/>
                  <w:color w:val="0000FF"/>
                </w:rPr>
                <w:t>Articles of Amendment and Restatement</w:t>
              </w:r>
            </w:hyperlink>
          </w:p>
        </w:tc>
        <w:tc>
          <w:tcPr>
            <w:tcW w:w="100" w:type="dxa"/>
            <w:vAlign w:val="bottom"/>
            <w:tcBorders>
              <w:bottom w:val="single" w:sz="8" w:color="0000FF"/>
            </w:tcBorders>
            <w:gridSpan w:val="2"/>
          </w:tcPr>
          <w:p>
            <w:pPr>
              <w:jc w:val="right"/>
              <w:spacing w:after="0"/>
              <w:rPr>
                <w:rFonts w:ascii="Arial" w:cs="Arial" w:eastAsia="Arial" w:hAnsi="Arial"/>
                <w:sz w:val="8"/>
                <w:szCs w:val="8"/>
                <w:color w:val="0000FF"/>
                <w:w w:val="81"/>
              </w:rPr>
            </w:pPr>
            <w:hyperlink r:id="rId124">
              <w:r>
                <w:rPr>
                  <w:rFonts w:ascii="Arial" w:cs="Arial" w:eastAsia="Arial" w:hAnsi="Arial"/>
                  <w:sz w:val="8"/>
                  <w:szCs w:val="8"/>
                  <w:color w:val="0000FF"/>
                  <w:w w:val="81"/>
                </w:rPr>
                <w:t>(1)</w:t>
              </w:r>
            </w:hyperlink>
          </w:p>
        </w:tc>
        <w:tc>
          <w:tcPr>
            <w:tcW w:w="680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2400" w:type="dxa"/>
            <w:vAlign w:val="bottom"/>
            <w:tcBorders>
              <w:bottom w:val="single" w:sz="8" w:color="0000FF"/>
            </w:tcBorders>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860" w:type="dxa"/>
            <w:vAlign w:val="bottom"/>
            <w:vMerge w:val="restart"/>
          </w:tcPr>
          <w:p>
            <w:pPr>
              <w:spacing w:after="0"/>
              <w:rPr>
                <w:sz w:val="20"/>
                <w:szCs w:val="20"/>
                <w:color w:val="auto"/>
              </w:rPr>
            </w:pPr>
            <w:r>
              <w:rPr>
                <w:rFonts w:ascii="Arial" w:cs="Arial" w:eastAsia="Arial" w:hAnsi="Arial"/>
                <w:sz w:val="13"/>
                <w:szCs w:val="13"/>
                <w:color w:val="auto"/>
              </w:rPr>
              <w:t>3.2</w:t>
            </w:r>
          </w:p>
        </w:tc>
        <w:tc>
          <w:tcPr>
            <w:tcW w:w="1360" w:type="dxa"/>
            <w:vAlign w:val="bottom"/>
            <w:vMerge w:val="restart"/>
          </w:tcPr>
          <w:p>
            <w:pPr>
              <w:spacing w:after="0"/>
              <w:rPr>
                <w:rFonts w:ascii="Arial" w:cs="Arial" w:eastAsia="Arial" w:hAnsi="Arial"/>
                <w:sz w:val="13"/>
                <w:szCs w:val="13"/>
                <w:color w:val="0000FF"/>
              </w:rPr>
            </w:pPr>
            <w:hyperlink r:id="rId125">
              <w:r>
                <w:rPr>
                  <w:rFonts w:ascii="Arial" w:cs="Arial" w:eastAsia="Arial" w:hAnsi="Arial"/>
                  <w:sz w:val="13"/>
                  <w:szCs w:val="13"/>
                  <w:color w:val="0000FF"/>
                </w:rPr>
                <w:t>Articles of Amendment</w:t>
              </w:r>
            </w:hyperlink>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8"/>
                <w:szCs w:val="8"/>
                <w:color w:val="0000FF"/>
                <w:w w:val="81"/>
              </w:rPr>
              <w:t>(2)</w:t>
            </w:r>
          </w:p>
        </w:tc>
        <w:tc>
          <w:tcPr>
            <w:tcW w:w="1000" w:type="dxa"/>
            <w:vAlign w:val="bottom"/>
            <w:gridSpan w:val="3"/>
            <w:vMerge w:val="restart"/>
          </w:tcPr>
          <w:p>
            <w:pPr>
              <w:spacing w:after="0"/>
              <w:rPr>
                <w:sz w:val="24"/>
                <w:szCs w:val="24"/>
                <w:color w:val="auto"/>
              </w:rPr>
            </w:pPr>
          </w:p>
        </w:tc>
        <w:tc>
          <w:tcPr>
            <w:tcW w:w="684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1360" w:type="dxa"/>
            <w:vAlign w:val="bottom"/>
            <w:tcBorders>
              <w:bottom w:val="single" w:sz="8" w:color="0000FF"/>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68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860" w:type="dxa"/>
            <w:vAlign w:val="bottom"/>
            <w:vMerge w:val="restart"/>
          </w:tcPr>
          <w:p>
            <w:pPr>
              <w:spacing w:after="0"/>
              <w:rPr>
                <w:sz w:val="20"/>
                <w:szCs w:val="20"/>
                <w:color w:val="auto"/>
              </w:rPr>
            </w:pPr>
            <w:r>
              <w:rPr>
                <w:rFonts w:ascii="Arial" w:cs="Arial" w:eastAsia="Arial" w:hAnsi="Arial"/>
                <w:sz w:val="13"/>
                <w:szCs w:val="13"/>
                <w:color w:val="auto"/>
              </w:rPr>
              <w:t>3.3</w:t>
            </w:r>
          </w:p>
        </w:tc>
        <w:tc>
          <w:tcPr>
            <w:tcW w:w="2360" w:type="dxa"/>
            <w:vAlign w:val="bottom"/>
            <w:gridSpan w:val="3"/>
            <w:vMerge w:val="restart"/>
          </w:tcPr>
          <w:p>
            <w:pPr>
              <w:spacing w:after="0"/>
              <w:rPr>
                <w:rFonts w:ascii="Arial" w:cs="Arial" w:eastAsia="Arial" w:hAnsi="Arial"/>
                <w:sz w:val="13"/>
                <w:szCs w:val="13"/>
                <w:color w:val="0000FF"/>
              </w:rPr>
            </w:pPr>
            <w:hyperlink r:id="rId126">
              <w:r>
                <w:rPr>
                  <w:rFonts w:ascii="Arial" w:cs="Arial" w:eastAsia="Arial" w:hAnsi="Arial"/>
                  <w:sz w:val="13"/>
                  <w:szCs w:val="13"/>
                  <w:color w:val="0000FF"/>
                </w:rPr>
                <w:t>Second Amended and Restated Bylaws</w:t>
              </w:r>
            </w:hyperlink>
          </w:p>
        </w:tc>
        <w:tc>
          <w:tcPr>
            <w:tcW w:w="100" w:type="dxa"/>
            <w:vAlign w:val="bottom"/>
            <w:tcBorders>
              <w:bottom w:val="single" w:sz="8" w:color="0000FF"/>
            </w:tcBorders>
            <w:gridSpan w:val="2"/>
          </w:tcPr>
          <w:p>
            <w:pPr>
              <w:jc w:val="right"/>
              <w:spacing w:after="0"/>
              <w:rPr>
                <w:sz w:val="20"/>
                <w:szCs w:val="20"/>
                <w:color w:val="auto"/>
              </w:rPr>
            </w:pPr>
            <w:r>
              <w:rPr>
                <w:rFonts w:ascii="Arial" w:cs="Arial" w:eastAsia="Arial" w:hAnsi="Arial"/>
                <w:sz w:val="8"/>
                <w:szCs w:val="8"/>
                <w:color w:val="0000FF"/>
                <w:w w:val="81"/>
              </w:rPr>
              <w:t>(2)</w:t>
            </w:r>
          </w:p>
        </w:tc>
        <w:tc>
          <w:tcPr>
            <w:tcW w:w="684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2360" w:type="dxa"/>
            <w:vAlign w:val="bottom"/>
            <w:tcBorders>
              <w:bottom w:val="single" w:sz="8" w:color="0000FF"/>
            </w:tcBorders>
            <w:gridSpan w:val="3"/>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68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0"/>
        </w:trPr>
        <w:tc>
          <w:tcPr>
            <w:tcW w:w="860" w:type="dxa"/>
            <w:vAlign w:val="bottom"/>
          </w:tcPr>
          <w:p>
            <w:pPr>
              <w:spacing w:after="0"/>
              <w:rPr>
                <w:sz w:val="20"/>
                <w:szCs w:val="20"/>
                <w:color w:val="auto"/>
              </w:rPr>
            </w:pPr>
            <w:r>
              <w:rPr>
                <w:rFonts w:ascii="Arial" w:cs="Arial" w:eastAsia="Arial" w:hAnsi="Arial"/>
                <w:sz w:val="13"/>
                <w:szCs w:val="13"/>
                <w:color w:val="auto"/>
              </w:rPr>
              <w:t>4.1</w:t>
            </w:r>
          </w:p>
        </w:tc>
        <w:tc>
          <w:tcPr>
            <w:tcW w:w="6820" w:type="dxa"/>
            <w:vAlign w:val="bottom"/>
            <w:tcBorders>
              <w:bottom w:val="single" w:sz="8" w:color="0000FF"/>
            </w:tcBorders>
            <w:gridSpan w:val="10"/>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First Amendment to Custody Agreement between Runway Growth Finance Corp. and US Bank National Association*</w:t>
              </w:r>
            </w:hyperlink>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0"/>
                <w:szCs w:val="20"/>
                <w:color w:val="auto"/>
              </w:rPr>
            </w:pPr>
            <w:r>
              <w:rPr>
                <w:rFonts w:ascii="Arial" w:cs="Arial" w:eastAsia="Arial" w:hAnsi="Arial"/>
                <w:sz w:val="13"/>
                <w:szCs w:val="13"/>
                <w:color w:val="auto"/>
              </w:rPr>
              <w:t>31.1</w:t>
            </w:r>
          </w:p>
        </w:tc>
        <w:tc>
          <w:tcPr>
            <w:tcW w:w="9300" w:type="dxa"/>
            <w:vAlign w:val="bottom"/>
            <w:gridSpan w:val="11"/>
          </w:tcPr>
          <w:p>
            <w:pPr>
              <w:spacing w:after="0" w:line="150" w:lineRule="exact"/>
              <w:rPr>
                <w:rFonts w:ascii="Arial" w:cs="Arial" w:eastAsia="Arial" w:hAnsi="Arial"/>
                <w:sz w:val="13"/>
                <w:szCs w:val="13"/>
                <w:color w:val="0000FF"/>
              </w:rPr>
            </w:pPr>
            <w:hyperlink w:anchor="page1">
              <w:r>
                <w:rPr>
                  <w:rFonts w:ascii="Arial" w:cs="Arial" w:eastAsia="Arial" w:hAnsi="Arial"/>
                  <w:sz w:val="13"/>
                  <w:szCs w:val="13"/>
                  <w:color w:val="0000FF"/>
                </w:rPr>
                <w:t>Certification of Chief Executive Officer pursuant to Rule 13a</w:t>
              </w:r>
            </w:hyperlink>
            <w:r>
              <w:rPr>
                <w:rFonts w:ascii="MS PGothic" w:cs="MS PGothic" w:eastAsia="MS PGothic" w:hAnsi="MS PGothic"/>
                <w:sz w:val="13"/>
                <w:szCs w:val="13"/>
                <w:color w:val="0000FF"/>
              </w:rPr>
              <w:t>‑</w:t>
            </w:r>
            <w:hyperlink w:anchor="page1">
              <w:r>
                <w:rPr>
                  <w:rFonts w:ascii="Arial" w:cs="Arial" w:eastAsia="Arial" w:hAnsi="Arial"/>
                  <w:sz w:val="13"/>
                  <w:szCs w:val="13"/>
                  <w:color w:val="0000FF"/>
                </w:rPr>
                <w:t>14 of the Securities Exchange Act of 1934, as amended*</w:t>
              </w:r>
            </w:hyperlink>
          </w:p>
        </w:tc>
        <w:tc>
          <w:tcPr>
            <w:tcW w:w="0" w:type="dxa"/>
            <w:vAlign w:val="bottom"/>
          </w:tcPr>
          <w:p>
            <w:pPr>
              <w:spacing w:after="0"/>
              <w:rPr>
                <w:sz w:val="1"/>
                <w:szCs w:val="1"/>
                <w:color w:val="auto"/>
              </w:rPr>
            </w:pPr>
          </w:p>
        </w:tc>
      </w:tr>
      <w:tr>
        <w:trPr>
          <w:trHeight w:val="340"/>
        </w:trPr>
        <w:tc>
          <w:tcPr>
            <w:tcW w:w="860" w:type="dxa"/>
            <w:vAlign w:val="bottom"/>
          </w:tcPr>
          <w:p>
            <w:pPr>
              <w:spacing w:after="0"/>
              <w:rPr>
                <w:sz w:val="20"/>
                <w:szCs w:val="20"/>
                <w:color w:val="auto"/>
              </w:rPr>
            </w:pPr>
            <w:r>
              <w:rPr>
                <w:rFonts w:ascii="Arial" w:cs="Arial" w:eastAsia="Arial" w:hAnsi="Arial"/>
                <w:sz w:val="13"/>
                <w:szCs w:val="13"/>
                <w:color w:val="auto"/>
              </w:rPr>
              <w:t>31.2</w:t>
            </w:r>
          </w:p>
        </w:tc>
        <w:tc>
          <w:tcPr>
            <w:tcW w:w="6780" w:type="dxa"/>
            <w:vAlign w:val="bottom"/>
            <w:tcBorders>
              <w:top w:val="single" w:sz="8" w:color="0000FF"/>
              <w:bottom w:val="single" w:sz="8" w:color="0000FF"/>
            </w:tcBorders>
            <w:gridSpan w:val="9"/>
          </w:tcPr>
          <w:p>
            <w:pPr>
              <w:spacing w:after="0" w:line="150" w:lineRule="exact"/>
              <w:rPr>
                <w:rFonts w:ascii="Arial" w:cs="Arial" w:eastAsia="Arial" w:hAnsi="Arial"/>
                <w:sz w:val="13"/>
                <w:szCs w:val="13"/>
                <w:color w:val="0000FF"/>
              </w:rPr>
            </w:pPr>
            <w:hyperlink w:anchor="page1">
              <w:r>
                <w:rPr>
                  <w:rFonts w:ascii="Arial" w:cs="Arial" w:eastAsia="Arial" w:hAnsi="Arial"/>
                  <w:sz w:val="13"/>
                  <w:szCs w:val="13"/>
                  <w:color w:val="0000FF"/>
                </w:rPr>
                <w:t>Certification of Chief Financial Officer pursuant to Rule 13a</w:t>
              </w:r>
            </w:hyperlink>
            <w:r>
              <w:rPr>
                <w:rFonts w:ascii="MS PGothic" w:cs="MS PGothic" w:eastAsia="MS PGothic" w:hAnsi="MS PGothic"/>
                <w:sz w:val="13"/>
                <w:szCs w:val="13"/>
                <w:color w:val="0000FF"/>
              </w:rPr>
              <w:t>‑</w:t>
            </w:r>
            <w:hyperlink w:anchor="page1">
              <w:r>
                <w:rPr>
                  <w:rFonts w:ascii="Arial" w:cs="Arial" w:eastAsia="Arial" w:hAnsi="Arial"/>
                  <w:sz w:val="13"/>
                  <w:szCs w:val="13"/>
                  <w:color w:val="0000FF"/>
                </w:rPr>
                <w:t>14 of the Securities Exchange Act of 1934, as amended*</w:t>
              </w:r>
            </w:hyperlink>
          </w:p>
        </w:tc>
        <w:tc>
          <w:tcPr>
            <w:tcW w:w="40" w:type="dxa"/>
            <w:vAlign w:val="bottom"/>
            <w:tcBorders>
              <w:top w:val="single" w:sz="8" w:color="0000FF"/>
            </w:tcBorders>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60" w:type="dxa"/>
            <w:vAlign w:val="bottom"/>
          </w:tcPr>
          <w:p>
            <w:pPr>
              <w:spacing w:after="0"/>
              <w:rPr>
                <w:sz w:val="20"/>
                <w:szCs w:val="20"/>
                <w:color w:val="auto"/>
              </w:rPr>
            </w:pPr>
            <w:r>
              <w:rPr>
                <w:rFonts w:ascii="Arial" w:cs="Arial" w:eastAsia="Arial" w:hAnsi="Arial"/>
                <w:sz w:val="13"/>
                <w:szCs w:val="13"/>
                <w:color w:val="auto"/>
              </w:rPr>
              <w:t>32.1</w:t>
            </w:r>
          </w:p>
        </w:tc>
        <w:tc>
          <w:tcPr>
            <w:tcW w:w="9300" w:type="dxa"/>
            <w:vAlign w:val="bottom"/>
            <w:gridSpan w:val="11"/>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340"/>
        </w:trPr>
        <w:tc>
          <w:tcPr>
            <w:tcW w:w="860" w:type="dxa"/>
            <w:vAlign w:val="bottom"/>
          </w:tcPr>
          <w:p>
            <w:pPr>
              <w:spacing w:after="0"/>
              <w:rPr>
                <w:sz w:val="20"/>
                <w:szCs w:val="20"/>
                <w:color w:val="auto"/>
              </w:rPr>
            </w:pPr>
            <w:r>
              <w:rPr>
                <w:rFonts w:ascii="Arial" w:cs="Arial" w:eastAsia="Arial" w:hAnsi="Arial"/>
                <w:sz w:val="13"/>
                <w:szCs w:val="13"/>
                <w:color w:val="auto"/>
              </w:rPr>
              <w:t>32.2</w:t>
            </w:r>
          </w:p>
        </w:tc>
        <w:tc>
          <w:tcPr>
            <w:tcW w:w="5700" w:type="dxa"/>
            <w:vAlign w:val="bottom"/>
            <w:tcBorders>
              <w:top w:val="single" w:sz="8" w:color="0000FF"/>
              <w:bottom w:val="single" w:sz="8" w:color="0000FF"/>
            </w:tcBorders>
            <w:gridSpan w:val="7"/>
          </w:tcPr>
          <w:p>
            <w:pPr>
              <w:spacing w:after="0"/>
              <w:rPr>
                <w:rFonts w:ascii="Arial" w:cs="Arial" w:eastAsia="Arial" w:hAnsi="Arial"/>
                <w:sz w:val="13"/>
                <w:szCs w:val="13"/>
                <w:color w:val="0000FF"/>
              </w:rPr>
            </w:pPr>
            <w:hyperlink w:anchor="page1">
              <w:r>
                <w:rPr>
                  <w:rFonts w:ascii="Arial" w:cs="Arial" w:eastAsia="Arial" w:hAnsi="Arial"/>
                  <w:sz w:val="13"/>
                  <w:szCs w:val="13"/>
                  <w:color w:val="0000FF"/>
                </w:rPr>
                <w:t>Certification of Chief Financial Officer pursuant to Section 906 of the Sarbanes-Oxley Act of 2002*</w:t>
              </w:r>
            </w:hyperlink>
          </w:p>
        </w:tc>
        <w:tc>
          <w:tcPr>
            <w:tcW w:w="40" w:type="dxa"/>
            <w:vAlign w:val="bottom"/>
            <w:tcBorders>
              <w:top w:val="single" w:sz="8" w:color="0000FF"/>
            </w:tcBorders>
          </w:tcPr>
          <w:p>
            <w:pPr>
              <w:spacing w:after="0"/>
              <w:rPr>
                <w:sz w:val="24"/>
                <w:szCs w:val="24"/>
                <w:color w:val="auto"/>
              </w:rPr>
            </w:pPr>
          </w:p>
        </w:tc>
        <w:tc>
          <w:tcPr>
            <w:tcW w:w="3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60" w:type="dxa"/>
            <w:vAlign w:val="bottom"/>
          </w:tcPr>
          <w:p>
            <w:pPr>
              <w:spacing w:after="0"/>
              <w:rPr>
                <w:sz w:val="20"/>
                <w:szCs w:val="20"/>
                <w:color w:val="auto"/>
              </w:rPr>
            </w:pPr>
            <w:r>
              <w:rPr>
                <w:rFonts w:ascii="Arial" w:cs="Arial" w:eastAsia="Arial" w:hAnsi="Arial"/>
                <w:sz w:val="13"/>
                <w:szCs w:val="13"/>
                <w:color w:val="auto"/>
              </w:rPr>
              <w:t>101.INS</w:t>
            </w:r>
          </w:p>
        </w:tc>
        <w:tc>
          <w:tcPr>
            <w:tcW w:w="9300" w:type="dxa"/>
            <w:vAlign w:val="bottom"/>
            <w:gridSpan w:val="11"/>
          </w:tcPr>
          <w:p>
            <w:pPr>
              <w:spacing w:after="0"/>
              <w:rPr>
                <w:sz w:val="20"/>
                <w:szCs w:val="20"/>
                <w:color w:val="auto"/>
              </w:rPr>
            </w:pPr>
            <w:r>
              <w:rPr>
                <w:rFonts w:ascii="Arial" w:cs="Arial" w:eastAsia="Arial" w:hAnsi="Arial"/>
                <w:sz w:val="13"/>
                <w:szCs w:val="13"/>
                <w:color w:val="auto"/>
              </w:rPr>
              <w:t>Inline XBRL Instance Document – the instance document does not appear in the Interactive Data File because XBRL tags are embedded within the Inline XBRL</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14"/>
                <w:szCs w:val="14"/>
                <w:color w:val="auto"/>
              </w:rPr>
            </w:pPr>
          </w:p>
        </w:tc>
        <w:tc>
          <w:tcPr>
            <w:tcW w:w="9300" w:type="dxa"/>
            <w:vAlign w:val="bottom"/>
            <w:gridSpan w:val="11"/>
          </w:tcPr>
          <w:p>
            <w:pPr>
              <w:spacing w:after="0"/>
              <w:rPr>
                <w:sz w:val="20"/>
                <w:szCs w:val="20"/>
                <w:color w:val="auto"/>
              </w:rPr>
            </w:pPr>
            <w:r>
              <w:rPr>
                <w:rFonts w:ascii="Arial" w:cs="Arial" w:eastAsia="Arial" w:hAnsi="Arial"/>
                <w:sz w:val="13"/>
                <w:szCs w:val="13"/>
                <w:color w:val="auto"/>
              </w:rPr>
              <w:t>document.</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3"/>
                <w:szCs w:val="13"/>
                <w:color w:val="auto"/>
              </w:rPr>
              <w:t>101.SCH</w:t>
            </w:r>
          </w:p>
        </w:tc>
        <w:tc>
          <w:tcPr>
            <w:tcW w:w="9300" w:type="dxa"/>
            <w:vAlign w:val="bottom"/>
            <w:gridSpan w:val="11"/>
          </w:tcPr>
          <w:p>
            <w:pPr>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360"/>
        </w:trPr>
        <w:tc>
          <w:tcPr>
            <w:tcW w:w="860" w:type="dxa"/>
            <w:vAlign w:val="bottom"/>
          </w:tcPr>
          <w:p>
            <w:pPr>
              <w:spacing w:after="0"/>
              <w:rPr>
                <w:sz w:val="20"/>
                <w:szCs w:val="20"/>
                <w:color w:val="auto"/>
              </w:rPr>
            </w:pPr>
            <w:r>
              <w:rPr>
                <w:rFonts w:ascii="Arial" w:cs="Arial" w:eastAsia="Arial" w:hAnsi="Arial"/>
                <w:sz w:val="13"/>
                <w:szCs w:val="13"/>
                <w:color w:val="auto"/>
              </w:rPr>
              <w:t>101.CAL</w:t>
            </w:r>
          </w:p>
        </w:tc>
        <w:tc>
          <w:tcPr>
            <w:tcW w:w="9300" w:type="dxa"/>
            <w:vAlign w:val="bottom"/>
            <w:gridSpan w:val="11"/>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360"/>
        </w:trPr>
        <w:tc>
          <w:tcPr>
            <w:tcW w:w="860" w:type="dxa"/>
            <w:vAlign w:val="bottom"/>
          </w:tcPr>
          <w:p>
            <w:pPr>
              <w:spacing w:after="0"/>
              <w:rPr>
                <w:sz w:val="20"/>
                <w:szCs w:val="20"/>
                <w:color w:val="auto"/>
              </w:rPr>
            </w:pPr>
            <w:r>
              <w:rPr>
                <w:rFonts w:ascii="Arial" w:cs="Arial" w:eastAsia="Arial" w:hAnsi="Arial"/>
                <w:sz w:val="13"/>
                <w:szCs w:val="13"/>
                <w:color w:val="auto"/>
              </w:rPr>
              <w:t>101.DEF</w:t>
            </w:r>
          </w:p>
        </w:tc>
        <w:tc>
          <w:tcPr>
            <w:tcW w:w="9300" w:type="dxa"/>
            <w:vAlign w:val="bottom"/>
            <w:gridSpan w:val="11"/>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360"/>
        </w:trPr>
        <w:tc>
          <w:tcPr>
            <w:tcW w:w="860" w:type="dxa"/>
            <w:vAlign w:val="bottom"/>
          </w:tcPr>
          <w:p>
            <w:pPr>
              <w:spacing w:after="0"/>
              <w:rPr>
                <w:sz w:val="20"/>
                <w:szCs w:val="20"/>
                <w:color w:val="auto"/>
              </w:rPr>
            </w:pPr>
            <w:r>
              <w:rPr>
                <w:rFonts w:ascii="Arial" w:cs="Arial" w:eastAsia="Arial" w:hAnsi="Arial"/>
                <w:sz w:val="13"/>
                <w:szCs w:val="13"/>
                <w:color w:val="auto"/>
              </w:rPr>
              <w:t>101.LAB</w:t>
            </w:r>
          </w:p>
        </w:tc>
        <w:tc>
          <w:tcPr>
            <w:tcW w:w="9300" w:type="dxa"/>
            <w:vAlign w:val="bottom"/>
            <w:gridSpan w:val="11"/>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3"/>
                <w:szCs w:val="13"/>
                <w:color w:val="auto"/>
              </w:rPr>
              <w:t>101.PRE</w:t>
            </w:r>
          </w:p>
        </w:tc>
        <w:tc>
          <w:tcPr>
            <w:tcW w:w="9300" w:type="dxa"/>
            <w:vAlign w:val="bottom"/>
            <w:gridSpan w:val="11"/>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0" w:type="dxa"/>
            <w:vAlign w:val="bottom"/>
          </w:tcPr>
          <w:p>
            <w:pPr>
              <w:spacing w:after="0"/>
              <w:rPr>
                <w:sz w:val="1"/>
                <w:szCs w:val="1"/>
                <w:color w:val="auto"/>
              </w:rPr>
            </w:pPr>
          </w:p>
        </w:tc>
      </w:tr>
      <w:tr>
        <w:trPr>
          <w:trHeight w:val="360"/>
        </w:trPr>
        <w:tc>
          <w:tcPr>
            <w:tcW w:w="860" w:type="dxa"/>
            <w:vAlign w:val="bottom"/>
          </w:tcPr>
          <w:p>
            <w:pPr>
              <w:spacing w:after="0"/>
              <w:rPr>
                <w:sz w:val="20"/>
                <w:szCs w:val="20"/>
                <w:color w:val="auto"/>
              </w:rPr>
            </w:pPr>
            <w:r>
              <w:rPr>
                <w:rFonts w:ascii="Arial" w:cs="Arial" w:eastAsia="Arial" w:hAnsi="Arial"/>
                <w:sz w:val="13"/>
                <w:szCs w:val="13"/>
                <w:color w:val="auto"/>
              </w:rPr>
              <w:t>104</w:t>
            </w:r>
          </w:p>
        </w:tc>
        <w:tc>
          <w:tcPr>
            <w:tcW w:w="9300" w:type="dxa"/>
            <w:vAlign w:val="bottom"/>
            <w:gridSpan w:val="11"/>
          </w:tcPr>
          <w:p>
            <w:pPr>
              <w:spacing w:after="0"/>
              <w:rPr>
                <w:sz w:val="20"/>
                <w:szCs w:val="20"/>
                <w:color w:val="auto"/>
              </w:rPr>
            </w:pPr>
            <w:r>
              <w:rPr>
                <w:rFonts w:ascii="Arial" w:cs="Arial" w:eastAsia="Arial" w:hAnsi="Arial"/>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680" w:hanging="283"/>
        <w:spacing w:after="0"/>
        <w:tabs>
          <w:tab w:leader="none" w:pos="680" w:val="left"/>
        </w:tabs>
        <w:numPr>
          <w:ilvl w:val="0"/>
          <w:numId w:val="17"/>
        </w:numPr>
        <w:rPr>
          <w:rFonts w:ascii="Arial" w:cs="Arial" w:eastAsia="Arial" w:hAnsi="Arial"/>
          <w:sz w:val="16"/>
          <w:szCs w:val="16"/>
          <w:color w:val="auto"/>
        </w:rPr>
      </w:pPr>
      <w:r>
        <w:rPr>
          <w:rFonts w:ascii="Arial" w:cs="Arial" w:eastAsia="Arial" w:hAnsi="Arial"/>
          <w:sz w:val="13"/>
          <w:szCs w:val="13"/>
          <w:color w:val="auto"/>
        </w:rPr>
        <w:t>Filed herewith.</w:t>
      </w:r>
    </w:p>
    <w:p>
      <w:pPr>
        <w:spacing w:after="0" w:line="87"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(1)</w:t>
      </w:r>
      <w:r>
        <w:rPr>
          <w:rFonts w:ascii="Arial" w:cs="Arial" w:eastAsia="Arial" w:hAnsi="Arial"/>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Arial" w:cs="Arial" w:eastAsia="Arial" w:hAnsi="Arial"/>
          <w:sz w:val="13"/>
          <w:szCs w:val="13"/>
          <w:color w:val="auto"/>
        </w:rPr>
        <w:t>K filed with the SEC on December 19, 2016.</w:t>
      </w:r>
    </w:p>
    <w:p>
      <w:pPr>
        <w:spacing w:after="0" w:line="104"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(2)</w:t>
      </w:r>
      <w:r>
        <w:rPr>
          <w:rFonts w:ascii="Arial" w:cs="Arial" w:eastAsia="Arial" w:hAnsi="Arial"/>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Arial" w:cs="Arial" w:eastAsia="Arial" w:hAnsi="Arial"/>
          <w:sz w:val="13"/>
          <w:szCs w:val="13"/>
          <w:color w:val="auto"/>
        </w:rPr>
        <w:t>K filed with the SEC on August 19, 2021.</w:t>
      </w:r>
    </w:p>
    <w:p>
      <w:pPr>
        <w:spacing w:after="0" w:line="104"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(3)</w:t>
      </w:r>
      <w:r>
        <w:rPr>
          <w:rFonts w:ascii="Arial" w:cs="Arial" w:eastAsia="Arial" w:hAnsi="Arial"/>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Arial" w:cs="Arial" w:eastAsia="Arial" w:hAnsi="Arial"/>
          <w:sz w:val="13"/>
          <w:szCs w:val="13"/>
          <w:color w:val="auto"/>
        </w:rPr>
        <w:t>K filed with the SEC on April 14, 2023.</w:t>
      </w:r>
    </w:p>
    <w:p>
      <w:pPr>
        <w:spacing w:after="0" w:line="200"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80"/>
          </w:cols>
          <w:pgMar w:left="660" w:top="562" w:right="1060" w:bottom="1440" w:gutter="0" w:footer="0" w:header="0"/>
        </w:sectPr>
      </w:pPr>
    </w:p>
    <w:bookmarkStart w:id="68" w:name="page69"/>
    <w:bookmarkEnd w:id="68"/>
    <w:p>
      <w:pPr>
        <w:spacing w:after="0"/>
        <w:rPr>
          <w:rFonts w:ascii="Arial" w:cs="Arial" w:eastAsia="Arial" w:hAnsi="Arial"/>
          <w:sz w:val="16"/>
          <w:szCs w:val="16"/>
          <w:color w:val="0563C1"/>
        </w:rPr>
      </w:pPr>
      <w:hyperlink w:anchor="page3">
        <w:r>
          <w:rPr>
            <w:rFonts w:ascii="Arial" w:cs="Arial" w:eastAsia="Arial" w:hAnsi="Arial"/>
            <w:sz w:val="16"/>
            <w:szCs w:val="16"/>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772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RUNWAY GROWTH FINANCE CORP.</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8, 2023</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By: /s/ Greg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9525</wp:posOffset>
            </wp:positionV>
            <wp:extent cx="307911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079115" cy="7620"/>
                    </a:xfrm>
                    <a:prstGeom prst="rect">
                      <a:avLst/>
                    </a:prstGeom>
                    <a:noFill/>
                  </pic:spPr>
                </pic:pic>
              </a:graphicData>
            </a:graphic>
          </wp:anchor>
        </w:drawing>
      </w:r>
    </w:p>
    <w:p>
      <w:pPr>
        <w:spacing w:after="0" w:line="1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Greg Greifeld</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Acting Chief Executive Officer</w:t>
      </w:r>
    </w:p>
    <w:p>
      <w:pPr>
        <w:spacing w:after="0" w:line="224" w:lineRule="exact"/>
        <w:rPr>
          <w:sz w:val="20"/>
          <w:szCs w:val="20"/>
          <w:color w:val="auto"/>
        </w:rPr>
      </w:pPr>
    </w:p>
    <w:p>
      <w:pPr>
        <w:ind w:left="20"/>
        <w:spacing w:after="0"/>
        <w:tabs>
          <w:tab w:leader="none" w:pos="5380" w:val="left"/>
        </w:tabs>
        <w:rPr>
          <w:sz w:val="20"/>
          <w:szCs w:val="20"/>
          <w:color w:val="auto"/>
        </w:rPr>
      </w:pPr>
      <w:r>
        <w:rPr>
          <w:rFonts w:ascii="Arial" w:cs="Arial" w:eastAsia="Arial" w:hAnsi="Arial"/>
          <w:sz w:val="16"/>
          <w:szCs w:val="16"/>
          <w:color w:val="auto"/>
        </w:rPr>
        <w:t>Date: August 8, 2023</w:t>
      </w:r>
      <w:r>
        <w:rPr>
          <w:sz w:val="20"/>
          <w:szCs w:val="20"/>
          <w:color w:val="auto"/>
        </w:rPr>
        <w:tab/>
      </w:r>
      <w:r>
        <w:rPr>
          <w:rFonts w:ascii="Arial" w:cs="Arial" w:eastAsia="Arial" w:hAnsi="Arial"/>
          <w:sz w:val="16"/>
          <w:szCs w:val="16"/>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9525</wp:posOffset>
            </wp:positionV>
            <wp:extent cx="307911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3079115" cy="7620"/>
                    </a:xfrm>
                    <a:prstGeom prst="rect">
                      <a:avLst/>
                    </a:prstGeom>
                    <a:noFill/>
                  </pic:spPr>
                </pic:pic>
              </a:graphicData>
            </a:graphic>
          </wp:anchor>
        </w:drawing>
      </w:r>
    </w:p>
    <w:p>
      <w:pPr>
        <w:spacing w:after="0" w:line="1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Thomas B. Raterman</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Acting President, Chief Financial Officer, Treasurer and Secretary</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62" w:right="740" w:bottom="1440" w:gutter="0" w:footer="0" w:header="0"/>
        </w:sectPr>
      </w:pPr>
    </w:p>
    <w:bookmarkStart w:id="69" w:name="page70"/>
    <w:bookmarkEnd w:id="69"/>
    <w:p>
      <w:pPr>
        <w:spacing w:after="0"/>
        <w:rPr>
          <w:sz w:val="20"/>
          <w:szCs w:val="20"/>
          <w:color w:val="auto"/>
        </w:rPr>
      </w:pPr>
      <w:r>
        <w:rPr>
          <w:rFonts w:ascii="Arial" w:cs="Arial" w:eastAsia="Arial" w:hAnsi="Arial"/>
          <w:sz w:val="13"/>
          <w:szCs w:val="13"/>
          <w:color w:val="auto"/>
        </w:rPr>
        <w:t>DocuSign Envelope ID: 1F0EB464-06E3-493E-AFAD-DEBBBD46C49A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1 TO THE CUSTODY AGREEMENT</w:t>
      </w:r>
    </w:p>
    <w:p>
      <w:pPr>
        <w:spacing w:after="0" w:line="235" w:lineRule="exact"/>
        <w:rPr>
          <w:sz w:val="20"/>
          <w:szCs w:val="20"/>
          <w:color w:val="auto"/>
        </w:rPr>
      </w:pPr>
    </w:p>
    <w:p>
      <w:pPr>
        <w:ind w:left="80" w:right="160" w:firstLine="708"/>
        <w:spacing w:after="0" w:line="256"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to the Custody Agreement, dated as of January 6, 2017, is made and entered into as of August 3 2023 by and among Runway Growth Finance Corp., as successor in interest to GSV Growth Credit Fund Inc. (the “ </w:t>
      </w:r>
      <w:r>
        <w:rPr>
          <w:rFonts w:ascii="Arial" w:cs="Arial" w:eastAsia="Arial" w:hAnsi="Arial"/>
          <w:sz w:val="18"/>
          <w:szCs w:val="18"/>
          <w:u w:val="single" w:color="auto"/>
          <w:color w:val="auto"/>
        </w:rPr>
        <w:t>Company</w:t>
      </w:r>
      <w:r>
        <w:rPr>
          <w:rFonts w:ascii="Arial" w:cs="Arial" w:eastAsia="Arial" w:hAnsi="Arial"/>
          <w:sz w:val="18"/>
          <w:szCs w:val="18"/>
          <w:color w:val="auto"/>
        </w:rPr>
        <w:t>”), U.S. Bank Trust Company, National Association, as successor in interest to U.S. Bank National Association, as custodian (the “</w:t>
      </w:r>
      <w:r>
        <w:rPr>
          <w:rFonts w:ascii="Arial" w:cs="Arial" w:eastAsia="Arial" w:hAnsi="Arial"/>
          <w:sz w:val="18"/>
          <w:szCs w:val="18"/>
          <w:u w:val="single" w:color="auto"/>
          <w:color w:val="auto"/>
        </w:rPr>
        <w:t>Custodian</w:t>
      </w:r>
      <w:r>
        <w:rPr>
          <w:rFonts w:ascii="Arial" w:cs="Arial" w:eastAsia="Arial" w:hAnsi="Arial"/>
          <w:sz w:val="18"/>
          <w:szCs w:val="18"/>
          <w:color w:val="auto"/>
        </w:rPr>
        <w:t>”) and U.S. Bank National Association, as document custodian (the “</w:t>
      </w:r>
      <w:r>
        <w:rPr>
          <w:rFonts w:ascii="Arial" w:cs="Arial" w:eastAsia="Arial" w:hAnsi="Arial"/>
          <w:sz w:val="18"/>
          <w:szCs w:val="18"/>
          <w:u w:val="single" w:color="auto"/>
          <w:color w:val="auto"/>
        </w:rPr>
        <w:t>Document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Custodian</w:t>
      </w:r>
      <w:r>
        <w:rPr>
          <w:rFonts w:ascii="Arial" w:cs="Arial" w:eastAsia="Arial" w:hAnsi="Arial"/>
          <w:sz w:val="18"/>
          <w:szCs w:val="18"/>
          <w:color w:val="auto"/>
        </w:rPr>
        <w: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RECITALS</w:t>
      </w:r>
    </w:p>
    <w:p>
      <w:pPr>
        <w:spacing w:after="0" w:line="211" w:lineRule="exact"/>
        <w:rPr>
          <w:sz w:val="20"/>
          <w:szCs w:val="20"/>
          <w:color w:val="auto"/>
        </w:rPr>
      </w:pPr>
    </w:p>
    <w:p>
      <w:pPr>
        <w:ind w:left="80" w:right="200" w:firstLine="720"/>
        <w:spacing w:after="0" w:line="275" w:lineRule="auto"/>
        <w:rPr>
          <w:sz w:val="20"/>
          <w:szCs w:val="20"/>
          <w:color w:val="auto"/>
        </w:rPr>
      </w:pPr>
      <w:r>
        <w:rPr>
          <w:rFonts w:ascii="Arial" w:cs="Arial" w:eastAsia="Arial" w:hAnsi="Arial"/>
          <w:sz w:val="18"/>
          <w:szCs w:val="18"/>
          <w:color w:val="auto"/>
        </w:rPr>
        <w:t>WHEREAS, the Company, the Custodian and the Document Custodian entered into that certain Custody Agreement, dated as of January 6, 2017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w:t>
      </w:r>
    </w:p>
    <w:p>
      <w:pPr>
        <w:spacing w:after="0" w:line="150" w:lineRule="exact"/>
        <w:rPr>
          <w:sz w:val="20"/>
          <w:szCs w:val="20"/>
          <w:color w:val="auto"/>
        </w:rPr>
      </w:pPr>
    </w:p>
    <w:p>
      <w:pPr>
        <w:ind w:left="80" w:right="20" w:firstLine="720"/>
        <w:spacing w:after="0" w:line="275" w:lineRule="auto"/>
        <w:rPr>
          <w:sz w:val="20"/>
          <w:szCs w:val="20"/>
          <w:color w:val="auto"/>
        </w:rPr>
      </w:pPr>
      <w:r>
        <w:rPr>
          <w:rFonts w:ascii="Arial" w:cs="Arial" w:eastAsia="Arial" w:hAnsi="Arial"/>
          <w:sz w:val="18"/>
          <w:szCs w:val="18"/>
          <w:color w:val="auto"/>
        </w:rPr>
        <w:t>WHEREAS, the Company has requested, and the Custodian and the Document Custodian agree to amend the Original Agreement on the terms herein in order to permit the Custodian to hold certain foreign assets through its sub-custodian;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80" w:right="140" w:firstLine="708"/>
        <w:spacing w:after="0" w:line="269"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hereby are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Company and the Custodian for themselves and their respective successors and permitted assigns, hereby agree as follows:</w:t>
      </w:r>
    </w:p>
    <w:p>
      <w:pPr>
        <w:spacing w:after="0" w:line="154" w:lineRule="exact"/>
        <w:rPr>
          <w:sz w:val="20"/>
          <w:szCs w:val="20"/>
          <w:color w:val="auto"/>
        </w:rPr>
      </w:pPr>
    </w:p>
    <w:p>
      <w:pPr>
        <w:jc w:val="center"/>
        <w:ind w:right="-799"/>
        <w:spacing w:after="0"/>
        <w:rPr>
          <w:sz w:val="20"/>
          <w:szCs w:val="20"/>
          <w:color w:val="auto"/>
        </w:rPr>
      </w:pPr>
      <w:r>
        <w:rPr>
          <w:rFonts w:ascii="Arial" w:cs="Arial" w:eastAsia="Arial" w:hAnsi="Arial"/>
          <w:sz w:val="17"/>
          <w:szCs w:val="17"/>
          <w:color w:val="auto"/>
        </w:rPr>
        <w:t>1.Section 1 of the Agreement is hereby amended by adding the defined terms below in its respective alphabetical order:</w:t>
      </w:r>
    </w:p>
    <w:p>
      <w:pPr>
        <w:spacing w:after="0" w:line="213" w:lineRule="exact"/>
        <w:rPr>
          <w:sz w:val="20"/>
          <w:szCs w:val="20"/>
          <w:color w:val="auto"/>
        </w:rPr>
      </w:pPr>
    </w:p>
    <w:p>
      <w:pPr>
        <w:ind w:left="1140" w:right="30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Sub-custodian</w:t>
      </w:r>
      <w:r>
        <w:rPr>
          <w:rFonts w:ascii="Arial" w:cs="Arial" w:eastAsia="Arial" w:hAnsi="Arial"/>
          <w:sz w:val="18"/>
          <w:szCs w:val="18"/>
          <w:color w:val="auto"/>
        </w:rPr>
        <w:t>” means and includes any sub-custodian appointed to administer any of the Company’s Foreign Securities, pursuant to Section 6 below. “</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Securities</w:t>
      </w:r>
      <w:r>
        <w:rPr>
          <w:rFonts w:ascii="Arial" w:cs="Arial" w:eastAsia="Arial" w:hAnsi="Arial"/>
          <w:sz w:val="18"/>
          <w:szCs w:val="18"/>
          <w:color w:val="auto"/>
        </w:rPr>
        <w:t>” means Securities for which the primary market is outside the United States.”</w:t>
      </w:r>
    </w:p>
    <w:p>
      <w:pPr>
        <w:spacing w:after="0" w:line="20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2.Section 6 of the Agreement is hereby deleted in its entirety and replaced with the following:</w:t>
      </w:r>
    </w:p>
    <w:p>
      <w:pPr>
        <w:spacing w:after="0" w:line="224" w:lineRule="exact"/>
        <w:rPr>
          <w:sz w:val="20"/>
          <w:szCs w:val="20"/>
          <w:color w:val="auto"/>
        </w:rPr>
      </w:pPr>
    </w:p>
    <w:p>
      <w:pPr>
        <w:ind w:left="860"/>
        <w:spacing w:after="0"/>
        <w:rPr>
          <w:sz w:val="20"/>
          <w:szCs w:val="20"/>
          <w:color w:val="auto"/>
        </w:rPr>
      </w:pPr>
      <w:r>
        <w:rPr>
          <w:rFonts w:ascii="Arial" w:cs="Arial" w:eastAsia="Arial" w:hAnsi="Arial"/>
          <w:sz w:val="19"/>
          <w:szCs w:val="19"/>
          <w:color w:val="auto"/>
        </w:rPr>
        <w:t>6.</w:t>
      </w:r>
      <w:r>
        <w:rPr>
          <w:rFonts w:ascii="Arial" w:cs="Arial" w:eastAsia="Arial" w:hAnsi="Arial"/>
          <w:sz w:val="18"/>
          <w:szCs w:val="18"/>
          <w:color w:val="auto"/>
        </w:rPr>
        <w:t>SECURITIES HELD OUTSIDE OF THE UNITED STATES</w:t>
      </w:r>
    </w:p>
    <w:p>
      <w:pPr>
        <w:spacing w:after="0" w:line="226" w:lineRule="exact"/>
        <w:rPr>
          <w:sz w:val="20"/>
          <w:szCs w:val="20"/>
          <w:color w:val="auto"/>
        </w:rPr>
      </w:pPr>
    </w:p>
    <w:p>
      <w:pPr>
        <w:ind w:left="860" w:right="620" w:firstLine="96"/>
        <w:spacing w:after="0" w:line="252" w:lineRule="auto"/>
        <w:rPr>
          <w:sz w:val="20"/>
          <w:szCs w:val="20"/>
          <w:color w:val="auto"/>
        </w:rPr>
      </w:pPr>
      <w:r>
        <w:rPr>
          <w:rFonts w:ascii="Arial" w:cs="Arial" w:eastAsia="Arial" w:hAnsi="Arial"/>
          <w:sz w:val="19"/>
          <w:szCs w:val="19"/>
          <w:color w:val="auto"/>
        </w:rPr>
        <w:t>6.1</w:t>
      </w:r>
      <w:r>
        <w:rPr>
          <w:rFonts w:ascii="Arial" w:cs="Arial" w:eastAsia="Arial" w:hAnsi="Arial"/>
          <w:sz w:val="18"/>
          <w:szCs w:val="18"/>
          <w:u w:val="single" w:color="auto"/>
          <w:color w:val="auto"/>
        </w:rPr>
        <w:t>Appointment of Foreign Sub-custodian</w:t>
      </w:r>
      <w:r>
        <w:rPr>
          <w:rFonts w:ascii="Arial" w:cs="Arial" w:eastAsia="Arial" w:hAnsi="Arial"/>
          <w:sz w:val="18"/>
          <w:szCs w:val="18"/>
          <w:color w:val="auto"/>
        </w:rPr>
        <w:t>. The Company hereby authorizes and instructs the Custodian in its</w:t>
      </w:r>
      <w:r>
        <w:rPr>
          <w:rFonts w:ascii="Arial" w:cs="Arial" w:eastAsia="Arial" w:hAnsi="Arial"/>
          <w:sz w:val="19"/>
          <w:szCs w:val="19"/>
          <w:color w:val="auto"/>
        </w:rPr>
        <w:t xml:space="preserve"> </w:t>
      </w:r>
      <w:r>
        <w:rPr>
          <w:rFonts w:ascii="Arial" w:cs="Arial" w:eastAsia="Arial" w:hAnsi="Arial"/>
          <w:sz w:val="18"/>
          <w:szCs w:val="18"/>
          <w:color w:val="auto"/>
        </w:rPr>
        <w:t>sole discretion to employ one or more Foreign Sub- custodians to act as Eligible Securities Depositories or as sub-custodian to hold the Securities and other assets of the Company maintained outside the United States, subject to the Company’s approval in accordance with this Section. If the Custodian wishes to appoint a Foreign Sub -custodian to hold property of the Company subject to this Agreement, it will so notify the Company and provide it with information reasonably necessary to determine any such new Foreign Sub-custodian’s eligibility under Rule 17f- 5 under the 1940 Act, including a copy of the proposed agreement with such Foreign Sub -custodian. The Company shall at the meeting of its board of directors next following receipt of such notice and information give a written approval or disapproval of the proposed action.</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49055301.7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57150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80" w:top="778" w:right="920" w:bottom="1440" w:gutter="0" w:footer="0" w:header="0"/>
        </w:sectPr>
      </w:pPr>
    </w:p>
    <w:bookmarkStart w:id="70" w:name="page71"/>
    <w:bookmarkEnd w:id="70"/>
    <w:p>
      <w:pPr>
        <w:spacing w:after="0"/>
        <w:rPr>
          <w:sz w:val="20"/>
          <w:szCs w:val="20"/>
          <w:color w:val="auto"/>
        </w:rPr>
      </w:pPr>
      <w:r>
        <w:rPr>
          <w:rFonts w:ascii="Arial" w:cs="Arial" w:eastAsia="Arial" w:hAnsi="Arial"/>
          <w:sz w:val="13"/>
          <w:szCs w:val="13"/>
          <w:color w:val="auto"/>
        </w:rPr>
        <w:t>DocuSign Envelope ID: 1F0EB464-06E3-493E-AFAD-DEBBBD46C49A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1" w:lineRule="exact"/>
        <w:rPr>
          <w:sz w:val="20"/>
          <w:szCs w:val="20"/>
          <w:color w:val="auto"/>
        </w:rPr>
      </w:pPr>
    </w:p>
    <w:p>
      <w:pPr>
        <w:ind w:left="860" w:right="300" w:firstLine="96"/>
        <w:spacing w:after="0" w:line="250" w:lineRule="auto"/>
        <w:rPr>
          <w:sz w:val="20"/>
          <w:szCs w:val="20"/>
          <w:color w:val="auto"/>
        </w:rPr>
      </w:pPr>
      <w:r>
        <w:rPr>
          <w:rFonts w:ascii="Arial" w:cs="Arial" w:eastAsia="Arial" w:hAnsi="Arial"/>
          <w:sz w:val="19"/>
          <w:szCs w:val="19"/>
          <w:color w:val="auto"/>
        </w:rPr>
        <w:t>6. 2</w:t>
      </w:r>
      <w:r>
        <w:rPr>
          <w:rFonts w:ascii="Arial" w:cs="Arial" w:eastAsia="Arial" w:hAnsi="Arial"/>
          <w:sz w:val="18"/>
          <w:szCs w:val="18"/>
          <w:u w:val="single" w:color="auto"/>
          <w:color w:val="auto"/>
        </w:rPr>
        <w:t>Assets to be Held</w:t>
      </w:r>
      <w:r>
        <w:rPr>
          <w:rFonts w:ascii="Arial" w:cs="Arial" w:eastAsia="Arial" w:hAnsi="Arial"/>
          <w:sz w:val="18"/>
          <w:szCs w:val="18"/>
          <w:color w:val="auto"/>
        </w:rPr>
        <w:t>. The Custodian shall limit the Securities and other assets maintained in the custody of</w:t>
      </w:r>
      <w:r>
        <w:rPr>
          <w:rFonts w:ascii="Arial" w:cs="Arial" w:eastAsia="Arial" w:hAnsi="Arial"/>
          <w:sz w:val="19"/>
          <w:szCs w:val="19"/>
          <w:color w:val="auto"/>
        </w:rPr>
        <w:t xml:space="preserve"> </w:t>
      </w:r>
      <w:r>
        <w:rPr>
          <w:rFonts w:ascii="Arial" w:cs="Arial" w:eastAsia="Arial" w:hAnsi="Arial"/>
          <w:sz w:val="18"/>
          <w:szCs w:val="18"/>
          <w:color w:val="auto"/>
        </w:rPr>
        <w:t>the Foreign Sub-custodian to: (a) Foreign Securities and</w:t>
      </w:r>
    </w:p>
    <w:p>
      <w:pPr>
        <w:spacing w:after="0" w:line="2" w:lineRule="exact"/>
        <w:rPr>
          <w:sz w:val="20"/>
          <w:szCs w:val="20"/>
          <w:color w:val="auto"/>
        </w:rPr>
      </w:pPr>
    </w:p>
    <w:p>
      <w:pPr>
        <w:ind w:left="860" w:right="240" w:firstLine="2"/>
        <w:spacing w:after="0" w:line="262" w:lineRule="auto"/>
        <w:tabs>
          <w:tab w:leader="none" w:pos="11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in such amounts as the Company (through Proper Instructions) may determine to be reasonably necessary to effect the Company’s transactions in such investments.</w:t>
      </w:r>
    </w:p>
    <w:p>
      <w:pPr>
        <w:spacing w:after="0" w:line="183" w:lineRule="exact"/>
        <w:rPr>
          <w:sz w:val="20"/>
          <w:szCs w:val="20"/>
          <w:color w:val="auto"/>
        </w:rPr>
      </w:pPr>
    </w:p>
    <w:p>
      <w:pPr>
        <w:ind w:left="860" w:right="120" w:firstLine="96"/>
        <w:spacing w:after="0" w:line="252" w:lineRule="auto"/>
        <w:rPr>
          <w:sz w:val="20"/>
          <w:szCs w:val="20"/>
          <w:color w:val="auto"/>
        </w:rPr>
      </w:pPr>
      <w:r>
        <w:rPr>
          <w:rFonts w:ascii="Arial" w:cs="Arial" w:eastAsia="Arial" w:hAnsi="Arial"/>
          <w:sz w:val="19"/>
          <w:szCs w:val="19"/>
          <w:color w:val="auto"/>
        </w:rPr>
        <w:t>6.3</w:t>
      </w:r>
      <w:r>
        <w:rPr>
          <w:rFonts w:ascii="Arial" w:cs="Arial" w:eastAsia="Arial" w:hAnsi="Arial"/>
          <w:sz w:val="18"/>
          <w:szCs w:val="18"/>
          <w:u w:val="single" w:color="auto"/>
          <w:color w:val="auto"/>
        </w:rPr>
        <w:t>Omnibus Accounts</w:t>
      </w:r>
      <w:r>
        <w:rPr>
          <w:rFonts w:ascii="Arial" w:cs="Arial" w:eastAsia="Arial" w:hAnsi="Arial"/>
          <w:sz w:val="18"/>
          <w:szCs w:val="18"/>
          <w:color w:val="auto"/>
        </w:rPr>
        <w:t>. The Custodian may hold Foreign Securities and related Proceeds with one or more</w:t>
      </w:r>
      <w:r>
        <w:rPr>
          <w:rFonts w:ascii="Arial" w:cs="Arial" w:eastAsia="Arial" w:hAnsi="Arial"/>
          <w:sz w:val="19"/>
          <w:szCs w:val="19"/>
          <w:color w:val="auto"/>
        </w:rPr>
        <w:t xml:space="preserve"> </w:t>
      </w:r>
      <w:r>
        <w:rPr>
          <w:rFonts w:ascii="Arial" w:cs="Arial" w:eastAsia="Arial" w:hAnsi="Arial"/>
          <w:sz w:val="18"/>
          <w:szCs w:val="18"/>
          <w:color w:val="auto"/>
        </w:rPr>
        <w:t>Foreign Sub-custodians or Eligible Securities Depositories in each case in a single account with such Foreign Sub-custodian or Eligible Securities Depository that is identified as belonging to the Custodian for the benefit of its customers; provided however, that the records of the Custodian with respect to Securities and related Proceeds that are property of the Company maintained in such account(s) shall identify by book-entry those Securities and other property as belonging to the Company.</w:t>
      </w:r>
    </w:p>
    <w:p>
      <w:pPr>
        <w:spacing w:after="0" w:line="196" w:lineRule="exact"/>
        <w:rPr>
          <w:sz w:val="20"/>
          <w:szCs w:val="20"/>
          <w:color w:val="auto"/>
        </w:rPr>
      </w:pPr>
    </w:p>
    <w:p>
      <w:pPr>
        <w:ind w:left="860" w:right="100" w:firstLine="96"/>
        <w:spacing w:after="0" w:line="254" w:lineRule="auto"/>
        <w:rPr>
          <w:sz w:val="20"/>
          <w:szCs w:val="20"/>
          <w:color w:val="auto"/>
        </w:rPr>
      </w:pPr>
      <w:r>
        <w:rPr>
          <w:rFonts w:ascii="Arial" w:cs="Arial" w:eastAsia="Arial" w:hAnsi="Arial"/>
          <w:sz w:val="19"/>
          <w:szCs w:val="19"/>
          <w:color w:val="auto"/>
        </w:rPr>
        <w:t>6.4</w:t>
      </w:r>
      <w:r>
        <w:rPr>
          <w:rFonts w:ascii="Arial" w:cs="Arial" w:eastAsia="Arial" w:hAnsi="Arial"/>
          <w:sz w:val="18"/>
          <w:szCs w:val="18"/>
          <w:u w:val="single" w:color="auto"/>
          <w:color w:val="auto"/>
        </w:rPr>
        <w:t>Reports Concerning Foreign Sub-custodian</w:t>
      </w:r>
      <w:r>
        <w:rPr>
          <w:rFonts w:ascii="Arial" w:cs="Arial" w:eastAsia="Arial" w:hAnsi="Arial"/>
          <w:sz w:val="18"/>
          <w:szCs w:val="18"/>
          <w:color w:val="auto"/>
        </w:rPr>
        <w:t>. The Custodian will supply to the Company, upon request from</w:t>
      </w:r>
      <w:r>
        <w:rPr>
          <w:rFonts w:ascii="Arial" w:cs="Arial" w:eastAsia="Arial" w:hAnsi="Arial"/>
          <w:sz w:val="19"/>
          <w:szCs w:val="19"/>
          <w:color w:val="auto"/>
        </w:rPr>
        <w:t xml:space="preserve"> </w:t>
      </w:r>
      <w:r>
        <w:rPr>
          <w:rFonts w:ascii="Arial" w:cs="Arial" w:eastAsia="Arial" w:hAnsi="Arial"/>
          <w:sz w:val="18"/>
          <w:szCs w:val="18"/>
          <w:color w:val="auto"/>
        </w:rPr>
        <w:t>time to time, statements in respect of the Securities held by Foreign Sub-custodians or Eligible Securities Depositories, including an identification of the Foreign Sub-custodians and Eligible Securities Depositories having physical possession of the Foreign Securities.</w:t>
      </w:r>
    </w:p>
    <w:p>
      <w:pPr>
        <w:spacing w:after="0" w:line="168" w:lineRule="exact"/>
        <w:rPr>
          <w:sz w:val="20"/>
          <w:szCs w:val="20"/>
          <w:color w:val="auto"/>
        </w:rPr>
      </w:pPr>
    </w:p>
    <w:p>
      <w:pPr>
        <w:ind w:left="860" w:right="80" w:firstLine="96"/>
        <w:spacing w:after="0" w:line="252" w:lineRule="auto"/>
        <w:rPr>
          <w:sz w:val="20"/>
          <w:szCs w:val="20"/>
          <w:color w:val="auto"/>
        </w:rPr>
      </w:pPr>
      <w:r>
        <w:rPr>
          <w:rFonts w:ascii="Arial" w:cs="Arial" w:eastAsia="Arial" w:hAnsi="Arial"/>
          <w:sz w:val="19"/>
          <w:szCs w:val="19"/>
          <w:color w:val="auto"/>
        </w:rPr>
        <w:t>6.5</w:t>
      </w:r>
      <w:r>
        <w:rPr>
          <w:rFonts w:ascii="Arial" w:cs="Arial" w:eastAsia="Arial" w:hAnsi="Arial"/>
          <w:sz w:val="18"/>
          <w:szCs w:val="18"/>
          <w:u w:val="single" w:color="auto"/>
          <w:color w:val="auto"/>
        </w:rPr>
        <w:t>Transactions in Foreign Custody Account</w:t>
      </w:r>
      <w:r>
        <w:rPr>
          <w:rFonts w:ascii="Arial" w:cs="Arial" w:eastAsia="Arial" w:hAnsi="Arial"/>
          <w:sz w:val="18"/>
          <w:szCs w:val="18"/>
          <w:color w:val="auto"/>
        </w:rPr>
        <w:t>. Notwithstanding any provision of this Agreement to the contrary,</w:t>
      </w:r>
      <w:r>
        <w:rPr>
          <w:rFonts w:ascii="Arial" w:cs="Arial" w:eastAsia="Arial" w:hAnsi="Arial"/>
          <w:sz w:val="19"/>
          <w:szCs w:val="19"/>
          <w:color w:val="auto"/>
        </w:rPr>
        <w:t xml:space="preserve"> </w:t>
      </w:r>
      <w:r>
        <w:rPr>
          <w:rFonts w:ascii="Arial" w:cs="Arial" w:eastAsia="Arial" w:hAnsi="Arial"/>
          <w:sz w:val="18"/>
          <w:szCs w:val="18"/>
          <w:color w:val="auto"/>
        </w:rPr>
        <w:t>settlement and payment for Securities received by a Foreign Sub -custodian or Eligible Securities Depository for the account of the Company may be effected in accordance with the customary established securities trading or securities processing practices and procedures in the jurisdiction or market in which the transaction occurs, including delivering securities to the purchaser thereof or to a dealer therefor (or an agent for such purchaser or dealer) against a receipt with the expectation of receiving later payment for such securities from such purchaser or dealer.</w:t>
      </w:r>
    </w:p>
    <w:p>
      <w:pPr>
        <w:spacing w:after="0" w:line="195" w:lineRule="exact"/>
        <w:rPr>
          <w:sz w:val="20"/>
          <w:szCs w:val="20"/>
          <w:color w:val="auto"/>
        </w:rPr>
      </w:pPr>
    </w:p>
    <w:p>
      <w:pPr>
        <w:ind w:left="860" w:right="100" w:firstLine="96"/>
        <w:spacing w:after="0" w:line="251" w:lineRule="auto"/>
        <w:rPr>
          <w:sz w:val="20"/>
          <w:szCs w:val="20"/>
          <w:color w:val="auto"/>
        </w:rPr>
      </w:pPr>
      <w:r>
        <w:rPr>
          <w:rFonts w:ascii="Arial" w:cs="Arial" w:eastAsia="Arial" w:hAnsi="Arial"/>
          <w:sz w:val="19"/>
          <w:szCs w:val="19"/>
          <w:color w:val="auto"/>
        </w:rPr>
        <w:t>6.6</w:t>
      </w:r>
      <w:r>
        <w:rPr>
          <w:rFonts w:ascii="Arial" w:cs="Arial" w:eastAsia="Arial" w:hAnsi="Arial"/>
          <w:sz w:val="18"/>
          <w:szCs w:val="18"/>
          <w:u w:val="single" w:color="auto"/>
          <w:color w:val="auto"/>
        </w:rPr>
        <w:t>Foreign Sub-custodian</w:t>
      </w:r>
      <w:r>
        <w:rPr>
          <w:rFonts w:ascii="Arial" w:cs="Arial" w:eastAsia="Arial" w:hAnsi="Arial"/>
          <w:sz w:val="18"/>
          <w:szCs w:val="18"/>
          <w:color w:val="auto"/>
        </w:rPr>
        <w:t>. Each contract or agreement pursuant to which the Custodian employs a Foreign</w:t>
      </w:r>
      <w:r>
        <w:rPr>
          <w:rFonts w:ascii="Arial" w:cs="Arial" w:eastAsia="Arial" w:hAnsi="Arial"/>
          <w:sz w:val="19"/>
          <w:szCs w:val="19"/>
          <w:color w:val="auto"/>
        </w:rPr>
        <w:t xml:space="preserve"> </w:t>
      </w:r>
      <w:r>
        <w:rPr>
          <w:rFonts w:ascii="Arial" w:cs="Arial" w:eastAsia="Arial" w:hAnsi="Arial"/>
          <w:sz w:val="18"/>
          <w:szCs w:val="18"/>
          <w:color w:val="auto"/>
        </w:rPr>
        <w:t>Sub-custodian shall include provisions that provide: (i) for indemnification or insurance arrangements (or any combination of the foregoing) such that the Company will be adequately protected against the risk of loss of assets held in accordance with such contract; (ii) that the Company’s assets will not be subject to any right, charge, security interest, lien or claim of any kind in favor of the Foreign Sub - custodian or its creditors (except a claim of payment for their safe custody or administration) or, in the case of cash deposits, liens or rights in favor of creditors of the Foreign Sub-custodian arising under bankruptcy, insolvency, or similar laws; (iii) that beneficial ownership for the Company’s assets will be freely transferable without the payment of money or value other than for safe custody or administration; (iv) that adequate records will be maintained identifying the assets as belonging to the Company or as being held by a third party for the benefit of the Company; (v) that the Company’s independent public accountants will be given access to those records or confirmation of the contents of those records; and (vi) that the Company will receive periodic reports with respect to the safekeeping of the Company’s assets, including notification of any transfer to or from a Company’s account or a third party account containing assets held for the benefit of the Company. Such contract may contain, in lieu of any or all of the provisions specified above, such other provisions that the Custodian determines will provide, in their entirety, the same or a greater level of care and protection for Company assets as the specified provisions, in their entirety.</w:t>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49055301.7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57150</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680" w:top="778" w:right="1440" w:bottom="1440" w:gutter="0" w:footer="0" w:header="0"/>
        </w:sectPr>
      </w:pPr>
    </w:p>
    <w:bookmarkStart w:id="71" w:name="page72"/>
    <w:bookmarkEnd w:id="71"/>
    <w:p>
      <w:pPr>
        <w:spacing w:after="0"/>
        <w:rPr>
          <w:sz w:val="20"/>
          <w:szCs w:val="20"/>
          <w:color w:val="auto"/>
        </w:rPr>
      </w:pPr>
      <w:r>
        <w:rPr>
          <w:rFonts w:ascii="Arial" w:cs="Arial" w:eastAsia="Arial" w:hAnsi="Arial"/>
          <w:sz w:val="13"/>
          <w:szCs w:val="13"/>
          <w:color w:val="auto"/>
        </w:rPr>
        <w:t>DocuSign Envelope ID: 1F0EB464-06E3-493E-AFAD-DEBBBD46C49A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95" w:lineRule="exact"/>
        <w:rPr>
          <w:sz w:val="20"/>
          <w:szCs w:val="20"/>
          <w:color w:val="auto"/>
        </w:rPr>
      </w:pPr>
    </w:p>
    <w:p>
      <w:pPr>
        <w:ind w:left="940"/>
        <w:spacing w:after="0"/>
        <w:rPr>
          <w:sz w:val="20"/>
          <w:szCs w:val="20"/>
          <w:color w:val="auto"/>
        </w:rPr>
      </w:pPr>
      <w:r>
        <w:rPr>
          <w:rFonts w:ascii="Arial" w:cs="Arial" w:eastAsia="Arial" w:hAnsi="Arial"/>
          <w:sz w:val="19"/>
          <w:szCs w:val="19"/>
          <w:color w:val="auto"/>
        </w:rPr>
        <w:t>6.7</w:t>
      </w:r>
      <w:r>
        <w:rPr>
          <w:rFonts w:ascii="Arial" w:cs="Arial" w:eastAsia="Arial" w:hAnsi="Arial"/>
          <w:sz w:val="18"/>
          <w:szCs w:val="18"/>
          <w:u w:val="single" w:color="auto"/>
          <w:color w:val="auto"/>
        </w:rPr>
        <w:t>Custodian’s Responsibility for Foreign Sub-custodian</w:t>
      </w:r>
      <w:r>
        <w:rPr>
          <w:rFonts w:ascii="Arial" w:cs="Arial" w:eastAsia="Arial" w:hAnsi="Arial"/>
          <w:sz w:val="18"/>
          <w:szCs w:val="18"/>
          <w:color w:val="auto"/>
        </w:rPr>
        <w:t>.</w:t>
      </w:r>
    </w:p>
    <w:p>
      <w:pPr>
        <w:spacing w:after="0" w:line="226" w:lineRule="exact"/>
        <w:rPr>
          <w:sz w:val="20"/>
          <w:szCs w:val="20"/>
          <w:color w:val="auto"/>
        </w:rPr>
      </w:pPr>
    </w:p>
    <w:p>
      <w:pPr>
        <w:ind w:left="1480" w:right="100" w:firstLine="108"/>
        <w:spacing w:after="0" w:line="252" w:lineRule="auto"/>
        <w:rPr>
          <w:sz w:val="20"/>
          <w:szCs w:val="20"/>
          <w:color w:val="auto"/>
        </w:rPr>
      </w:pPr>
      <w:r>
        <w:rPr>
          <w:rFonts w:ascii="Arial" w:cs="Arial" w:eastAsia="Arial" w:hAnsi="Arial"/>
          <w:sz w:val="18"/>
          <w:szCs w:val="18"/>
          <w:color w:val="auto"/>
        </w:rPr>
        <w:t>(a)With respect to its responsibilities under this Section 6, the Custodian agrees to exercise reasonable care, prudence and diligence such as a person having responsibility for the safekeeping of property of the Company would exercise. The Custodian further agrees that the Foreign Securities will be subject to reasonable care, based on the standards applicable to the Custodian in the relevant market, if maintained with each Foreign Sub- custodian, after considering all factors relevant to the safekeeping of such assets, including: (i) the Foreign Sub-custodian’s practices, procedures, and internal controls, including the physical protections available for certificated securities (if applicable), the method of keeping custodial records, and the security and data protection practices; (ii) whether the Foreign Sub-custodian has the requisite financial strength to provide reasonable care for Company assets; (iii) the Foreign Sub-custodian’s general reputation and standing and, in the case of Eligible Securities Depository, the Eligible Securities Depository’s operating history and number of participants; and (iv) whether the Company will have jurisdiction over and be able to enforce judgments against the Foreign Sub- custodian, such as by virtue of the existence of any offices of the Foreign Sub- custodian in the United States or the Foreign Sub-custodian’s consent to service of process in the United States.</w:t>
      </w:r>
    </w:p>
    <w:p>
      <w:pPr>
        <w:spacing w:after="0" w:line="198" w:lineRule="exact"/>
        <w:rPr>
          <w:sz w:val="20"/>
          <w:szCs w:val="20"/>
          <w:color w:val="auto"/>
        </w:rPr>
      </w:pPr>
    </w:p>
    <w:p>
      <w:pPr>
        <w:ind w:left="1480" w:right="220" w:firstLine="108"/>
        <w:spacing w:after="0" w:line="254" w:lineRule="auto"/>
        <w:rPr>
          <w:sz w:val="20"/>
          <w:szCs w:val="20"/>
          <w:color w:val="auto"/>
        </w:rPr>
      </w:pPr>
      <w:r>
        <w:rPr>
          <w:rFonts w:ascii="Arial" w:cs="Arial" w:eastAsia="Arial" w:hAnsi="Arial"/>
          <w:sz w:val="18"/>
          <w:szCs w:val="18"/>
          <w:color w:val="auto"/>
        </w:rPr>
        <w:t>(b)At the end of each calendar quarter, or at such other times as the Company’s board of directors deems reasonable and appropriate based on the circumstances of the Company’s foreign custody arrangements, the Custodian shall provide written reports notifying the board of directors of the Company as to the placement of the Foreign Securities and cash of the Company with a particular Foreign Sub-custodian and of any material changes in the Company's foreign custody arrangements. The Custodian shall promptly take such steps as may be required to withdraw assets of the Company from any Foreign Sub- custodian that has ceased to meet the requirements of Rule 17f-5 under the 1940 Act.</w:t>
      </w:r>
    </w:p>
    <w:p>
      <w:pPr>
        <w:spacing w:after="0" w:line="192" w:lineRule="exact"/>
        <w:rPr>
          <w:sz w:val="20"/>
          <w:szCs w:val="20"/>
          <w:color w:val="auto"/>
        </w:rPr>
      </w:pPr>
    </w:p>
    <w:p>
      <w:pPr>
        <w:ind w:left="1480" w:right="120" w:firstLine="108"/>
        <w:spacing w:after="0" w:line="269" w:lineRule="auto"/>
        <w:rPr>
          <w:sz w:val="20"/>
          <w:szCs w:val="20"/>
          <w:color w:val="auto"/>
        </w:rPr>
      </w:pPr>
      <w:r>
        <w:rPr>
          <w:rFonts w:ascii="Arial" w:cs="Arial" w:eastAsia="Arial" w:hAnsi="Arial"/>
          <w:sz w:val="17"/>
          <w:szCs w:val="17"/>
          <w:color w:val="auto"/>
        </w:rPr>
        <w:t>(c)The Custodian shall establish a system to monitor the appropriateness of maintaining the Company’s assets with a particular Foreign Sub-custodian and the performance of the contract governing the Company’s arrangements with such Foreign Sub- custodian. To the extent the Custodian holds Foreign Securities and related Proceeds with one or more Eligible Securities Depositories, the Custodian shall (i) provide the Company with an analysis of the custody risks associated with maintaining assets with such Eligible Securities Depository and shall monitor such custody risks on a continuing basis and promptly notify the Company of any material change in these risks and (ii) if the Custodian determines that a custody arrangement with an Eligible Securities Depository no longer meets the requirements of Rule 17f -7 under the 1940 Act, the Company’s Foreign Securities must be withdrawn from such depository as soon as reasonably practicable. The Custodian agrees to exercise reasonable care, prudence and diligence in performing its obligations under this clause (c).</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color w:val="auto"/>
        </w:rPr>
        <w:t>49055301.7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57150</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680" w:top="778" w:right="1440" w:bottom="1440" w:gutter="0" w:footer="0" w:header="0"/>
        </w:sectPr>
      </w:pPr>
    </w:p>
    <w:bookmarkStart w:id="72" w:name="page73"/>
    <w:bookmarkEnd w:id="72"/>
    <w:p>
      <w:pPr>
        <w:spacing w:after="0"/>
        <w:rPr>
          <w:sz w:val="20"/>
          <w:szCs w:val="20"/>
          <w:color w:val="auto"/>
        </w:rPr>
      </w:pPr>
      <w:r>
        <w:rPr>
          <w:rFonts w:ascii="Arial" w:cs="Arial" w:eastAsia="Arial" w:hAnsi="Arial"/>
          <w:sz w:val="13"/>
          <w:szCs w:val="13"/>
          <w:color w:val="auto"/>
        </w:rPr>
        <w:t>DocuSign Envelope ID: 1F0EB464-06E3-493E-AFAD-DEBBBD46C49A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2" w:lineRule="exact"/>
        <w:rPr>
          <w:sz w:val="20"/>
          <w:szCs w:val="20"/>
          <w:color w:val="auto"/>
        </w:rPr>
      </w:pPr>
    </w:p>
    <w:p>
      <w:pPr>
        <w:ind w:left="1480" w:right="720" w:firstLine="108"/>
        <w:spacing w:after="0" w:line="253" w:lineRule="auto"/>
        <w:rPr>
          <w:sz w:val="20"/>
          <w:szCs w:val="20"/>
          <w:color w:val="auto"/>
        </w:rPr>
      </w:pPr>
      <w:r>
        <w:rPr>
          <w:rFonts w:ascii="Arial" w:cs="Arial" w:eastAsia="Arial" w:hAnsi="Arial"/>
          <w:sz w:val="18"/>
          <w:szCs w:val="18"/>
          <w:color w:val="auto"/>
        </w:rPr>
        <w:t>(d)The Custodian’s responsibility with respect to the selection or appointment of a Foreign Sub-custodian shall be limited to a duty to exercise reasonable care in the selection or retention of such Foreign Sub-custodian in light of prevailing settlement and securities handling practices, procedures and controls in the relevant market. With respect to any costs, expenses, damages, liabilities, or claims (including attorneys’ and accountants’ fees) incurred as a result of the acts or the failure to act by any Foreign Sub-custodian, the Custodian shall take reasonable action to recover such costs, expenses, damages, liabilities, or claims from such Foreign Sub-custodian; provided that the Custodian’s sole liability in that regard shall be limited to amounts actually received by it from such Foreign Sub-custodian (exclusive of related costs and expenses incurred by the Custodian). The Custodian shall have no responsibility for any act or omission (or the insolvency of) any Securities System (including an Eligible Securities Depository).</w:t>
      </w:r>
    </w:p>
    <w:p>
      <w:pPr>
        <w:spacing w:after="0" w:line="193" w:lineRule="exact"/>
        <w:rPr>
          <w:sz w:val="20"/>
          <w:szCs w:val="20"/>
          <w:color w:val="auto"/>
        </w:rPr>
      </w:pPr>
    </w:p>
    <w:p>
      <w:pPr>
        <w:ind w:left="80" w:right="120" w:firstLine="720"/>
        <w:spacing w:after="0" w:line="259" w:lineRule="auto"/>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and the provisions thereof interpreted under and in accordance with and governed by the laws of the State of New York for all purposes (without regard to its choice of law provisions); except to the extent such laws are inconsistent with federal securities laws, including the 1940 Act, in which case such federal securities laws shall govern.</w:t>
      </w:r>
    </w:p>
    <w:p>
      <w:pPr>
        <w:spacing w:after="0" w:line="153" w:lineRule="exact"/>
        <w:rPr>
          <w:sz w:val="20"/>
          <w:szCs w:val="20"/>
          <w:color w:val="auto"/>
        </w:rPr>
      </w:pPr>
    </w:p>
    <w:p>
      <w:pPr>
        <w:ind w:left="80" w:firstLine="720"/>
        <w:spacing w:after="0" w:line="287" w:lineRule="auto"/>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Effect of Amendment</w:t>
      </w:r>
      <w:r>
        <w:rPr>
          <w:rFonts w:ascii="Arial" w:cs="Arial" w:eastAsia="Arial" w:hAnsi="Arial"/>
          <w:sz w:val="18"/>
          <w:szCs w:val="18"/>
          <w:b w:val="1"/>
          <w:bCs w:val="1"/>
          <w:color w:val="auto"/>
        </w:rPr>
        <w:t>.</w:t>
      </w:r>
      <w:r>
        <w:rPr>
          <w:rFonts w:ascii="Arial" w:cs="Arial" w:eastAsia="Arial" w:hAnsi="Arial"/>
          <w:sz w:val="18"/>
          <w:szCs w:val="18"/>
          <w:color w:val="auto"/>
        </w:rPr>
        <w:t xml:space="preserve"> Except as expressly set forth in this Amendment, each Agreement remains in full force and effect on the date hereof.</w:t>
      </w:r>
    </w:p>
    <w:p>
      <w:pPr>
        <w:spacing w:after="0" w:line="139" w:lineRule="exact"/>
        <w:rPr>
          <w:sz w:val="20"/>
          <w:szCs w:val="20"/>
          <w:color w:val="auto"/>
        </w:rPr>
      </w:pPr>
    </w:p>
    <w:p>
      <w:pPr>
        <w:jc w:val="both"/>
        <w:ind w:left="80" w:right="180" w:firstLine="720"/>
        <w:spacing w:after="0" w:line="256" w:lineRule="auto"/>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(including by .pdf file, .jpeg file, facsimile transmission or any other electronic or image file, or any “electronic signature” as defined under E-SIGN or ESRA, which includes any electronic signature provided using Adobe Sign, DocuSign, or any other similar platform identified by the Company with counterpart pages) in one or more counterparts, each of which shall be deemed an original and all of which shall, taken together, be considered one and the same agreement, it being understood that both Parties need not sign the same counterpart.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49055301.7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57150</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20"/>
          </w:cols>
          <w:pgMar w:left="680" w:top="778" w:right="800"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DocuSign Envelope ID: 1F0EB464-06E3-493E-AFAD-DEBBBD46C49A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 WITNESS WHEREOF, this Amendment has been duly executed by the parties hereto as of the date first above written.</w:t>
      </w:r>
    </w:p>
    <w:p>
      <w:pPr>
        <w:spacing w:after="0" w:line="27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COMPANY:</w:t>
      </w:r>
    </w:p>
    <w:p>
      <w:pPr>
        <w:spacing w:after="0" w:line="29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RUNWAY GROWTH FINANCE CORP.</w:t>
      </w:r>
    </w:p>
    <w:p>
      <w:pPr>
        <w:sectPr>
          <w:pgSz w:w="11900" w:h="16840" w:orient="portrait"/>
          <w:cols w:equalWidth="0" w:num="1">
            <w:col w:w="10180"/>
          </w:cols>
          <w:pgMar w:left="680" w:top="778" w:right="10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/s/ Thomas B. Raterman</w:t>
      </w:r>
    </w:p>
    <w:p>
      <w:pPr>
        <w:spacing w:after="0" w:line="34" w:lineRule="exact"/>
        <w:rPr>
          <w:sz w:val="20"/>
          <w:szCs w:val="20"/>
          <w:color w:val="auto"/>
        </w:rPr>
      </w:pPr>
    </w:p>
    <w:p>
      <w:pPr>
        <w:sectPr>
          <w:pgSz w:w="11900" w:h="16840" w:orient="portrait"/>
          <w:cols w:equalWidth="0" w:num="2">
            <w:col w:w="5680" w:space="720"/>
            <w:col w:w="3780"/>
          </w:cols>
          <w:pgMar w:left="680" w:top="778" w:right="1040" w:bottom="1440" w:gutter="0" w:footer="0" w:header="0"/>
          <w:type w:val="continuous"/>
        </w:sectPr>
      </w:pPr>
    </w:p>
    <w:p>
      <w:pPr>
        <w:ind w:left="3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jc w:val="center"/>
        <w:ind w:right="2060"/>
        <w:spacing w:after="0"/>
        <w:rPr>
          <w:sz w:val="20"/>
          <w:szCs w:val="20"/>
          <w:color w:val="auto"/>
        </w:rPr>
      </w:pPr>
      <w:r>
        <w:rPr>
          <w:rFonts w:ascii="Arial" w:cs="Arial" w:eastAsia="Arial" w:hAnsi="Arial"/>
          <w:sz w:val="18"/>
          <w:szCs w:val="18"/>
          <w:color w:val="auto"/>
        </w:rPr>
        <w:t>Thomas B. Raterman</w:t>
      </w:r>
    </w:p>
    <w:p>
      <w:pPr>
        <w:spacing w:after="0" w:line="45" w:lineRule="exact"/>
        <w:rPr>
          <w:sz w:val="20"/>
          <w:szCs w:val="20"/>
          <w:color w:val="auto"/>
        </w:rPr>
      </w:pPr>
    </w:p>
    <w:p>
      <w:pPr>
        <w:sectPr>
          <w:pgSz w:w="11900" w:h="16840" w:orient="portrait"/>
          <w:cols w:equalWidth="0" w:num="2">
            <w:col w:w="5680" w:space="720"/>
            <w:col w:w="3780"/>
          </w:cols>
          <w:pgMar w:left="680" w:top="778" w:right="1040" w:bottom="1440" w:gutter="0" w:footer="0" w:header="0"/>
          <w:type w:val="continuous"/>
        </w:sectPr>
      </w:pPr>
    </w:p>
    <w:p>
      <w:pPr>
        <w:ind w:left="3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8"/>
          <w:szCs w:val="18"/>
          <w:color w:val="auto"/>
        </w:rPr>
        <w:t>Acting President, Chief Operating Officer, Chief Financial Officer, Treasurer and Secretary</w:t>
      </w:r>
    </w:p>
    <w:p>
      <w:pPr>
        <w:spacing w:after="0" w:line="200" w:lineRule="exact"/>
        <w:rPr>
          <w:sz w:val="20"/>
          <w:szCs w:val="20"/>
          <w:color w:val="auto"/>
        </w:rPr>
      </w:pPr>
    </w:p>
    <w:p>
      <w:pPr>
        <w:sectPr>
          <w:pgSz w:w="11900" w:h="16840" w:orient="portrait"/>
          <w:cols w:equalWidth="0" w:num="2">
            <w:col w:w="5680" w:space="720"/>
            <w:col w:w="3780"/>
          </w:cols>
          <w:pgMar w:left="680" w:top="778" w:right="1040" w:bottom="1440" w:gutter="0" w:footer="0" w:header="0"/>
          <w:type w:val="continuous"/>
        </w:sectPr>
      </w:pPr>
    </w:p>
    <w:p>
      <w:pPr>
        <w:spacing w:after="0" w:line="27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CUSTODIAN:</w:t>
      </w:r>
    </w:p>
    <w:p>
      <w:pPr>
        <w:spacing w:after="0" w:line="29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U.S. BANK TRUST COMPANY, NATIONAL ASSOCIATION</w:t>
      </w:r>
    </w:p>
    <w:p>
      <w:pPr>
        <w:spacing w:after="0" w:line="30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w:t>
      </w:r>
    </w:p>
    <w:p>
      <w:pPr>
        <w:spacing w:after="0" w:line="4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Name:</w:t>
      </w:r>
    </w:p>
    <w:p>
      <w:pPr>
        <w:spacing w:after="0" w:line="4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49055301.7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57150</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80"/>
          </w:cols>
          <w:pgMar w:left="680" w:top="778" w:right="1040"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WITNESS WHEREOF, this Amendment has been duly executed by the parties hereto as of the date first above written.</w:t>
      </w:r>
    </w:p>
    <w:p>
      <w:pPr>
        <w:spacing w:after="0" w:line="200" w:lineRule="exact"/>
        <w:rPr>
          <w:sz w:val="20"/>
          <w:szCs w:val="20"/>
          <w:color w:val="auto"/>
        </w:rPr>
      </w:pPr>
    </w:p>
    <w:p>
      <w:pPr>
        <w:spacing w:after="0" w:line="29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COMPANY:</w:t>
      </w:r>
    </w:p>
    <w:p>
      <w:pPr>
        <w:spacing w:after="0" w:line="29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RUNWAY GROWTH FINANCE CORP.</w:t>
      </w:r>
    </w:p>
    <w:p>
      <w:pPr>
        <w:spacing w:after="0" w:line="200" w:lineRule="exact"/>
        <w:rPr>
          <w:sz w:val="20"/>
          <w:szCs w:val="20"/>
          <w:color w:val="auto"/>
        </w:rPr>
      </w:pPr>
    </w:p>
    <w:p>
      <w:pPr>
        <w:spacing w:after="0" w:line="35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w:t>
      </w:r>
    </w:p>
    <w:p>
      <w:pPr>
        <w:sectPr>
          <w:pgSz w:w="11900" w:h="16840" w:orient="portrait"/>
          <w:cols w:equalWidth="0" w:num="1">
            <w:col w:w="10400"/>
          </w:cols>
          <w:pgMar w:left="680" w:top="637" w:right="820" w:bottom="1440" w:gutter="0" w:footer="0" w:header="0"/>
        </w:sectPr>
      </w:pPr>
    </w:p>
    <w:p>
      <w:pPr>
        <w:spacing w:after="0" w:line="4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2280"/>
        <w:spacing w:after="0"/>
        <w:rPr>
          <w:sz w:val="20"/>
          <w:szCs w:val="20"/>
          <w:color w:val="auto"/>
        </w:rPr>
      </w:pPr>
      <w:r>
        <w:rPr>
          <w:rFonts w:ascii="Arial" w:cs="Arial" w:eastAsia="Arial" w:hAnsi="Arial"/>
          <w:sz w:val="18"/>
          <w:szCs w:val="18"/>
          <w:color w:val="auto"/>
        </w:rPr>
        <w:t>Thomas B. Raterman</w:t>
      </w:r>
    </w:p>
    <w:p>
      <w:pPr>
        <w:spacing w:after="0" w:line="45"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ind w:left="3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ind w:right="220"/>
        <w:spacing w:after="0" w:line="275" w:lineRule="auto"/>
        <w:rPr>
          <w:sz w:val="20"/>
          <w:szCs w:val="20"/>
          <w:color w:val="auto"/>
        </w:rPr>
      </w:pPr>
      <w:r>
        <w:rPr>
          <w:rFonts w:ascii="Arial" w:cs="Arial" w:eastAsia="Arial" w:hAnsi="Arial"/>
          <w:sz w:val="18"/>
          <w:szCs w:val="18"/>
          <w:color w:val="auto"/>
        </w:rPr>
        <w:t>Acting President, Chief Operating Officer, Chief Financial Officer, Treasurer and Secretary</w:t>
      </w:r>
    </w:p>
    <w:p>
      <w:pPr>
        <w:spacing w:after="0" w:line="200"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spacing w:after="0" w:line="27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CUSTODIAN:</w:t>
      </w:r>
    </w:p>
    <w:p>
      <w:pPr>
        <w:spacing w:after="0" w:line="35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U.S. BANK TRUST COMPANY, NATIONAL ASSOCIATION</w:t>
      </w:r>
    </w:p>
    <w:p>
      <w:pPr>
        <w:sectPr>
          <w:pgSz w:w="11900" w:h="16840" w:orient="portrait"/>
          <w:cols w:equalWidth="0" w:num="1">
            <w:col w:w="10400"/>
          </w:cols>
          <w:pgMar w:left="680" w:top="637" w:right="820" w:bottom="1440" w:gutter="0" w:footer="0" w:header="0"/>
          <w:type w:val="continuous"/>
        </w:sectPr>
      </w:pPr>
    </w:p>
    <w:p>
      <w:pPr>
        <w:spacing w:after="0" w:line="307"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/s/ Ralph J. Creasia, Jr.</w:t>
      </w:r>
    </w:p>
    <w:p>
      <w:pPr>
        <w:spacing w:after="0" w:line="34"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ind w:left="3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Ralph J. Creasia, Jr.</w:t>
      </w:r>
    </w:p>
    <w:p>
      <w:pPr>
        <w:spacing w:after="0" w:line="91"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ind w:left="3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Arial" w:cs="Arial" w:eastAsia="Arial" w:hAnsi="Arial"/>
          <w:sz w:val="14"/>
          <w:szCs w:val="14"/>
          <w:color w:val="auto"/>
        </w:rPr>
        <w:t>Senior Vice President</w:t>
      </w:r>
    </w:p>
    <w:p>
      <w:pPr>
        <w:spacing w:after="0" w:line="246"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spacing w:after="0" w:line="33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DOCUMENT CUSTODIAN:</w:t>
      </w:r>
    </w:p>
    <w:p>
      <w:pPr>
        <w:spacing w:after="0" w:line="29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U.S. BANK NATIONAL ASSOCIATION</w:t>
      </w:r>
    </w:p>
    <w:p>
      <w:pPr>
        <w:sectPr>
          <w:pgSz w:w="11900" w:h="16840" w:orient="portrait"/>
          <w:cols w:equalWidth="0" w:num="1">
            <w:col w:w="10400"/>
          </w:cols>
          <w:pgMar w:left="680" w:top="637" w:right="820" w:bottom="1440" w:gutter="0" w:footer="0" w:header="0"/>
          <w:type w:val="continuous"/>
        </w:sectPr>
      </w:pPr>
    </w:p>
    <w:p>
      <w:pPr>
        <w:spacing w:after="0" w:line="319"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/s/ Ralph J. Creasia, Jr.</w:t>
      </w:r>
    </w:p>
    <w:p>
      <w:pPr>
        <w:spacing w:after="0" w:line="34"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ind w:left="3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Ralph J. Creasia, Jr.</w:t>
      </w:r>
    </w:p>
    <w:p>
      <w:pPr>
        <w:spacing w:after="0" w:line="91"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ind w:left="3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Arial" w:cs="Arial" w:eastAsia="Arial" w:hAnsi="Arial"/>
          <w:sz w:val="14"/>
          <w:szCs w:val="14"/>
          <w:color w:val="auto"/>
        </w:rPr>
        <w:t>Senior Vice President</w:t>
      </w:r>
    </w:p>
    <w:p>
      <w:pPr>
        <w:spacing w:after="0" w:line="246" w:lineRule="exact"/>
        <w:rPr>
          <w:sz w:val="20"/>
          <w:szCs w:val="20"/>
          <w:color w:val="auto"/>
        </w:rPr>
      </w:pPr>
    </w:p>
    <w:p>
      <w:pPr>
        <w:sectPr>
          <w:pgSz w:w="11900" w:h="16840" w:orient="portrait"/>
          <w:cols w:equalWidth="0" w:num="2">
            <w:col w:w="5680" w:space="720"/>
            <w:col w:w="4000"/>
          </w:cols>
          <w:pgMar w:left="680" w:top="637" w:right="82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49055301.7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57150</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80" w:top="637" w:right="820" w:bottom="1440" w:gutter="0" w:footer="0" w:header="0"/>
          <w:type w:val="continuous"/>
        </w:sectPr>
      </w:pPr>
    </w:p>
    <w:bookmarkStart w:id="75" w:name="page76"/>
    <w:bookmarkEnd w:id="75"/>
    <w:p>
      <w:pPr>
        <w:ind w:left="9700"/>
        <w:spacing w:after="0"/>
        <w:rPr>
          <w:sz w:val="20"/>
          <w:szCs w:val="20"/>
          <w:color w:val="auto"/>
        </w:rPr>
      </w:pPr>
      <w:r>
        <w:rPr>
          <w:rFonts w:ascii="Arial" w:cs="Arial" w:eastAsia="Arial" w:hAnsi="Arial"/>
          <w:sz w:val="14"/>
          <w:szCs w:val="14"/>
          <w:b w:val="1"/>
          <w:bCs w:val="1"/>
          <w:color w:val="auto"/>
        </w:rPr>
        <w:t>Exhibit 31.1</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ind w:right="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 Greg Greifeld, as Acting Chief Executive Officer, certify that: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1.I have reviewed this quarterly report on From 10-Q of Runway Growth Finance Corp.;</w:t>
      </w:r>
    </w:p>
    <w:p>
      <w:pPr>
        <w:spacing w:after="0" w:line="188"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4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ind w:left="480" w:right="10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480" w:right="5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jc w:val="both"/>
        <w:ind w:left="480" w:right="16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480" w:right="160"/>
        <w:spacing w:after="0" w:line="25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sz w:val="20"/>
          <w:szCs w:val="20"/>
          <w:color w:val="auto"/>
        </w:rPr>
      </w:pPr>
    </w:p>
    <w:p>
      <w:pPr>
        <w:ind w:left="480" w:right="12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20"/>
        <w:spacing w:after="0"/>
        <w:tabs>
          <w:tab w:leader="none" w:pos="5320" w:val="left"/>
          <w:tab w:leader="none" w:pos="7520" w:val="left"/>
        </w:tabs>
        <w:rPr>
          <w:sz w:val="20"/>
          <w:szCs w:val="20"/>
          <w:color w:val="auto"/>
        </w:rPr>
      </w:pPr>
      <w:r>
        <w:rPr>
          <w:rFonts w:ascii="Arial" w:cs="Arial" w:eastAsia="Arial" w:hAnsi="Arial"/>
          <w:sz w:val="16"/>
          <w:szCs w:val="16"/>
          <w:color w:val="auto"/>
        </w:rPr>
        <w:t>Date: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Greg Greifeld</w:t>
      </w:r>
    </w:p>
    <w:p>
      <w:pPr>
        <w:spacing w:after="0" w:line="13"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Greg Greifeld</w:t>
      </w:r>
    </w:p>
    <w:p>
      <w:pPr>
        <w:spacing w:after="0" w:line="13" w:lineRule="exact"/>
        <w:rPr>
          <w:sz w:val="20"/>
          <w:szCs w:val="20"/>
          <w:color w:val="auto"/>
        </w:rPr>
      </w:pPr>
    </w:p>
    <w:p>
      <w:pPr>
        <w:jc w:val="center"/>
        <w:ind w:left="5640"/>
        <w:spacing w:after="0"/>
        <w:rPr>
          <w:sz w:val="20"/>
          <w:szCs w:val="20"/>
          <w:color w:val="auto"/>
        </w:rPr>
      </w:pPr>
      <w:r>
        <w:rPr>
          <w:rFonts w:ascii="Arial" w:cs="Arial" w:eastAsia="Arial" w:hAnsi="Arial"/>
          <w:sz w:val="16"/>
          <w:szCs w:val="16"/>
          <w:b w:val="1"/>
          <w:bCs w:val="1"/>
          <w:color w:val="auto"/>
        </w:rPr>
        <w:t>Acting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401955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76" w:name="page77"/>
    <w:bookmarkEnd w:id="76"/>
    <w:p>
      <w:pPr>
        <w:ind w:left="9700"/>
        <w:spacing w:after="0"/>
        <w:rPr>
          <w:sz w:val="20"/>
          <w:szCs w:val="20"/>
          <w:color w:val="auto"/>
        </w:rPr>
      </w:pPr>
      <w:r>
        <w:rPr>
          <w:rFonts w:ascii="Arial" w:cs="Arial" w:eastAsia="Arial" w:hAnsi="Arial"/>
          <w:sz w:val="14"/>
          <w:szCs w:val="14"/>
          <w:b w:val="1"/>
          <w:bCs w:val="1"/>
          <w:color w:val="auto"/>
        </w:rPr>
        <w:t>Exhibit 31.2</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ind w:right="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 Thomas B. Raterman, as Chief Financial Officer, certify that: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1.I have reviewed this quarterly report on Form 10-Q of Runway Growth Finance Corp.;</w:t>
      </w:r>
    </w:p>
    <w:p>
      <w:pPr>
        <w:spacing w:after="0" w:line="188"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sz w:val="20"/>
          <w:szCs w:val="20"/>
          <w:color w:val="auto"/>
        </w:rPr>
      </w:pPr>
    </w:p>
    <w:p>
      <w:pPr>
        <w:ind w:left="480"/>
        <w:spacing w:after="0" w:line="243" w:lineRule="auto"/>
        <w:rPr>
          <w:sz w:val="20"/>
          <w:szCs w:val="20"/>
          <w:color w:val="auto"/>
        </w:rPr>
      </w:pPr>
      <w:r>
        <w:rPr>
          <w:rFonts w:ascii="Arial" w:cs="Arial" w:eastAsia="Arial" w:hAnsi="Arial"/>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sz w:val="20"/>
          <w:szCs w:val="20"/>
          <w:color w:val="auto"/>
        </w:rPr>
      </w:pPr>
    </w:p>
    <w:p>
      <w:pPr>
        <w:ind w:left="480" w:right="100"/>
        <w:spacing w:after="0" w:line="243" w:lineRule="auto"/>
        <w:rPr>
          <w:sz w:val="20"/>
          <w:szCs w:val="20"/>
          <w:color w:val="auto"/>
        </w:rPr>
      </w:pPr>
      <w:r>
        <w:rPr>
          <w:rFonts w:ascii="Arial" w:cs="Arial" w:eastAsia="Arial" w:hAnsi="Arial"/>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sz w:val="20"/>
          <w:szCs w:val="20"/>
          <w:color w:val="auto"/>
        </w:rPr>
      </w:pPr>
    </w:p>
    <w:p>
      <w:pPr>
        <w:ind w:left="480" w:right="560"/>
        <w:spacing w:after="0" w:line="322" w:lineRule="auto"/>
        <w:rPr>
          <w:sz w:val="20"/>
          <w:szCs w:val="20"/>
          <w:color w:val="auto"/>
        </w:rPr>
      </w:pPr>
      <w:r>
        <w:rPr>
          <w:rFonts w:ascii="Arial" w:cs="Arial" w:eastAsia="Arial" w:hAnsi="Arial"/>
          <w:sz w:val="14"/>
          <w:szCs w:val="14"/>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sz w:val="20"/>
          <w:szCs w:val="20"/>
          <w:color w:val="auto"/>
        </w:rPr>
      </w:pPr>
    </w:p>
    <w:p>
      <w:pPr>
        <w:jc w:val="both"/>
        <w:ind w:left="480" w:right="160"/>
        <w:spacing w:after="0" w:line="243" w:lineRule="auto"/>
        <w:rPr>
          <w:sz w:val="20"/>
          <w:szCs w:val="20"/>
          <w:color w:val="auto"/>
        </w:rPr>
      </w:pPr>
      <w:r>
        <w:rPr>
          <w:rFonts w:ascii="Arial" w:cs="Arial" w:eastAsia="Arial" w:hAnsi="Arial"/>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480" w:right="160"/>
        <w:spacing w:after="0" w:line="252" w:lineRule="auto"/>
        <w:rPr>
          <w:sz w:val="20"/>
          <w:szCs w:val="20"/>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sz w:val="20"/>
          <w:szCs w:val="20"/>
          <w:color w:val="auto"/>
        </w:rPr>
      </w:pPr>
    </w:p>
    <w:p>
      <w:pPr>
        <w:ind w:left="480" w:right="120"/>
        <w:spacing w:after="0" w:line="252" w:lineRule="auto"/>
        <w:rPr>
          <w:sz w:val="20"/>
          <w:szCs w:val="20"/>
          <w:color w:val="auto"/>
        </w:rPr>
      </w:pPr>
      <w:r>
        <w:rPr>
          <w:rFonts w:ascii="Arial" w:cs="Arial" w:eastAsia="Arial" w:hAnsi="Arial"/>
          <w:sz w:val="16"/>
          <w:szCs w:val="16"/>
          <w:color w:val="auto"/>
        </w:rPr>
        <w:t>(b)Any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20"/>
        <w:spacing w:after="0"/>
        <w:tabs>
          <w:tab w:leader="none" w:pos="5320" w:val="left"/>
          <w:tab w:leader="none" w:pos="7240" w:val="left"/>
        </w:tabs>
        <w:rPr>
          <w:sz w:val="20"/>
          <w:szCs w:val="20"/>
          <w:color w:val="auto"/>
        </w:rPr>
      </w:pPr>
      <w:r>
        <w:rPr>
          <w:rFonts w:ascii="Arial" w:cs="Arial" w:eastAsia="Arial" w:hAnsi="Arial"/>
          <w:sz w:val="16"/>
          <w:szCs w:val="16"/>
          <w:color w:val="auto"/>
        </w:rPr>
        <w:t>Date: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Thomas B. Raterman</w:t>
      </w:r>
    </w:p>
    <w:p>
      <w:pPr>
        <w:spacing w:after="0" w:line="13"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Thomas B. Raterman</w:t>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auto"/>
        </w:rPr>
        <w:t>Exhibit 32.1</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10"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18 U.S.C. SECTION 1350, AS ADOPTED PURSUANT TO</w:t>
      </w:r>
    </w:p>
    <w:p>
      <w:pPr>
        <w:ind w:left="32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8" w:lineRule="exact"/>
        <w:rPr>
          <w:sz w:val="20"/>
          <w:szCs w:val="20"/>
          <w:color w:val="auto"/>
        </w:rPr>
      </w:pPr>
    </w:p>
    <w:p>
      <w:pPr>
        <w:ind w:right="160" w:firstLine="468"/>
        <w:spacing w:after="0" w:line="243" w:lineRule="auto"/>
        <w:rPr>
          <w:sz w:val="20"/>
          <w:szCs w:val="20"/>
          <w:color w:val="auto"/>
        </w:rPr>
      </w:pPr>
      <w:r>
        <w:rPr>
          <w:rFonts w:ascii="Arial" w:cs="Arial" w:eastAsia="Arial" w:hAnsi="Arial"/>
          <w:sz w:val="16"/>
          <w:szCs w:val="16"/>
          <w:color w:val="auto"/>
        </w:rPr>
        <w:t>In connection with the Quarterly Report of Runway Growth Finance Corp.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 of operations of the Company.</w:t>
      </w:r>
    </w:p>
    <w:p>
      <w:pPr>
        <w:spacing w:after="0" w:line="271" w:lineRule="exact"/>
        <w:rPr>
          <w:sz w:val="20"/>
          <w:szCs w:val="20"/>
          <w:color w:val="auto"/>
        </w:rPr>
      </w:pPr>
    </w:p>
    <w:p>
      <w:pPr>
        <w:ind w:left="20"/>
        <w:spacing w:after="0"/>
        <w:tabs>
          <w:tab w:leader="none" w:pos="5320" w:val="left"/>
          <w:tab w:leader="none" w:pos="7520" w:val="left"/>
        </w:tabs>
        <w:rPr>
          <w:sz w:val="20"/>
          <w:szCs w:val="20"/>
          <w:color w:val="auto"/>
        </w:rPr>
      </w:pPr>
      <w:r>
        <w:rPr>
          <w:rFonts w:ascii="Arial" w:cs="Arial" w:eastAsia="Arial" w:hAnsi="Arial"/>
          <w:sz w:val="16"/>
          <w:szCs w:val="16"/>
          <w:color w:val="auto"/>
        </w:rPr>
        <w:t>Date: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Greg Greifeld</w:t>
      </w:r>
    </w:p>
    <w:p>
      <w:pPr>
        <w:spacing w:after="0" w:line="13" w:lineRule="exact"/>
        <w:rPr>
          <w:sz w:val="20"/>
          <w:szCs w:val="20"/>
          <w:color w:val="auto"/>
        </w:rPr>
      </w:pPr>
    </w:p>
    <w:p>
      <w:pPr>
        <w:jc w:val="center"/>
        <w:ind w:left="5660"/>
        <w:spacing w:after="0"/>
        <w:rPr>
          <w:sz w:val="20"/>
          <w:szCs w:val="20"/>
          <w:color w:val="auto"/>
        </w:rPr>
      </w:pPr>
      <w:r>
        <w:rPr>
          <w:rFonts w:ascii="Arial" w:cs="Arial" w:eastAsia="Arial" w:hAnsi="Arial"/>
          <w:sz w:val="16"/>
          <w:szCs w:val="16"/>
          <w:b w:val="1"/>
          <w:bCs w:val="1"/>
          <w:color w:val="auto"/>
        </w:rPr>
        <w:t>Greg Greifeld</w:t>
      </w:r>
    </w:p>
    <w:p>
      <w:pPr>
        <w:spacing w:after="0" w:line="13" w:lineRule="exact"/>
        <w:rPr>
          <w:sz w:val="20"/>
          <w:szCs w:val="20"/>
          <w:color w:val="auto"/>
        </w:rPr>
      </w:pPr>
    </w:p>
    <w:p>
      <w:pPr>
        <w:jc w:val="center"/>
        <w:ind w:left="5660"/>
        <w:spacing w:after="0"/>
        <w:rPr>
          <w:sz w:val="20"/>
          <w:szCs w:val="20"/>
          <w:color w:val="auto"/>
        </w:rPr>
      </w:pPr>
      <w:r>
        <w:rPr>
          <w:rFonts w:ascii="Arial" w:cs="Arial" w:eastAsia="Arial" w:hAnsi="Arial"/>
          <w:sz w:val="16"/>
          <w:szCs w:val="16"/>
          <w:b w:val="1"/>
          <w:bCs w:val="1"/>
          <w:color w:val="auto"/>
        </w:rPr>
        <w:t>Acting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280035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auto"/>
        </w:rPr>
        <w:t>Exhibit 32.2</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w:t>
      </w:r>
    </w:p>
    <w:p>
      <w:pPr>
        <w:spacing w:after="0" w:line="10"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18 U.S.C. SECTION 1350, AS ADOPTED PURSUANT TO</w:t>
      </w:r>
    </w:p>
    <w:p>
      <w:pPr>
        <w:ind w:left="32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78" w:lineRule="exact"/>
        <w:rPr>
          <w:sz w:val="20"/>
          <w:szCs w:val="20"/>
          <w:color w:val="auto"/>
        </w:rPr>
      </w:pPr>
    </w:p>
    <w:p>
      <w:pPr>
        <w:ind w:right="160" w:firstLine="468"/>
        <w:spacing w:after="0" w:line="243" w:lineRule="auto"/>
        <w:rPr>
          <w:sz w:val="20"/>
          <w:szCs w:val="20"/>
          <w:color w:val="auto"/>
        </w:rPr>
      </w:pPr>
      <w:r>
        <w:rPr>
          <w:rFonts w:ascii="Arial" w:cs="Arial" w:eastAsia="Arial" w:hAnsi="Arial"/>
          <w:sz w:val="16"/>
          <w:szCs w:val="16"/>
          <w:color w:val="auto"/>
        </w:rPr>
        <w:t>In connection with the Quarterly Report of Runway Growth Finance Corp.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(2)The information contained in the Report fairly presents, in all material respects, the financial condition and result of operations of the Company.</w:t>
      </w:r>
    </w:p>
    <w:p>
      <w:pPr>
        <w:spacing w:after="0" w:line="271" w:lineRule="exact"/>
        <w:rPr>
          <w:sz w:val="20"/>
          <w:szCs w:val="20"/>
          <w:color w:val="auto"/>
        </w:rPr>
      </w:pPr>
    </w:p>
    <w:p>
      <w:pPr>
        <w:ind w:left="20"/>
        <w:spacing w:after="0"/>
        <w:tabs>
          <w:tab w:leader="none" w:pos="5320" w:val="left"/>
          <w:tab w:leader="none" w:pos="7240" w:val="left"/>
        </w:tabs>
        <w:rPr>
          <w:sz w:val="20"/>
          <w:szCs w:val="20"/>
          <w:color w:val="auto"/>
        </w:rPr>
      </w:pPr>
      <w:r>
        <w:rPr>
          <w:rFonts w:ascii="Arial" w:cs="Arial" w:eastAsia="Arial" w:hAnsi="Arial"/>
          <w:sz w:val="16"/>
          <w:szCs w:val="16"/>
          <w:color w:val="auto"/>
        </w:rPr>
        <w:t>Date: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Thomas B. Raterman</w:t>
      </w:r>
    </w:p>
    <w:p>
      <w:pPr>
        <w:spacing w:after="0" w:line="13" w:lineRule="exact"/>
        <w:rPr>
          <w:sz w:val="20"/>
          <w:szCs w:val="20"/>
          <w:color w:val="auto"/>
        </w:rPr>
      </w:pPr>
    </w:p>
    <w:p>
      <w:pPr>
        <w:ind w:left="7340"/>
        <w:spacing w:after="0"/>
        <w:rPr>
          <w:sz w:val="20"/>
          <w:szCs w:val="20"/>
          <w:color w:val="auto"/>
        </w:rPr>
      </w:pPr>
      <w:r>
        <w:rPr>
          <w:rFonts w:ascii="Arial" w:cs="Arial" w:eastAsia="Arial" w:hAnsi="Arial"/>
          <w:sz w:val="16"/>
          <w:szCs w:val="16"/>
          <w:b w:val="1"/>
          <w:bCs w:val="1"/>
          <w:color w:val="auto"/>
        </w:rPr>
        <w:t>Thomas B. Raterman</w:t>
      </w:r>
    </w:p>
    <w:p>
      <w:pPr>
        <w:spacing w:after="0" w:line="13"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401955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79" w:name="page80"/>
    <w:bookmarkEnd w:id="79"/>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0"/>
    </w:lvl>
    <w:lvl w:ilvl="1">
      <w:lvlJc w:val="left"/>
      <w:lvlText w:val="*"/>
      <w:numFmt w:val="bullet"/>
      <w:start w:val="1"/>
    </w:lvl>
  </w:abstractNum>
  <w:abstractNum w:abstractNumId="9">
    <w:nsid w:val="DED7263"/>
    <w:multiLevelType w:val="hybridMultilevel"/>
    <w:lvl w:ilvl="0">
      <w:lvlJc w:val="left"/>
      <w:lvlText w:val="\endash "/>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bullet"/>
      <w:start w:val="1"/>
    </w:lvl>
  </w:abstractNum>
  <w:abstractNum w:abstractNumId="12">
    <w:nsid w:val="41A7C4C9"/>
    <w:multiLevelType w:val="hybridMultilevel"/>
    <w:lvl w:ilvl="0">
      <w:lvlJc w:val="left"/>
      <w:lvlText w:val="2"/>
      <w:numFmt w:val="bullet"/>
      <w:start w:val="1"/>
    </w:lvl>
  </w:abstractNum>
  <w:abstractNum w:abstractNumId="13">
    <w:nsid w:val="6B68079A"/>
    <w:multiLevelType w:val="hybridMultilevel"/>
    <w:lvl w:ilvl="0">
      <w:lvlJc w:val="left"/>
      <w:lvlText w:val="3"/>
      <w:numFmt w:val="bullet"/>
      <w:start w:val="1"/>
    </w:lvl>
  </w:abstractNum>
  <w:abstractNum w:abstractNumId="14">
    <w:nsid w:val="4E6AFB66"/>
    <w:multiLevelType w:val="hybridMultilevel"/>
    <w:lvl w:ilvl="0">
      <w:lvlJc w:val="left"/>
      <w:lvlText w:val="4"/>
      <w:numFmt w:val="bullet"/>
      <w:start w:val="1"/>
    </w:lvl>
  </w:abstractNum>
  <w:abstractNum w:abstractNumId="15">
    <w:nsid w:val="25E45D32"/>
    <w:multiLevelType w:val="hybridMultilevel"/>
    <w:lvl w:ilvl="0">
      <w:lvlJc w:val="left"/>
      <w:lvlText w:val="5"/>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24" Type="http://schemas.openxmlformats.org/officeDocument/2006/relationships/hyperlink" Target="https://www.sec.gov/Archives/edgar/data/1653384/000114420416140270/v454968_ex3-1.htm" TargetMode="External"/><Relationship Id="rId125" Type="http://schemas.openxmlformats.org/officeDocument/2006/relationships/hyperlink" Target="https://www.sec.gov/Archives/edgar/data/0001653384/000165338421000016/rgc-20210819ex31cb84ffa.htm" TargetMode="External"/><Relationship Id="rId126" Type="http://schemas.openxmlformats.org/officeDocument/2006/relationships/hyperlink" Target="https://www.sec.gov/Archives/edgar/data/0001653384/000165338421000016/rgc-20210819ex32804659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2023-08-08T15:13:36Z</dcterms:created>
  <dcterms:modified xsi:type="dcterms:W3CDTF">2023-08-08T15:13:36Z</dcterms:modified>
</cp:coreProperties>
</file>