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4"/>
        </w:rPr>
      </w:pPr>
      <w:bookmarkStart w:id="0" w:name="rway-20261001.htm"/>
      <w:bookmarkStart w:id="1" w:name="ksrway20261001"/>
      <w:bookmarkEnd w:id="0"/>
      <w:bookmarkEnd w:id="1"/>
      <w:r>
        <w:drawing>
          <wp:anchor behindDoc="0" distT="0" distB="0" distL="0" distR="0" simplePos="0" locked="0" layoutInCell="1" allowOverlap="1" relativeHeight="6">
            <wp:simplePos x="0" y="0"/>
            <wp:positionH relativeFrom="page">
              <wp:posOffset>438150</wp:posOffset>
            </wp:positionH>
            <wp:positionV relativeFrom="page">
              <wp:posOffset>590550</wp:posOffset>
            </wp:positionV>
            <wp:extent cx="1033780" cy="933450"/>
            <wp:effectExtent l="0" t="0" r="0" b="0"/>
            <wp:wrapNone/>
            <wp:docPr id="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 descr=""/>
                    <pic:cNvPicPr>
                      <a:picLocks noChangeAspect="1" noChangeArrowheads="1"/>
                    </pic:cNvPicPr>
                  </pic:nvPicPr>
                  <pic:blipFill>
                    <a:blip r:embed="rId2"/>
                    <a:stretch>
                      <a:fillRect/>
                    </a:stretch>
                  </pic:blipFill>
                  <pic:spPr bwMode="auto">
                    <a:xfrm>
                      <a:off x="0" y="0"/>
                      <a:ext cx="1033780" cy="933450"/>
                    </a:xfrm>
                    <a:prstGeom prst="rect">
                      <a:avLst/>
                    </a:prstGeom>
                  </pic:spPr>
                </pic:pic>
              </a:graphicData>
            </a:graphic>
          </wp:anchor>
        </w:drawing>
        <w:drawing>
          <wp:anchor behindDoc="0" distT="0" distB="0" distL="0" distR="0" simplePos="0" locked="0" layoutInCell="1" allowOverlap="1" relativeHeight="5">
            <wp:simplePos x="0" y="0"/>
            <wp:positionH relativeFrom="page">
              <wp:posOffset>438150</wp:posOffset>
            </wp:positionH>
            <wp:positionV relativeFrom="page">
              <wp:posOffset>590550</wp:posOffset>
            </wp:positionV>
            <wp:extent cx="1033780" cy="933450"/>
            <wp:effectExtent l="0" t="0" r="0" b="0"/>
            <wp:wrapNone/>
            <wp:docPr id="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descr=""/>
                    <pic:cNvPicPr>
                      <a:picLocks noChangeAspect="1" noChangeArrowheads="1"/>
                    </pic:cNvPicPr>
                  </pic:nvPicPr>
                  <pic:blipFill>
                    <a:blip r:embed="rId3"/>
                    <a:stretch>
                      <a:fillRect/>
                    </a:stretch>
                  </pic:blipFill>
                  <pic:spPr bwMode="auto">
                    <a:xfrm>
                      <a:off x="0" y="0"/>
                      <a:ext cx="1033780" cy="933450"/>
                    </a:xfrm>
                    <a:prstGeom prst="rect">
                      <a:avLst/>
                    </a:prstGeom>
                  </pic:spPr>
                </pic:pic>
              </a:graphicData>
            </a:graphic>
          </wp:anchor>
        </w:drawing>
        <w:drawing>
          <wp:anchor behindDoc="0" distT="0" distB="0" distL="0" distR="0" simplePos="0" locked="0" layoutInCell="1" allowOverlap="1" relativeHeight="4">
            <wp:simplePos x="0" y="0"/>
            <wp:positionH relativeFrom="page">
              <wp:posOffset>438150</wp:posOffset>
            </wp:positionH>
            <wp:positionV relativeFrom="page">
              <wp:posOffset>590550</wp:posOffset>
            </wp:positionV>
            <wp:extent cx="1033780" cy="933450"/>
            <wp:effectExtent l="0" t="0" r="0" b="0"/>
            <wp:wrapNone/>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4"/>
                    <a:stretch>
                      <a:fillRect/>
                    </a:stretch>
                  </pic:blipFill>
                  <pic:spPr bwMode="auto">
                    <a:xfrm>
                      <a:off x="0" y="0"/>
                      <a:ext cx="1033780" cy="933450"/>
                    </a:xfrm>
                    <a:prstGeom prst="rect">
                      <a:avLst/>
                    </a:prstGeom>
                  </pic:spPr>
                </pic:pic>
              </a:graphicData>
            </a:graphic>
          </wp:anchor>
        </w:drawing>
        <w:drawing>
          <wp:anchor behindDoc="0" distT="0" distB="0" distL="0" distR="0" simplePos="0" locked="0" layoutInCell="1" allowOverlap="1" relativeHeight="2">
            <wp:simplePos x="0" y="0"/>
            <wp:positionH relativeFrom="page">
              <wp:posOffset>438150</wp:posOffset>
            </wp:positionH>
            <wp:positionV relativeFrom="page">
              <wp:posOffset>590550</wp:posOffset>
            </wp:positionV>
            <wp:extent cx="1033780" cy="933450"/>
            <wp:effectExtent l="0" t="0" r="0" b="0"/>
            <wp:wrapNone/>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1033780" cy="933450"/>
                    </a:xfrm>
                    <a:prstGeom prst="rect">
                      <a:avLst/>
                    </a:prstGeom>
                  </pic:spPr>
                </pic:pic>
              </a:graphicData>
            </a:graphic>
          </wp:anchor>
        </w:drawing>
      </w: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r>
        <mc:AlternateContent>
          <mc:Choice Requires="wps">
            <w:drawing>
              <wp:anchor behindDoc="0" distT="0" distB="0" distL="0" distR="0" simplePos="0" locked="0" layoutInCell="1" allowOverlap="1" relativeHeight="3">
                <wp:simplePos x="0" y="0"/>
                <wp:positionH relativeFrom="page">
                  <wp:posOffset>5581650</wp:posOffset>
                </wp:positionH>
                <wp:positionV relativeFrom="page">
                  <wp:posOffset>866775</wp:posOffset>
                </wp:positionV>
                <wp:extent cx="1824990" cy="3128645"/>
                <wp:effectExtent l="0" t="0" r="0" b="0"/>
                <wp:wrapNone/>
                <wp:docPr id="5" name="Frame1"/>
                <a:graphic xmlns:a="http://schemas.openxmlformats.org/drawingml/2006/main">
                  <a:graphicData uri="http://schemas.microsoft.com/office/word/2010/wordprocessingShape">
                    <wps:wsp>
                      <wps:cNvSpPr txBox="1"/>
                      <wps:spPr>
                        <a:xfrm>
                          <a:off x="0" y="0"/>
                          <a:ext cx="1824990" cy="3128645"/>
                        </a:xfrm>
                        <a:prstGeom prst="rect"/>
                        <a:solidFill>
                          <a:srgbClr val="FFFFFF"/>
                        </a:solidFill>
                      </wps:spPr>
                      <wps:txbx>
                        <w:txbxContent>
                          <w:p>
                            <w:pPr>
                              <w:pStyle w:val="TextBody"/>
                              <w:bidi w:val="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tcMar>
                                    <w:top w:w="0" w:type="dxa"/>
                                    <w:left w:w="0" w:type="dxa"/>
                                    <w:right w:w="0" w:type="dxa"/>
                                  </w:tcMar>
                                  <w:vAlign w:val="center"/>
                                </w:tcPr>
                                <w:p>
                                  <w:pPr>
                                    <w:pStyle w:val="TableContents"/>
                                    <w:bidi w:val="0"/>
                                    <w:jc w:val="left"/>
                                    <w:rPr>
                                      <w:rFonts w:ascii="Arial" w:hAnsi="Arial"/>
                                      <w:color w:val="000000"/>
                                      <w:sz w:val="15"/>
                                    </w:rPr>
                                  </w:pPr>
                                  <w:r>
                                    <w:rPr>
                                      <w:rFonts w:ascii="Arial" w:hAnsi="Arial"/>
                                      <w:color w:val="000000"/>
                                      <w:sz w:val="15"/>
                                    </w:rPr>
                                    <w:t>1900 K Street, NW</w:t>
                                    <w:br/>
                                    <w:t>Washington, DC 20006-1110</w:t>
                                  </w:r>
                                </w:p>
                                <w:p>
                                  <w:pPr>
                                    <w:pStyle w:val="TableContents"/>
                                    <w:bidi w:val="0"/>
                                    <w:jc w:val="left"/>
                                    <w:rPr>
                                      <w:rFonts w:ascii="Arial" w:hAnsi="Arial"/>
                                      <w:color w:val="000000"/>
                                      <w:sz w:val="15"/>
                                    </w:rPr>
                                  </w:pPr>
                                  <w:r>
                                    <w:rPr>
                                      <w:rFonts w:ascii="Arial" w:hAnsi="Arial"/>
                                      <w:color w:val="000000"/>
                                      <w:sz w:val="15"/>
                                    </w:rPr>
                                    <w:t>+1 202 261 3300 Main</w:t>
                                  </w:r>
                                </w:p>
                                <w:p>
                                  <w:pPr>
                                    <w:pStyle w:val="TableContents"/>
                                    <w:bidi w:val="0"/>
                                    <w:jc w:val="left"/>
                                    <w:rPr>
                                      <w:rFonts w:ascii="Arial" w:hAnsi="Arial"/>
                                      <w:color w:val="000000"/>
                                      <w:sz w:val="15"/>
                                    </w:rPr>
                                  </w:pPr>
                                  <w:r>
                                    <w:rPr>
                                      <w:rFonts w:ascii="Arial" w:hAnsi="Arial"/>
                                      <w:color w:val="000000"/>
                                      <w:sz w:val="15"/>
                                    </w:rPr>
                                    <w:t>+1 202 261 3333 Fax</w:t>
                                  </w:r>
                                </w:p>
                                <w:p>
                                  <w:pPr>
                                    <w:pStyle w:val="TableContents"/>
                                    <w:bidi w:val="0"/>
                                    <w:jc w:val="left"/>
                                    <w:rPr>
                                      <w:rFonts w:ascii="Arial" w:hAnsi="Arial"/>
                                      <w:color w:val="000000"/>
                                      <w:sz w:val="15"/>
                                    </w:rPr>
                                  </w:pPr>
                                  <w:r>
                                    <w:rPr>
                                      <w:rFonts w:ascii="Arial" w:hAnsi="Arial"/>
                                      <w:color w:val="000000"/>
                                      <w:sz w:val="15"/>
                                    </w:rPr>
                                    <w:t>www.dechert.com</w:t>
                                  </w:r>
                                </w:p>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bl>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43.7pt;height:246.35pt;mso-wrap-distance-left:0pt;mso-wrap-distance-right:0pt;mso-wrap-distance-top:0pt;mso-wrap-distance-bottom:0pt;margin-top:68.25pt;mso-position-vertical-relative:page;margin-left:439.5pt;mso-position-horizontal-relative:page">
                <v:textbox inset="0in,0in,0in,0in">
                  <w:txbxContent>
                    <w:p>
                      <w:pPr>
                        <w:pStyle w:val="TextBody"/>
                        <w:bidi w:val="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2" w:space="0" w:color="000000"/>
                            </w:tcBorders>
                            <w:tcMar>
                              <w:top w:w="0" w:type="dxa"/>
                              <w:left w:w="0" w:type="dxa"/>
                              <w:right w:w="0" w:type="dxa"/>
                            </w:tcMar>
                            <w:vAlign w:val="center"/>
                          </w:tcPr>
                          <w:p>
                            <w:pPr>
                              <w:pStyle w:val="TableContents"/>
                              <w:bidi w:val="0"/>
                              <w:jc w:val="left"/>
                              <w:rPr>
                                <w:rFonts w:ascii="Arial" w:hAnsi="Arial"/>
                                <w:color w:val="000000"/>
                                <w:sz w:val="15"/>
                              </w:rPr>
                            </w:pPr>
                            <w:r>
                              <w:rPr>
                                <w:rFonts w:ascii="Arial" w:hAnsi="Arial"/>
                                <w:color w:val="000000"/>
                                <w:sz w:val="15"/>
                              </w:rPr>
                              <w:t>1900 K Street, NW</w:t>
                              <w:br/>
                              <w:t>Washington, DC 20006-1110</w:t>
                            </w:r>
                          </w:p>
                          <w:p>
                            <w:pPr>
                              <w:pStyle w:val="TableContents"/>
                              <w:bidi w:val="0"/>
                              <w:jc w:val="left"/>
                              <w:rPr>
                                <w:rFonts w:ascii="Arial" w:hAnsi="Arial"/>
                                <w:color w:val="000000"/>
                                <w:sz w:val="15"/>
                              </w:rPr>
                            </w:pPr>
                            <w:r>
                              <w:rPr>
                                <w:rFonts w:ascii="Arial" w:hAnsi="Arial"/>
                                <w:color w:val="000000"/>
                                <w:sz w:val="15"/>
                              </w:rPr>
                              <w:t>+1 202 261 3300 Main</w:t>
                            </w:r>
                          </w:p>
                          <w:p>
                            <w:pPr>
                              <w:pStyle w:val="TableContents"/>
                              <w:bidi w:val="0"/>
                              <w:jc w:val="left"/>
                              <w:rPr>
                                <w:rFonts w:ascii="Arial" w:hAnsi="Arial"/>
                                <w:color w:val="000000"/>
                                <w:sz w:val="15"/>
                              </w:rPr>
                            </w:pPr>
                            <w:r>
                              <w:rPr>
                                <w:rFonts w:ascii="Arial" w:hAnsi="Arial"/>
                                <w:color w:val="000000"/>
                                <w:sz w:val="15"/>
                              </w:rPr>
                              <w:t>+1 202 261 3333 Fax</w:t>
                            </w:r>
                          </w:p>
                          <w:p>
                            <w:pPr>
                              <w:pStyle w:val="TableContents"/>
                              <w:bidi w:val="0"/>
                              <w:jc w:val="left"/>
                              <w:rPr>
                                <w:rFonts w:ascii="Arial" w:hAnsi="Arial"/>
                                <w:color w:val="000000"/>
                                <w:sz w:val="15"/>
                              </w:rPr>
                            </w:pPr>
                            <w:r>
                              <w:rPr>
                                <w:rFonts w:ascii="Arial" w:hAnsi="Arial"/>
                                <w:color w:val="000000"/>
                                <w:sz w:val="15"/>
                              </w:rPr>
                              <w:t>www.dechert.com</w:t>
                            </w:r>
                          </w:p>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bl>
                    <w:p>
                      <w:pPr>
                        <w:pStyle w:val="TextBody"/>
                        <w:bidi w:val="0"/>
                        <w:spacing w:before="0" w:after="283"/>
                        <w:jc w:val="left"/>
                        <w:rPr/>
                      </w:pPr>
                      <w:r>
                        <w:rPr/>
                        <w:t> </w:t>
                      </w:r>
                    </w:p>
                  </w:txbxContent>
                </v:textbox>
                <w10:wrap type="none"/>
              </v:rect>
            </w:pict>
          </mc:Fallback>
        </mc:AlternateContent>
      </w:r>
    </w:p>
    <w:p>
      <w:pPr>
        <w:pStyle w:val="TextBody"/>
        <w:pBdr>
          <w:bottom w:val="single" w:sz="8"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01, 2026</w:t>
            </w:r>
          </w:p>
        </w:tc>
      </w:tr>
    </w:tbl>
    <w:p>
      <w:pPr>
        <w:pStyle w:val="TextBody"/>
        <w:pBdr>
          <w:bottom w:val="single" w:sz="8"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Runway Growth Finance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8"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3"/>
        <w:gridCol w:w="873"/>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814-01180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205 N. Michigan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r>
              <w:rPr>
                <w:rFonts w:ascii="Times New Roman" w:hAnsi="Times New Roman"/>
                <w:b/>
                <w:color w:val="000000"/>
                <w:sz w:val="20"/>
              </w:rPr>
              <w:t>698-6902</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8"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 Notes due 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SWKHL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October 1, 2026, in connection with a previously announced public offering, Runway Growth Finance Corp. (the “Company”) and U.S. Bank Trust Company, National Association, as trustee (the “Trustee”), entered into the Fifth Supplemental Indenture (the “Fifth Supplemental Indenture”) to the Base Indenture, dated July 28, 2022, between the Company and the Trustee (together with the Fifth Supplemental Indenture, the “Indenture”). The Fifth Supplemental Indenture relates to the Company’s issuance, offering and sale of $46,329,125 in aggregate principal amount of its 7.75% Notes due 2031 (the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Notes will mature on October 1, 2031, unless previously redeemed or repurchased in accordance with their terms. The interest rate of the Notes is 7.75% per year and will be paid quarterly in arrears on March 1, June 1, September 1 and December 1 of each year, beginning on December 1, 2026. The Notes are the Company’s direct unsecured obligations and rank pari passu with the Company’s existing and future unsecured, unsubordinated indebtedness, including the Company’s 7.50% Notes due 2027, 7.51% Series 2025A Senior Notes due 2028, 7.00% Notes due 2029, 7.25% Notes due 2031 and the SWK 2027 Notes (as defined below); senior to any of the Company’s future indebtedness that expressly provides it is subordinated to the Notes; effectively subordinated to all of the Company’s existing and future secured indebtedness (including indebtedness that is initially unsecured to which the Company subsequently grants security), to the extent of the value of the assets securing such indebtedness, including, without limitation, borrowings under the Company’s Credit Agreement with KeyBank National Association (the “Credit Facility”); and structurally subordinated to all existing and future indebtedness and other obligations of any of the Company’s existing or future subsidiaries, financing vehicles or similar facilities, including the Credit Facility.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Notes may be redeemed in whole or in part at any time or from time to time at the Company’s option on or after October 1, 2028, upon not less than 30 days nor more than 60 days written notice by mail prior to the date fixed for redemption thereof, at a redemption price of $25 per Note plus accrued and unpaid interest payments otherwise payable for the then-current quarterly interest period accrued to, but not including, the date fixed for redemption.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Indenture contains certain covenants, including covenants requiring the Company to comply with Section 18(a)(1)(A) as modified by Section 61(a)(2) of the Investment Company Act of 1940, as amended (the “1940 Act”), or any successor provisions, and to provide financial information to the holders of the Notes and the Trustee if the Company should no longer be subject to the reporting requirements under the Securities Exchange Act of 1934, as amended. These covenants are subject to important limitations and exceptions that are set forth in the Indenture.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Notes were offered and sold in an offering registered under the Securities Act of 1933, as amended, pursuant to the Company’s registration statement on Form N-2 (Registration No. 333-284781) previously filed with the Securities and Exchange Commission, as supplemented by a preliminary prospectus supplement dated September 23, 2026 and a final prospectus supplement dated September 24, 2026. 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 The transaction closed on October 1,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intends to use the net proceeds from this offering (a) to repay outstanding indebtedness, including under the Company's Credit Facility and to redeem all of the outstanding SWK 2027 Notes, and (b) for other general corporate purposes.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descriptions of the Fifth Supplemental Indenture and the Notes do not purport to be complete and are qualified in their entirety by reference to the full text of the Fifth Supplemental Indenture and the form of global note representing the Notes, respectively, each filed or incorporated by reference as exhibits hereto and incorporated by reference 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2.03 Creation of a Direct Financial Obligation or an Obligation under an Off-Balance Sheet Arrangement of a Registrant.</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under Item 1.01 of this Form 8-K is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Company’s acquisition of SWK Holdings Corporation (“SWK”), on April 6, 2026, the Company assumed the obligations of the 9.00% Senior Notes due 2027 issued by SWK (CUSIP No. 78501P302; NasdaqGS: SWKHL) (the “SWK 2027 Notes”). On October 1, 2026, the Company notified the Trustee for the SWK 2027 Notes, of the Company’s election to redeem all of its $32,969,000 in aggregate principal amount of the SWK 2027 Notes outstanding, and instructed the Trustee to provide notice of such redemption to the holders of the SWK 2027 Notes in accordance with the terms of the indenture governing the SWK 2027 Notes.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expects to redeem all of the $32,969,000 SWK 2027 Notes issued and outstanding on November 3, 2026 (the “Redemption Date”). The redemption price will be 100% of the aggregate principal amount plus accrued and unpaid interest thereon to, but not including, the Redemption Date.</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SWK 2027 Notes should be presented and surrendered by mail, hand or overnight mail at Wilmington Trust, National Association, 1100 North Market Street, Wilmington, DE 19890, Attention: Workflow Management – 5th Floor Runway Growth Finance Corp. (9.00% Senior Notes Due 2027). This Current Report on Form 8-K does not constitute a notice of redemption of the SWK 2027 Notes.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This Current Report on Form 8-K may contain forward-looking statements that involve substantial risks and uncertainties. You can identify these statements by the use of forward-looking terminology such as “may,” “will,” “should,” “expect,” “anticipate,” “project,” “target,” “estimate,” “intend,” “continue,” or “believe” or the negatives thereof or other variations thereon or comparable terminology. You should read statements that contain these words carefully because they discuss our plans, strategies, prospects and expectations concerning our business, operating results, financial condition and other similar matters. These statements represent the Company’s belief regarding future events that, by their nature, are uncertain and outside of the Company’s control. There are likely to be events in the future, however, that we are not able to predict accurately or control. Any forward-looking statement made by us in this Current Report on Form 8-K speaks only as of the date on which we make it. Factors or events that could cause our actual results to differ materially from our expectations, include, but are not limited to, the risks, uncertainties and other factors we identify in the sections entitled “Risk Factors” and “Forward-Looking Statements” in periodic filings we make with the Securities and Exchange Commission, and it is not possible for us to predict or identify all of them. We undertake no obligation to update or revise publicly any forward-looking statements, whether as a result of new information, future events or otherwise, except as required by law.</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3"/>
        <w:gridCol w:w="146"/>
        <w:gridCol w:w="9186"/>
      </w:tblGrid>
      <w:tr>
        <w:trPr/>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6" w:type="dxa"/>
            <w:tcBorders/>
            <w:vAlign w:val="center"/>
          </w:tcPr>
          <w:p>
            <w:pPr>
              <w:pStyle w:val="TableContents"/>
              <w:bidi w:val="0"/>
              <w:spacing w:before="0" w:after="283"/>
              <w:jc w:val="left"/>
              <w:rPr>
                <w:sz w:val="4"/>
                <w:szCs w:val="4"/>
              </w:rPr>
            </w:pPr>
            <w:r>
              <w:rPr>
                <w:sz w:val="4"/>
                <w:szCs w:val="4"/>
              </w:rPr>
            </w:r>
          </w:p>
        </w:tc>
      </w:tr>
      <w:tr>
        <w:trPr/>
        <w:tc>
          <w:tcPr>
            <w:tcW w:w="8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86" w:type="dxa"/>
            <w:tcBorders>
              <w:bottom w:val="single" w:sz="4" w:space="0" w:color="000000"/>
            </w:tcBorders>
            <w:tcMar>
              <w:top w:w="0" w:type="dxa"/>
              <w:left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Indenture, dated July 28, 2022, by and between Runway Growth Finance Corp. and U.S. Bank Trust Company, National Association, as trustee (incorporated by reference to Exhibit 4.1 to the Company’s Current Report on Form 8-K (File No. 814-01180), filed on July 28, 2022)</w:t>
              </w:r>
            </w:hyperlink>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6" w:type="dxa"/>
            <w:tcBorders/>
            <w:tcMar>
              <w:top w:w="0" w:type="dxa"/>
              <w:left w:w="0" w:type="dxa"/>
              <w:bottom w:w="0" w:type="dxa"/>
              <w:right w:w="0" w:type="dxa"/>
            </w:tcMar>
            <w:vAlign w:val="center"/>
          </w:tcPr>
          <w:p>
            <w:pPr>
              <w:pStyle w:val="TableContents"/>
              <w:bidi w:val="0"/>
              <w:spacing w:before="0" w:after="283"/>
              <w:jc w:val="left"/>
              <w:rPr/>
            </w:pPr>
            <w:hyperlink w:anchor="rway-ex4_2.htm">
              <w:r>
                <w:rPr>
                  <w:rStyle w:val="InternetLink"/>
                  <w:rFonts w:ascii="Times New Roman" w:hAnsi="Times New Roman"/>
                  <w:color w:val="0000FF"/>
                  <w:sz w:val="20"/>
                  <w:u w:val="single"/>
                </w:rPr>
                <w:t>Fifth Supplemental Indenture, dated October 1, 2026, between Runway Growth Finance Corp. and U.S. Bank Trust Company, National Association, as trustee</w:t>
              </w:r>
            </w:hyperlink>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6" w:type="dxa"/>
            <w:tcBorders/>
            <w:tcMar>
              <w:top w:w="0" w:type="dxa"/>
              <w:left w:w="0" w:type="dxa"/>
              <w:bottom w:w="0" w:type="dxa"/>
              <w:right w:w="0" w:type="dxa"/>
            </w:tcMar>
            <w:vAlign w:val="center"/>
          </w:tcPr>
          <w:p>
            <w:pPr>
              <w:pStyle w:val="TableContents"/>
              <w:bidi w:val="0"/>
              <w:spacing w:before="0" w:after="283"/>
              <w:jc w:val="left"/>
              <w:rPr/>
            </w:pPr>
            <w:hyperlink w:anchor="rway-ex4_2.htm">
              <w:r>
                <w:rPr>
                  <w:rStyle w:val="InternetLink"/>
                  <w:rFonts w:ascii="Times New Roman" w:hAnsi="Times New Roman"/>
                  <w:color w:val="0000FF"/>
                  <w:sz w:val="20"/>
                  <w:u w:val="single"/>
                </w:rPr>
                <w:t>Form of Global Note (included in Exhibit 4.2 hereto)</w:t>
              </w:r>
            </w:hyperlink>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6" w:type="dxa"/>
            <w:tcBorders/>
            <w:tcMar>
              <w:top w:w="0" w:type="dxa"/>
              <w:left w:w="0" w:type="dxa"/>
              <w:bottom w:w="0" w:type="dxa"/>
              <w:right w:w="0" w:type="dxa"/>
            </w:tcMar>
            <w:vAlign w:val="center"/>
          </w:tcPr>
          <w:p>
            <w:pPr>
              <w:pStyle w:val="TableContents"/>
              <w:bidi w:val="0"/>
              <w:spacing w:before="0" w:after="283"/>
              <w:jc w:val="left"/>
              <w:rPr/>
            </w:pPr>
            <w:hyperlink w:anchor="rway-ex5_1.htm">
              <w:r>
                <w:rPr>
                  <w:rStyle w:val="InternetLink"/>
                  <w:rFonts w:ascii="Times New Roman" w:hAnsi="Times New Roman"/>
                  <w:color w:val="0000FF"/>
                  <w:sz w:val="20"/>
                  <w:u w:val="single"/>
                </w:rPr>
                <w:t>Opinion of Dechert LLP</w:t>
              </w:r>
            </w:hyperlink>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6" w:type="dxa"/>
            <w:tcBorders/>
            <w:tcMar>
              <w:top w:w="0" w:type="dxa"/>
              <w:left w:w="0" w:type="dxa"/>
              <w:bottom w:w="0" w:type="dxa"/>
              <w:right w:w="0" w:type="dxa"/>
            </w:tcMar>
            <w:vAlign w:val="center"/>
          </w:tcPr>
          <w:p>
            <w:pPr>
              <w:pStyle w:val="TableContents"/>
              <w:bidi w:val="0"/>
              <w:spacing w:before="0" w:after="283"/>
              <w:jc w:val="left"/>
              <w:rPr/>
            </w:pPr>
            <w:hyperlink w:anchor="rway-ex5_1.htm">
              <w:r>
                <w:rPr>
                  <w:rStyle w:val="InternetLink"/>
                  <w:rFonts w:ascii="Times New Roman" w:hAnsi="Times New Roman"/>
                  <w:color w:val="0000FF"/>
                  <w:sz w:val="20"/>
                  <w:u w:val="single"/>
                </w:rPr>
                <w:t>Consent of Dechert LLP (included in Exhibit 5.1)</w:t>
              </w:r>
            </w:hyperlink>
          </w:p>
        </w:tc>
      </w:tr>
      <w:tr>
        <w:trPr/>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409" w:type="dxa"/>
        <w:jc w:val="left"/>
        <w:tblInd w:w="0" w:type="dxa"/>
        <w:tblLayout w:type="fixed"/>
        <w:tblCellMar>
          <w:top w:w="28" w:type="dxa"/>
          <w:left w:w="28" w:type="dxa"/>
          <w:bottom w:w="28" w:type="dxa"/>
          <w:right w:w="28" w:type="dxa"/>
        </w:tblCellMar>
      </w:tblPr>
      <w:tblGrid>
        <w:gridCol w:w="556"/>
        <w:gridCol w:w="1411"/>
        <w:gridCol w:w="451"/>
        <w:gridCol w:w="399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Runway Growth Finance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99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Carmela Thomson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Carmela Thomson</w:t>
              <w:br/>
              <w:t>Chief Financial Officer, Treasurer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 w:name="rway-ex4_2.htm"/>
      <w:bookmarkStart w:id="3" w:name="ksrwayex4_2"/>
      <w:bookmarkEnd w:id="2"/>
      <w:bookmarkEnd w:id="3"/>
      <w:r>
        <w:rPr>
          <w:rFonts w:ascii="Arial" w:hAnsi="Arial"/>
          <w:b/>
          <w:color w:val="000000"/>
          <w:sz w:val="20"/>
        </w:rPr>
        <w:t>Exhibit 4.2</w:t>
      </w:r>
      <w:r>
        <w:br w:type="page"/>
      </w:r>
    </w:p>
    <w:p>
      <w:pPr>
        <w:pStyle w:val="TextBody"/>
        <w:bidi w:val="0"/>
        <w:jc w:val="right"/>
        <w:rPr/>
      </w:pPr>
      <w:r>
        <w:rPr/>
        <w:t> </w:t>
      </w:r>
    </w:p>
    <w:p>
      <w:pPr>
        <w:pStyle w:val="TextBody"/>
        <w:bidi w:val="0"/>
        <w:jc w:val="right"/>
        <w:rPr>
          <w:rFonts w:ascii="Arial" w:hAnsi="Arial"/>
          <w:b/>
          <w:smallCaps/>
          <w:color w:val="000000"/>
          <w:sz w:val="20"/>
        </w:rPr>
      </w:pPr>
      <w:r>
        <w:rPr>
          <w:rFonts w:ascii="Arial" w:hAnsi="Arial"/>
          <w:b/>
          <w:smallCaps/>
          <w:color w:val="000000"/>
          <w:sz w:val="20"/>
        </w:rPr>
        <w:t>Execution Version</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FIFTH SUPPLEMENTAL INDENTURE</w:t>
      </w:r>
    </w:p>
    <w:p>
      <w:pPr>
        <w:pStyle w:val="TextBody"/>
        <w:bidi w:val="0"/>
        <w:jc w:val="center"/>
        <w:rPr>
          <w:rFonts w:ascii="Times New Roman" w:hAnsi="Times New Roman"/>
          <w:b/>
          <w:color w:val="000000"/>
          <w:sz w:val="20"/>
        </w:rPr>
      </w:pPr>
      <w:r>
        <w:rPr>
          <w:rFonts w:ascii="Times New Roman" w:hAnsi="Times New Roman"/>
          <w:b/>
          <w:color w:val="000000"/>
          <w:sz w:val="20"/>
        </w:rPr>
        <w:t>between</w:t>
      </w:r>
    </w:p>
    <w:p>
      <w:pPr>
        <w:pStyle w:val="TextBody"/>
        <w:bidi w:val="0"/>
        <w:jc w:val="center"/>
        <w:rPr>
          <w:rFonts w:ascii="Times New Roman" w:hAnsi="Times New Roman"/>
          <w:sz w:val="20"/>
        </w:rPr>
      </w:pPr>
      <w:r>
        <w:rPr>
          <w:rFonts w:ascii="Times New Roman" w:hAnsi="Times New Roman"/>
          <w:b/>
          <w:color w:val="000000"/>
          <w:sz w:val="20"/>
        </w:rPr>
        <w:t>RUNWAY GROWTH FINANCE CORP.</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and</w:t>
      </w:r>
    </w:p>
    <w:p>
      <w:pPr>
        <w:pStyle w:val="TextBody"/>
        <w:bidi w:val="0"/>
        <w:jc w:val="center"/>
        <w:rPr>
          <w:rFonts w:ascii="Times New Roman" w:hAnsi="Times New Roman"/>
          <w:b/>
          <w:color w:val="000000"/>
          <w:sz w:val="20"/>
        </w:rPr>
      </w:pPr>
      <w:r>
        <w:rPr>
          <w:rFonts w:ascii="Times New Roman" w:hAnsi="Times New Roman"/>
          <w:b/>
          <w:color w:val="000000"/>
          <w:sz w:val="20"/>
        </w:rPr>
        <w:t>U.S. BANK TRUST COMPANY, NATIONAL ASSOCIATION,</w:t>
      </w:r>
    </w:p>
    <w:p>
      <w:pPr>
        <w:pStyle w:val="TextBody"/>
        <w:bidi w:val="0"/>
        <w:jc w:val="center"/>
        <w:rPr>
          <w:rFonts w:ascii="Times New Roman" w:hAnsi="Times New Roman"/>
          <w:b/>
          <w:color w:val="000000"/>
          <w:sz w:val="20"/>
        </w:rPr>
      </w:pPr>
      <w:r>
        <w:rPr>
          <w:rFonts w:ascii="Times New Roman" w:hAnsi="Times New Roman"/>
          <w:b/>
          <w:color w:val="000000"/>
          <w:sz w:val="20"/>
        </w:rPr>
        <w:t>as Trustee</w:t>
      </w:r>
    </w:p>
    <w:p>
      <w:pPr>
        <w:pStyle w:val="TextBody"/>
        <w:bidi w:val="0"/>
        <w:jc w:val="center"/>
        <w:rPr>
          <w:rFonts w:ascii="Times New Roman" w:hAnsi="Times New Roman"/>
          <w:b/>
          <w:color w:val="000000"/>
          <w:sz w:val="20"/>
        </w:rPr>
      </w:pPr>
      <w:r>
        <w:rPr>
          <w:rFonts w:ascii="Times New Roman" w:hAnsi="Times New Roman"/>
          <w:b/>
          <w:color w:val="000000"/>
          <w:sz w:val="20"/>
        </w:rPr>
        <w:t>Dated as of October 1, 2026</w:t>
      </w:r>
    </w:p>
    <w:p>
      <w:pPr>
        <w:pStyle w:val="TextBody"/>
        <w:bidi w:val="0"/>
        <w:jc w:val="center"/>
        <w:rPr>
          <w:rFonts w:ascii="Times New Roman" w:hAnsi="Times New Roman"/>
          <w:b/>
          <w:color w:val="000000"/>
          <w:sz w:val="20"/>
        </w:rPr>
      </w:pPr>
      <w:r>
        <w:rPr>
          <w:rFonts w:ascii="Times New Roman" w:hAnsi="Times New Roman"/>
          <w:b/>
          <w:color w:val="000000"/>
          <w:sz w:val="20"/>
        </w:rPr>
        <w:t>FIFTH SUPPLEMENTAL INDENTURE</w:t>
      </w:r>
    </w:p>
    <w:p>
      <w:pPr>
        <w:pStyle w:val="TextBody"/>
        <w:bidi w:val="0"/>
        <w:jc w:val="both"/>
        <w:rPr>
          <w:rFonts w:ascii="Times New Roman" w:hAnsi="Times New Roman"/>
          <w:sz w:val="20"/>
        </w:rPr>
      </w:pPr>
      <w:r>
        <w:rPr>
          <w:rFonts w:ascii="Times New Roman" w:hAnsi="Times New Roman"/>
          <w:color w:val="000000"/>
          <w:sz w:val="20"/>
        </w:rPr>
        <w:t>THIS FIFTH SUPPLEMENTAL INDENTURE (this “</w:t>
      </w:r>
      <w:r>
        <w:rPr>
          <w:rFonts w:ascii="Times New Roman" w:hAnsi="Times New Roman"/>
          <w:color w:val="000000"/>
          <w:sz w:val="20"/>
          <w:u w:val="single"/>
        </w:rPr>
        <w:t>Fifth Supplemental Indenture</w:t>
      </w:r>
      <w:r>
        <w:rPr>
          <w:rFonts w:ascii="Times New Roman" w:hAnsi="Times New Roman"/>
          <w:color w:val="000000"/>
          <w:sz w:val="20"/>
        </w:rPr>
        <w:t>”), dated as of October 1, 2026, is between Runway Growth Finance Corp., a Maryland corporation (the “</w:t>
      </w:r>
      <w:r>
        <w:rPr>
          <w:rFonts w:ascii="Times New Roman" w:hAnsi="Times New Roman"/>
          <w:color w:val="000000"/>
          <w:sz w:val="20"/>
          <w:u w:val="single"/>
        </w:rPr>
        <w:t>Company</w:t>
      </w:r>
      <w:r>
        <w:rPr>
          <w:rFonts w:ascii="Times New Roman" w:hAnsi="Times New Roman"/>
          <w:color w:val="000000"/>
          <w:sz w:val="20"/>
        </w:rPr>
        <w:t>”), and U.S. Bank Trust Company, National Association, as trustee (the “</w:t>
      </w:r>
      <w:r>
        <w:rPr>
          <w:rFonts w:ascii="Times New Roman" w:hAnsi="Times New Roman"/>
          <w:color w:val="000000"/>
          <w:sz w:val="20"/>
          <w:u w:val="single"/>
        </w:rPr>
        <w:t>Trustee</w:t>
      </w:r>
      <w:r>
        <w:rPr>
          <w:rFonts w:ascii="Times New Roman" w:hAnsi="Times New Roman"/>
          <w:color w:val="000000"/>
          <w:sz w:val="20"/>
        </w:rPr>
        <w:t>”). All capitalized terms used herein shall have the meaning set forth in the Base Indenture (as defined below).</w:t>
      </w:r>
    </w:p>
    <w:p>
      <w:pPr>
        <w:pStyle w:val="TextBody"/>
        <w:bidi w:val="0"/>
        <w:jc w:val="center"/>
        <w:rPr>
          <w:rFonts w:ascii="Times New Roman" w:hAnsi="Times New Roman"/>
          <w:b/>
          <w:color w:val="000000"/>
          <w:sz w:val="20"/>
        </w:rPr>
      </w:pPr>
      <w:r>
        <w:rPr>
          <w:rFonts w:ascii="Times New Roman" w:hAnsi="Times New Roman"/>
          <w:b/>
          <w:color w:val="000000"/>
          <w:sz w:val="20"/>
        </w:rPr>
        <w:t>RECITALS OF THE COMPANY</w:t>
      </w:r>
    </w:p>
    <w:p>
      <w:pPr>
        <w:pStyle w:val="TextBody"/>
        <w:bidi w:val="0"/>
        <w:jc w:val="both"/>
        <w:rPr>
          <w:rFonts w:ascii="Times New Roman" w:hAnsi="Times New Roman"/>
          <w:sz w:val="20"/>
        </w:rPr>
      </w:pPr>
      <w:r>
        <w:rPr>
          <w:rFonts w:ascii="Times New Roman" w:hAnsi="Times New Roman"/>
          <w:color w:val="000000"/>
          <w:sz w:val="20"/>
        </w:rPr>
        <w:t>The Company and the Trustee executed and delivered an Indenture, dated as of July 28, 2022 (the “</w:t>
      </w:r>
      <w:r>
        <w:rPr>
          <w:rFonts w:ascii="Times New Roman" w:hAnsi="Times New Roman"/>
          <w:color w:val="000000"/>
          <w:sz w:val="20"/>
          <w:u w:val="single"/>
        </w:rPr>
        <w:t>Base Indenture</w:t>
      </w:r>
      <w:r>
        <w:rPr>
          <w:rFonts w:ascii="Times New Roman" w:hAnsi="Times New Roman"/>
          <w:color w:val="000000"/>
          <w:sz w:val="20"/>
        </w:rPr>
        <w:t>” and, as supplemented by this Fifth Supplemental Indenture, the “</w:t>
      </w:r>
      <w:r>
        <w:rPr>
          <w:rFonts w:ascii="Times New Roman" w:hAnsi="Times New Roman"/>
          <w:color w:val="000000"/>
          <w:sz w:val="20"/>
          <w:u w:val="single"/>
        </w:rPr>
        <w:t>Indenture</w:t>
      </w:r>
      <w:r>
        <w:rPr>
          <w:rFonts w:ascii="Times New Roman" w:hAnsi="Times New Roman"/>
          <w:color w:val="000000"/>
          <w:sz w:val="20"/>
        </w:rPr>
        <w:t>”), to provide for the issuance by the Company from time to time of the Company’s unsecured debentures, notes or other evidences of indebtedness (the “</w:t>
      </w:r>
      <w:r>
        <w:rPr>
          <w:rFonts w:ascii="Times New Roman" w:hAnsi="Times New Roman"/>
          <w:color w:val="000000"/>
          <w:sz w:val="20"/>
          <w:u w:val="single"/>
        </w:rPr>
        <w:t>Securities</w:t>
      </w:r>
      <w:r>
        <w:rPr>
          <w:rFonts w:ascii="Times New Roman" w:hAnsi="Times New Roman"/>
          <w:color w:val="000000"/>
          <w:sz w:val="20"/>
        </w:rPr>
        <w:t>”), to be issued in one or more series as provided in the Base Indenture.</w:t>
      </w:r>
    </w:p>
    <w:p>
      <w:pPr>
        <w:pStyle w:val="TextBody"/>
        <w:bidi w:val="0"/>
        <w:jc w:val="both"/>
        <w:rPr>
          <w:rFonts w:ascii="Times New Roman" w:hAnsi="Times New Roman"/>
          <w:sz w:val="20"/>
        </w:rPr>
      </w:pPr>
      <w:r>
        <w:rPr>
          <w:rFonts w:ascii="Times New Roman" w:hAnsi="Times New Roman"/>
          <w:color w:val="000000"/>
          <w:sz w:val="20"/>
        </w:rPr>
        <w:t>The Company desires to initially issue and sell up to $45,000,000 aggregate principal amount (or up to $51,750,000 aggregate principal amount if the underwriters’ overallotment option to purchase additional October 2031 Notes (as defined herein) is exercised in full) of the Company’s 7.75% Notes due 2031 (the “</w:t>
      </w:r>
      <w:r>
        <w:rPr>
          <w:rFonts w:ascii="Times New Roman" w:hAnsi="Times New Roman"/>
          <w:color w:val="000000"/>
          <w:sz w:val="20"/>
          <w:u w:val="single"/>
        </w:rPr>
        <w:t>October 2031 Notes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Sections 901(4) and 901(6)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pStyle w:val="TextBody"/>
        <w:bidi w:val="0"/>
        <w:jc w:val="both"/>
        <w:rPr>
          <w:rFonts w:ascii="Times New Roman" w:hAnsi="Times New Roman"/>
          <w:sz w:val="20"/>
        </w:rPr>
      </w:pPr>
      <w:r>
        <w:rPr>
          <w:rFonts w:ascii="Times New Roman" w:hAnsi="Times New Roman"/>
          <w:color w:val="000000"/>
          <w:sz w:val="20"/>
        </w:rPr>
        <w:t>The Company desires to establish the form and terms of the October 2031 Notes and to modify, alter, supplement and change certain provisions of the Base Indenture for the benefit of the Holders of the October 2031 Notes (except as may be provided in a future supplemental indenture to the Indenture (“</w:t>
      </w:r>
      <w:r>
        <w:rPr>
          <w:rFonts w:ascii="Times New Roman" w:hAnsi="Times New Roman"/>
          <w:color w:val="000000"/>
          <w:sz w:val="20"/>
          <w:u w:val="single"/>
        </w:rPr>
        <w:t>Future Supplemental Indenture</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The Company has duly authorized the execution and delivery of this Fifth Supplemental Indenture to provide for the issuance of the October 2031 Notes and all acts and things necessary to make this Fifth Supplemental Indenture a valid, binding, and legal obligation of the Company and to constitute a valid agreement of the Company, in accordance with its terms, have been done and performed.</w:t>
      </w:r>
    </w:p>
    <w:p>
      <w:pPr>
        <w:pStyle w:val="TextBody"/>
        <w:bidi w:val="0"/>
        <w:jc w:val="both"/>
        <w:rPr>
          <w:rFonts w:ascii="Times New Roman" w:hAnsi="Times New Roman"/>
          <w:color w:val="000000"/>
          <w:sz w:val="20"/>
        </w:rPr>
      </w:pPr>
      <w:r>
        <w:rPr>
          <w:rFonts w:ascii="Times New Roman" w:hAnsi="Times New Roman"/>
          <w:color w:val="000000"/>
          <w:sz w:val="20"/>
        </w:rPr>
        <w:t>NOW, THEREFORE, THIS INDENTURE WITNESSETH:</w:t>
      </w:r>
    </w:p>
    <w:p>
      <w:pPr>
        <w:pStyle w:val="TextBody"/>
        <w:bidi w:val="0"/>
        <w:jc w:val="both"/>
        <w:rPr>
          <w:rFonts w:ascii="Times New Roman" w:hAnsi="Times New Roman"/>
          <w:color w:val="000000"/>
          <w:sz w:val="20"/>
        </w:rPr>
      </w:pPr>
      <w:r>
        <w:rPr>
          <w:rFonts w:ascii="Times New Roman" w:hAnsi="Times New Roman"/>
          <w:color w:val="000000"/>
          <w:sz w:val="20"/>
        </w:rPr>
        <w:t>For and in consideration of the premises and the purchase of the October 2031 Notes by the Holders thereof, it is mutually agreed, for the equal and proportionate benefit of all Holders of the October 2031 Notes, as follows: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I</w:t>
        <w:br/>
        <w:t>TERMS OF THE OCTOBER 2031 NOTES</w:t>
      </w:r>
    </w:p>
    <w:p>
      <w:pPr>
        <w:pStyle w:val="TextBody"/>
        <w:bidi w:val="0"/>
        <w:jc w:val="both"/>
        <w:rPr>
          <w:rFonts w:ascii="Times New Roman" w:hAnsi="Times New Roman"/>
          <w:sz w:val="20"/>
        </w:rPr>
      </w:pPr>
      <w:r>
        <w:rPr>
          <w:rFonts w:ascii="Times New Roman" w:hAnsi="Times New Roman"/>
          <w:b/>
          <w:color w:val="000000"/>
          <w:sz w:val="20"/>
        </w:rPr>
        <w:t>Section 101</w:t>
      </w:r>
      <w:r>
        <w:rPr>
          <w:rFonts w:ascii="Times New Roman" w:hAnsi="Times New Roman"/>
          <w:color w:val="000000"/>
          <w:sz w:val="20"/>
        </w:rPr>
        <w:t xml:space="preserve">. </w:t>
      </w:r>
      <w:r>
        <w:rPr>
          <w:rFonts w:ascii="Times New Roman" w:hAnsi="Times New Roman"/>
          <w:color w:val="000000"/>
          <w:sz w:val="20"/>
          <w:u w:val="single"/>
        </w:rPr>
        <w:t>Terms of the October 2031 Notes.</w:t>
      </w:r>
      <w:r>
        <w:rPr>
          <w:rFonts w:ascii="Times New Roman" w:hAnsi="Times New Roman"/>
          <w:color w:val="000000"/>
          <w:sz w:val="20"/>
        </w:rPr>
        <w:t xml:space="preserve"> The following terms relating to the October 2031 Notes are hereby established:</w:t>
      </w:r>
    </w:p>
    <w:p>
      <w:pPr>
        <w:pStyle w:val="TextBody"/>
        <w:bidi w:val="0"/>
        <w:jc w:val="both"/>
        <w:rPr>
          <w:rFonts w:ascii="Times New Roman" w:hAnsi="Times New Roman"/>
          <w:color w:val="000000"/>
          <w:sz w:val="20"/>
        </w:rPr>
      </w:pPr>
      <w:r>
        <w:rPr>
          <w:rFonts w:ascii="Times New Roman" w:hAnsi="Times New Roman"/>
          <w:color w:val="000000"/>
          <w:sz w:val="20"/>
        </w:rPr>
        <w:t>(a) The October 2031 Notes shall constitute a series of Securities having the title “7.75% Notes due 2031” and shall be designated as “Senior Securities” under the Indenture. The October 2031 Notes shall bear a CUSIP number of 78163D 506 and an ISIN number of US78163D5068.</w:t>
      </w:r>
    </w:p>
    <w:p>
      <w:pPr>
        <w:pStyle w:val="TextBody"/>
        <w:bidi w:val="0"/>
        <w:jc w:val="both"/>
        <w:rPr>
          <w:rFonts w:ascii="Times New Roman" w:hAnsi="Times New Roman"/>
          <w:sz w:val="20"/>
        </w:rPr>
      </w:pPr>
      <w:r>
        <w:rPr>
          <w:rFonts w:ascii="Times New Roman" w:hAnsi="Times New Roman"/>
          <w:color w:val="000000"/>
          <w:sz w:val="20"/>
        </w:rPr>
        <w:t>(b) The aggregate principal amount of the October 2031 Notes that may be initially authenticated and delivered under the Indenture (except for October 2031 Notes authenticated and delivered upon registration of, transfer of, or in exchange for, or in lieu of, other October 2031 Notes pursuant to Sections 304, 305, 306, 906 or 1107 of the Base Indenture) shall be $45,000,000 aggregate principal amount (or up to $51,750,000 aggregate principal amount if the underwriters’ overallotment option to purchase additional October 2031 Notes is exercised in full). Under a Board Resolution, an Officers’ Certificate pursuant to Board Resolutions or a Future Supplemental Indenture, the Company may from time to time, without the consent of the Holders of October 2031 Notes, issue additional October 2031 Notes (in any such case, “</w:t>
      </w:r>
      <w:r>
        <w:rPr>
          <w:rFonts w:ascii="Times New Roman" w:hAnsi="Times New Roman"/>
          <w:color w:val="000000"/>
          <w:sz w:val="20"/>
          <w:u w:val="single"/>
        </w:rPr>
        <w:t>Additional Notes</w:t>
      </w:r>
      <w:r>
        <w:rPr>
          <w:rFonts w:ascii="Times New Roman" w:hAnsi="Times New Roman"/>
          <w:color w:val="000000"/>
          <w:sz w:val="20"/>
        </w:rPr>
        <w:t>”) having the same ranking and the same interest rate, maturity and other terms as the October 2031 Notes initially issued. Any Additional Notes and the existing October 2031 Notes shall constitute a single series under the Indenture, and all references to the relevant October 2031 Notes herein shall include the Additional Notes unless the context otherwise requires.</w:t>
      </w:r>
    </w:p>
    <w:p>
      <w:pPr>
        <w:pStyle w:val="TextBody"/>
        <w:bidi w:val="0"/>
        <w:jc w:val="both"/>
        <w:rPr>
          <w:rFonts w:ascii="Times New Roman" w:hAnsi="Times New Roman"/>
          <w:color w:val="000000"/>
          <w:sz w:val="20"/>
        </w:rPr>
      </w:pPr>
      <w:r>
        <w:rPr>
          <w:rFonts w:ascii="Times New Roman" w:hAnsi="Times New Roman"/>
          <w:color w:val="000000"/>
          <w:sz w:val="20"/>
        </w:rPr>
        <w:t>(c) The entire outstanding principal of the October 2031 Notes shall be payable on October 1, 2031 unless earlier redeemed or repurchased in accordance with the provisions of the Indenture.</w:t>
      </w:r>
    </w:p>
    <w:p>
      <w:pPr>
        <w:pStyle w:val="TextBody"/>
        <w:bidi w:val="0"/>
        <w:jc w:val="both"/>
        <w:rPr>
          <w:rFonts w:ascii="Times New Roman" w:hAnsi="Times New Roman"/>
          <w:sz w:val="18"/>
        </w:rPr>
      </w:pPr>
      <w:r>
        <w:rPr>
          <w:rFonts w:ascii="Times New Roman" w:hAnsi="Times New Roman"/>
          <w:color w:val="000000"/>
          <w:sz w:val="20"/>
        </w:rPr>
        <w:t>(d) The rate at which the October 2031 Notes shall bear interest shall be 7.75% per annum. The date from which interest shall accrue on the October 2031 Notes shall be October 1, 2026, or the most recent Interest Payment Date to which interest has been paid or provided for; the Interest Payment Dates for the October 2031 Notes shall be March 1, June 1, September 1</w:t>
      </w:r>
      <w:r>
        <w:rPr>
          <w:rFonts w:ascii="Times New Roman" w:hAnsi="Times New Roman"/>
          <w:color w:val="000000"/>
          <w:sz w:val="18"/>
        </w:rPr>
        <w:t xml:space="preserve"> </w:t>
      </w:r>
      <w:r>
        <w:rPr>
          <w:rFonts w:ascii="Times New Roman" w:hAnsi="Times New Roman"/>
          <w:color w:val="000000"/>
          <w:sz w:val="20"/>
        </w:rPr>
        <w:t>and December 1 of each year, commencing December 1, 2026 (</w:t>
      </w:r>
      <w:r>
        <w:rPr>
          <w:rFonts w:ascii="Times New Roman" w:hAnsi="Times New Roman"/>
          <w:i/>
          <w:color w:val="000000"/>
          <w:sz w:val="20"/>
        </w:rPr>
        <w:t>provided that</w:t>
      </w:r>
      <w:r>
        <w:rPr>
          <w:rFonts w:ascii="Times New Roman" w:hAnsi="Times New Roman"/>
          <w:color w:val="000000"/>
          <w:sz w:val="20"/>
        </w:rPr>
        <w:t xml:space="preserve">, if an Interest Payment Date falls on a day that is not a Business Day, then the applicable interest payment shall be made on the next succeeding Business Day, and no additional interest shall accrue as a result of such delayed payment); the initial interest period shall be the period from and including October 1, 2026 (or the most recent Interest Payment Date to which interest has been paid or provided for), to, but excluding, the initial Interest Payment Date, and the subsequent interest periods shall be the periods from and including an Interest Payment Date to, but excluding, the next Interest Payment Date or the Stated Maturity, as the case may be; the interest so payable, and punctually paid or duly provided for, on any Interest Payment Date, shall be paid to the Person in whose name the October 2031 Note (or one or more predecessor October 2031 Notes) is registered at the close of business on the Regular Record Date for such interest, which shall be February 15, May 15, August 15 and November 15 (whether or not a Business Day), as the case may be, next preceding such Interest Payment Date. Payment of principal of (and premium, if any) and any such interest on the October 2031 Notes shall be made at Corporate Trust Office of the Trustee located at 111 Fillmore Avenue, St. Paul, MN 55107, Attention: Runway Growth Finance Corp. (7.75% Notes Due 2031) and at such other address as designated by the Trustee from time to time, in such coin or currency of the United States of America as at the time of payment is legal tender for payment of public and private debts; </w:t>
      </w:r>
      <w:r>
        <w:rPr>
          <w:rFonts w:ascii="Times New Roman" w:hAnsi="Times New Roman"/>
          <w:i/>
          <w:color w:val="000000"/>
          <w:sz w:val="20"/>
        </w:rPr>
        <w:t>provided, however</w:t>
      </w:r>
      <w:r>
        <w:rPr>
          <w:rFonts w:ascii="Times New Roman" w:hAnsi="Times New Roman"/>
          <w:color w:val="000000"/>
          <w:sz w:val="20"/>
        </w:rPr>
        <w:t xml:space="preserve">, that, at the option of the Company, payment of interest may be made by check mailed to the address of the Person entitled thereto as such address shall appear in the Security Register; </w:t>
      </w:r>
      <w:r>
        <w:rPr>
          <w:rFonts w:ascii="Times New Roman" w:hAnsi="Times New Roman"/>
          <w:i/>
          <w:color w:val="000000"/>
          <w:sz w:val="20"/>
        </w:rPr>
        <w:t>provided further, however</w:t>
      </w:r>
      <w:r>
        <w:rPr>
          <w:rFonts w:ascii="Times New Roman" w:hAnsi="Times New Roman"/>
          <w:color w:val="000000"/>
          <w:sz w:val="20"/>
        </w:rPr>
        <w:t>, that so long as the October 2031 Notes are registered to Cede &amp; Co., such payment will be made by wire transfer in accordance with the procedures established by The Depository Trust Company and the Trustee. Interest on the October 2031 Notes shall be computed on the basis of a 360-day year of twelve 30-day months.</w:t>
      </w:r>
    </w:p>
    <w:p>
      <w:pPr>
        <w:pStyle w:val="TextBody"/>
        <w:bidi w:val="0"/>
        <w:jc w:val="both"/>
        <w:rPr>
          <w:rFonts w:ascii="Times New Roman" w:hAnsi="Times New Roman"/>
          <w:sz w:val="20"/>
        </w:rPr>
      </w:pPr>
      <w:r>
        <w:rPr>
          <w:rFonts w:ascii="Times New Roman" w:hAnsi="Times New Roman"/>
          <w:color w:val="000000"/>
          <w:sz w:val="20"/>
        </w:rPr>
        <w:t>(e) The October 2031 Notes shall be initially issuable in global form (each such October 2031 Note, a “</w:t>
      </w:r>
      <w:r>
        <w:rPr>
          <w:rFonts w:ascii="Times New Roman" w:hAnsi="Times New Roman"/>
          <w:color w:val="000000"/>
          <w:sz w:val="20"/>
          <w:u w:val="single"/>
        </w:rPr>
        <w:t>Global Note</w:t>
      </w:r>
      <w:r>
        <w:rPr>
          <w:rFonts w:ascii="Times New Roman" w:hAnsi="Times New Roman"/>
          <w:color w:val="000000"/>
          <w:sz w:val="20"/>
        </w:rPr>
        <w:t xml:space="preserve">”). The Global Notes and the Trustee’s certificate of authentication thereon shall be substantially in the form of </w:t>
      </w:r>
      <w:r>
        <w:rPr>
          <w:rFonts w:ascii="Times New Roman" w:hAnsi="Times New Roman"/>
          <w:color w:val="000000"/>
          <w:sz w:val="20"/>
          <w:u w:val="single"/>
        </w:rPr>
        <w:t>Exhibit A</w:t>
      </w:r>
      <w:r>
        <w:rPr>
          <w:rFonts w:ascii="Times New Roman" w:hAnsi="Times New Roman"/>
          <w:color w:val="000000"/>
          <w:sz w:val="20"/>
        </w:rPr>
        <w:t xml:space="preserve"> to this Fifth Supplemental Indenture. Each Global Note shall represent the outstanding October 2031 Notes as shall be specified therein and each shall provide that it shall represent the aggregate amount of outstanding October 2031 Notes from time to time endorsed thereon and that the aggregate amount of outstanding October 2031 Notes represented thereby may from time to time be reduced or increased, as appropriate, to reflect exchanges and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redemptions. Any endorsement of a Global Note to reflect the amount of any increase or decrease in the amount of outstanding October 2031 Notes represented thereby shall be made by the Trustee or the Security Registrar, in accordance with Sections 203 and 305 of the Base Indenture.</w:t>
      </w:r>
    </w:p>
    <w:p>
      <w:pPr>
        <w:pStyle w:val="TextBody"/>
        <w:bidi w:val="0"/>
        <w:jc w:val="both"/>
        <w:rPr>
          <w:rFonts w:ascii="Times New Roman" w:hAnsi="Times New Roman"/>
          <w:sz w:val="20"/>
        </w:rPr>
      </w:pPr>
      <w:r>
        <w:rPr>
          <w:rFonts w:ascii="Times New Roman" w:hAnsi="Times New Roman"/>
          <w:color w:val="000000"/>
          <w:sz w:val="20"/>
        </w:rPr>
        <w:t>(f) The depositary for such Global Notes (the “</w:t>
      </w:r>
      <w:r>
        <w:rPr>
          <w:rFonts w:ascii="Times New Roman" w:hAnsi="Times New Roman"/>
          <w:color w:val="000000"/>
          <w:sz w:val="20"/>
          <w:u w:val="single"/>
        </w:rPr>
        <w:t>Depositary</w:t>
      </w:r>
      <w:r>
        <w:rPr>
          <w:rFonts w:ascii="Times New Roman" w:hAnsi="Times New Roman"/>
          <w:color w:val="000000"/>
          <w:sz w:val="20"/>
        </w:rPr>
        <w:t>”) shall be The Depository Trust Company, New York, New York. The Security Registrar with respect to the Global Notes shall be the Trustee.</w:t>
      </w:r>
    </w:p>
    <w:p>
      <w:pPr>
        <w:pStyle w:val="TextBody"/>
        <w:bidi w:val="0"/>
        <w:jc w:val="both"/>
        <w:rPr>
          <w:rFonts w:ascii="Times New Roman" w:hAnsi="Times New Roman"/>
          <w:color w:val="000000"/>
          <w:sz w:val="20"/>
        </w:rPr>
      </w:pPr>
      <w:r>
        <w:rPr>
          <w:rFonts w:ascii="Times New Roman" w:hAnsi="Times New Roman"/>
          <w:color w:val="000000"/>
          <w:sz w:val="20"/>
        </w:rPr>
        <w:t>(g) The October 2031 Notes shall be defeasible pursuant to Section 1402 or Section 1403 of the Base Indenture. Covenant defeasance contained in Section 1403 of the Base Indenture shall apply to the covenants contained in Sections 1007 and 1008 of the Base Indenture.</w:t>
      </w:r>
    </w:p>
    <w:p>
      <w:pPr>
        <w:pStyle w:val="TextBody"/>
        <w:bidi w:val="0"/>
        <w:jc w:val="both"/>
        <w:rPr>
          <w:rFonts w:ascii="Times New Roman" w:hAnsi="Times New Roman"/>
          <w:color w:val="000000"/>
          <w:sz w:val="20"/>
        </w:rPr>
      </w:pPr>
      <w:r>
        <w:rPr>
          <w:rFonts w:ascii="Times New Roman" w:hAnsi="Times New Roman"/>
          <w:color w:val="000000"/>
          <w:sz w:val="20"/>
        </w:rPr>
        <w:t>(h) The October 2031 Notes shall be redeemable pursuant to Section 1101 of the Base Indenture and as follows:</w:t>
      </w:r>
    </w:p>
    <w:p>
      <w:pPr>
        <w:pStyle w:val="TextBody"/>
        <w:bidi w:val="0"/>
        <w:jc w:val="both"/>
        <w:rPr>
          <w:rFonts w:ascii="Times New Roman" w:hAnsi="Times New Roman"/>
          <w:color w:val="000000"/>
          <w:sz w:val="20"/>
        </w:rPr>
      </w:pPr>
      <w:r>
        <w:rPr>
          <w:rFonts w:ascii="Times New Roman" w:hAnsi="Times New Roman"/>
          <w:color w:val="000000"/>
          <w:sz w:val="20"/>
        </w:rPr>
        <w:t>(i) The October 2031 Notes shall be redeemable in whole or in part at any time or from time to time, at the option of the Company, on or after October 1, 2028, at a redemption price of $25 per October 2031 Note plus accrued and unpaid interest payments otherwise payable for the then-current quarterly interest period accrued to, but excluding, the date fixed for redemption.</w:t>
      </w:r>
    </w:p>
    <w:p>
      <w:pPr>
        <w:pStyle w:val="TextBody"/>
        <w:bidi w:val="0"/>
        <w:jc w:val="both"/>
        <w:rPr>
          <w:rFonts w:ascii="Times New Roman" w:hAnsi="Times New Roman"/>
          <w:color w:val="000000"/>
          <w:sz w:val="20"/>
        </w:rPr>
      </w:pPr>
      <w:r>
        <w:rPr>
          <w:rFonts w:ascii="Times New Roman" w:hAnsi="Times New Roman"/>
          <w:color w:val="000000"/>
          <w:sz w:val="20"/>
        </w:rPr>
        <w:t>(ii) Notice of redemption shall be given in writing and mailed, first-class postage prepaid, by overnight courier guaranteeing next-day delivery or sent electronically in accordance with the applicable procedures of DTC with respect to the October 2031 Notes in global form, to each Holder of the October 2031 Notes to be redeemed, not less than thirty (30) nor more than sixty (60) days prior to the Redemption Date, at the Holder’s address, facsimile number or email address appearing in the Security Register. All notices of redemption shall contain the information set forth in Section 1104 of the Base Indenture.</w:t>
      </w:r>
    </w:p>
    <w:p>
      <w:pPr>
        <w:pStyle w:val="TextBody"/>
        <w:bidi w:val="0"/>
        <w:jc w:val="both"/>
        <w:rPr>
          <w:rFonts w:ascii="Times New Roman" w:hAnsi="Times New Roman"/>
          <w:color w:val="000000"/>
          <w:sz w:val="20"/>
        </w:rPr>
      </w:pPr>
      <w:r>
        <w:rPr>
          <w:rFonts w:ascii="Times New Roman" w:hAnsi="Times New Roman"/>
          <w:color w:val="000000"/>
          <w:sz w:val="20"/>
        </w:rPr>
        <w:t>(iii) Any exercise of the Company’s option to redeem the October 2031 Notes shall be done in compliance with the Investment Company Act.</w:t>
      </w:r>
    </w:p>
    <w:p>
      <w:pPr>
        <w:pStyle w:val="TextBody"/>
        <w:bidi w:val="0"/>
        <w:jc w:val="both"/>
        <w:rPr>
          <w:rFonts w:ascii="Times New Roman" w:hAnsi="Times New Roman"/>
          <w:color w:val="000000"/>
          <w:sz w:val="20"/>
        </w:rPr>
      </w:pPr>
      <w:r>
        <w:rPr>
          <w:rFonts w:ascii="Times New Roman" w:hAnsi="Times New Roman"/>
          <w:color w:val="000000"/>
          <w:sz w:val="20"/>
        </w:rPr>
        <w:t>(iv) If the Company elects to redeem only a portion of the October 2031 Notes, the Trustee shall determine the method for selecting the particular October 2031 Notes to be redeemed, in accordance with Section 1103 of the Base Indenture and the Investment Company Act.</w:t>
      </w:r>
    </w:p>
    <w:p>
      <w:pPr>
        <w:pStyle w:val="TextBody"/>
        <w:bidi w:val="0"/>
        <w:jc w:val="both"/>
        <w:rPr>
          <w:rFonts w:ascii="Times New Roman" w:hAnsi="Times New Roman"/>
          <w:color w:val="000000"/>
          <w:sz w:val="20"/>
        </w:rPr>
      </w:pPr>
      <w:r>
        <w:rPr>
          <w:rFonts w:ascii="Times New Roman" w:hAnsi="Times New Roman"/>
          <w:color w:val="000000"/>
          <w:sz w:val="20"/>
        </w:rPr>
        <w:t>(v) Unless the Company defaults in payment of the Redemption Price, on and after the Redemption Date, interest shall cease to accrue on the October 2031 Notes called for redemption hereunder.</w:t>
      </w:r>
    </w:p>
    <w:p>
      <w:pPr>
        <w:pStyle w:val="TextBody"/>
        <w:bidi w:val="0"/>
        <w:jc w:val="both"/>
        <w:rPr>
          <w:rFonts w:ascii="Times New Roman" w:hAnsi="Times New Roman"/>
          <w:color w:val="000000"/>
          <w:sz w:val="20"/>
        </w:rPr>
      </w:pPr>
      <w:r>
        <w:rPr>
          <w:rFonts w:ascii="Times New Roman" w:hAnsi="Times New Roman"/>
          <w:color w:val="000000"/>
          <w:sz w:val="20"/>
        </w:rPr>
        <w:t>(i) The October 2031 Notes shall not be subject to any sinking fund pursuant to Section 1201 of the Base Indenture.</w:t>
      </w:r>
    </w:p>
    <w:p>
      <w:pPr>
        <w:pStyle w:val="TextBody"/>
        <w:bidi w:val="0"/>
        <w:jc w:val="both"/>
        <w:rPr>
          <w:rFonts w:ascii="Times New Roman" w:hAnsi="Times New Roman"/>
          <w:color w:val="000000"/>
          <w:sz w:val="20"/>
        </w:rPr>
      </w:pPr>
      <w:r>
        <w:rPr>
          <w:rFonts w:ascii="Times New Roman" w:hAnsi="Times New Roman"/>
          <w:color w:val="000000"/>
          <w:sz w:val="20"/>
        </w:rPr>
        <w:t>(j) The October 2031 Notes shall be issuable in denominations of $25 and integral multiples of $25 in excess thereof.</w:t>
      </w:r>
    </w:p>
    <w:p>
      <w:pPr>
        <w:pStyle w:val="TextBody"/>
        <w:bidi w:val="0"/>
        <w:jc w:val="both"/>
        <w:rPr>
          <w:rFonts w:ascii="Times New Roman" w:hAnsi="Times New Roman"/>
          <w:color w:val="000000"/>
          <w:sz w:val="20"/>
        </w:rPr>
      </w:pPr>
      <w:r>
        <w:rPr>
          <w:rFonts w:ascii="Times New Roman" w:hAnsi="Times New Roman"/>
          <w:color w:val="000000"/>
          <w:sz w:val="20"/>
        </w:rPr>
        <w:t>(k) Holders of the October 2031 Notes shall not have the option to have the October 2031 Notes repaid prior to the Stated Maturity.</w:t>
      </w:r>
    </w:p>
    <w:p>
      <w:pPr>
        <w:pStyle w:val="TextBody"/>
        <w:bidi w:val="0"/>
        <w:jc w:val="center"/>
        <w:rPr>
          <w:rFonts w:ascii="Times New Roman" w:hAnsi="Times New Roman"/>
          <w:b/>
          <w:color w:val="000000"/>
          <w:sz w:val="20"/>
        </w:rPr>
      </w:pPr>
      <w:r>
        <w:rPr>
          <w:rFonts w:ascii="Times New Roman" w:hAnsi="Times New Roman"/>
          <w:b/>
          <w:color w:val="000000"/>
          <w:sz w:val="20"/>
        </w:rPr>
        <w:t>ARTICLE II</w:t>
        <w:br/>
        <w:t>DEFINITIONS AND OTHER PROVISIONS OF GENERAL APPLICATION</w:t>
      </w:r>
    </w:p>
    <w:p>
      <w:pPr>
        <w:pStyle w:val="TextBody"/>
        <w:bidi w:val="0"/>
        <w:jc w:val="both"/>
        <w:rPr>
          <w:rFonts w:ascii="Times New Roman" w:hAnsi="Times New Roman"/>
          <w:sz w:val="20"/>
        </w:rPr>
      </w:pPr>
      <w:r>
        <w:rPr>
          <w:rFonts w:ascii="Times New Roman" w:hAnsi="Times New Roman"/>
          <w:b/>
          <w:color w:val="000000"/>
          <w:sz w:val="20"/>
        </w:rPr>
        <w:t>Section 201.</w:t>
      </w:r>
      <w:r>
        <w:rPr>
          <w:rFonts w:ascii="Times New Roman" w:hAnsi="Times New Roman"/>
          <w:color w:val="000000"/>
          <w:sz w:val="20"/>
        </w:rPr>
        <w:t xml:space="preserve"> Except as may be provided in a Future Supplemental Indenture, for the benefit of the Holders of the October 2031 Notes but no other series of Securities under the Base Indenture, whether now or hereafter issued and Outstanding, Article One of the Base Indenture shall be amended by adding or amending and restating, as applicable, the following defined terms to Section 101 thereof in appropriate alphabetical sequence, as follows:</w:t>
      </w:r>
    </w:p>
    <w:p>
      <w:pPr>
        <w:pStyle w:val="TextBody"/>
        <w:bidi w:val="0"/>
        <w:jc w:val="both"/>
        <w:rPr/>
      </w:pPr>
      <w:r>
        <w:rPr>
          <w:color w:val="000000"/>
        </w:rPr>
        <w:t>“‘</w:t>
      </w:r>
      <w:r>
        <w:rPr>
          <w:rFonts w:ascii="Times New Roman" w:hAnsi="Times New Roman"/>
          <w:color w:val="000000"/>
          <w:sz w:val="20"/>
          <w:u w:val="single"/>
        </w:rPr>
        <w:t>Business Day</w:t>
      </w:r>
      <w:r>
        <w:rPr>
          <w:rFonts w:ascii="Times New Roman" w:hAnsi="Times New Roman"/>
          <w:color w:val="000000"/>
          <w:sz w:val="20"/>
        </w:rPr>
        <w:t xml:space="preserve">’, when used with respect to any Place of Payment or any other particular location referred to in this Indenture or in the Securities, means, each Monday, Tuesday, Wednesday, Thursday and Friday that is not a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day on which banking institutions in New York City, Chicago or the Place of Payment are authorized or obligated by law or executive order to close.”</w:t>
      </w:r>
    </w:p>
    <w:p>
      <w:pPr>
        <w:pStyle w:val="TextBody"/>
        <w:bidi w:val="0"/>
        <w:jc w:val="both"/>
        <w:rPr/>
      </w:pPr>
      <w:r>
        <w:rPr>
          <w:color w:val="000000"/>
        </w:rPr>
        <w:t>“‘</w:t>
      </w:r>
      <w:r>
        <w:rPr>
          <w:rFonts w:ascii="Times New Roman" w:hAnsi="Times New Roman"/>
          <w:color w:val="000000"/>
          <w:sz w:val="20"/>
          <w:u w:val="single"/>
        </w:rPr>
        <w:t>Corporate Trust Office</w:t>
      </w:r>
      <w:r>
        <w:rPr>
          <w:rFonts w:ascii="Times New Roman" w:hAnsi="Times New Roman"/>
          <w:color w:val="000000"/>
          <w:sz w:val="20"/>
        </w:rPr>
        <w:t>’ means the principal designated office of the Trustee at which at any time its corporate trust business shall be administered, which office at the date hereof is (i) solely for purposes of surrender for registration of transfer or exchange or for presentation for payment or repurchase or for conversion is located at 111 Fillmore Avenue, St. Paul, MN 55107, Attention: Runway Growth Finance Corp., and (ii) for all other purposes is located as One Federal Street, 10th Floor, Boston, MA 02110, Attention: Runway Growth Finance Corp., or such other address as the Trustee may designate from time to time by notice to the Holders and the Company, or the principal designated corporate trust office of any successor Trustee (or such other address as such successor Trustee may designate from time to time by notice to the Holders and the Company).”</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u w:val="single"/>
        </w:rPr>
        <w:t>Exchange Act</w:t>
      </w:r>
      <w:r>
        <w:rPr>
          <w:rFonts w:ascii="Times New Roman" w:hAnsi="Times New Roman"/>
          <w:color w:val="000000"/>
          <w:sz w:val="20"/>
        </w:rPr>
        <w:t>’ means the Securities Exchange Act of 1934, as amended, and any statute successor thereto.”</w:t>
      </w:r>
    </w:p>
    <w:p>
      <w:pPr>
        <w:pStyle w:val="TextBody"/>
        <w:bidi w:val="0"/>
        <w:jc w:val="both"/>
        <w:rPr/>
      </w:pPr>
      <w:r>
        <w:rPr>
          <w:color w:val="000000"/>
        </w:rPr>
        <w:t>“‘</w:t>
      </w:r>
      <w:r>
        <w:rPr>
          <w:rFonts w:ascii="Times New Roman" w:hAnsi="Times New Roman"/>
          <w:color w:val="000000"/>
          <w:sz w:val="20"/>
          <w:u w:val="single"/>
        </w:rPr>
        <w:t>FATCA</w:t>
      </w:r>
      <w:r>
        <w:rPr>
          <w:rFonts w:ascii="Times New Roman" w:hAnsi="Times New Roman"/>
          <w:color w:val="000000"/>
          <w:sz w:val="20"/>
        </w:rPr>
        <w:t>’ means Sections 1471 through 1474 of the Code (or any amended or successor version) and any current or future regulations or official interpretations thereof.”</w:t>
      </w:r>
    </w:p>
    <w:p>
      <w:pPr>
        <w:pStyle w:val="TextBody"/>
        <w:bidi w:val="0"/>
        <w:jc w:val="both"/>
        <w:rPr/>
      </w:pPr>
      <w:r>
        <w:rPr>
          <w:color w:val="000000"/>
        </w:rPr>
        <w:t>“‘</w:t>
      </w:r>
      <w:r>
        <w:rPr>
          <w:rFonts w:ascii="Times New Roman" w:hAnsi="Times New Roman"/>
          <w:color w:val="000000"/>
          <w:sz w:val="20"/>
          <w:u w:val="single"/>
        </w:rPr>
        <w:t>FATCA Withholding Tax</w:t>
      </w:r>
      <w:r>
        <w:rPr>
          <w:rFonts w:ascii="Times New Roman" w:hAnsi="Times New Roman"/>
          <w:color w:val="000000"/>
          <w:sz w:val="20"/>
        </w:rPr>
        <w:t>’ means any withholding or deduction pursuant to an agreement described in Section 1471(b) of the Code or otherwise imposed pursuant to FATCA.”</w:t>
      </w:r>
    </w:p>
    <w:p>
      <w:pPr>
        <w:pStyle w:val="TextBody"/>
        <w:bidi w:val="0"/>
        <w:jc w:val="both"/>
        <w:rPr/>
      </w:pPr>
      <w:r>
        <w:rPr>
          <w:color w:val="000000"/>
        </w:rPr>
        <w:t>“‘</w:t>
      </w:r>
      <w:r>
        <w:rPr>
          <w:rFonts w:ascii="Times New Roman" w:hAnsi="Times New Roman"/>
          <w:color w:val="000000"/>
          <w:sz w:val="20"/>
          <w:u w:val="single"/>
        </w:rPr>
        <w:t>GAAP</w:t>
      </w:r>
      <w:r>
        <w:rPr>
          <w:rFonts w:ascii="Times New Roman" w:hAnsi="Times New Roman"/>
          <w:color w:val="000000"/>
          <w:sz w:val="20"/>
        </w:rPr>
        <w:t>’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pStyle w:val="TextBody"/>
        <w:bidi w:val="0"/>
        <w:jc w:val="both"/>
        <w:rPr/>
      </w:pPr>
      <w:r>
        <w:rPr>
          <w:color w:val="000000"/>
        </w:rPr>
        <w:t>“‘</w:t>
      </w:r>
      <w:r>
        <w:rPr>
          <w:rFonts w:ascii="Times New Roman" w:hAnsi="Times New Roman"/>
          <w:color w:val="000000"/>
          <w:sz w:val="20"/>
          <w:u w:val="single"/>
        </w:rPr>
        <w:t>Investment Company Act</w:t>
      </w:r>
      <w:r>
        <w:rPr>
          <w:rFonts w:ascii="Times New Roman" w:hAnsi="Times New Roman"/>
          <w:color w:val="000000"/>
          <w:sz w:val="20"/>
        </w:rPr>
        <w:t>’ means the Investment Company Act of 1940, as amended, and the rules, regulations and interpretations promulgated thereunder, to the extent applicable, and any statute successor thereto.”</w:t>
      </w:r>
    </w:p>
    <w:p>
      <w:pPr>
        <w:pStyle w:val="TextBody"/>
        <w:bidi w:val="0"/>
        <w:jc w:val="both"/>
        <w:rPr/>
      </w:pPr>
      <w:r>
        <w:rPr>
          <w:color w:val="000000"/>
        </w:rPr>
        <w:t>“‘</w:t>
      </w:r>
      <w:r>
        <w:rPr>
          <w:rFonts w:ascii="Times New Roman" w:hAnsi="Times New Roman"/>
          <w:color w:val="000000"/>
          <w:sz w:val="20"/>
          <w:u w:val="single"/>
        </w:rPr>
        <w:t>Noteholder FATCA Information</w:t>
      </w:r>
      <w:r>
        <w:rPr>
          <w:rFonts w:ascii="Times New Roman" w:hAnsi="Times New Roman"/>
          <w:color w:val="000000"/>
          <w:sz w:val="20"/>
        </w:rPr>
        <w:t>’ means, with respect to any Holder of an October 2031 Note or Holder of an interest in an October 2031 Note, information sufficient to eliminate the imposition of, or determine the amount of, U.S. withholding tax under FATCA.”</w:t>
      </w:r>
    </w:p>
    <w:p>
      <w:pPr>
        <w:pStyle w:val="TextBody"/>
        <w:bidi w:val="0"/>
        <w:jc w:val="both"/>
        <w:rPr/>
      </w:pPr>
      <w:r>
        <w:rPr>
          <w:color w:val="000000"/>
        </w:rPr>
        <w:t>“‘</w:t>
      </w:r>
      <w:r>
        <w:rPr>
          <w:rFonts w:ascii="Times New Roman" w:hAnsi="Times New Roman"/>
          <w:color w:val="000000"/>
          <w:sz w:val="20"/>
          <w:u w:val="single"/>
        </w:rPr>
        <w:t>Noteholder Tax Identification Information</w:t>
      </w:r>
      <w:r>
        <w:rPr>
          <w:rFonts w:ascii="Times New Roman" w:hAnsi="Times New Roman"/>
          <w:color w:val="000000"/>
          <w:sz w:val="20"/>
        </w:rPr>
        <w:t>’ means properly completed and signed tax certifications (generally, in the case of U.S. federal income tax, IRS Form W-9 (or applicable successor form) in the case of a person that is a “United States Person” within the meaning of Section 7701(a)(30) of the Code or the appropriate IRS Form W-8 (or applicable successor form) in the case of a person that is not a "United States Person" within the meaning of Section 7701(a)(30) of the Code).”</w:t>
      </w:r>
    </w:p>
    <w:p>
      <w:pPr>
        <w:pStyle w:val="TextBody"/>
        <w:bidi w:val="0"/>
        <w:jc w:val="center"/>
        <w:rPr>
          <w:rFonts w:ascii="Times New Roman" w:hAnsi="Times New Roman"/>
          <w:b/>
          <w:color w:val="000000"/>
          <w:sz w:val="20"/>
        </w:rPr>
      </w:pPr>
      <w:r>
        <w:rPr>
          <w:rFonts w:ascii="Times New Roman" w:hAnsi="Times New Roman"/>
          <w:b/>
          <w:color w:val="000000"/>
          <w:sz w:val="20"/>
        </w:rPr>
        <w:t>ARTICLE III</w:t>
        <w:br/>
        <w:t>THE SECURITIES</w:t>
      </w:r>
    </w:p>
    <w:p>
      <w:pPr>
        <w:pStyle w:val="TextBody"/>
        <w:bidi w:val="0"/>
        <w:jc w:val="both"/>
        <w:rPr>
          <w:rFonts w:ascii="Times New Roman" w:hAnsi="Times New Roman"/>
          <w:sz w:val="20"/>
        </w:rPr>
      </w:pPr>
      <w:r>
        <w:rPr>
          <w:rFonts w:ascii="Times New Roman" w:hAnsi="Times New Roman"/>
          <w:b/>
          <w:color w:val="000000"/>
          <w:sz w:val="20"/>
        </w:rPr>
        <w:t>Section 301.</w:t>
      </w:r>
      <w:r>
        <w:rPr>
          <w:rFonts w:ascii="Times New Roman" w:hAnsi="Times New Roman"/>
          <w:color w:val="000000"/>
          <w:sz w:val="20"/>
        </w:rPr>
        <w:t xml:space="preserve"> Except as may be provided in a Future Supplemental Indenture, for the benefit of the Holders of the October 2031 Notes but no other series of Securities under the Base Indenture, whether now or hereafter issued and Outstanding, Article Three of the Base Indenture shall be amended with respect to the October 2031 Notes by adding the following Section 315:</w:t>
      </w:r>
    </w:p>
    <w:p>
      <w:pPr>
        <w:pStyle w:val="TextBody"/>
        <w:bidi w:val="0"/>
        <w:jc w:val="both"/>
        <w:rPr/>
      </w:pPr>
      <w:r>
        <w:rPr>
          <w:color w:val="000000"/>
        </w:rPr>
        <w:t>“</w:t>
      </w:r>
      <w:r>
        <w:rPr>
          <w:rFonts w:ascii="Times New Roman" w:hAnsi="Times New Roman"/>
          <w:color w:val="000000"/>
          <w:sz w:val="20"/>
        </w:rPr>
        <w:t xml:space="preserve">Section 315. </w:t>
      </w:r>
      <w:r>
        <w:rPr>
          <w:rFonts w:ascii="Times New Roman" w:hAnsi="Times New Roman"/>
          <w:color w:val="000000"/>
          <w:sz w:val="20"/>
          <w:u w:val="single"/>
        </w:rPr>
        <w:t>FATCA Withholding</w:t>
      </w:r>
      <w:r>
        <w:rPr>
          <w:rFonts w:ascii="Times New Roman" w:hAnsi="Times New Roman"/>
          <w:color w:val="000000"/>
          <w:sz w:val="20"/>
        </w:rPr>
        <w:t>. Each Holder of an October 2031 Note or Holder of an interest in an October 2031 Note shall provide to the Trustee, any Paying Agent or the Company, upon its request, the Noteholder Tax Identification Information and, to the extent FATCA Withholding Tax is applicable, the Noteholder FATCA Information. The Trustee has the right to withhold any amounts of interest (properly withholdable under law and without any corresponding gross-up) payable to a Holder of an October 2031 Note or a Holder of an interest in an October 2031 Note that fails to comply with the requirements of the preceding sentence.”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IV</w:t>
        <w:br/>
        <w:t>SATISFACTION AND DISCHARGE</w:t>
      </w:r>
    </w:p>
    <w:p>
      <w:pPr>
        <w:pStyle w:val="TextBody"/>
        <w:bidi w:val="0"/>
        <w:jc w:val="both"/>
        <w:rPr>
          <w:rFonts w:ascii="Times New Roman" w:hAnsi="Times New Roman"/>
          <w:sz w:val="20"/>
        </w:rPr>
      </w:pPr>
      <w:r>
        <w:rPr>
          <w:rFonts w:ascii="Times New Roman" w:hAnsi="Times New Roman"/>
          <w:b/>
          <w:color w:val="000000"/>
          <w:sz w:val="20"/>
        </w:rPr>
        <w:t>Section 401</w:t>
      </w:r>
      <w:r>
        <w:rPr>
          <w:rFonts w:ascii="Times New Roman" w:hAnsi="Times New Roman"/>
          <w:color w:val="000000"/>
          <w:sz w:val="20"/>
        </w:rPr>
        <w:t>. Except as may be provided in a Future Supplemental Indenture, for the benefit of the Holders of the October 2031 Notes but no other series of Securities under the Base Indenture, whether now or hereafter issued and Outstanding, Section 401 of the Base Indenture shall be amended by replacing clause (2) thereof with the following:</w:t>
      </w:r>
    </w:p>
    <w:p>
      <w:pPr>
        <w:pStyle w:val="TextBody"/>
        <w:bidi w:val="0"/>
        <w:jc w:val="both"/>
        <w:rPr>
          <w:color w:val="000000"/>
        </w:rPr>
      </w:pPr>
      <w:r>
        <w:rPr>
          <w:color w:val="000000"/>
        </w:rPr>
        <w:t>“</w:t>
      </w:r>
      <w:r>
        <w:rPr>
          <w:rFonts w:ascii="Times New Roman" w:hAnsi="Times New Roman"/>
          <w:color w:val="000000"/>
          <w:sz w:val="20"/>
        </w:rPr>
        <w:t>(2) the Company has irrevocably paid or caused to be irrevocably paid all other sums payable hereunder by the Company, including sums payable to the Trustee; and”.</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V</w:t>
        <w:br/>
        <w:t>COVENANTS</w:t>
      </w:r>
    </w:p>
    <w:p>
      <w:pPr>
        <w:pStyle w:val="TextBody"/>
        <w:bidi w:val="0"/>
        <w:jc w:val="both"/>
        <w:rPr>
          <w:rFonts w:ascii="Times New Roman" w:hAnsi="Times New Roman"/>
          <w:sz w:val="20"/>
        </w:rPr>
      </w:pPr>
      <w:r>
        <w:rPr>
          <w:rFonts w:ascii="Times New Roman" w:hAnsi="Times New Roman"/>
          <w:b/>
          <w:color w:val="000000"/>
          <w:sz w:val="20"/>
        </w:rPr>
        <w:t>Section 501</w:t>
      </w:r>
      <w:r>
        <w:rPr>
          <w:rFonts w:ascii="Times New Roman" w:hAnsi="Times New Roman"/>
          <w:color w:val="000000"/>
          <w:sz w:val="20"/>
        </w:rPr>
        <w:t>. Except as may be provided in a Future Supplemental Indenture, for the benefit of the Holders of the October 2031 Notes but no other series of Securities under the Base Indenture, whether now or hereafter issued and Outstanding, Article Ten of the Base Indenture shall be amended by adding the following new Sections 1007 and 1008, each as set forth below:</w:t>
      </w:r>
    </w:p>
    <w:p>
      <w:pPr>
        <w:pStyle w:val="TextBody"/>
        <w:bidi w:val="0"/>
        <w:jc w:val="both"/>
        <w:rPr/>
      </w:pPr>
      <w:r>
        <w:rPr>
          <w:color w:val="000000"/>
        </w:rPr>
        <w:t>“</w:t>
      </w:r>
      <w:r>
        <w:rPr>
          <w:rFonts w:ascii="Times New Roman" w:hAnsi="Times New Roman"/>
          <w:color w:val="000000"/>
          <w:sz w:val="20"/>
        </w:rPr>
        <w:t xml:space="preserve">Section 1007. </w:t>
      </w:r>
      <w:r>
        <w:rPr>
          <w:rFonts w:ascii="Times New Roman" w:hAnsi="Times New Roman"/>
          <w:color w:val="000000"/>
          <w:sz w:val="20"/>
          <w:u w:val="single"/>
        </w:rPr>
        <w:t>Section 18(a)(1)(A) of the Investment Company Act</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The Company hereby agrees that for the period of time during which October 2031 Notes are Outstanding, the Company will not violate, whether or not it is subject to, Section 18(a)(1)(A) as modified by Section 61(a)(2) of the Investment Company Act or any successor provisions thereto of the Investment Company Act.”</w:t>
      </w:r>
    </w:p>
    <w:p>
      <w:pPr>
        <w:pStyle w:val="TextBody"/>
        <w:bidi w:val="0"/>
        <w:jc w:val="both"/>
        <w:rPr/>
      </w:pPr>
      <w:r>
        <w:rPr>
          <w:color w:val="000000"/>
        </w:rPr>
        <w:t>“</w:t>
      </w:r>
      <w:r>
        <w:rPr>
          <w:rFonts w:ascii="Times New Roman" w:hAnsi="Times New Roman"/>
          <w:color w:val="000000"/>
          <w:sz w:val="20"/>
        </w:rPr>
        <w:t xml:space="preserve">Section 1008. </w:t>
      </w:r>
      <w:r>
        <w:rPr>
          <w:rFonts w:ascii="Times New Roman" w:hAnsi="Times New Roman"/>
          <w:color w:val="000000"/>
          <w:sz w:val="20"/>
          <w:u w:val="single"/>
        </w:rPr>
        <w:t>Commission Reports and Reports to Holders</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If, at any time, the Company is not subject to the reporting requirements of Sections 13 or 15(d) of the Exchange Act to file any periodic reports with the Commission, the Company agrees to furnish to the Holders of October 2031 Notes and the Trustee for the period of time during which the October 2031 Notes are Outstanding: (i) within 90 days after the end of the each fiscal year of the Company, audited annual financial statements of the Company and (ii) within 45 days after the end of each fiscal quarter of the Company (other than the Company’s fourth fiscal quarter), unaudited interim financial statements of the Company. All such financial statements shall be prepared, in all material respects, in accordance with GAAP.”</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VI</w:t>
        <w:br/>
        <w:t>DEFEASANCE</w:t>
      </w:r>
    </w:p>
    <w:p>
      <w:pPr>
        <w:pStyle w:val="TextBody"/>
        <w:bidi w:val="0"/>
        <w:jc w:val="both"/>
        <w:rPr>
          <w:rFonts w:ascii="Times New Roman" w:hAnsi="Times New Roman"/>
          <w:sz w:val="20"/>
        </w:rPr>
      </w:pPr>
      <w:r>
        <w:rPr>
          <w:rFonts w:ascii="Times New Roman" w:hAnsi="Times New Roman"/>
          <w:b/>
          <w:color w:val="000000"/>
          <w:sz w:val="20"/>
        </w:rPr>
        <w:t>Section 601</w:t>
      </w:r>
      <w:r>
        <w:rPr>
          <w:rFonts w:ascii="Times New Roman" w:hAnsi="Times New Roman"/>
          <w:color w:val="000000"/>
          <w:sz w:val="20"/>
        </w:rPr>
        <w:t>. Except as may be provided in a Future Supplemental Indenture, for the benefit of the Holders of the October 2031 Notes but no other series of Securities under the Base Indenture, whether now or hereafter issued and Outstanding, Section 1404 of the Base Indenture shall be amended by adding the following clause (h):</w:t>
      </w:r>
    </w:p>
    <w:p>
      <w:pPr>
        <w:pStyle w:val="TextBody"/>
        <w:bidi w:val="0"/>
        <w:jc w:val="both"/>
        <w:rPr>
          <w:color w:val="000000"/>
        </w:rPr>
      </w:pPr>
      <w:r>
        <w:rPr>
          <w:color w:val="000000"/>
        </w:rPr>
        <w:t>“</w:t>
      </w:r>
      <w:r>
        <w:rPr>
          <w:rFonts w:ascii="Times New Roman" w:hAnsi="Times New Roman"/>
          <w:color w:val="000000"/>
          <w:sz w:val="20"/>
        </w:rPr>
        <w:t>(h) In the case of an election under Section 1402, in addition to the amounts deposited for the benefit of the Holders pursuant to clause (a) of this Section 1404, the Company shall have irrevocably deposited or caused to be irrevocably deposited with the Trustee all amounts then due to the Trustee under the Indenture.”</w:t>
      </w:r>
    </w:p>
    <w:p>
      <w:pPr>
        <w:pStyle w:val="TextBody"/>
        <w:bidi w:val="0"/>
        <w:jc w:val="center"/>
        <w:rPr>
          <w:rFonts w:ascii="Times New Roman" w:hAnsi="Times New Roman"/>
          <w:b/>
          <w:color w:val="000000"/>
          <w:sz w:val="20"/>
        </w:rPr>
      </w:pPr>
      <w:r>
        <w:rPr>
          <w:rFonts w:ascii="Times New Roman" w:hAnsi="Times New Roman"/>
          <w:b/>
          <w:color w:val="000000"/>
          <w:sz w:val="20"/>
        </w:rPr>
        <w:t>ARTICLE VII</w:t>
        <w:br/>
        <w:t>MEETINGS OF HOLDERS OF SECURITIES</w:t>
      </w:r>
    </w:p>
    <w:p>
      <w:pPr>
        <w:pStyle w:val="TextBody"/>
        <w:bidi w:val="0"/>
        <w:jc w:val="both"/>
        <w:rPr>
          <w:rFonts w:ascii="Times New Roman" w:hAnsi="Times New Roman"/>
          <w:sz w:val="20"/>
        </w:rPr>
      </w:pPr>
      <w:r>
        <w:rPr>
          <w:rFonts w:ascii="Times New Roman" w:hAnsi="Times New Roman"/>
          <w:b/>
          <w:color w:val="000000"/>
          <w:sz w:val="20"/>
        </w:rPr>
        <w:t>Section 701</w:t>
      </w:r>
      <w:r>
        <w:rPr>
          <w:rFonts w:ascii="Times New Roman" w:hAnsi="Times New Roman"/>
          <w:color w:val="000000"/>
          <w:sz w:val="20"/>
        </w:rPr>
        <w:t>. Except as may be provided in a Future Supplemental Indenture, for the benefit of the Holders of the October 2031 Notes but no other series of Securities under the Base Indenture, whether now or hereafter issued and Outstanding, Section 1505 of the Base Indenture shall be amended by replacing clause (c) thereof with the following:</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color w:val="000000"/>
        </w:rPr>
        <w:t>“</w:t>
      </w:r>
      <w:r>
        <w:rPr>
          <w:rFonts w:ascii="Times New Roman" w:hAnsi="Times New Roman"/>
          <w:color w:val="000000"/>
          <w:sz w:val="20"/>
        </w:rPr>
        <w:t xml:space="preserve">(c) At any meeting of Holders, each Holder of an October 2031 Note or proxy shall be entitled to one vote for each $25.00 principal amount of the Outstanding Securities of such series held or represented by such Holder;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pStyle w:val="TextBody"/>
        <w:bidi w:val="0"/>
        <w:jc w:val="center"/>
        <w:rPr>
          <w:rFonts w:ascii="Times New Roman" w:hAnsi="Times New Roman"/>
          <w:b/>
          <w:color w:val="000000"/>
          <w:sz w:val="20"/>
        </w:rPr>
      </w:pPr>
      <w:r>
        <w:rPr>
          <w:rFonts w:ascii="Times New Roman" w:hAnsi="Times New Roman"/>
          <w:b/>
          <w:color w:val="000000"/>
          <w:sz w:val="20"/>
        </w:rPr>
        <w:t>ARTICLE VIII</w:t>
        <w:br/>
        <w:t>MISCELLANEOUS</w:t>
      </w:r>
    </w:p>
    <w:p>
      <w:pPr>
        <w:pStyle w:val="TextBody"/>
        <w:bidi w:val="0"/>
        <w:jc w:val="both"/>
        <w:rPr>
          <w:rFonts w:ascii="Times New Roman" w:hAnsi="Times New Roman"/>
          <w:sz w:val="20"/>
        </w:rPr>
      </w:pPr>
      <w:r>
        <w:rPr>
          <w:rFonts w:ascii="Times New Roman" w:hAnsi="Times New Roman"/>
          <w:b/>
          <w:color w:val="000000"/>
          <w:sz w:val="20"/>
        </w:rPr>
        <w:t>Section 801.</w:t>
      </w:r>
      <w:r>
        <w:rPr>
          <w:rFonts w:ascii="Times New Roman" w:hAnsi="Times New Roman"/>
          <w:color w:val="000000"/>
          <w:sz w:val="20"/>
        </w:rPr>
        <w:t xml:space="preserve"> This Fifth Supplemental Indenture and the October 2031 Notes shall be governed by and construed in accordance with the laws of the State of New York, without regard to principles of conflicts of laws that would cause the application of laws of another jurisdiction. This Fifth Supplemental Indenture is subject to the provisions of the Trust Indenture Act that are required to be part of the Indenture and shall, to the extent applicable, be governed by such provisions.</w:t>
      </w:r>
    </w:p>
    <w:p>
      <w:pPr>
        <w:pStyle w:val="TextBody"/>
        <w:bidi w:val="0"/>
        <w:jc w:val="both"/>
        <w:rPr>
          <w:rFonts w:ascii="Times New Roman" w:hAnsi="Times New Roman"/>
          <w:sz w:val="20"/>
        </w:rPr>
      </w:pPr>
      <w:r>
        <w:rPr>
          <w:rFonts w:ascii="Times New Roman" w:hAnsi="Times New Roman"/>
          <w:b/>
          <w:color w:val="000000"/>
          <w:sz w:val="20"/>
        </w:rPr>
        <w:t>Section 802</w:t>
      </w:r>
      <w:r>
        <w:rPr>
          <w:rFonts w:ascii="Times New Roman" w:hAnsi="Times New Roman"/>
          <w:color w:val="000000"/>
          <w:sz w:val="20"/>
        </w:rPr>
        <w:t>. Except as may be provided in a Future Supplemental Indenture, for the benefit of the Holders of the October 2031 Notes but no other series of Securities under the Base Indenture, whether now or hereafter issued and Outstanding, Article Six of the Base Indenture shall be amended by adding the following Section 613:</w:t>
      </w:r>
    </w:p>
    <w:p>
      <w:pPr>
        <w:pStyle w:val="TextBody"/>
        <w:bidi w:val="0"/>
        <w:jc w:val="both"/>
        <w:rPr/>
      </w:pPr>
      <w:r>
        <w:rPr>
          <w:color w:val="000000"/>
        </w:rPr>
        <w:t>“</w:t>
      </w:r>
      <w:r>
        <w:rPr>
          <w:rFonts w:ascii="Times New Roman" w:hAnsi="Times New Roman"/>
          <w:color w:val="000000"/>
          <w:sz w:val="20"/>
        </w:rPr>
        <w:t xml:space="preserve">Section 613. </w:t>
      </w:r>
      <w:r>
        <w:rPr>
          <w:rFonts w:ascii="Times New Roman" w:hAnsi="Times New Roman"/>
          <w:color w:val="000000"/>
          <w:sz w:val="20"/>
          <w:u w:val="single"/>
        </w:rPr>
        <w:t>Trustee’s Cooperation</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20"/>
        </w:rPr>
        <w:t>So long as the outstanding October 2031 Notes are registered in the name of Cede &amp; Co. or its registered assigns, the Trustee shall cooperate with Cede &amp; Co., as sole registered owner, and its registered assigns in effecting payment of the principal of, Redemption Price and interest on the October 2031 Notes by arranging for payment in such manner that funds for such payments are properly identified and are made immediately available on the date they are due. The Company acknowledges that in order for the Trustee to conform to the payment guidelines of the Depository and in order for the Trustee to make funds for such payments immediately available to the Depository on the date they are due, the Company shall ensure the funds for such payments are remitted and made immediately available to the Trustee no later than 10:00 a.m. Eastern Time on the date they are due to Cede &amp; Co. Funds for such payments received by the Trustee after 10:00 a.m. Eastern Time on the date they are due to Cede &amp; Co. may not be assured of timely payment and detail payment notification to the Depository for subsequent allocation to the noteholders</w:t>
      </w:r>
      <w:r>
        <w:rPr>
          <w:rFonts w:ascii="Times New Roman" w:hAnsi="Times New Roman"/>
          <w:i/>
          <w:color w:val="000000"/>
          <w:sz w:val="20"/>
        </w:rPr>
        <w:t>.</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b/>
          <w:color w:val="000000"/>
          <w:sz w:val="20"/>
        </w:rPr>
        <w:t>Section 803</w:t>
      </w:r>
      <w:r>
        <w:rPr>
          <w:rFonts w:ascii="Times New Roman" w:hAnsi="Times New Roman"/>
          <w:color w:val="000000"/>
          <w:sz w:val="20"/>
        </w:rPr>
        <w:t>. In case any provision in this Fifth Supplemental Indenture or in the October 2031 Notes shall be invalid, illegal or unenforceable, the validity, legality and enforceability of the remaining provisions shall not in any way be affected or impaired thereby.</w:t>
      </w:r>
    </w:p>
    <w:p>
      <w:pPr>
        <w:pStyle w:val="TextBody"/>
        <w:bidi w:val="0"/>
        <w:jc w:val="both"/>
        <w:rPr>
          <w:rFonts w:ascii="Times New Roman" w:hAnsi="Times New Roman"/>
          <w:sz w:val="20"/>
        </w:rPr>
      </w:pPr>
      <w:r>
        <w:rPr>
          <w:rFonts w:ascii="Times New Roman" w:hAnsi="Times New Roman"/>
          <w:b/>
          <w:color w:val="000000"/>
          <w:sz w:val="20"/>
        </w:rPr>
        <w:t>Section 804</w:t>
      </w:r>
      <w:r>
        <w:rPr>
          <w:rFonts w:ascii="Times New Roman" w:hAnsi="Times New Roman"/>
          <w:color w:val="000000"/>
          <w:sz w:val="20"/>
        </w:rPr>
        <w:t xml:space="preserve">. This Fifth Supplemental Indenture may be executed in any number of counterparts, each of which shall be deemed to be an original, but all such counterparts shall together constitute but one and the same Fifth Supplemental Indenture. The exchange of copies of this Fifth Supplemental Indenture and of signature pages by facsimile, .pdf transmission, email or other electronic means shall constitute effective execution and delivery of this Fifth Supplemental Indenture for all purposes. Signatures of the parties hereto transmitted by facsimile, .pdf transmission, email or other electronic means shall be deemed to be their original signatures for all purposes. All notices, approvals, consents, requests and any communications hereunder must be in writing; </w:t>
      </w:r>
      <w:r>
        <w:rPr>
          <w:rFonts w:ascii="Times New Roman" w:hAnsi="Times New Roman"/>
          <w:i/>
          <w:color w:val="000000"/>
          <w:sz w:val="20"/>
        </w:rPr>
        <w:t>provided</w:t>
      </w:r>
      <w:r>
        <w:rPr>
          <w:rFonts w:ascii="Times New Roman" w:hAnsi="Times New Roman"/>
          <w:color w:val="000000"/>
          <w:sz w:val="20"/>
        </w:rPr>
        <w:t xml:space="preserve"> that any communication sent to the Trustee hereunder must be in the form of a document that is signed manually or by way of a digital signature provided by DocuSign (or such other digital signature provider as specified in writing to the Trustee by the authorized representative), in English. The Company agrees to assume all risks arising out of the use of digital signatures and electronic methods to submit communications to the Trustee, including without limitation the risk of the Trustee acting on unauthorized instructions, and the risk of interception and misuse by third parties. The Trustee shall have no liability for relying on such digital signatures or electronic methods.</w:t>
      </w:r>
    </w:p>
    <w:p>
      <w:pPr>
        <w:pStyle w:val="TextBody"/>
        <w:bidi w:val="0"/>
        <w:jc w:val="both"/>
        <w:rPr>
          <w:rFonts w:ascii="Times New Roman" w:hAnsi="Times New Roman"/>
          <w:sz w:val="20"/>
        </w:rPr>
      </w:pPr>
      <w:r>
        <w:rPr>
          <w:rFonts w:ascii="Times New Roman" w:hAnsi="Times New Roman"/>
          <w:b/>
          <w:color w:val="000000"/>
          <w:sz w:val="20"/>
        </w:rPr>
        <w:t>Section 805</w:t>
      </w:r>
      <w:r>
        <w:rPr>
          <w:rFonts w:ascii="Times New Roman" w:hAnsi="Times New Roman"/>
          <w:color w:val="000000"/>
          <w:sz w:val="20"/>
        </w:rPr>
        <w:t xml:space="preserve">. The Base Indenture, as supplemented and amended by this Fifth Supplemental Indenture, is in all respects ratified and confirmed, and the Base Indenture and this Fifth Supplemental Indenture shall be read, taken and construed as one and the same instrument with respect to the October 2031 Notes. All provisions included in this Fifth Supplemental Indenture supersede any conflicting provisions included in the Base Indenture with respect to the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October 2031 Notes, unless not permitted by law. The Trustee accepts the trusts created by the Base Indenture, as supplemented by this Fifth Supplemental Indenture, and agrees to perform the same upon the terms and conditions of the Base Indenture, as supplemented by this Fifth Supplemental Indenture.</w:t>
      </w:r>
    </w:p>
    <w:p>
      <w:pPr>
        <w:pStyle w:val="TextBody"/>
        <w:bidi w:val="0"/>
        <w:jc w:val="both"/>
        <w:rPr>
          <w:rFonts w:ascii="Times New Roman" w:hAnsi="Times New Roman"/>
          <w:sz w:val="20"/>
        </w:rPr>
      </w:pPr>
      <w:r>
        <w:rPr>
          <w:rFonts w:ascii="Times New Roman" w:hAnsi="Times New Roman"/>
          <w:b/>
          <w:color w:val="000000"/>
          <w:sz w:val="20"/>
        </w:rPr>
        <w:t>Section 806.</w:t>
      </w:r>
      <w:r>
        <w:rPr>
          <w:rFonts w:ascii="Times New Roman" w:hAnsi="Times New Roman"/>
          <w:color w:val="000000"/>
          <w:sz w:val="20"/>
        </w:rPr>
        <w:t xml:space="preserve"> The provisions of this Fifth Supplemental Indenture shall become effective as of the date hereof.</w:t>
      </w:r>
    </w:p>
    <w:p>
      <w:pPr>
        <w:pStyle w:val="TextBody"/>
        <w:bidi w:val="0"/>
        <w:jc w:val="both"/>
        <w:rPr>
          <w:rFonts w:ascii="Times New Roman" w:hAnsi="Times New Roman"/>
          <w:sz w:val="20"/>
        </w:rPr>
      </w:pPr>
      <w:r>
        <w:rPr>
          <w:rFonts w:ascii="Times New Roman" w:hAnsi="Times New Roman"/>
          <w:b/>
          <w:color w:val="000000"/>
          <w:sz w:val="20"/>
        </w:rPr>
        <w:t>Section 807.</w:t>
      </w:r>
      <w:r>
        <w:rPr>
          <w:rFonts w:ascii="Times New Roman" w:hAnsi="Times New Roman"/>
          <w:color w:val="000000"/>
          <w:sz w:val="20"/>
        </w:rPr>
        <w:t xml:space="preserve"> Notwithstanding anything else to the contrary herein, the terms and provisions of this Fifth Supplemental Indenture shall apply only to the October 2031 Notes and shall not apply to any other series of Securities under the Base Indenture, and this Fifth Supplemental Indenture shall not and does not otherwise affect, modify, alter, supplement or change the terms and provisions of any other series of Securities under the Base Indenture, whether now or hereafter issued and Outstanding.</w:t>
      </w:r>
    </w:p>
    <w:p>
      <w:pPr>
        <w:pStyle w:val="TextBody"/>
        <w:bidi w:val="0"/>
        <w:jc w:val="both"/>
        <w:rPr>
          <w:rFonts w:ascii="Times New Roman" w:hAnsi="Times New Roman"/>
          <w:sz w:val="20"/>
        </w:rPr>
      </w:pPr>
      <w:r>
        <w:rPr>
          <w:rFonts w:ascii="Times New Roman" w:hAnsi="Times New Roman"/>
          <w:b/>
          <w:color w:val="000000"/>
          <w:sz w:val="20"/>
        </w:rPr>
        <w:t>Section 808.</w:t>
      </w:r>
      <w:r>
        <w:rPr>
          <w:rFonts w:ascii="Times New Roman" w:hAnsi="Times New Roman"/>
          <w:color w:val="000000"/>
          <w:sz w:val="20"/>
        </w:rPr>
        <w:t xml:space="preserve"> The recitals contained herein, except the Trustee’s certificate of authentication, shall be taken as the statements of the Company, and the Trustee assumes no responsibility for their correctness. The Trustee makes no representations as to the validity or sufficiency of this Fifth Supplemental Indenture, the October 2031 Notes or any Additional Notes, except that the Trustee represents that it is duly authorized to execute and deliver this Fifth Supplemental Indenture, authenticate the October 2031 Notes and any Additional Notes and perform its obligations hereunder. The Trustee shall not be accountable for the use or application by the Company of the October 2031 Notes or any Additional Notes or the proceeds thereof. All rights, protections, privileges, indemnities, immunities and benefits granted or afforded to the Trustee under the Indenture shall be deemed incorporated herein by this reference and shall be deemed applicable to all actions taken, suffered or omitted by the Trustee in each of its capacities hereunder.</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360"/>
        <w:jc w:val="left"/>
        <w:rPr/>
      </w:pPr>
      <w:r>
        <w:rPr/>
        <w:t> </w:t>
      </w:r>
    </w:p>
    <w:p>
      <w:pPr>
        <w:pStyle w:val="TextBody"/>
        <w:bidi w:val="0"/>
        <w:ind w:left="0" w:right="0" w:firstLine="360"/>
        <w:jc w:val="left"/>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Fifth Supplemental Indenture to be duly executed as of the date first above written.</w:t>
      </w:r>
    </w:p>
    <w:tbl>
      <w:tblPr>
        <w:tblW w:w="6124" w:type="dxa"/>
        <w:jc w:val="left"/>
        <w:tblInd w:w="0" w:type="dxa"/>
        <w:tblLayout w:type="fixed"/>
        <w:tblCellMar>
          <w:top w:w="28" w:type="dxa"/>
          <w:left w:w="28" w:type="dxa"/>
          <w:bottom w:w="28" w:type="dxa"/>
          <w:right w:w="28" w:type="dxa"/>
        </w:tblCellMar>
      </w:tblPr>
      <w:tblGrid>
        <w:gridCol w:w="124"/>
        <w:gridCol w:w="958"/>
        <w:gridCol w:w="5042"/>
      </w:tblGrid>
      <w:tr>
        <w:trPr/>
        <w:tc>
          <w:tcPr>
            <w:tcW w:w="12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504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RUNWAY GROWTH FINANCE CORP.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5042"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David Spreng</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50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 David Spreng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50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and Co-Chief Executive Officer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2"/>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BANK TRUST COMPANY, NATIONAL ASSOCIATION, as Trustee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5042" w:type="dxa"/>
            <w:tcBorders>
              <w:bottom w:val="single" w:sz="8"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Josh A. Hahn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50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Josh A. Hahn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50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A — Form of Global Note</w:t>
      </w:r>
    </w:p>
    <w:p>
      <w:pPr>
        <w:pStyle w:val="TextBody"/>
        <w:bidi w:val="0"/>
        <w:jc w:val="both"/>
        <w:rPr>
          <w:rFonts w:ascii="Times New Roman" w:hAnsi="Times New Roman"/>
          <w:b/>
          <w:color w:val="000000"/>
          <w:sz w:val="20"/>
        </w:rPr>
      </w:pPr>
      <w:r>
        <w:rPr>
          <w:rFonts w:ascii="Times New Roman" w:hAnsi="Times New Roman"/>
          <w:b/>
          <w:color w:val="000000"/>
          <w:sz w:val="20"/>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pStyle w:val="TextBody"/>
        <w:bidi w:val="0"/>
        <w:jc w:val="both"/>
        <w:rPr>
          <w:rFonts w:ascii="Times New Roman" w:hAnsi="Times New Roman"/>
          <w:b/>
          <w:color w:val="000000"/>
          <w:sz w:val="20"/>
        </w:rPr>
      </w:pPr>
      <w:r>
        <w:rPr>
          <w:rFonts w:ascii="Times New Roman" w:hAnsi="Times New Roman"/>
          <w:b/>
          <w:color w:val="000000"/>
          <w:sz w:val="20"/>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tbl>
      <w:tblPr>
        <w:tblW w:w="2721" w:type="dxa"/>
        <w:jc w:val="left"/>
        <w:tblInd w:w="0" w:type="dxa"/>
        <w:tblLayout w:type="fixed"/>
        <w:tblCellMar>
          <w:top w:w="28" w:type="dxa"/>
          <w:left w:w="28" w:type="dxa"/>
          <w:bottom w:w="28" w:type="dxa"/>
          <w:right w:w="28" w:type="dxa"/>
        </w:tblCellMar>
      </w:tblPr>
      <w:tblGrid>
        <w:gridCol w:w="406"/>
        <w:gridCol w:w="109"/>
        <w:gridCol w:w="2206"/>
      </w:tblGrid>
      <w:tr>
        <w:trPr/>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r>
      <w:tr>
        <w:trPr/>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CUSIP No. 78163D 506</w:t>
            </w:r>
          </w:p>
        </w:tc>
      </w:tr>
      <w:tr>
        <w:trPr/>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ISIN No. US78163D5068</w:t>
            </w:r>
          </w:p>
        </w:tc>
      </w:tr>
    </w:tbl>
    <w:p>
      <w:pPr>
        <w:pStyle w:val="TextBody"/>
        <w:bidi w:val="0"/>
        <w:jc w:val="center"/>
        <w:rPr>
          <w:rFonts w:ascii="Times New Roman" w:hAnsi="Times New Roman"/>
          <w:color w:val="000000"/>
          <w:sz w:val="20"/>
        </w:rPr>
      </w:pPr>
      <w:r>
        <w:rPr>
          <w:rFonts w:ascii="Times New Roman" w:hAnsi="Times New Roman"/>
          <w:color w:val="000000"/>
          <w:sz w:val="20"/>
        </w:rPr>
        <w:t>7.75% Notes due 2031</w:t>
      </w:r>
    </w:p>
    <w:p>
      <w:pPr>
        <w:pStyle w:val="TextBody"/>
        <w:bidi w:val="0"/>
        <w:jc w:val="both"/>
        <w:rPr>
          <w:rFonts w:ascii="Times New Roman" w:hAnsi="Times New Roman"/>
          <w:sz w:val="20"/>
        </w:rPr>
      </w:pPr>
      <w:r>
        <w:rPr>
          <w:rFonts w:ascii="Times New Roman" w:hAnsi="Times New Roman"/>
          <w:color w:val="000000"/>
          <w:sz w:val="20"/>
        </w:rPr>
        <w:t>Runway Growth Finance Corp., a corporation duly organized and existing under the laws of Maryland (herein called the “Company”, which term includes any successor Person under the Indenture hereinafter referred to), for value received, hereby promises to pay to Cede &amp; Co., or registered assigns, the principal sum of __________________________________ dollars (U.S. $_____________) on October 1, 2031, and to pay interest thereon from October 1, 2026 or from the most recent Interest Payment Date to which interest has been paid or duly provided for, quarterly on March 1, June 1, September 1 and December 1 in each year, commencing December 1, 2026 (</w:t>
      </w:r>
      <w:r>
        <w:rPr>
          <w:rFonts w:ascii="Times New Roman" w:hAnsi="Times New Roman"/>
          <w:i/>
          <w:color w:val="000000"/>
          <w:sz w:val="20"/>
        </w:rPr>
        <w:t>provided</w:t>
      </w:r>
      <w:r>
        <w:rPr>
          <w:rFonts w:ascii="Times New Roman" w:hAnsi="Times New Roman"/>
          <w:color w:val="000000"/>
          <w:sz w:val="20"/>
        </w:rPr>
        <w:t>, that if an Interest Payment Date falls on a day that is not a Business Day, then the applicable interest payment shall be made on the next succeeding Business Day and no additional interest shall accrue as a result of such delayed payment), at the rate of 7.75% per annum, until the principal hereof is paid or made available for payment. The interest so payable, and punctually paid or duly provided for, on any Interest Payment Date shall, as provided in such Indenture, be paid to the Person in whose name this Security is registered at the close of business on the Regular Record Date for such interest, which shall be February 15, May 15, August 15 or November 15 (whether or not a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pStyle w:val="TextBody"/>
        <w:bidi w:val="0"/>
        <w:jc w:val="both"/>
        <w:rPr>
          <w:rFonts w:ascii="Times New Roman" w:hAnsi="Times New Roman"/>
          <w:sz w:val="20"/>
        </w:rPr>
      </w:pPr>
      <w:r>
        <w:rPr>
          <w:rFonts w:ascii="Times New Roman" w:hAnsi="Times New Roman"/>
          <w:color w:val="000000"/>
          <w:sz w:val="20"/>
        </w:rPr>
        <w:t xml:space="preserve">Payment of the principal of (and premium, if any) and any such interest on this Security shall be made at the Corporate Trust Office of the Trustee located at 111 Fillmore Avenue, St. Paul, MN 55107, Attention: Runway Growth Finance Corp. (7.75% Notes Due 2031) in such coin or currency of the United States of America as at the time of payment is legal tender for payment of public and private debts;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at the option of the Company payment of interest may be made by check mailed to the address of the Person entitled thereto as such address shall appear in the Security Register; </w:t>
      </w:r>
      <w:r>
        <w:rPr>
          <w:rFonts w:ascii="Times New Roman" w:hAnsi="Times New Roman"/>
          <w:i/>
          <w:color w:val="000000"/>
          <w:sz w:val="20"/>
        </w:rPr>
        <w:t>provided, further, however</w:t>
      </w:r>
      <w:r>
        <w:rPr>
          <w:rFonts w:ascii="Times New Roman" w:hAnsi="Times New Roman"/>
          <w:color w:val="000000"/>
          <w:sz w:val="20"/>
        </w:rPr>
        <w:t>, that so long as the October 2031 Notes are registered to Cede &amp; Co., such payment will be made by wire transfer in accordance with the procedures established by The Depository Trust Company and the Trustee.</w:t>
      </w:r>
    </w:p>
    <w:p>
      <w:pPr>
        <w:pStyle w:val="TextBody"/>
        <w:bidi w:val="0"/>
        <w:jc w:val="both"/>
        <w:rPr>
          <w:rFonts w:ascii="Times New Roman" w:hAnsi="Times New Roman"/>
          <w:color w:val="000000"/>
          <w:sz w:val="20"/>
        </w:rPr>
      </w:pPr>
      <w:r>
        <w:rPr>
          <w:rFonts w:ascii="Times New Roman" w:hAnsi="Times New Roman"/>
          <w:color w:val="000000"/>
          <w:sz w:val="20"/>
        </w:rPr>
        <w:t>Reference is hereby made to the further provisions of this Security set forth on the reverse hereof, which further provisions shall for all purposes have the same effect as if set forth at this place.</w:t>
      </w:r>
    </w:p>
    <w:p>
      <w:pPr>
        <w:pStyle w:val="TextBody"/>
        <w:bidi w:val="0"/>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the certificate of authentication hereon has been executed by the Trustee referred to on the reverse hereof by manual signature, this Security shall not be entitled to any benefit under the Indenture or be valid or obligatory for any purpose.</w:t>
      </w:r>
    </w:p>
    <w:p>
      <w:pPr>
        <w:pStyle w:val="TextBody"/>
        <w:bidi w:val="0"/>
        <w:jc w:val="center"/>
        <w:rPr>
          <w:rFonts w:ascii="Times New Roman" w:hAnsi="Times New Roman"/>
          <w:color w:val="000000"/>
          <w:sz w:val="20"/>
        </w:rPr>
      </w:pPr>
      <w:r>
        <w:rPr>
          <w:rFonts w:ascii="Times New Roman" w:hAnsi="Times New Roman"/>
          <w:color w:val="000000"/>
          <w:sz w:val="20"/>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smallCaps/>
          <w:color w:val="000000"/>
          <w:sz w:val="20"/>
        </w:rPr>
        <w:t>In Witness Whereof</w:t>
      </w:r>
      <w:r>
        <w:rPr>
          <w:rFonts w:ascii="Times New Roman" w:hAnsi="Times New Roman"/>
          <w:color w:val="000000"/>
          <w:sz w:val="20"/>
        </w:rPr>
        <w:t>, the Company has caused this instrument to be duly executed.</w:t>
      </w:r>
    </w:p>
    <w:p>
      <w:pPr>
        <w:pStyle w:val="TextBody"/>
        <w:bidi w:val="0"/>
        <w:jc w:val="left"/>
        <w:rPr>
          <w:rFonts w:ascii="Times New Roman" w:hAnsi="Times New Roman"/>
          <w:color w:val="000000"/>
          <w:sz w:val="20"/>
        </w:rPr>
      </w:pPr>
      <w:r>
        <w:rPr>
          <w:rFonts w:ascii="Times New Roman" w:hAnsi="Times New Roman"/>
          <w:color w:val="000000"/>
          <w:sz w:val="20"/>
        </w:rPr>
        <w:t xml:space="preserve">Dated: </w:t>
      </w:r>
    </w:p>
    <w:p>
      <w:pPr>
        <w:pStyle w:val="TextBody"/>
        <w:bidi w:val="0"/>
        <w:jc w:val="left"/>
        <w:rPr/>
      </w:pPr>
      <w:r>
        <w:rPr/>
        <w:t> </w:t>
      </w:r>
    </w:p>
    <w:tbl>
      <w:tblPr>
        <w:tblW w:w="4690" w:type="dxa"/>
        <w:jc w:val="left"/>
        <w:tblInd w:w="0" w:type="dxa"/>
        <w:tblLayout w:type="fixed"/>
        <w:tblCellMar>
          <w:top w:w="28" w:type="dxa"/>
          <w:left w:w="28" w:type="dxa"/>
          <w:bottom w:w="28" w:type="dxa"/>
          <w:right w:w="28" w:type="dxa"/>
        </w:tblCellMar>
      </w:tblPr>
      <w:tblGrid>
        <w:gridCol w:w="124"/>
        <w:gridCol w:w="406"/>
        <w:gridCol w:w="109"/>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RUNWAY GROWTH FINANCE CORP.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R. David Spreng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Co-Chief Executive Officer and President </w:t>
            </w:r>
          </w:p>
        </w:tc>
      </w:tr>
    </w:tbl>
    <w:tbl>
      <w:tblPr>
        <w:tblW w:w="4499" w:type="dxa"/>
        <w:jc w:val="left"/>
        <w:tblInd w:w="0" w:type="dxa"/>
        <w:tblLayout w:type="fixed"/>
        <w:tblCellMar>
          <w:top w:w="28" w:type="dxa"/>
          <w:left w:w="28" w:type="dxa"/>
          <w:bottom w:w="28" w:type="dxa"/>
          <w:right w:w="28" w:type="dxa"/>
        </w:tblCellMar>
      </w:tblPr>
      <w:tblGrid>
        <w:gridCol w:w="3226"/>
        <w:gridCol w:w="982"/>
        <w:gridCol w:w="291"/>
      </w:tblGrid>
      <w:tr>
        <w:trPr/>
        <w:tc>
          <w:tcPr>
            <w:tcW w:w="322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08"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Attest</w:t>
            </w:r>
          </w:p>
          <w:p>
            <w:pPr>
              <w:pStyle w:val="TableContents"/>
              <w:bidi w:val="0"/>
              <w:jc w:val="left"/>
              <w:rPr/>
            </w:pPr>
            <w:r>
              <w:rPr/>
              <w:t> </w:t>
            </w:r>
          </w:p>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98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Carmela Thomson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 Treasurer and Secretary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Global Note]</w:t>
      </w:r>
    </w:p>
    <w:p>
      <w:pPr>
        <w:pStyle w:val="TextBody"/>
        <w:bidi w:val="0"/>
        <w:jc w:val="center"/>
        <w:rPr>
          <w:rFonts w:ascii="Times New Roman" w:hAnsi="Times New Roman"/>
          <w:color w:val="000000"/>
          <w:sz w:val="20"/>
        </w:rPr>
      </w:pPr>
      <w:r>
        <w:rPr>
          <w:rFonts w:ascii="Times New Roman" w:hAnsi="Times New Roman"/>
          <w:color w:val="000000"/>
          <w:sz w:val="20"/>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is one of the Securities of the series designated therein referred to in the within-mentioned Indenture.</w:t>
      </w:r>
    </w:p>
    <w:p>
      <w:pPr>
        <w:pStyle w:val="TextBody"/>
        <w:bidi w:val="0"/>
        <w:jc w:val="left"/>
        <w:rPr>
          <w:rFonts w:ascii="Times New Roman" w:hAnsi="Times New Roman"/>
          <w:color w:val="000000"/>
          <w:sz w:val="20"/>
        </w:rPr>
      </w:pPr>
      <w:r>
        <w:rPr>
          <w:rFonts w:ascii="Times New Roman" w:hAnsi="Times New Roman"/>
          <w:color w:val="000000"/>
          <w:sz w:val="20"/>
        </w:rPr>
        <w:t xml:space="preserve">Dated: </w:t>
      </w:r>
    </w:p>
    <w:tbl>
      <w:tblPr>
        <w:tblW w:w="5269" w:type="dxa"/>
        <w:jc w:val="left"/>
        <w:tblInd w:w="0" w:type="dxa"/>
        <w:tblLayout w:type="fixed"/>
        <w:tblCellMar>
          <w:top w:w="28" w:type="dxa"/>
          <w:left w:w="28" w:type="dxa"/>
          <w:bottom w:w="28" w:type="dxa"/>
          <w:right w:w="28" w:type="dxa"/>
        </w:tblCellMar>
      </w:tblPr>
      <w:tblGrid>
        <w:gridCol w:w="124"/>
        <w:gridCol w:w="716"/>
        <w:gridCol w:w="192"/>
        <w:gridCol w:w="4237"/>
      </w:tblGrid>
      <w:tr>
        <w:trPr/>
        <w:tc>
          <w:tcPr>
            <w:tcW w:w="12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3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U.S. BANK TRUST COMPANY, NATIONAL ASSOCIATION,</w:t>
            </w:r>
            <w:r>
              <w:rPr>
                <w:rFonts w:ascii="Times New Roman" w:hAnsi="Times New Roman"/>
                <w:color w:val="000000"/>
                <w:sz w:val="24"/>
              </w:rPr>
              <w:br/>
            </w:r>
            <w:r>
              <w:rPr>
                <w:rFonts w:ascii="Times New Roman" w:hAnsi="Times New Roman"/>
                <w:color w:val="000000"/>
                <w:sz w:val="20"/>
              </w:rPr>
              <w:t>as Trustee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tcBorders>
              <w:top w:val="single" w:sz="8" w:space="0" w:color="000000"/>
            </w:tcBorders>
            <w:tcMar>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Name: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Authorized Signatory</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Global Note]</w:t>
      </w:r>
    </w:p>
    <w:p>
      <w:pPr>
        <w:pStyle w:val="TextBody"/>
        <w:bidi w:val="0"/>
        <w:jc w:val="center"/>
        <w:rPr>
          <w:rFonts w:ascii="Times New Roman" w:hAnsi="Times New Roman"/>
          <w:color w:val="000000"/>
          <w:sz w:val="20"/>
        </w:rPr>
      </w:pPr>
      <w:r>
        <w:rPr>
          <w:rFonts w:ascii="Times New Roman" w:hAnsi="Times New Roman"/>
          <w:color w:val="000000"/>
          <w:sz w:val="20"/>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Runway Growth Finance Corp. </w:t>
      </w:r>
      <w:r>
        <w:rPr>
          <w:rFonts w:ascii="Times New Roman" w:hAnsi="Times New Roman"/>
          <w:color w:val="000000"/>
          <w:sz w:val="24"/>
        </w:rPr>
        <w:br/>
      </w:r>
      <w:r>
        <w:rPr>
          <w:rFonts w:ascii="Times New Roman" w:hAnsi="Times New Roman"/>
          <w:color w:val="000000"/>
          <w:sz w:val="20"/>
        </w:rPr>
        <w:t>7.75% Notes due 2031</w:t>
      </w:r>
    </w:p>
    <w:p>
      <w:pPr>
        <w:pStyle w:val="TextBody"/>
        <w:bidi w:val="0"/>
        <w:jc w:val="both"/>
        <w:rPr>
          <w:rFonts w:ascii="Times New Roman" w:hAnsi="Times New Roman"/>
          <w:color w:val="000000"/>
          <w:sz w:val="20"/>
        </w:rPr>
      </w:pPr>
      <w:r>
        <w:rPr>
          <w:rFonts w:ascii="Times New Roman" w:hAnsi="Times New Roman"/>
          <w:color w:val="000000"/>
          <w:sz w:val="20"/>
        </w:rPr>
        <w:t>This Security is one of a duly authorized issue of Senior Securities of the Company (herein called the “Securities”), issued and to be issued in one or more series under an Indenture, dated as of July 28, 2022 (herein called the “Base Indenture”), between the Company and U.S. Bank Trust Company,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Fifth Supplemental Indenture, dated as of October 1, 2026, by and between the Company and the Trustee (herein called the “Fifth Supplemental Indenture”, the Fifth Supplemental Indenture and the Base Indenture collectively are herein called the “Indenture”). In the event of any conflict between the Base Indenture and the Fifth Supplemental Indenture, the Fifth Supplemental Indenture shall govern and control.</w:t>
      </w:r>
    </w:p>
    <w:p>
      <w:pPr>
        <w:pStyle w:val="TextBody"/>
        <w:bidi w:val="0"/>
        <w:jc w:val="both"/>
        <w:rPr>
          <w:rFonts w:ascii="Times New Roman" w:hAnsi="Times New Roman"/>
          <w:color w:val="000000"/>
          <w:sz w:val="20"/>
        </w:rPr>
      </w:pPr>
      <w:r>
        <w:rPr>
          <w:rFonts w:ascii="Times New Roman" w:hAnsi="Times New Roman"/>
          <w:color w:val="000000"/>
          <w:sz w:val="20"/>
        </w:rPr>
        <w:t>This Security is one of the series designated on the face hereof, initially limited in aggregate principal amount to $____________ (____________ Units).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and other terms as the Securities.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pStyle w:val="TextBody"/>
        <w:bidi w:val="0"/>
        <w:jc w:val="both"/>
        <w:rPr>
          <w:rFonts w:ascii="Times New Roman" w:hAnsi="Times New Roman"/>
          <w:color w:val="000000"/>
          <w:sz w:val="20"/>
        </w:rPr>
      </w:pPr>
      <w:r>
        <w:rPr>
          <w:rFonts w:ascii="Times New Roman" w:hAnsi="Times New Roman"/>
          <w:color w:val="000000"/>
          <w:sz w:val="20"/>
        </w:rPr>
        <w:t>The Securities of this series are subject to redemption in whole or in part at any time or from time to time, at the option of the Company, on or after October 1, 2028, at a redemption price of $25 per security plus accrued and unpaid interest payments otherwise payable for the then-current quarterly interest period accrued to, but excluding, the date fixed for redemption.</w:t>
      </w:r>
    </w:p>
    <w:p>
      <w:pPr>
        <w:pStyle w:val="TextBody"/>
        <w:bidi w:val="0"/>
        <w:jc w:val="both"/>
        <w:rPr>
          <w:rFonts w:ascii="Times New Roman" w:hAnsi="Times New Roman"/>
          <w:color w:val="000000"/>
          <w:sz w:val="20"/>
        </w:rPr>
      </w:pPr>
      <w:r>
        <w:rPr>
          <w:rFonts w:ascii="Times New Roman" w:hAnsi="Times New Roman"/>
          <w:color w:val="000000"/>
          <w:sz w:val="20"/>
        </w:rPr>
        <w:t>Notice of redemption shall be given in writing and mailed, first-class postage prepaid, by overnight courier guaranteeing next-day delivery or sent electronically in accordance with the applicable procedures of DTC with respect to October 2031 Notes in global form, to each Holder of the Securities to be redeemed, not less than thirty (30) nor more than sixty (60) days prior to the Redemption Date, at the Holder’s address, facsimile or email address appearing in the Security Register. All notices of redemption shall contain the information set forth in Section 1104 of the Base Indenture.</w:t>
      </w:r>
    </w:p>
    <w:p>
      <w:pPr>
        <w:pStyle w:val="TextBody"/>
        <w:bidi w:val="0"/>
        <w:jc w:val="both"/>
        <w:rPr>
          <w:rFonts w:ascii="Times New Roman" w:hAnsi="Times New Roman"/>
          <w:color w:val="000000"/>
          <w:sz w:val="20"/>
        </w:rPr>
      </w:pPr>
      <w:r>
        <w:rPr>
          <w:rFonts w:ascii="Times New Roman" w:hAnsi="Times New Roman"/>
          <w:color w:val="000000"/>
          <w:sz w:val="20"/>
        </w:rPr>
        <w:t>Any exercise of the Company’s option to redeem the Securities shall be done in compliance with the Investment Company Act, and the rules, regulations and interpretations promulgated thereunder, to the extent applicable.</w:t>
      </w:r>
    </w:p>
    <w:p>
      <w:pPr>
        <w:pStyle w:val="TextBody"/>
        <w:bidi w:val="0"/>
        <w:jc w:val="both"/>
        <w:rPr>
          <w:rFonts w:ascii="Times New Roman" w:hAnsi="Times New Roman"/>
          <w:color w:val="000000"/>
          <w:sz w:val="20"/>
        </w:rPr>
      </w:pPr>
      <w:r>
        <w:rPr>
          <w:rFonts w:ascii="Times New Roman" w:hAnsi="Times New Roman"/>
          <w:color w:val="000000"/>
          <w:sz w:val="20"/>
        </w:rPr>
        <w:t>If the Company elects to redeem only a portion of the Securities, the particular Securities to be redeemed will be selected by the Trustee in accordance with the applicable procedures of the Depositary and in accordance with Section 1103 of the Base Indenture and the Investment Company Act, and the rules and regulations promulgated thereunder, to the extent applicable. In the event of redemption of this Security in part only, a new Security or Securities of this series and of like tenor for the unredeemed portion hereof shall be issued in the name of the Holder hereof upon the cancellation hereof.</w:t>
      </w:r>
    </w:p>
    <w:p>
      <w:pPr>
        <w:pStyle w:val="TextBody"/>
        <w:bidi w:val="0"/>
        <w:jc w:val="both"/>
        <w:rPr>
          <w:rFonts w:ascii="Times New Roman" w:hAnsi="Times New Roman"/>
          <w:color w:val="000000"/>
          <w:sz w:val="20"/>
        </w:rPr>
      </w:pPr>
      <w:r>
        <w:rPr>
          <w:rFonts w:ascii="Times New Roman" w:hAnsi="Times New Roman"/>
          <w:color w:val="000000"/>
          <w:sz w:val="20"/>
        </w:rPr>
        <w:t>Unless the Company defaults in payment of the Redemption Price, on and after the Redemption Date, interest shall cease to accrue on the Securities called for redemption.</w:t>
      </w:r>
    </w:p>
    <w:p>
      <w:pPr>
        <w:pStyle w:val="TextBody"/>
        <w:bidi w:val="0"/>
        <w:jc w:val="both"/>
        <w:rPr>
          <w:rFonts w:ascii="Times New Roman" w:hAnsi="Times New Roman"/>
          <w:color w:val="000000"/>
          <w:sz w:val="20"/>
        </w:rPr>
      </w:pPr>
      <w:r>
        <w:rPr>
          <w:rFonts w:ascii="Times New Roman" w:hAnsi="Times New Roman"/>
          <w:color w:val="000000"/>
          <w:sz w:val="20"/>
        </w:rPr>
        <w:t>Holders of Securities do not have the option to have the Securities repaid prior to October 1, 2031.</w:t>
      </w:r>
    </w:p>
    <w:p>
      <w:pPr>
        <w:pStyle w:val="TextBody"/>
        <w:bidi w:val="0"/>
        <w:jc w:val="both"/>
        <w:rPr>
          <w:rFonts w:ascii="Times New Roman" w:hAnsi="Times New Roman"/>
          <w:color w:val="000000"/>
          <w:sz w:val="20"/>
        </w:rPr>
      </w:pPr>
      <w:r>
        <w:rPr>
          <w:rFonts w:ascii="Times New Roman" w:hAnsi="Times New Roman"/>
          <w:color w:val="000000"/>
          <w:sz w:val="20"/>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pStyle w:val="TextBody"/>
        <w:bidi w:val="0"/>
        <w:jc w:val="center"/>
        <w:rPr>
          <w:rFonts w:ascii="Times New Roman" w:hAnsi="Times New Roman"/>
          <w:color w:val="000000"/>
          <w:sz w:val="20"/>
        </w:rPr>
      </w:pPr>
      <w:r>
        <w:rPr>
          <w:rFonts w:ascii="Times New Roman" w:hAnsi="Times New Roman"/>
          <w:color w:val="000000"/>
          <w:sz w:val="20"/>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jc w:val="both"/>
        <w:rPr>
          <w:rFonts w:ascii="Times New Roman" w:hAnsi="Times New Roman"/>
          <w:color w:val="000000"/>
          <w:sz w:val="20"/>
        </w:rPr>
      </w:pPr>
      <w:r>
        <w:rPr>
          <w:rFonts w:ascii="Times New Roman" w:hAnsi="Times New Roman"/>
          <w:color w:val="000000"/>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jc w:val="both"/>
        <w:rPr>
          <w:rFonts w:ascii="Times New Roman" w:hAnsi="Times New Roman"/>
          <w:color w:val="000000"/>
          <w:sz w:val="20"/>
        </w:rPr>
      </w:pPr>
      <w:r>
        <w:rPr>
          <w:rFonts w:ascii="Times New Roman" w:hAnsi="Times New Roman"/>
          <w:color w:val="000000"/>
          <w:sz w:val="20"/>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other than an Event of Default referred to in Section 501(5) or Section 501(6) of the Indenture with respect to the Company,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and/or security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 If an Event of Default referred to in Section 501(5) or Section 501(6) of the Indenture with respect to the Company has occurred, the entire principal amount of all the Securities of this series shall automatically become due and immediately payable.</w:t>
      </w:r>
    </w:p>
    <w:p>
      <w:pPr>
        <w:pStyle w:val="TextBody"/>
        <w:bidi w:val="0"/>
        <w:jc w:val="both"/>
        <w:rPr>
          <w:rFonts w:ascii="Times New Roman" w:hAnsi="Times New Roman"/>
          <w:color w:val="000000"/>
          <w:sz w:val="20"/>
        </w:rPr>
      </w:pPr>
      <w:r>
        <w:rPr>
          <w:rFonts w:ascii="Times New Roman" w:hAnsi="Times New Roman"/>
          <w:color w:val="000000"/>
          <w:sz w:val="20"/>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prescribed herein or in the Indenture.</w:t>
      </w:r>
    </w:p>
    <w:p>
      <w:pPr>
        <w:pStyle w:val="TextBody"/>
        <w:bidi w:val="0"/>
        <w:jc w:val="both"/>
        <w:rPr>
          <w:rFonts w:ascii="Times New Roman" w:hAnsi="Times New Roman"/>
          <w:color w:val="000000"/>
          <w:sz w:val="20"/>
        </w:rPr>
      </w:pPr>
      <w:r>
        <w:rPr>
          <w:rFonts w:ascii="Times New Roman" w:hAnsi="Times New Roman"/>
          <w:color w:val="000000"/>
          <w:sz w:val="20"/>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jc w:val="both"/>
        <w:rPr>
          <w:rFonts w:ascii="Times New Roman" w:hAnsi="Times New Roman"/>
          <w:color w:val="000000"/>
          <w:sz w:val="20"/>
        </w:rPr>
      </w:pPr>
      <w:r>
        <w:rPr>
          <w:rFonts w:ascii="Times New Roman" w:hAnsi="Times New Roman"/>
          <w:color w:val="000000"/>
          <w:sz w:val="20"/>
        </w:rPr>
        <w:t>The Securities of this series are issuable only in registered form without coupons in denominations of $25 and any integral multiples of $25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jc w:val="both"/>
        <w:rPr>
          <w:rFonts w:ascii="Times New Roman" w:hAnsi="Times New Roman"/>
          <w:color w:val="000000"/>
          <w:sz w:val="20"/>
        </w:rPr>
      </w:pPr>
      <w:r>
        <w:rPr>
          <w:rFonts w:ascii="Times New Roman" w:hAnsi="Times New Roman"/>
          <w:color w:val="000000"/>
          <w:sz w:val="20"/>
        </w:rPr>
        <w:t>No service charge shall be made for any such registration of transfer or exchange, but the Company or Trustee may require payment of a sum sufficient to cover any tax or other governmental charge payable in connection therewith.</w:t>
      </w:r>
    </w:p>
    <w:p>
      <w:pPr>
        <w:pStyle w:val="TextBody"/>
        <w:bidi w:val="0"/>
        <w:jc w:val="both"/>
        <w:rPr>
          <w:rFonts w:ascii="Times New Roman" w:hAnsi="Times New Roman"/>
          <w:color w:val="000000"/>
          <w:sz w:val="20"/>
        </w:rPr>
      </w:pPr>
      <w:r>
        <w:rPr>
          <w:rFonts w:ascii="Times New Roman" w:hAnsi="Times New Roman"/>
          <w:color w:val="000000"/>
          <w:sz w:val="20"/>
        </w:rPr>
        <w:t xml:space="preserve">Prior to due presentment of this Security for registration of transfer, the Company, the Trustee and any agent of the Company or the Trustee may treat the Person in whose name this Security is registered as the owner hereof for </w:t>
      </w:r>
    </w:p>
    <w:p>
      <w:pPr>
        <w:pStyle w:val="TextBody"/>
        <w:bidi w:val="0"/>
        <w:jc w:val="center"/>
        <w:rPr>
          <w:rFonts w:ascii="Times New Roman" w:hAnsi="Times New Roman"/>
          <w:color w:val="000000"/>
          <w:sz w:val="20"/>
        </w:rPr>
      </w:pPr>
      <w:r>
        <w:rPr>
          <w:rFonts w:ascii="Times New Roman" w:hAnsi="Times New Roman"/>
          <w:color w:val="000000"/>
          <w:sz w:val="20"/>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purposes, whether or not this Security be overdue, and neither the Company, the Trustee nor any such agent shall be affected by notice to the contrary.</w:t>
      </w:r>
    </w:p>
    <w:p>
      <w:pPr>
        <w:pStyle w:val="TextBody"/>
        <w:bidi w:val="0"/>
        <w:jc w:val="both"/>
        <w:rPr>
          <w:rFonts w:ascii="Times New Roman" w:hAnsi="Times New Roman"/>
          <w:color w:val="000000"/>
          <w:sz w:val="20"/>
        </w:rPr>
      </w:pPr>
      <w:r>
        <w:rPr>
          <w:rFonts w:ascii="Times New Roman" w:hAnsi="Times New Roman"/>
          <w:color w:val="000000"/>
          <w:sz w:val="20"/>
        </w:rPr>
        <w:t>All terms used in this Security which are defined in the Indenture shall have the meanings assigned to them in the Indenture.</w:t>
      </w:r>
    </w:p>
    <w:p>
      <w:pPr>
        <w:pStyle w:val="TextBody"/>
        <w:bidi w:val="0"/>
        <w:jc w:val="both"/>
        <w:rPr>
          <w:rFonts w:ascii="Times New Roman" w:hAnsi="Times New Roman"/>
          <w:color w:val="000000"/>
          <w:sz w:val="20"/>
        </w:rPr>
      </w:pPr>
      <w:r>
        <w:rPr>
          <w:rFonts w:ascii="Times New Roman" w:hAnsi="Times New Roman"/>
          <w:color w:val="000000"/>
          <w:sz w:val="20"/>
        </w:rPr>
        <w:t>The Indenture and this Security shall be governed by and construed in accordance with the laws of the State of New York, without regard to principles of conflicts of laws.</w:t>
      </w:r>
    </w:p>
    <w:p>
      <w:pPr>
        <w:pStyle w:val="TextBody"/>
        <w:bidi w:val="0"/>
        <w:jc w:val="center"/>
        <w:rPr>
          <w:rFonts w:ascii="Times New Roman" w:hAnsi="Times New Roman"/>
          <w:color w:val="000000"/>
          <w:sz w:val="20"/>
        </w:rPr>
      </w:pPr>
      <w:r>
        <w:rPr>
          <w:rFonts w:ascii="Times New Roman" w:hAnsi="Times New Roman"/>
          <w:color w:val="000000"/>
          <w:sz w:val="20"/>
        </w:rPr>
        <w:t>A-7</w:t>
      </w:r>
    </w:p>
    <w:p>
      <w:pPr>
        <w:pStyle w:val="HorizontalLine"/>
        <w:pBdr>
          <w:bottom w:val="double" w:sz="2" w:space="0" w:color="808080"/>
        </w:pBdr>
        <w:bidi w:val="0"/>
        <w:spacing w:before="0" w:after="283"/>
        <w:jc w:val="left"/>
        <w:rPr/>
      </w:pPr>
      <w:r>
        <w:rPr/>
      </w:r>
    </w:p>
    <w:p>
      <w:pPr>
        <w:pStyle w:val="TextBody"/>
        <w:bidi w:val="0"/>
        <w:spacing w:before="0" w:after="720"/>
        <w:ind w:left="0" w:right="0" w:hanging="0"/>
        <w:jc w:val="right"/>
        <w:rPr>
          <w:rFonts w:ascii="Times New Roman" w:hAnsi="Times New Roman"/>
          <w:sz w:val="22"/>
        </w:rPr>
      </w:pPr>
      <w:bookmarkStart w:id="4" w:name="rway-ex5_1.htm"/>
      <w:bookmarkStart w:id="5" w:name="ksrwayex5_1"/>
      <w:bookmarkEnd w:id="4"/>
      <w:bookmarkEnd w:id="5"/>
      <w:r>
        <w:rPr>
          <w:rFonts w:ascii="Times New Roman" w:hAnsi="Times New Roman"/>
          <w:b/>
          <w:color w:val="000000"/>
          <w:sz w:val="22"/>
        </w:rPr>
        <w:t>Exhibit 5.1</w:t>
      </w:r>
      <w:r>
        <w:rPr>
          <w:rFonts w:ascii="Times New Roman" w:hAnsi="Times New Roman"/>
          <w:color w:val="000000"/>
          <w:sz w:val="22"/>
        </w:rPr>
        <w:t xml:space="preserve"> </w:t>
      </w:r>
      <w:r>
        <w:br w:type="page"/>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October 1, 2026</w:t>
      </w:r>
    </w:p>
    <w:p>
      <w:pPr>
        <w:pStyle w:val="TextBody"/>
        <w:bidi w:val="0"/>
        <w:jc w:val="left"/>
        <w:rPr>
          <w:rFonts w:ascii="Times New Roman" w:hAnsi="Times New Roman"/>
          <w:color w:val="000000"/>
          <w:sz w:val="22"/>
        </w:rPr>
      </w:pPr>
      <w:r>
        <w:rPr>
          <w:rFonts w:ascii="Times New Roman" w:hAnsi="Times New Roman"/>
          <w:color w:val="000000"/>
          <w:sz w:val="22"/>
        </w:rPr>
        <w:t xml:space="preserve">Runway Growth Finance Corp. </w:t>
        <w:br/>
        <w:t>205 N. Michigan Ave., Suite 4200</w:t>
        <w:br/>
        <w:t>Chicago, Illinois 60601</w:t>
      </w:r>
    </w:p>
    <w:p>
      <w:pPr>
        <w:pStyle w:val="TextBody"/>
        <w:bidi w:val="0"/>
        <w:jc w:val="left"/>
        <w:rPr/>
      </w:pPr>
      <w:r>
        <w:rPr/>
        <w:t> </w:t>
      </w:r>
    </w:p>
    <w:p>
      <w:pPr>
        <w:pStyle w:val="TextBody"/>
        <w:bidi w:val="0"/>
        <w:ind w:left="0" w:right="0" w:firstLine="720"/>
        <w:jc w:val="left"/>
        <w:rPr>
          <w:rFonts w:ascii="Times New Roman" w:hAnsi="Times New Roman"/>
          <w:sz w:val="22"/>
        </w:rPr>
      </w:pPr>
      <w:r>
        <w:rPr>
          <w:rFonts w:ascii="Times New Roman" w:hAnsi="Times New Roman"/>
          <w:color w:val="000000"/>
          <w:sz w:val="22"/>
        </w:rPr>
        <w:t xml:space="preserve">Re: </w:t>
      </w:r>
      <w:r>
        <w:rPr>
          <w:rFonts w:ascii="Times New Roman" w:hAnsi="Times New Roman"/>
          <w:color w:val="000000"/>
          <w:sz w:val="22"/>
          <w:u w:val="single"/>
        </w:rPr>
        <w:t>Registration Statement on Form N-2</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Ladies and Gentlemen:</w:t>
      </w:r>
    </w:p>
    <w:p>
      <w:pPr>
        <w:pStyle w:val="TextBody"/>
        <w:bidi w:val="0"/>
        <w:jc w:val="left"/>
        <w:rPr/>
      </w:pPr>
      <w:r>
        <w:rPr/>
        <w:t> </w:t>
      </w:r>
    </w:p>
    <w:p>
      <w:pPr>
        <w:pStyle w:val="TextBody"/>
        <w:bidi w:val="0"/>
        <w:spacing w:before="0" w:after="200"/>
        <w:jc w:val="both"/>
        <w:rPr>
          <w:rFonts w:ascii="Times New Roman" w:hAnsi="Times New Roman"/>
          <w:sz w:val="22"/>
        </w:rPr>
      </w:pPr>
      <w:r>
        <w:rPr>
          <w:rFonts w:ascii="Times New Roman" w:hAnsi="Times New Roman"/>
          <w:color w:val="000000"/>
          <w:sz w:val="22"/>
        </w:rPr>
        <w:t>We have acted as counsel to Runway Growth Finance Corp., a Maryland corporation (the “</w:t>
      </w:r>
      <w:r>
        <w:rPr>
          <w:rFonts w:ascii="Times New Roman" w:hAnsi="Times New Roman"/>
          <w:color w:val="000000"/>
          <w:sz w:val="22"/>
          <w:u w:val="single"/>
        </w:rPr>
        <w:t>Company</w:t>
      </w:r>
      <w:r>
        <w:rPr>
          <w:rFonts w:ascii="Times New Roman" w:hAnsi="Times New Roman"/>
          <w:color w:val="000000"/>
          <w:sz w:val="22"/>
        </w:rPr>
        <w:t>”), in connection with the public offering of $46,329,125 in aggregate principal amount (including $1,329,125 aggregate principal amount of the underwriters’ overallotment option exercised in part) of the Company’s 7.75% unsecured notes due 2031 (the “</w:t>
      </w:r>
      <w:r>
        <w:rPr>
          <w:rFonts w:ascii="Times New Roman" w:hAnsi="Times New Roman"/>
          <w:color w:val="000000"/>
          <w:sz w:val="22"/>
          <w:u w:val="single"/>
        </w:rPr>
        <w:t>Notes</w:t>
      </w:r>
      <w:r>
        <w:rPr>
          <w:rFonts w:ascii="Times New Roman" w:hAnsi="Times New Roman"/>
          <w:color w:val="000000"/>
          <w:sz w:val="22"/>
        </w:rPr>
        <w:t>”), pursuant to the Company’s registration statement on Form N-2 (File No. 333-284781) (as amended as of the date hereof, the “</w:t>
      </w:r>
      <w:r>
        <w:rPr>
          <w:rFonts w:ascii="Times New Roman" w:hAnsi="Times New Roman"/>
          <w:color w:val="000000"/>
          <w:sz w:val="22"/>
          <w:u w:val="single"/>
        </w:rPr>
        <w:t>Registration Statement</w:t>
      </w:r>
      <w:r>
        <w:rPr>
          <w:rFonts w:ascii="Times New Roman" w:hAnsi="Times New Roman"/>
          <w:color w:val="000000"/>
          <w:sz w:val="22"/>
        </w:rPr>
        <w:t>”) filed with the U.S. Securities and Exchange Commission (the “</w:t>
      </w:r>
      <w:r>
        <w:rPr>
          <w:rFonts w:ascii="Times New Roman" w:hAnsi="Times New Roman"/>
          <w:color w:val="000000"/>
          <w:sz w:val="22"/>
          <w:u w:val="single"/>
        </w:rPr>
        <w:t>Commission</w:t>
      </w:r>
      <w:r>
        <w:rPr>
          <w:rFonts w:ascii="Times New Roman" w:hAnsi="Times New Roman"/>
          <w:color w:val="000000"/>
          <w:sz w:val="22"/>
        </w:rPr>
        <w:t>”) and previously declared effective by the Commission on March 19, 2025, relating to the public offering of securities of the Company that may be offered by the Company from time to time as set forth in the prospectus dated March 19, 2025, which was included in the Registration Statement and forms a part of the Registration Statement (the “</w:t>
      </w:r>
      <w:r>
        <w:rPr>
          <w:rFonts w:ascii="Times New Roman" w:hAnsi="Times New Roman"/>
          <w:color w:val="000000"/>
          <w:sz w:val="22"/>
          <w:u w:val="single"/>
        </w:rPr>
        <w:t>Prospectus</w:t>
      </w:r>
      <w:r>
        <w:rPr>
          <w:rFonts w:ascii="Times New Roman" w:hAnsi="Times New Roman"/>
          <w:color w:val="000000"/>
          <w:sz w:val="22"/>
        </w:rPr>
        <w:t>”), and as may be set forth from time to time in amounts, at prices, and on terms to be set forth in one or more supplements to the Prospectus. This opinion letter is rendered in connection with such public offering of the Notes, as described in the prospectus supplement dated September 24, 2026 (the “</w:t>
      </w:r>
      <w:r>
        <w:rPr>
          <w:rFonts w:ascii="Times New Roman" w:hAnsi="Times New Roman"/>
          <w:color w:val="000000"/>
          <w:sz w:val="22"/>
          <w:u w:val="single"/>
        </w:rPr>
        <w:t>Prospectus Supplement</w:t>
      </w:r>
      <w:r>
        <w:rPr>
          <w:rFonts w:ascii="Times New Roman" w:hAnsi="Times New Roman"/>
          <w:color w:val="000000"/>
          <w:sz w:val="22"/>
        </w:rPr>
        <w:t>”), filed with the Commission pursuant to Rule 424 under the Securities Act of 1933, as amended (the “</w:t>
      </w:r>
      <w:r>
        <w:rPr>
          <w:rFonts w:ascii="Times New Roman" w:hAnsi="Times New Roman"/>
          <w:color w:val="000000"/>
          <w:sz w:val="22"/>
          <w:u w:val="single"/>
        </w:rPr>
        <w:t>Securities Act</w:t>
      </w:r>
      <w:r>
        <w:rPr>
          <w:rFonts w:ascii="Times New Roman" w:hAnsi="Times New Roman"/>
          <w:color w:val="000000"/>
          <w:sz w:val="22"/>
        </w:rPr>
        <w:t>”). All of the Notes are to be sold by the Company as described in the Registration Statement and related Prospectus and Prospectus Supplement. This opinion letter is being furnished to the Company in accordance with the requirements of Item 25 of Form N-2 under the Securities Act, and no opinion is expressed herein as to any matter other than as to the legality of the Indenture (as defined below) and the Notes.</w:t>
      </w:r>
    </w:p>
    <w:p>
      <w:pPr>
        <w:pStyle w:val="TextBody"/>
        <w:bidi w:val="0"/>
        <w:spacing w:before="0" w:after="200"/>
        <w:jc w:val="both"/>
        <w:rPr>
          <w:rFonts w:ascii="Times New Roman" w:hAnsi="Times New Roman"/>
          <w:sz w:val="22"/>
        </w:rPr>
      </w:pPr>
      <w:r>
        <w:rPr>
          <w:rFonts w:ascii="Times New Roman" w:hAnsi="Times New Roman"/>
          <w:color w:val="000000"/>
          <w:sz w:val="22"/>
        </w:rPr>
        <w:t>The Notes have been issued pursuant to the indenture dated as of July 28, 2022 (the “</w:t>
      </w:r>
      <w:r>
        <w:rPr>
          <w:rFonts w:ascii="Times New Roman" w:hAnsi="Times New Roman"/>
          <w:color w:val="000000"/>
          <w:sz w:val="22"/>
          <w:u w:val="single"/>
        </w:rPr>
        <w:t>Base Indenture</w:t>
      </w:r>
      <w:r>
        <w:rPr>
          <w:rFonts w:ascii="Times New Roman" w:hAnsi="Times New Roman"/>
          <w:color w:val="000000"/>
          <w:sz w:val="22"/>
        </w:rPr>
        <w:t>”), between the Company and U.S. Bank Trust Company, National Association, as trustee (the “</w:t>
      </w:r>
      <w:r>
        <w:rPr>
          <w:rFonts w:ascii="Times New Roman" w:hAnsi="Times New Roman"/>
          <w:color w:val="000000"/>
          <w:sz w:val="22"/>
          <w:u w:val="single"/>
        </w:rPr>
        <w:t>Trustee</w:t>
      </w:r>
      <w:r>
        <w:rPr>
          <w:rFonts w:ascii="Times New Roman" w:hAnsi="Times New Roman"/>
          <w:color w:val="000000"/>
          <w:sz w:val="22"/>
        </w:rPr>
        <w:t>”), as supplemented by the Fifth Supplemental Indenture, dated as of October 1, 2026 (together with the Base Indenture, the “</w:t>
      </w:r>
      <w:r>
        <w:rPr>
          <w:rFonts w:ascii="Times New Roman" w:hAnsi="Times New Roman"/>
          <w:color w:val="000000"/>
          <w:sz w:val="22"/>
          <w:u w:val="single"/>
        </w:rPr>
        <w:t>Indenture</w:t>
      </w:r>
      <w:r>
        <w:rPr>
          <w:rFonts w:ascii="Times New Roman" w:hAnsi="Times New Roman"/>
          <w:color w:val="000000"/>
          <w:sz w:val="22"/>
        </w:rPr>
        <w:t>”), between the Company and the Trustee.</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 xml:space="preserve">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October 1, 2026</w:t>
      </w:r>
    </w:p>
    <w:p>
      <w:pPr>
        <w:pStyle w:val="TextBody"/>
        <w:bidi w:val="0"/>
        <w:jc w:val="right"/>
        <w:rPr>
          <w:rFonts w:ascii="Times New Roman" w:hAnsi="Times New Roman"/>
          <w:color w:val="000000"/>
          <w:sz w:val="22"/>
        </w:rPr>
      </w:pPr>
      <w:r>
        <w:rPr>
          <w:rFonts w:ascii="Times New Roman" w:hAnsi="Times New Roman"/>
          <w:color w:val="000000"/>
          <w:sz w:val="22"/>
        </w:rPr>
        <w:t>Page 2</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or other representatives of the Company and others, and such other documents as we have deemed necessary or appropriate as a basis for rendering this opinion, including the following documents: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 the Registration Statement;</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(ii) the Underwriting Agreement, dated September 24, 2026, by and among the Company, Runway Growth Capital LLC, as Adviser, and Oppenheimer &amp; Co. Inc., as representative of the Underwriters;</w:t>
      </w:r>
    </w:p>
    <w:p>
      <w:pPr>
        <w:pStyle w:val="TextBody"/>
        <w:pBdr/>
        <w:bidi w:val="0"/>
        <w:spacing w:before="0" w:after="200"/>
        <w:ind w:left="720" w:right="0" w:hanging="710"/>
        <w:jc w:val="both"/>
        <w:rPr>
          <w:rFonts w:ascii="Times New Roman" w:hAnsi="Times New Roman"/>
          <w:color w:val="000000"/>
          <w:sz w:val="22"/>
        </w:rPr>
      </w:pPr>
      <w:r>
        <w:rPr>
          <w:rFonts w:ascii="Times New Roman" w:hAnsi="Times New Roman"/>
          <w:color w:val="000000"/>
          <w:sz w:val="22"/>
        </w:rPr>
        <w:t>(iii) the Indenture;</w:t>
      </w:r>
    </w:p>
    <w:p>
      <w:pPr>
        <w:pStyle w:val="TextBody"/>
        <w:pBdr/>
        <w:bidi w:val="0"/>
        <w:spacing w:before="0" w:after="200"/>
        <w:ind w:left="720" w:right="0" w:hanging="710"/>
        <w:jc w:val="both"/>
        <w:rPr>
          <w:rFonts w:ascii="Times New Roman" w:hAnsi="Times New Roman"/>
          <w:color w:val="000000"/>
          <w:sz w:val="22"/>
        </w:rPr>
      </w:pPr>
      <w:r>
        <w:rPr>
          <w:rFonts w:ascii="Times New Roman" w:hAnsi="Times New Roman"/>
          <w:color w:val="000000"/>
          <w:sz w:val="22"/>
        </w:rPr>
        <w:t xml:space="preserve">(iv) a specimen copy of the form of the Notes to be issued pursuant to the Indenture; </w:t>
      </w:r>
    </w:p>
    <w:p>
      <w:pPr>
        <w:pStyle w:val="TextBody"/>
        <w:pBdr/>
        <w:bidi w:val="0"/>
        <w:spacing w:before="0" w:after="200"/>
        <w:ind w:left="720" w:right="0" w:hanging="710"/>
        <w:jc w:val="both"/>
        <w:rPr>
          <w:rFonts w:ascii="Times New Roman" w:hAnsi="Times New Roman"/>
          <w:color w:val="000000"/>
          <w:sz w:val="22"/>
        </w:rPr>
      </w:pPr>
      <w:r>
        <w:rPr>
          <w:rFonts w:ascii="Times New Roman" w:hAnsi="Times New Roman"/>
          <w:color w:val="000000"/>
          <w:sz w:val="22"/>
        </w:rPr>
        <w:t>(v) the Articles of Amendment and Restatement and the Articles of Amendment of the Company;</w:t>
      </w:r>
    </w:p>
    <w:p>
      <w:pPr>
        <w:pStyle w:val="TextBody"/>
        <w:pBdr/>
        <w:bidi w:val="0"/>
        <w:spacing w:before="0" w:after="200"/>
        <w:ind w:left="720" w:right="0" w:hanging="710"/>
        <w:jc w:val="both"/>
        <w:rPr>
          <w:rFonts w:ascii="Times New Roman" w:hAnsi="Times New Roman"/>
          <w:color w:val="000000"/>
          <w:sz w:val="22"/>
        </w:rPr>
      </w:pPr>
      <w:r>
        <w:rPr>
          <w:rFonts w:ascii="Times New Roman" w:hAnsi="Times New Roman"/>
          <w:color w:val="000000"/>
          <w:sz w:val="22"/>
        </w:rPr>
        <w:t xml:space="preserve">(vi) the Third Amended and Restated Bylaws of the Company; </w:t>
      </w:r>
    </w:p>
    <w:p>
      <w:pPr>
        <w:pStyle w:val="TextBody"/>
        <w:pBdr/>
        <w:bidi w:val="0"/>
        <w:spacing w:before="0" w:after="200"/>
        <w:ind w:left="720" w:right="0" w:hanging="710"/>
        <w:jc w:val="both"/>
        <w:rPr>
          <w:rFonts w:ascii="Times New Roman" w:hAnsi="Times New Roman"/>
          <w:color w:val="000000"/>
          <w:sz w:val="22"/>
        </w:rPr>
      </w:pPr>
      <w:r>
        <w:rPr>
          <w:rFonts w:ascii="Times New Roman" w:hAnsi="Times New Roman"/>
          <w:color w:val="000000"/>
          <w:sz w:val="22"/>
        </w:rPr>
        <w:t>(vii) a certificate of good standing with respect to the Company issued by the State Department of Assessments and Taxation of the State of Maryland as of a recent date; and</w:t>
      </w:r>
    </w:p>
    <w:p>
      <w:pPr>
        <w:pStyle w:val="TextBody"/>
        <w:pBdr/>
        <w:bidi w:val="0"/>
        <w:spacing w:before="0" w:after="200"/>
        <w:ind w:left="720" w:right="0" w:hanging="710"/>
        <w:jc w:val="both"/>
        <w:rPr>
          <w:rFonts w:ascii="Times New Roman" w:hAnsi="Times New Roman"/>
          <w:color w:val="000000"/>
          <w:sz w:val="22"/>
        </w:rPr>
      </w:pPr>
      <w:r>
        <w:rPr>
          <w:rFonts w:ascii="Times New Roman" w:hAnsi="Times New Roman"/>
          <w:color w:val="000000"/>
          <w:sz w:val="22"/>
        </w:rPr>
        <w:t>(viii) resolutions of the board of directors of the Company relating to, among other things, the authorization and issuance of the Notes.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As to the facts upon which this opinion letter is based, we have relied, to the extent we deem proper, upon certificates of public officials and certificates, written statements and oral representations of officers, directors, employees and representatives of the Company without having independently verified such factual matters.</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In our examination, we have assumed the genuineness of all signatures, the authenticity of all documents submitted to us as original documents and the conformity to original documents of all documents submitted to us as copies. In addition, we have assumed (i) the legal capacity of natural persons and (ii) the legal power and authority of all persons signing on behalf of the parties to all documents (other than the Company).</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On the basis of the foregoing, such examination of law as we have deemed necessary, and subject to the assumptions and qualifications set forth in this letter, we are of the opinion that:</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1. The Indenture has been duly authorized, executed and delivered by the Company and constitutes the valid and legally binding obligation of the Company, enforceable against the Company in accordance with its terms.</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October 1, 2026</w:t>
      </w:r>
    </w:p>
    <w:p>
      <w:pPr>
        <w:pStyle w:val="TextBody"/>
        <w:bidi w:val="0"/>
        <w:jc w:val="right"/>
        <w:rPr>
          <w:rFonts w:ascii="Times New Roman" w:hAnsi="Times New Roman"/>
          <w:color w:val="000000"/>
          <w:sz w:val="22"/>
        </w:rPr>
      </w:pPr>
      <w:r>
        <w:rPr>
          <w:rFonts w:ascii="Times New Roman" w:hAnsi="Times New Roman"/>
          <w:color w:val="000000"/>
          <w:sz w:val="22"/>
        </w:rPr>
        <w:t>Page 3</w:t>
      </w:r>
    </w:p>
    <w:p>
      <w:pPr>
        <w:pStyle w:val="TextBody"/>
        <w:bidi w:val="0"/>
        <w:spacing w:before="0" w:after="200"/>
        <w:ind w:left="0" w:right="0" w:firstLine="720"/>
        <w:jc w:val="both"/>
        <w:rPr>
          <w:rFonts w:ascii="Times New Roman" w:hAnsi="Times New Roman"/>
          <w:color w:val="000000"/>
          <w:sz w:val="22"/>
        </w:rPr>
      </w:pPr>
      <w:r>
        <w:rPr>
          <w:rFonts w:ascii="Times New Roman" w:hAnsi="Times New Roman"/>
          <w:color w:val="000000"/>
          <w:sz w:val="22"/>
        </w:rPr>
        <w:t>2. Assuming the Notes have been duly authenticated by the Trustee in accordance with the terms of the Indenture, the Notes constitute valid and legally binding obligations of the Company, enforceable against the Company in accordance with their terms.</w:t>
      </w:r>
    </w:p>
    <w:p>
      <w:pPr>
        <w:pStyle w:val="TextBody"/>
        <w:bidi w:val="0"/>
        <w:jc w:val="both"/>
        <w:rPr>
          <w:rFonts w:ascii="Times New Roman" w:hAnsi="Times New Roman"/>
          <w:color w:val="000000"/>
          <w:sz w:val="22"/>
        </w:rPr>
      </w:pPr>
      <w:r>
        <w:rPr>
          <w:rFonts w:ascii="Times New Roman" w:hAnsi="Times New Roman"/>
          <w:color w:val="000000"/>
          <w:sz w:val="22"/>
        </w:rPr>
        <w:t xml:space="preserve">The opinions set forth herein are subject to the following assumptions and qualifications being true and correct at or before the issuance of the Notes: </w:t>
      </w:r>
    </w:p>
    <w:p>
      <w:pPr>
        <w:pStyle w:val="TextBody"/>
        <w:bidi w:val="0"/>
        <w:jc w:val="both"/>
        <w:rPr/>
      </w:pPr>
      <w:r>
        <w:rPr/>
        <w:t> </w:t>
      </w:r>
    </w:p>
    <w:p>
      <w:pPr>
        <w:pStyle w:val="TextBody"/>
        <w:pBdr/>
        <w:bidi w:val="0"/>
        <w:ind w:left="720" w:right="0" w:hanging="720"/>
        <w:jc w:val="both"/>
        <w:rPr>
          <w:rFonts w:ascii="Times New Roman" w:hAnsi="Times New Roman"/>
          <w:color w:val="000000"/>
          <w:sz w:val="22"/>
        </w:rPr>
      </w:pPr>
      <w:r>
        <w:rPr>
          <w:rFonts w:ascii="Times New Roman" w:hAnsi="Times New Roman"/>
          <w:color w:val="000000"/>
          <w:sz w:val="22"/>
        </w:rPr>
        <w:t>(i) the Indenture and the Notes have been duly authorized, executed and delivered by each party thereto (other than the Company); and</w:t>
      </w:r>
    </w:p>
    <w:p>
      <w:pPr>
        <w:pStyle w:val="TextBody"/>
        <w:bidi w:val="0"/>
        <w:ind w:left="720" w:right="0" w:hanging="0"/>
        <w:jc w:val="both"/>
        <w:rPr/>
      </w:pPr>
      <w:r>
        <w:rPr/>
        <w:t> </w:t>
      </w:r>
    </w:p>
    <w:p>
      <w:pPr>
        <w:pStyle w:val="TextBody"/>
        <w:pBdr/>
        <w:bidi w:val="0"/>
        <w:ind w:left="720" w:right="0" w:hanging="720"/>
        <w:jc w:val="both"/>
        <w:rPr>
          <w:rFonts w:ascii="Times New Roman" w:hAnsi="Times New Roman"/>
          <w:color w:val="000000"/>
          <w:sz w:val="22"/>
        </w:rPr>
      </w:pPr>
      <w:r>
        <w:rPr>
          <w:rFonts w:ascii="Times New Roman" w:hAnsi="Times New Roman"/>
          <w:color w:val="000000"/>
          <w:sz w:val="22"/>
        </w:rPr>
        <w:t>(ii) the terms of the Notes as established comply with the applicable requirements of the Investment Company Act of 1940, as amended.</w:t>
      </w:r>
    </w:p>
    <w:p>
      <w:pPr>
        <w:pStyle w:val="TextBody"/>
        <w:pBdr/>
        <w:bidi w:val="0"/>
        <w:ind w:left="720" w:right="0" w:hanging="72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an implied covenant of good faith and fair dealing; (iv) provisions of law which may require that a judgment for money damages rendered by a court in the United States be expressed only in U.S. dollars; (v)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(iv) governmental authority to limit, delay or prohibit the making of payments outside the United States or in foreign currency or composite currency.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opinions expressed herein are limited to the federal laws of the United States of America, the laws of the State of New York and the Maryland General Corporation Law. We are members of the bar of the State of New York.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2"/>
        </w:rPr>
      </w:pPr>
      <w:r>
        <w:rPr>
          <w:rFonts w:ascii="Times New Roman" w:hAnsi="Times New Roman"/>
          <w:color w:val="000000"/>
          <w:sz w:val="22"/>
        </w:rPr>
        <w:t>October 1, 2026</w:t>
      </w:r>
    </w:p>
    <w:p>
      <w:pPr>
        <w:pStyle w:val="TextBody"/>
        <w:bidi w:val="0"/>
        <w:jc w:val="right"/>
        <w:rPr>
          <w:rFonts w:ascii="Times New Roman" w:hAnsi="Times New Roman"/>
          <w:color w:val="000000"/>
          <w:sz w:val="22"/>
        </w:rPr>
      </w:pPr>
      <w:r>
        <w:rPr>
          <w:rFonts w:ascii="Times New Roman" w:hAnsi="Times New Roman"/>
          <w:color w:val="000000"/>
          <w:sz w:val="22"/>
        </w:rPr>
        <w:t>Page 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assume no obligation to advise you of any changes in the foregoing subsequent to the date of this opinion.</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We hereby consent to the filing of this opinion as an exhibit to the Company’s Current Report on Form 8-K, dated October 1, 2026 and to the reference to this firm under the caption “Legal Matters” in the Prospectus Supplement which forms a part of the Registration Statement. In giving such consent, we do not thereby admit that we are in the category of persons whose consent is required under Section 7 of the Securities Act or the rules and regulations of the Commission thereunder.</w:t>
      </w:r>
    </w:p>
    <w:p>
      <w:pPr>
        <w:pStyle w:val="TextBody"/>
        <w:bidi w:val="0"/>
        <w:jc w:val="left"/>
        <w:rPr>
          <w:rFonts w:ascii="Times New Roman" w:hAnsi="Times New Roman"/>
          <w:color w:val="000000"/>
          <w:sz w:val="22"/>
        </w:rPr>
      </w:pPr>
      <w:r>
        <w:rPr>
          <w:rFonts w:ascii="Times New Roman" w:hAnsi="Times New Roman"/>
          <w:color w:val="000000"/>
          <w:sz w:val="22"/>
        </w:rPr>
        <w:t>Very truly yours,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 Dechert LLP</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hyperlink" Target="https://www.sec.gov/Archives/edgar/data/1653384/000110465922083650/tm2222036d1_ex4-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9807</Words>
  <Characters>50726</Characters>
  <CharactersWithSpaces>60479</CharactersWithSpaces>
  <Paragraphs>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