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(Mark One)</w:t>
      </w:r>
    </w:p>
    <w:p>
      <w:pPr>
        <w:spacing w:after="0" w:line="9" w:lineRule="exact"/>
        <w:rPr>
          <w:sz w:val="24"/>
          <w:szCs w:val="24"/>
          <w:color w:val="auto"/>
        </w:rPr>
      </w:pPr>
    </w:p>
    <w:p>
      <w:pPr>
        <w:ind w:left="2280" w:right="220" w:hanging="1226"/>
        <w:spacing w:after="0" w:line="229" w:lineRule="auto"/>
        <w:tabs>
          <w:tab w:leader="none" w:pos="22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98" w:lineRule="exact"/>
        <w:rPr>
          <w:sz w:val="24"/>
          <w:szCs w:val="24"/>
          <w:color w:val="auto"/>
        </w:rPr>
      </w:pPr>
    </w:p>
    <w:p>
      <w:pPr>
        <w:ind w:left="2280" w:right="220" w:hanging="1226"/>
        <w:spacing w:after="0" w:line="237" w:lineRule="auto"/>
        <w:tabs>
          <w:tab w:leader="none" w:pos="22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814-01180</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Runway Growth Finance Corp.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78" w:lineRule="exact"/>
        <w:rPr>
          <w:sz w:val="24"/>
          <w:szCs w:val="24"/>
          <w:color w:val="auto"/>
        </w:rPr>
      </w:pPr>
    </w:p>
    <w:tbl>
      <w:tblPr>
        <w:tblLayout w:type="fixed"/>
        <w:tblInd w:w="1420" w:type="dxa"/>
        <w:tblCellMar>
          <w:top w:w="0" w:type="dxa"/>
          <w:left w:w="0" w:type="dxa"/>
          <w:bottom w:w="0" w:type="dxa"/>
          <w:right w:w="0" w:type="dxa"/>
        </w:tblCellMar>
      </w:tblPr>
      <w:tr>
        <w:trPr>
          <w:trHeight w:val="207"/>
        </w:trPr>
        <w:tc>
          <w:tcPr>
            <w:tcW w:w="4300" w:type="dxa"/>
            <w:vAlign w:val="bottom"/>
          </w:tcPr>
          <w:p>
            <w:pPr>
              <w:jc w:val="center"/>
              <w:ind w:right="1350"/>
              <w:spacing w:after="0"/>
              <w:rPr>
                <w:sz w:val="20"/>
                <w:szCs w:val="20"/>
                <w:color w:val="auto"/>
              </w:rPr>
            </w:pPr>
            <w:r>
              <w:rPr>
                <w:rFonts w:ascii="Arial" w:cs="Arial" w:eastAsia="Arial" w:hAnsi="Arial"/>
                <w:sz w:val="18"/>
                <w:szCs w:val="18"/>
                <w:b w:val="1"/>
                <w:bCs w:val="1"/>
                <w:color w:val="auto"/>
                <w:w w:val="98"/>
              </w:rPr>
              <w:t>Maryland</w:t>
            </w:r>
          </w:p>
        </w:tc>
        <w:tc>
          <w:tcPr>
            <w:tcW w:w="4060" w:type="dxa"/>
            <w:vAlign w:val="bottom"/>
          </w:tcPr>
          <w:p>
            <w:pPr>
              <w:jc w:val="right"/>
              <w:ind w:right="790"/>
              <w:spacing w:after="0"/>
              <w:rPr>
                <w:sz w:val="20"/>
                <w:szCs w:val="20"/>
                <w:color w:val="auto"/>
              </w:rPr>
            </w:pPr>
            <w:r>
              <w:rPr>
                <w:rFonts w:ascii="Arial" w:cs="Arial" w:eastAsia="Arial" w:hAnsi="Arial"/>
                <w:sz w:val="18"/>
                <w:szCs w:val="18"/>
                <w:b w:val="1"/>
                <w:bCs w:val="1"/>
                <w:color w:val="auto"/>
              </w:rPr>
              <w:t>47-5049745</w:t>
            </w:r>
          </w:p>
        </w:tc>
      </w:tr>
      <w:tr>
        <w:trPr>
          <w:trHeight w:val="230"/>
        </w:trPr>
        <w:tc>
          <w:tcPr>
            <w:tcW w:w="4300" w:type="dxa"/>
            <w:vAlign w:val="bottom"/>
          </w:tcPr>
          <w:p>
            <w:pPr>
              <w:jc w:val="center"/>
              <w:ind w:right="1350"/>
              <w:spacing w:after="0"/>
              <w:rPr>
                <w:sz w:val="20"/>
                <w:szCs w:val="20"/>
                <w:color w:val="auto"/>
              </w:rPr>
            </w:pPr>
            <w:r>
              <w:rPr>
                <w:rFonts w:ascii="Arial" w:cs="Arial" w:eastAsia="Arial" w:hAnsi="Arial"/>
                <w:sz w:val="18"/>
                <w:szCs w:val="18"/>
                <w:color w:val="auto"/>
                <w:w w:val="92"/>
              </w:rPr>
              <w:t>(State of incorporation)</w:t>
            </w:r>
          </w:p>
        </w:tc>
        <w:tc>
          <w:tcPr>
            <w:tcW w:w="4060" w:type="dxa"/>
            <w:vAlign w:val="bottom"/>
          </w:tcPr>
          <w:p>
            <w:pPr>
              <w:jc w:val="center"/>
              <w:ind w:left="1350"/>
              <w:spacing w:after="0"/>
              <w:rPr>
                <w:sz w:val="20"/>
                <w:szCs w:val="20"/>
                <w:color w:val="auto"/>
              </w:rPr>
            </w:pPr>
            <w:r>
              <w:rPr>
                <w:rFonts w:ascii="Arial" w:cs="Arial" w:eastAsia="Arial" w:hAnsi="Arial"/>
                <w:sz w:val="18"/>
                <w:szCs w:val="18"/>
                <w:color w:val="auto"/>
                <w:w w:val="94"/>
              </w:rPr>
              <w:t>(I.R.S. Employer Identification No.)</w:t>
            </w:r>
          </w:p>
        </w:tc>
      </w:tr>
      <w:tr>
        <w:trPr>
          <w:trHeight w:val="373"/>
        </w:trPr>
        <w:tc>
          <w:tcPr>
            <w:tcW w:w="4300" w:type="dxa"/>
            <w:vAlign w:val="bottom"/>
          </w:tcPr>
          <w:p>
            <w:pPr>
              <w:jc w:val="center"/>
              <w:ind w:right="1350"/>
              <w:spacing w:after="0"/>
              <w:rPr>
                <w:sz w:val="20"/>
                <w:szCs w:val="20"/>
                <w:color w:val="auto"/>
              </w:rPr>
            </w:pPr>
            <w:r>
              <w:rPr>
                <w:rFonts w:ascii="Arial" w:cs="Arial" w:eastAsia="Arial" w:hAnsi="Arial"/>
                <w:sz w:val="18"/>
                <w:szCs w:val="18"/>
                <w:b w:val="1"/>
                <w:bCs w:val="1"/>
                <w:color w:val="auto"/>
                <w:w w:val="91"/>
              </w:rPr>
              <w:t>205 N. Michigan Ave., Suite 4200</w:t>
            </w:r>
          </w:p>
        </w:tc>
        <w:tc>
          <w:tcPr>
            <w:tcW w:w="4060" w:type="dxa"/>
            <w:vAlign w:val="bottom"/>
          </w:tcPr>
          <w:p>
            <w:pPr>
              <w:spacing w:after="0"/>
              <w:rPr>
                <w:sz w:val="24"/>
                <w:szCs w:val="24"/>
                <w:color w:val="auto"/>
              </w:rPr>
            </w:pPr>
          </w:p>
        </w:tc>
      </w:tr>
      <w:tr>
        <w:trPr>
          <w:trHeight w:val="207"/>
        </w:trPr>
        <w:tc>
          <w:tcPr>
            <w:tcW w:w="4300" w:type="dxa"/>
            <w:vAlign w:val="bottom"/>
          </w:tcPr>
          <w:p>
            <w:pPr>
              <w:jc w:val="center"/>
              <w:ind w:right="1350"/>
              <w:spacing w:after="0"/>
              <w:rPr>
                <w:sz w:val="20"/>
                <w:szCs w:val="20"/>
                <w:color w:val="auto"/>
              </w:rPr>
            </w:pPr>
            <w:r>
              <w:rPr>
                <w:rFonts w:ascii="Arial" w:cs="Arial" w:eastAsia="Arial" w:hAnsi="Arial"/>
                <w:sz w:val="18"/>
                <w:szCs w:val="18"/>
                <w:b w:val="1"/>
                <w:bCs w:val="1"/>
                <w:color w:val="auto"/>
                <w:w w:val="92"/>
              </w:rPr>
              <w:t>Chicago, IL</w:t>
            </w:r>
          </w:p>
        </w:tc>
        <w:tc>
          <w:tcPr>
            <w:tcW w:w="4060" w:type="dxa"/>
            <w:vAlign w:val="bottom"/>
          </w:tcPr>
          <w:p>
            <w:pPr>
              <w:jc w:val="right"/>
              <w:ind w:right="990"/>
              <w:spacing w:after="0"/>
              <w:rPr>
                <w:sz w:val="20"/>
                <w:szCs w:val="20"/>
                <w:color w:val="auto"/>
              </w:rPr>
            </w:pPr>
            <w:r>
              <w:rPr>
                <w:rFonts w:ascii="Arial" w:cs="Arial" w:eastAsia="Arial" w:hAnsi="Arial"/>
                <w:sz w:val="18"/>
                <w:szCs w:val="18"/>
                <w:b w:val="1"/>
                <w:bCs w:val="1"/>
                <w:color w:val="auto"/>
              </w:rPr>
              <w:t>60601</w:t>
            </w:r>
          </w:p>
        </w:tc>
      </w:tr>
      <w:tr>
        <w:trPr>
          <w:trHeight w:val="230"/>
        </w:trPr>
        <w:tc>
          <w:tcPr>
            <w:tcW w:w="4300" w:type="dxa"/>
            <w:vAlign w:val="bottom"/>
          </w:tcPr>
          <w:p>
            <w:pPr>
              <w:jc w:val="center"/>
              <w:ind w:right="1350"/>
              <w:spacing w:after="0"/>
              <w:rPr>
                <w:sz w:val="20"/>
                <w:szCs w:val="20"/>
                <w:color w:val="auto"/>
              </w:rPr>
            </w:pPr>
            <w:r>
              <w:rPr>
                <w:rFonts w:ascii="Arial" w:cs="Arial" w:eastAsia="Arial" w:hAnsi="Arial"/>
                <w:sz w:val="18"/>
                <w:szCs w:val="18"/>
                <w:color w:val="auto"/>
                <w:w w:val="92"/>
              </w:rPr>
              <w:t>(Address of principal executive offices)</w:t>
            </w:r>
          </w:p>
        </w:tc>
        <w:tc>
          <w:tcPr>
            <w:tcW w:w="4060" w:type="dxa"/>
            <w:vAlign w:val="bottom"/>
          </w:tcPr>
          <w:p>
            <w:pPr>
              <w:jc w:val="center"/>
              <w:ind w:left="1330"/>
              <w:spacing w:after="0"/>
              <w:rPr>
                <w:sz w:val="20"/>
                <w:szCs w:val="20"/>
                <w:color w:val="auto"/>
              </w:rPr>
            </w:pPr>
            <w:r>
              <w:rPr>
                <w:rFonts w:ascii="Arial" w:cs="Arial" w:eastAsia="Arial" w:hAnsi="Arial"/>
                <w:sz w:val="18"/>
                <w:szCs w:val="18"/>
                <w:color w:val="auto"/>
                <w:w w:val="94"/>
              </w:rPr>
              <w:t>(Zip Code)</w:t>
            </w:r>
          </w:p>
        </w:tc>
      </w:tr>
    </w:tbl>
    <w:p>
      <w:pPr>
        <w:spacing w:after="0" w:line="17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(312) 281</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6270</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4" w:lineRule="exact"/>
        <w:rPr>
          <w:sz w:val="24"/>
          <w:szCs w:val="24"/>
          <w:color w:val="auto"/>
        </w:rPr>
      </w:pPr>
    </w:p>
    <w:tbl>
      <w:tblPr>
        <w:tblLayout w:type="fixed"/>
        <w:tblInd w:w="20" w:type="dxa"/>
        <w:tblCellMar>
          <w:top w:w="0" w:type="dxa"/>
          <w:left w:w="0" w:type="dxa"/>
          <w:bottom w:w="0" w:type="dxa"/>
          <w:right w:w="0" w:type="dxa"/>
        </w:tblCellMar>
      </w:tblPr>
      <w:tr>
        <w:trPr>
          <w:trHeight w:val="207"/>
        </w:trPr>
        <w:tc>
          <w:tcPr>
            <w:tcW w:w="3400" w:type="dxa"/>
            <w:vAlign w:val="bottom"/>
          </w:tcPr>
          <w:p>
            <w:pPr>
              <w:spacing w:after="0"/>
              <w:rPr>
                <w:sz w:val="20"/>
                <w:szCs w:val="20"/>
                <w:color w:val="auto"/>
              </w:rPr>
            </w:pPr>
            <w:r>
              <w:rPr>
                <w:rFonts w:ascii="Arial" w:cs="Arial" w:eastAsia="Arial" w:hAnsi="Arial"/>
                <w:sz w:val="18"/>
                <w:szCs w:val="18"/>
                <w:b w:val="1"/>
                <w:bCs w:val="1"/>
                <w:color w:val="auto"/>
              </w:rPr>
              <w:t>Title of each class</w:t>
            </w:r>
          </w:p>
        </w:tc>
        <w:tc>
          <w:tcPr>
            <w:tcW w:w="2640" w:type="dxa"/>
            <w:vAlign w:val="bottom"/>
          </w:tcPr>
          <w:p>
            <w:pPr>
              <w:ind w:left="360"/>
              <w:spacing w:after="0"/>
              <w:rPr>
                <w:sz w:val="20"/>
                <w:szCs w:val="20"/>
                <w:color w:val="auto"/>
              </w:rPr>
            </w:pPr>
            <w:r>
              <w:rPr>
                <w:rFonts w:ascii="Arial" w:cs="Arial" w:eastAsia="Arial" w:hAnsi="Arial"/>
                <w:sz w:val="18"/>
                <w:szCs w:val="18"/>
                <w:b w:val="1"/>
                <w:bCs w:val="1"/>
                <w:color w:val="auto"/>
              </w:rPr>
              <w:t>Trading Symbol(s)</w:t>
            </w:r>
          </w:p>
        </w:tc>
        <w:tc>
          <w:tcPr>
            <w:tcW w:w="4180" w:type="dxa"/>
            <w:vAlign w:val="bottom"/>
          </w:tcPr>
          <w:p>
            <w:pPr>
              <w:ind w:left="84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76"/>
        </w:trPr>
        <w:tc>
          <w:tcPr>
            <w:tcW w:w="3400" w:type="dxa"/>
            <w:vAlign w:val="bottom"/>
          </w:tcPr>
          <w:p>
            <w:pPr>
              <w:spacing w:after="0" w:line="176" w:lineRule="exact"/>
              <w:rPr>
                <w:sz w:val="20"/>
                <w:szCs w:val="20"/>
                <w:color w:val="auto"/>
              </w:rPr>
            </w:pPr>
            <w:r>
              <w:rPr>
                <w:rFonts w:ascii="Arial" w:cs="Arial" w:eastAsia="Arial" w:hAnsi="Arial"/>
                <w:sz w:val="18"/>
                <w:szCs w:val="18"/>
                <w:color w:val="auto"/>
                <w:w w:val="99"/>
              </w:rPr>
              <w:t>Common Stock, par value $0.01 per share</w:t>
            </w:r>
          </w:p>
        </w:tc>
        <w:tc>
          <w:tcPr>
            <w:tcW w:w="2640" w:type="dxa"/>
            <w:vAlign w:val="bottom"/>
          </w:tcPr>
          <w:p>
            <w:pPr>
              <w:ind w:left="360"/>
              <w:spacing w:after="0" w:line="176" w:lineRule="exact"/>
              <w:rPr>
                <w:sz w:val="20"/>
                <w:szCs w:val="20"/>
                <w:color w:val="auto"/>
              </w:rPr>
            </w:pPr>
            <w:r>
              <w:rPr>
                <w:rFonts w:ascii="Arial" w:cs="Arial" w:eastAsia="Arial" w:hAnsi="Arial"/>
                <w:sz w:val="18"/>
                <w:szCs w:val="18"/>
                <w:color w:val="auto"/>
              </w:rPr>
              <w:t>RWAY</w:t>
            </w:r>
          </w:p>
        </w:tc>
        <w:tc>
          <w:tcPr>
            <w:tcW w:w="4180" w:type="dxa"/>
            <w:vAlign w:val="bottom"/>
          </w:tcPr>
          <w:p>
            <w:pPr>
              <w:ind w:left="840"/>
              <w:spacing w:after="0" w:line="176" w:lineRule="exact"/>
              <w:rPr>
                <w:sz w:val="20"/>
                <w:szCs w:val="20"/>
                <w:color w:val="auto"/>
              </w:rPr>
            </w:pPr>
            <w:r>
              <w:rPr>
                <w:rFonts w:ascii="Arial" w:cs="Arial" w:eastAsia="Arial" w:hAnsi="Arial"/>
                <w:sz w:val="18"/>
                <w:szCs w:val="18"/>
                <w:color w:val="auto"/>
              </w:rPr>
              <w:t>NASDAQ Global Select Market LLC</w:t>
            </w:r>
          </w:p>
        </w:tc>
      </w:t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7.50% Notes due 2027</w:t>
            </w:r>
          </w:p>
        </w:tc>
        <w:tc>
          <w:tcPr>
            <w:tcW w:w="2640" w:type="dxa"/>
            <w:vAlign w:val="bottom"/>
          </w:tcPr>
          <w:p>
            <w:pPr>
              <w:ind w:left="360"/>
              <w:spacing w:after="0"/>
              <w:rPr>
                <w:sz w:val="20"/>
                <w:szCs w:val="20"/>
                <w:color w:val="auto"/>
              </w:rPr>
            </w:pPr>
            <w:r>
              <w:rPr>
                <w:rFonts w:ascii="Arial" w:cs="Arial" w:eastAsia="Arial" w:hAnsi="Arial"/>
                <w:sz w:val="18"/>
                <w:szCs w:val="18"/>
                <w:color w:val="auto"/>
              </w:rPr>
              <w:t>RWAYL</w:t>
            </w:r>
          </w:p>
        </w:tc>
        <w:tc>
          <w:tcPr>
            <w:tcW w:w="4180" w:type="dxa"/>
            <w:vAlign w:val="bottom"/>
          </w:tcPr>
          <w:p>
            <w:pPr>
              <w:ind w:left="840"/>
              <w:spacing w:after="0"/>
              <w:rPr>
                <w:sz w:val="20"/>
                <w:szCs w:val="20"/>
                <w:color w:val="auto"/>
              </w:rPr>
            </w:pPr>
            <w:r>
              <w:rPr>
                <w:rFonts w:ascii="Arial" w:cs="Arial" w:eastAsia="Arial" w:hAnsi="Arial"/>
                <w:sz w:val="18"/>
                <w:szCs w:val="18"/>
                <w:color w:val="auto"/>
              </w:rPr>
              <w:t>NASDAQ Global Select Market LLC</w:t>
            </w:r>
          </w:p>
        </w:tc>
      </w:tr>
    </w:tbl>
    <w:p>
      <w:pPr>
        <w:spacing w:after="0" w:line="174" w:lineRule="exact"/>
        <w:rPr>
          <w:sz w:val="24"/>
          <w:szCs w:val="24"/>
          <w:color w:val="auto"/>
        </w:rPr>
      </w:pPr>
    </w:p>
    <w:p>
      <w:pPr>
        <w:ind w:left="38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35" w:lineRule="exact"/>
        <w:rPr>
          <w:sz w:val="24"/>
          <w:szCs w:val="24"/>
          <w:color w:val="auto"/>
        </w:rPr>
      </w:pPr>
    </w:p>
    <w:p>
      <w:pPr>
        <w:jc w:val="both"/>
        <w:spacing w:after="0" w:line="219"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jc w:val="both"/>
        <w:ind w:firstLine="374"/>
        <w:spacing w:after="0" w:line="21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5" w:lineRule="exact"/>
        <w:rPr>
          <w:sz w:val="24"/>
          <w:szCs w:val="24"/>
          <w:color w:val="auto"/>
        </w:rPr>
      </w:pPr>
    </w:p>
    <w:p>
      <w:pPr>
        <w:jc w:val="both"/>
        <w:ind w:firstLine="374"/>
        <w:spacing w:after="0" w:line="212"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ectPr>
          <w:pgSz w:w="11900" w:h="16838" w:orient="portrait"/>
          <w:cols w:equalWidth="0" w:num="1">
            <w:col w:w="11240"/>
          </w:cols>
          <w:pgMar w:left="320" w:top="233" w:right="339" w:bottom="1440" w:gutter="0" w:footer="0" w:header="0"/>
        </w:sectPr>
      </w:pPr>
    </w:p>
    <w:p>
      <w:pPr>
        <w:spacing w:after="0" w:line="143" w:lineRule="exact"/>
        <w:rPr>
          <w:sz w:val="24"/>
          <w:szCs w:val="24"/>
          <w:color w:val="auto"/>
        </w:rPr>
      </w:pPr>
    </w:p>
    <w:p>
      <w:pPr>
        <w:ind w:left="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67" w:lineRule="exact"/>
        <w:rPr>
          <w:sz w:val="24"/>
          <w:szCs w:val="24"/>
          <w:color w:val="auto"/>
        </w:rPr>
      </w:pPr>
    </w:p>
    <w:p>
      <w:pPr>
        <w:ind w:left="20"/>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44"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72" w:lineRule="exact"/>
        <w:rPr>
          <w:sz w:val="24"/>
          <w:szCs w:val="24"/>
          <w:color w:val="auto"/>
        </w:rPr>
      </w:pPr>
    </w:p>
    <w:p>
      <w:pPr>
        <w:sectPr>
          <w:pgSz w:w="11900" w:h="16838" w:orient="portrait"/>
          <w:cols w:equalWidth="0" w:num="2">
            <w:col w:w="4920" w:space="720"/>
            <w:col w:w="5600"/>
          </w:cols>
          <w:pgMar w:left="320" w:top="233" w:right="339" w:bottom="1440" w:gutter="0" w:footer="0" w:header="0"/>
          <w:type w:val="continuous"/>
        </w:sectPr>
      </w:pPr>
    </w:p>
    <w:p>
      <w:pPr>
        <w:ind w:left="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233" w:right="339" w:bottom="1440" w:gutter="0" w:footer="0" w:header="0"/>
          <w:type w:val="continuous"/>
        </w:sectPr>
      </w:pPr>
    </w:p>
    <w:p>
      <w:pPr>
        <w:spacing w:after="0" w:line="254" w:lineRule="exact"/>
        <w:rPr>
          <w:sz w:val="24"/>
          <w:szCs w:val="24"/>
          <w:color w:val="auto"/>
        </w:rPr>
      </w:pPr>
    </w:p>
    <w:p>
      <w:pPr>
        <w:ind w:right="140" w:firstLine="374"/>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 w:lineRule="exact"/>
        <w:rPr>
          <w:sz w:val="24"/>
          <w:szCs w:val="24"/>
          <w:color w:val="auto"/>
        </w:rPr>
      </w:pPr>
    </w:p>
    <w:p>
      <w:pPr>
        <w:ind w:left="380" w:right="1700"/>
        <w:spacing w:after="0" w:line="287" w:lineRule="exact"/>
        <w:rPr>
          <w:sz w:val="20"/>
          <w:szCs w:val="20"/>
          <w:color w:val="auto"/>
        </w:rPr>
      </w:pPr>
      <w:r>
        <w:rPr>
          <w:rFonts w:ascii="Arial" w:cs="Arial" w:eastAsia="Arial" w:hAnsi="Arial"/>
          <w:sz w:val="17"/>
          <w:szCs w:val="17"/>
          <w:color w:val="auto"/>
        </w:rPr>
        <w:t>Indicate by check mark whether the registrant is a shell company (as defined in Rule 12b</w:t>
      </w:r>
      <w:r>
        <w:rPr>
          <w:rFonts w:ascii="MS PGothic" w:cs="MS PGothic" w:eastAsia="MS PGothic" w:hAnsi="MS PGothic"/>
          <w:sz w:val="17"/>
          <w:szCs w:val="17"/>
          <w:color w:val="auto"/>
        </w:rPr>
        <w:t>‑</w:t>
      </w:r>
      <w:r>
        <w:rPr>
          <w:rFonts w:ascii="Arial" w:cs="Arial" w:eastAsia="Arial" w:hAnsi="Arial"/>
          <w:sz w:val="17"/>
          <w:szCs w:val="17"/>
          <w:color w:val="auto"/>
        </w:rPr>
        <w:t xml:space="preserve">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issuer had 40,759,727 shares of common stock, $0.01 par value per share, outstanding as of August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RUNWAY GROWTH FINANCE CORP.</w:t>
      </w:r>
    </w:p>
    <w:p>
      <w:pPr>
        <w:spacing w:after="0" w:line="16"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 FOR THE QUARTER ENDED June 30, 2022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2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INDEX</w:t>
            </w:r>
          </w:p>
        </w:tc>
        <w:tc>
          <w:tcPr>
            <w:tcW w:w="120" w:type="dxa"/>
            <w:vAlign w:val="bottom"/>
          </w:tcPr>
          <w:p>
            <w:pPr>
              <w:spacing w:after="0"/>
              <w:rPr>
                <w:sz w:val="14"/>
                <w:szCs w:val="14"/>
                <w:color w:val="auto"/>
              </w:rPr>
            </w:pPr>
          </w:p>
        </w:tc>
        <w:tc>
          <w:tcPr>
            <w:tcW w:w="560" w:type="dxa"/>
            <w:vAlign w:val="bottom"/>
          </w:tcPr>
          <w:p>
            <w:pPr>
              <w:jc w:val="right"/>
              <w:ind w:right="8"/>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6"/>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NO.</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180" w:type="dxa"/>
            <w:vAlign w:val="bottom"/>
            <w:gridSpan w:val="8"/>
            <w:shd w:val="clear" w:color="auto" w:fill="CCEEFF"/>
          </w:tcPr>
          <w:p>
            <w:pPr>
              <w:ind w:left="20"/>
              <w:spacing w:after="0" w:line="176"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PART I.</w:t>
              </w:r>
            </w:hyperlink>
          </w:p>
        </w:tc>
        <w:tc>
          <w:tcPr>
            <w:tcW w:w="9380" w:type="dxa"/>
            <w:vAlign w:val="bottom"/>
            <w:gridSpan w:val="21"/>
            <w:shd w:val="clear" w:color="auto" w:fill="CCEEFF"/>
          </w:tcPr>
          <w:p>
            <w:pPr>
              <w:spacing w:after="0" w:line="176" w:lineRule="exact"/>
              <w:rPr>
                <w:rFonts w:ascii="Arial" w:cs="Arial" w:eastAsia="Arial" w:hAnsi="Arial"/>
                <w:sz w:val="18"/>
                <w:szCs w:val="18"/>
                <w:b w:val="1"/>
                <w:bCs w:val="1"/>
                <w:color w:val="auto"/>
              </w:rPr>
            </w:pPr>
            <w:hyperlink w:anchor="page3">
              <w:r>
                <w:rPr>
                  <w:rFonts w:ascii="Arial" w:cs="Arial" w:eastAsia="Arial" w:hAnsi="Arial"/>
                  <w:sz w:val="18"/>
                  <w:szCs w:val="18"/>
                  <w:b w:val="1"/>
                  <w:bCs w:val="1"/>
                  <w:color w:val="auto"/>
                </w:rPr>
                <w:t>FINANCIAL INFORMATION</w:t>
              </w:r>
            </w:hyperlink>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5"/>
            <w:shd w:val="clear" w:color="auto" w:fill="CCEEFF"/>
          </w:tcPr>
          <w:p>
            <w:pPr>
              <w:jc w:val="right"/>
              <w:ind w:right="140"/>
              <w:spacing w:after="0" w:line="176" w:lineRule="exact"/>
              <w:rPr>
                <w:rFonts w:ascii="Arial" w:cs="Arial" w:eastAsia="Arial" w:hAnsi="Arial"/>
                <w:sz w:val="18"/>
                <w:szCs w:val="18"/>
                <w:color w:val="auto"/>
                <w:w w:val="90"/>
              </w:rPr>
            </w:pPr>
            <w:hyperlink w:anchor="page3">
              <w:r>
                <w:rPr>
                  <w:rFonts w:ascii="Arial" w:cs="Arial" w:eastAsia="Arial" w:hAnsi="Arial"/>
                  <w:sz w:val="18"/>
                  <w:szCs w:val="18"/>
                  <w:color w:val="auto"/>
                  <w:w w:val="90"/>
                </w:rPr>
                <w:t>Item 1.</w:t>
              </w:r>
            </w:hyperlink>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3">
              <w:r>
                <w:rPr>
                  <w:rFonts w:ascii="Arial" w:cs="Arial" w:eastAsia="Arial" w:hAnsi="Arial"/>
                  <w:sz w:val="18"/>
                  <w:szCs w:val="18"/>
                  <w:color w:val="auto"/>
                </w:rPr>
                <w:t>Financial Statements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3">
              <w:r>
                <w:rPr>
                  <w:rFonts w:ascii="Arial" w:cs="Arial" w:eastAsia="Arial" w:hAnsi="Arial"/>
                  <w:sz w:val="18"/>
                  <w:szCs w:val="18"/>
                  <w:color w:val="auto"/>
                </w:rPr>
                <w:t>Statements of Assets and Liabilities as of June 30, 2022 (unaudited) and December 31, 2021</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4">
              <w:r>
                <w:rPr>
                  <w:rFonts w:ascii="Arial" w:cs="Arial" w:eastAsia="Arial" w:hAnsi="Arial"/>
                  <w:sz w:val="18"/>
                  <w:szCs w:val="18"/>
                  <w:color w:val="auto"/>
                </w:rPr>
                <w:t>Statements of Operations for the three and six months ended June 30, 2022 and 2021 (unaudited)</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5">
              <w:r>
                <w:rPr>
                  <w:rFonts w:ascii="Arial" w:cs="Arial" w:eastAsia="Arial" w:hAnsi="Arial"/>
                  <w:sz w:val="18"/>
                  <w:szCs w:val="18"/>
                  <w:color w:val="auto"/>
                </w:rPr>
                <w:t>Statements of Changes in Net Assets for the three and six months ended June 30, 2022 and 2021 (unaudited)</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6">
              <w:r>
                <w:rPr>
                  <w:rFonts w:ascii="Arial" w:cs="Arial" w:eastAsia="Arial" w:hAnsi="Arial"/>
                  <w:sz w:val="18"/>
                  <w:szCs w:val="18"/>
                  <w:color w:val="auto"/>
                </w:rPr>
                <w:t>Statements of Cash Flows for the three and six months ended June 30, 2022 and 2021 (unaudited)</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7">
              <w:r>
                <w:rPr>
                  <w:rFonts w:ascii="Arial" w:cs="Arial" w:eastAsia="Arial" w:hAnsi="Arial"/>
                  <w:sz w:val="18"/>
                  <w:szCs w:val="18"/>
                  <w:color w:val="auto"/>
                </w:rPr>
                <w:t>Schedule of Investments as of June 30, 2022 (unaudited)</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19">
              <w:r>
                <w:rPr>
                  <w:rFonts w:ascii="Arial" w:cs="Arial" w:eastAsia="Arial" w:hAnsi="Arial"/>
                  <w:sz w:val="18"/>
                  <w:szCs w:val="18"/>
                  <w:color w:val="auto"/>
                </w:rPr>
                <w:t>Schedule of Investments as of December 31, 2021</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29">
              <w:r>
                <w:rPr>
                  <w:rFonts w:ascii="Arial" w:cs="Arial" w:eastAsia="Arial" w:hAnsi="Arial"/>
                  <w:sz w:val="18"/>
                  <w:szCs w:val="18"/>
                  <w:color w:val="auto"/>
                </w:rPr>
                <w:t>Notes to Financial Statements (unaudited)</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5"/>
            <w:shd w:val="clear" w:color="auto" w:fill="CCEEFF"/>
          </w:tcPr>
          <w:p>
            <w:pPr>
              <w:jc w:val="right"/>
              <w:ind w:right="140"/>
              <w:spacing w:after="0" w:line="176" w:lineRule="exact"/>
              <w:rPr>
                <w:rFonts w:ascii="Arial" w:cs="Arial" w:eastAsia="Arial" w:hAnsi="Arial"/>
                <w:sz w:val="18"/>
                <w:szCs w:val="18"/>
                <w:color w:val="auto"/>
                <w:w w:val="90"/>
              </w:rPr>
            </w:pPr>
            <w:hyperlink w:anchor="page53">
              <w:r>
                <w:rPr>
                  <w:rFonts w:ascii="Arial" w:cs="Arial" w:eastAsia="Arial" w:hAnsi="Arial"/>
                  <w:sz w:val="18"/>
                  <w:szCs w:val="18"/>
                  <w:color w:val="auto"/>
                  <w:w w:val="90"/>
                </w:rPr>
                <w:t>Item 2.</w:t>
              </w:r>
            </w:hyperlink>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53">
              <w:r>
                <w:rPr>
                  <w:rFonts w:ascii="Arial" w:cs="Arial" w:eastAsia="Arial" w:hAnsi="Arial"/>
                  <w:sz w:val="18"/>
                  <w:szCs w:val="18"/>
                  <w:color w:val="auto"/>
                </w:rPr>
                <w:t>Management’s Discussion and Analysis of Financial Condition and Results of Operations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0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5"/>
            <w:shd w:val="clear" w:color="auto" w:fill="CCEEFF"/>
          </w:tcPr>
          <w:p>
            <w:pPr>
              <w:jc w:val="right"/>
              <w:ind w:right="140"/>
              <w:spacing w:after="0" w:line="176" w:lineRule="exact"/>
              <w:rPr>
                <w:rFonts w:ascii="Arial" w:cs="Arial" w:eastAsia="Arial" w:hAnsi="Arial"/>
                <w:sz w:val="18"/>
                <w:szCs w:val="18"/>
                <w:color w:val="auto"/>
                <w:w w:val="90"/>
              </w:rPr>
            </w:pPr>
            <w:hyperlink w:anchor="page71">
              <w:r>
                <w:rPr>
                  <w:rFonts w:ascii="Arial" w:cs="Arial" w:eastAsia="Arial" w:hAnsi="Arial"/>
                  <w:sz w:val="18"/>
                  <w:szCs w:val="18"/>
                  <w:color w:val="auto"/>
                  <w:w w:val="90"/>
                </w:rPr>
                <w:t>Item 3.</w:t>
              </w:r>
            </w:hyperlink>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71">
              <w:r>
                <w:rPr>
                  <w:rFonts w:ascii="Arial" w:cs="Arial" w:eastAsia="Arial" w:hAnsi="Arial"/>
                  <w:sz w:val="18"/>
                  <w:szCs w:val="18"/>
                  <w:color w:val="auto"/>
                </w:rPr>
                <w:t>Quantitative and Qualitative Disclosures About Market Risk</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5"/>
            <w:shd w:val="clear" w:color="auto" w:fill="CCEEFF"/>
          </w:tcPr>
          <w:p>
            <w:pPr>
              <w:jc w:val="right"/>
              <w:ind w:right="140"/>
              <w:spacing w:after="0" w:line="176" w:lineRule="exact"/>
              <w:rPr>
                <w:rFonts w:ascii="Arial" w:cs="Arial" w:eastAsia="Arial" w:hAnsi="Arial"/>
                <w:sz w:val="18"/>
                <w:szCs w:val="18"/>
                <w:color w:val="auto"/>
                <w:w w:val="90"/>
              </w:rPr>
            </w:pPr>
            <w:hyperlink w:anchor="page73">
              <w:r>
                <w:rPr>
                  <w:rFonts w:ascii="Arial" w:cs="Arial" w:eastAsia="Arial" w:hAnsi="Arial"/>
                  <w:sz w:val="18"/>
                  <w:szCs w:val="18"/>
                  <w:color w:val="auto"/>
                  <w:w w:val="90"/>
                </w:rPr>
                <w:t>Item 4.</w:t>
              </w:r>
            </w:hyperlink>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73">
              <w:r>
                <w:rPr>
                  <w:rFonts w:ascii="Arial" w:cs="Arial" w:eastAsia="Arial" w:hAnsi="Arial"/>
                  <w:sz w:val="18"/>
                  <w:szCs w:val="18"/>
                  <w:color w:val="auto"/>
                </w:rPr>
                <w:t>Controls and Procedures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80" w:type="dxa"/>
            <w:vAlign w:val="bottom"/>
            <w:gridSpan w:val="8"/>
            <w:shd w:val="clear" w:color="auto" w:fill="CCEEFF"/>
          </w:tcPr>
          <w:p>
            <w:pPr>
              <w:ind w:left="20"/>
              <w:spacing w:after="0" w:line="176" w:lineRule="exact"/>
              <w:rPr>
                <w:rFonts w:ascii="Arial" w:cs="Arial" w:eastAsia="Arial" w:hAnsi="Arial"/>
                <w:sz w:val="18"/>
                <w:szCs w:val="18"/>
                <w:b w:val="1"/>
                <w:bCs w:val="1"/>
                <w:color w:val="auto"/>
              </w:rPr>
            </w:pPr>
            <w:hyperlink w:anchor="page74">
              <w:r>
                <w:rPr>
                  <w:rFonts w:ascii="Arial" w:cs="Arial" w:eastAsia="Arial" w:hAnsi="Arial"/>
                  <w:sz w:val="18"/>
                  <w:szCs w:val="18"/>
                  <w:b w:val="1"/>
                  <w:bCs w:val="1"/>
                  <w:color w:val="auto"/>
                </w:rPr>
                <w:t>PART II.</w:t>
              </w:r>
            </w:hyperlink>
          </w:p>
        </w:tc>
        <w:tc>
          <w:tcPr>
            <w:tcW w:w="9380" w:type="dxa"/>
            <w:vAlign w:val="bottom"/>
            <w:gridSpan w:val="21"/>
            <w:shd w:val="clear" w:color="auto" w:fill="CCEEFF"/>
          </w:tcPr>
          <w:p>
            <w:pPr>
              <w:spacing w:after="0" w:line="176" w:lineRule="exact"/>
              <w:rPr>
                <w:rFonts w:ascii="Arial" w:cs="Arial" w:eastAsia="Arial" w:hAnsi="Arial"/>
                <w:sz w:val="18"/>
                <w:szCs w:val="18"/>
                <w:b w:val="1"/>
                <w:bCs w:val="1"/>
                <w:color w:val="auto"/>
              </w:rPr>
            </w:pPr>
            <w:hyperlink w:anchor="page74">
              <w:r>
                <w:rPr>
                  <w:rFonts w:ascii="Arial" w:cs="Arial" w:eastAsia="Arial" w:hAnsi="Arial"/>
                  <w:sz w:val="18"/>
                  <w:szCs w:val="18"/>
                  <w:b w:val="1"/>
                  <w:bCs w:val="1"/>
                  <w:color w:val="auto"/>
                </w:rPr>
                <w:t>OTHER INFORMATION</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5"/>
            <w:shd w:val="clear" w:color="auto" w:fill="CCEEFF"/>
          </w:tcPr>
          <w:p>
            <w:pPr>
              <w:jc w:val="right"/>
              <w:ind w:right="140"/>
              <w:spacing w:after="0" w:line="176" w:lineRule="exact"/>
              <w:rPr>
                <w:rFonts w:ascii="Arial" w:cs="Arial" w:eastAsia="Arial" w:hAnsi="Arial"/>
                <w:sz w:val="18"/>
                <w:szCs w:val="18"/>
                <w:color w:val="auto"/>
                <w:w w:val="90"/>
              </w:rPr>
            </w:pPr>
            <w:hyperlink w:anchor="page74">
              <w:r>
                <w:rPr>
                  <w:rFonts w:ascii="Arial" w:cs="Arial" w:eastAsia="Arial" w:hAnsi="Arial"/>
                  <w:sz w:val="18"/>
                  <w:szCs w:val="18"/>
                  <w:color w:val="auto"/>
                  <w:w w:val="90"/>
                </w:rPr>
                <w:t>Item 1.</w:t>
              </w:r>
            </w:hyperlink>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74">
              <w:r>
                <w:rPr>
                  <w:rFonts w:ascii="Arial" w:cs="Arial" w:eastAsia="Arial" w:hAnsi="Arial"/>
                  <w:sz w:val="18"/>
                  <w:szCs w:val="18"/>
                  <w:color w:val="auto"/>
                </w:rPr>
                <w:t>Legal Proceedings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1160" w:type="dxa"/>
            <w:vAlign w:val="bottom"/>
            <w:gridSpan w:val="7"/>
            <w:shd w:val="clear" w:color="auto" w:fill="CCEEFF"/>
          </w:tcPr>
          <w:p>
            <w:pPr>
              <w:jc w:val="right"/>
              <w:ind w:right="140"/>
              <w:spacing w:after="0" w:line="176" w:lineRule="exact"/>
              <w:rPr>
                <w:rFonts w:ascii="Arial" w:cs="Arial" w:eastAsia="Arial" w:hAnsi="Arial"/>
                <w:sz w:val="18"/>
                <w:szCs w:val="18"/>
                <w:color w:val="auto"/>
              </w:rPr>
            </w:pPr>
            <w:hyperlink w:anchor="page74">
              <w:r>
                <w:rPr>
                  <w:rFonts w:ascii="Arial" w:cs="Arial" w:eastAsia="Arial" w:hAnsi="Arial"/>
                  <w:sz w:val="18"/>
                  <w:szCs w:val="18"/>
                  <w:color w:val="auto"/>
                </w:rPr>
                <w:t>Item 1A.</w:t>
              </w:r>
            </w:hyperlink>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74">
              <w:r>
                <w:rPr>
                  <w:rFonts w:ascii="Arial" w:cs="Arial" w:eastAsia="Arial" w:hAnsi="Arial"/>
                  <w:sz w:val="18"/>
                  <w:szCs w:val="18"/>
                  <w:color w:val="auto"/>
                </w:rPr>
                <w:t>Risk Factors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2"/>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5"/>
            <w:shd w:val="clear" w:color="auto" w:fill="CCEEFF"/>
          </w:tcPr>
          <w:p>
            <w:pPr>
              <w:jc w:val="right"/>
              <w:ind w:right="140"/>
              <w:spacing w:after="0" w:line="176" w:lineRule="exact"/>
              <w:rPr>
                <w:rFonts w:ascii="Arial" w:cs="Arial" w:eastAsia="Arial" w:hAnsi="Arial"/>
                <w:sz w:val="18"/>
                <w:szCs w:val="18"/>
                <w:color w:val="auto"/>
                <w:w w:val="90"/>
              </w:rPr>
            </w:pPr>
            <w:hyperlink w:anchor="page74">
              <w:r>
                <w:rPr>
                  <w:rFonts w:ascii="Arial" w:cs="Arial" w:eastAsia="Arial" w:hAnsi="Arial"/>
                  <w:sz w:val="18"/>
                  <w:szCs w:val="18"/>
                  <w:color w:val="auto"/>
                  <w:w w:val="90"/>
                </w:rPr>
                <w:t>Item 2.</w:t>
              </w:r>
            </w:hyperlink>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74">
              <w:r>
                <w:rPr>
                  <w:rFonts w:ascii="Arial" w:cs="Arial" w:eastAsia="Arial" w:hAnsi="Arial"/>
                  <w:sz w:val="18"/>
                  <w:szCs w:val="18"/>
                  <w:color w:val="auto"/>
                </w:rPr>
                <w:t>Unregistered Sales of Equity Securities and Use of Proceeds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5"/>
            <w:shd w:val="clear" w:color="auto" w:fill="CCEEFF"/>
          </w:tcPr>
          <w:p>
            <w:pPr>
              <w:jc w:val="right"/>
              <w:ind w:right="140"/>
              <w:spacing w:after="0" w:line="176" w:lineRule="exact"/>
              <w:rPr>
                <w:rFonts w:ascii="Arial" w:cs="Arial" w:eastAsia="Arial" w:hAnsi="Arial"/>
                <w:sz w:val="18"/>
                <w:szCs w:val="18"/>
                <w:color w:val="auto"/>
                <w:w w:val="90"/>
              </w:rPr>
            </w:pPr>
            <w:hyperlink w:anchor="page74">
              <w:r>
                <w:rPr>
                  <w:rFonts w:ascii="Arial" w:cs="Arial" w:eastAsia="Arial" w:hAnsi="Arial"/>
                  <w:sz w:val="18"/>
                  <w:szCs w:val="18"/>
                  <w:color w:val="auto"/>
                  <w:w w:val="90"/>
                </w:rPr>
                <w:t>Item 3.</w:t>
              </w:r>
            </w:hyperlink>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74">
              <w:r>
                <w:rPr>
                  <w:rFonts w:ascii="Arial" w:cs="Arial" w:eastAsia="Arial" w:hAnsi="Arial"/>
                  <w:sz w:val="18"/>
                  <w:szCs w:val="18"/>
                  <w:color w:val="auto"/>
                </w:rPr>
                <w:t>Defaults Upon Senior Securities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5"/>
            <w:shd w:val="clear" w:color="auto" w:fill="CCEEFF"/>
          </w:tcPr>
          <w:p>
            <w:pPr>
              <w:jc w:val="right"/>
              <w:ind w:right="140"/>
              <w:spacing w:after="0" w:line="176" w:lineRule="exact"/>
              <w:rPr>
                <w:rFonts w:ascii="Arial" w:cs="Arial" w:eastAsia="Arial" w:hAnsi="Arial"/>
                <w:sz w:val="18"/>
                <w:szCs w:val="18"/>
                <w:color w:val="auto"/>
                <w:w w:val="90"/>
              </w:rPr>
            </w:pPr>
            <w:hyperlink w:anchor="page74">
              <w:r>
                <w:rPr>
                  <w:rFonts w:ascii="Arial" w:cs="Arial" w:eastAsia="Arial" w:hAnsi="Arial"/>
                  <w:sz w:val="18"/>
                  <w:szCs w:val="18"/>
                  <w:color w:val="auto"/>
                  <w:w w:val="90"/>
                </w:rPr>
                <w:t>Item 4.</w:t>
              </w:r>
            </w:hyperlink>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74">
              <w:r>
                <w:rPr>
                  <w:rFonts w:ascii="Arial" w:cs="Arial" w:eastAsia="Arial" w:hAnsi="Arial"/>
                  <w:sz w:val="18"/>
                  <w:szCs w:val="18"/>
                  <w:color w:val="auto"/>
                </w:rPr>
                <w:t>Mine Safety Disclosures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5"/>
            <w:shd w:val="clear" w:color="auto" w:fill="CCEEFF"/>
          </w:tcPr>
          <w:p>
            <w:pPr>
              <w:jc w:val="right"/>
              <w:ind w:right="140"/>
              <w:spacing w:after="0" w:line="176" w:lineRule="exact"/>
              <w:rPr>
                <w:rFonts w:ascii="Arial" w:cs="Arial" w:eastAsia="Arial" w:hAnsi="Arial"/>
                <w:sz w:val="18"/>
                <w:szCs w:val="18"/>
                <w:color w:val="auto"/>
                <w:w w:val="90"/>
              </w:rPr>
            </w:pPr>
            <w:hyperlink w:anchor="page74">
              <w:r>
                <w:rPr>
                  <w:rFonts w:ascii="Arial" w:cs="Arial" w:eastAsia="Arial" w:hAnsi="Arial"/>
                  <w:sz w:val="18"/>
                  <w:szCs w:val="18"/>
                  <w:color w:val="auto"/>
                  <w:w w:val="90"/>
                </w:rPr>
                <w:t>Item 5.</w:t>
              </w:r>
            </w:hyperlink>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74">
              <w:r>
                <w:rPr>
                  <w:rFonts w:ascii="Arial" w:cs="Arial" w:eastAsia="Arial" w:hAnsi="Arial"/>
                  <w:sz w:val="18"/>
                  <w:szCs w:val="18"/>
                  <w:color w:val="auto"/>
                </w:rPr>
                <w:t>Other Information</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gridSpan w:val="5"/>
            <w:shd w:val="clear" w:color="auto" w:fill="CCEEFF"/>
          </w:tcPr>
          <w:p>
            <w:pPr>
              <w:jc w:val="right"/>
              <w:ind w:right="140"/>
              <w:spacing w:after="0" w:line="176" w:lineRule="exact"/>
              <w:rPr>
                <w:rFonts w:ascii="Arial" w:cs="Arial" w:eastAsia="Arial" w:hAnsi="Arial"/>
                <w:sz w:val="18"/>
                <w:szCs w:val="18"/>
                <w:color w:val="auto"/>
                <w:w w:val="90"/>
              </w:rPr>
            </w:pPr>
            <w:hyperlink w:anchor="page75">
              <w:r>
                <w:rPr>
                  <w:rFonts w:ascii="Arial" w:cs="Arial" w:eastAsia="Arial" w:hAnsi="Arial"/>
                  <w:sz w:val="18"/>
                  <w:szCs w:val="18"/>
                  <w:color w:val="auto"/>
                  <w:w w:val="90"/>
                </w:rPr>
                <w:t>Item 6.</w:t>
              </w:r>
            </w:hyperlink>
          </w:p>
        </w:tc>
        <w:tc>
          <w:tcPr>
            <w:tcW w:w="9380" w:type="dxa"/>
            <w:vAlign w:val="bottom"/>
            <w:gridSpan w:val="21"/>
            <w:shd w:val="clear" w:color="auto" w:fill="CCEEFF"/>
          </w:tcPr>
          <w:p>
            <w:pPr>
              <w:spacing w:after="0" w:line="176" w:lineRule="exact"/>
              <w:rPr>
                <w:rFonts w:ascii="Arial" w:cs="Arial" w:eastAsia="Arial" w:hAnsi="Arial"/>
                <w:sz w:val="18"/>
                <w:szCs w:val="18"/>
                <w:color w:val="auto"/>
              </w:rPr>
            </w:pPr>
            <w:hyperlink w:anchor="page75">
              <w:r>
                <w:rPr>
                  <w:rFonts w:ascii="Arial" w:cs="Arial" w:eastAsia="Arial" w:hAnsi="Arial"/>
                  <w:sz w:val="18"/>
                  <w:szCs w:val="18"/>
                  <w:color w:val="auto"/>
                </w:rPr>
                <w:t>Exhibits</w:t>
              </w:r>
            </w:hyperlink>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3"/>
        </w:trPr>
        <w:tc>
          <w:tcPr>
            <w:tcW w:w="20" w:type="dxa"/>
            <w:vAlign w:val="bottom"/>
            <w:tcBorders>
              <w:top w:val="single" w:sz="8" w:color="CCEEFF"/>
            </w:tcBorders>
          </w:tcPr>
          <w:p>
            <w:pPr>
              <w:spacing w:after="0"/>
              <w:rPr>
                <w:sz w:val="17"/>
                <w:szCs w:val="17"/>
                <w:color w:val="auto"/>
              </w:rPr>
            </w:pPr>
          </w:p>
        </w:tc>
        <w:tc>
          <w:tcPr>
            <w:tcW w:w="3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40" w:type="dxa"/>
            <w:vAlign w:val="bottom"/>
            <w:tcBorders>
              <w:top w:val="single" w:sz="8" w:color="CCEEFF"/>
            </w:tcBorders>
            <w:gridSpan w:val="2"/>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10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78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180" w:type="dxa"/>
            <w:vAlign w:val="bottom"/>
            <w:gridSpan w:val="8"/>
            <w:shd w:val="clear" w:color="auto" w:fill="CCEEFF"/>
          </w:tcPr>
          <w:p>
            <w:pPr>
              <w:ind w:left="20"/>
              <w:spacing w:after="0" w:line="176" w:lineRule="exact"/>
              <w:rPr>
                <w:rFonts w:ascii="Arial" w:cs="Arial" w:eastAsia="Arial" w:hAnsi="Arial"/>
                <w:sz w:val="18"/>
                <w:szCs w:val="18"/>
                <w:b w:val="1"/>
                <w:bCs w:val="1"/>
                <w:color w:val="auto"/>
                <w:w w:val="96"/>
              </w:rPr>
            </w:pPr>
            <w:hyperlink w:anchor="page76">
              <w:r>
                <w:rPr>
                  <w:rFonts w:ascii="Arial" w:cs="Arial" w:eastAsia="Arial" w:hAnsi="Arial"/>
                  <w:sz w:val="18"/>
                  <w:szCs w:val="18"/>
                  <w:b w:val="1"/>
                  <w:bCs w:val="1"/>
                  <w:color w:val="auto"/>
                  <w:w w:val="96"/>
                </w:rPr>
                <w:t>SIGNATURES</w:t>
              </w:r>
            </w:hyperlink>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938"/>
        </w:trPr>
        <w:tc>
          <w:tcPr>
            <w:tcW w:w="20" w:type="dxa"/>
            <w:vAlign w:val="bottom"/>
            <w:tcBorders>
              <w:top w:val="single" w:sz="8" w:color="CCEEFF"/>
              <w:bottom w:val="single" w:sz="8" w:color="9A9A9A"/>
            </w:tcBorders>
          </w:tcPr>
          <w:p>
            <w:pPr>
              <w:spacing w:after="0"/>
              <w:rPr>
                <w:sz w:val="24"/>
                <w:szCs w:val="24"/>
                <w:color w:val="auto"/>
              </w:rPr>
            </w:pPr>
          </w:p>
        </w:tc>
        <w:tc>
          <w:tcPr>
            <w:tcW w:w="38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140" w:type="dxa"/>
            <w:vAlign w:val="bottom"/>
            <w:tcBorders>
              <w:top w:val="single" w:sz="8" w:color="0000EE"/>
              <w:bottom w:val="single" w:sz="8" w:color="9A9A9A"/>
            </w:tcBorders>
          </w:tcPr>
          <w:p>
            <w:pPr>
              <w:spacing w:after="0"/>
              <w:rPr>
                <w:sz w:val="24"/>
                <w:szCs w:val="24"/>
                <w:color w:val="auto"/>
              </w:rPr>
            </w:pPr>
          </w:p>
        </w:tc>
        <w:tc>
          <w:tcPr>
            <w:tcW w:w="60" w:type="dxa"/>
            <w:vAlign w:val="bottom"/>
            <w:tcBorders>
              <w:top w:val="single" w:sz="8" w:color="0000EE"/>
              <w:bottom w:val="single" w:sz="8" w:color="9A9A9A"/>
            </w:tcBorders>
          </w:tcPr>
          <w:p>
            <w:pPr>
              <w:spacing w:after="0"/>
              <w:rPr>
                <w:sz w:val="24"/>
                <w:szCs w:val="24"/>
                <w:color w:val="auto"/>
              </w:rPr>
            </w:pPr>
          </w:p>
        </w:tc>
        <w:tc>
          <w:tcPr>
            <w:tcW w:w="320" w:type="dxa"/>
            <w:vAlign w:val="bottom"/>
            <w:tcBorders>
              <w:top w:val="single" w:sz="8" w:color="0000EE"/>
              <w:bottom w:val="single" w:sz="8" w:color="9A9A9A"/>
            </w:tcBorders>
          </w:tcPr>
          <w:p>
            <w:pPr>
              <w:spacing w:after="0"/>
              <w:rPr>
                <w:sz w:val="24"/>
                <w:szCs w:val="24"/>
                <w:color w:val="auto"/>
              </w:rPr>
            </w:pPr>
          </w:p>
        </w:tc>
        <w:tc>
          <w:tcPr>
            <w:tcW w:w="120" w:type="dxa"/>
            <w:vAlign w:val="bottom"/>
            <w:tcBorders>
              <w:top w:val="single" w:sz="8" w:color="0000EE"/>
              <w:bottom w:val="single" w:sz="8" w:color="9A9A9A"/>
            </w:tcBorders>
          </w:tcPr>
          <w:p>
            <w:pPr>
              <w:spacing w:after="0"/>
              <w:rPr>
                <w:sz w:val="24"/>
                <w:szCs w:val="24"/>
                <w:color w:val="auto"/>
              </w:rPr>
            </w:pPr>
          </w:p>
        </w:tc>
        <w:tc>
          <w:tcPr>
            <w:tcW w:w="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bottom w:val="single" w:sz="8" w:color="9A9A9A"/>
            </w:tcBorders>
          </w:tcPr>
          <w:p>
            <w:pPr>
              <w:spacing w:after="0"/>
              <w:rPr>
                <w:sz w:val="24"/>
                <w:szCs w:val="24"/>
                <w:color w:val="auto"/>
              </w:rPr>
            </w:pPr>
          </w:p>
        </w:tc>
        <w:tc>
          <w:tcPr>
            <w:tcW w:w="240" w:type="dxa"/>
            <w:vAlign w:val="bottom"/>
            <w:tcBorders>
              <w:top w:val="single" w:sz="8" w:color="CCEEFF"/>
              <w:bottom w:val="single" w:sz="8" w:color="9A9A9A"/>
            </w:tcBorders>
          </w:tcPr>
          <w:p>
            <w:pPr>
              <w:spacing w:after="0"/>
              <w:rPr>
                <w:sz w:val="24"/>
                <w:szCs w:val="24"/>
                <w:color w:val="auto"/>
              </w:rPr>
            </w:pPr>
          </w:p>
        </w:tc>
        <w:tc>
          <w:tcPr>
            <w:tcW w:w="300" w:type="dxa"/>
            <w:vAlign w:val="bottom"/>
            <w:tcBorders>
              <w:top w:val="single" w:sz="8" w:color="CCEEFF"/>
              <w:bottom w:val="single" w:sz="8" w:color="9A9A9A"/>
            </w:tcBorders>
          </w:tcPr>
          <w:p>
            <w:pPr>
              <w:spacing w:after="0"/>
              <w:rPr>
                <w:sz w:val="24"/>
                <w:szCs w:val="24"/>
                <w:color w:val="auto"/>
              </w:rPr>
            </w:pPr>
          </w:p>
        </w:tc>
        <w:tc>
          <w:tcPr>
            <w:tcW w:w="80" w:type="dxa"/>
            <w:vAlign w:val="bottom"/>
            <w:tcBorders>
              <w:top w:val="single" w:sz="8" w:color="CCEEFF"/>
              <w:bottom w:val="single" w:sz="8" w:color="9A9A9A"/>
            </w:tcBorders>
          </w:tcPr>
          <w:p>
            <w:pPr>
              <w:spacing w:after="0"/>
              <w:rPr>
                <w:sz w:val="24"/>
                <w:szCs w:val="24"/>
                <w:color w:val="auto"/>
              </w:rPr>
            </w:pPr>
          </w:p>
        </w:tc>
        <w:tc>
          <w:tcPr>
            <w:tcW w:w="640" w:type="dxa"/>
            <w:vAlign w:val="bottom"/>
            <w:tcBorders>
              <w:top w:val="single" w:sz="8" w:color="CCEEFF"/>
              <w:bottom w:val="single" w:sz="8" w:color="9A9A9A"/>
            </w:tcBorders>
          </w:tcPr>
          <w:p>
            <w:pPr>
              <w:spacing w:after="0"/>
              <w:rPr>
                <w:sz w:val="24"/>
                <w:szCs w:val="24"/>
                <w:color w:val="auto"/>
              </w:rPr>
            </w:pPr>
          </w:p>
        </w:tc>
        <w:tc>
          <w:tcPr>
            <w:tcW w:w="58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20" w:type="dxa"/>
            <w:vAlign w:val="bottom"/>
            <w:tcBorders>
              <w:top w:val="single" w:sz="8" w:color="CCEEFF"/>
              <w:bottom w:val="single" w:sz="8" w:color="9A9A9A"/>
            </w:tcBorders>
          </w:tcPr>
          <w:p>
            <w:pPr>
              <w:spacing w:after="0"/>
              <w:rPr>
                <w:sz w:val="24"/>
                <w:szCs w:val="24"/>
                <w:color w:val="auto"/>
              </w:rPr>
            </w:pPr>
          </w:p>
        </w:tc>
        <w:tc>
          <w:tcPr>
            <w:tcW w:w="210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156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560" w:type="dxa"/>
            <w:vAlign w:val="bottom"/>
            <w:tcBorders>
              <w:top w:val="single" w:sz="8" w:color="CCEEFF"/>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 2022</w:t>
            </w:r>
          </w:p>
        </w:tc>
        <w:tc>
          <w:tcPr>
            <w:tcW w:w="180" w:type="dxa"/>
            <w:vAlign w:val="bottom"/>
          </w:tcPr>
          <w:p>
            <w:pPr>
              <w:spacing w:after="0"/>
              <w:rPr>
                <w:sz w:val="16"/>
                <w:szCs w:val="16"/>
                <w:color w:val="auto"/>
              </w:rPr>
            </w:pPr>
          </w:p>
        </w:tc>
        <w:tc>
          <w:tcPr>
            <w:tcW w:w="16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December 31, 2021</w:t>
            </w:r>
          </w:p>
        </w:tc>
        <w:tc>
          <w:tcPr>
            <w:tcW w:w="0" w:type="dxa"/>
            <w:vAlign w:val="bottom"/>
          </w:tcPr>
          <w:p>
            <w:pPr>
              <w:spacing w:after="0"/>
              <w:rPr>
                <w:sz w:val="1"/>
                <w:szCs w:val="1"/>
                <w:color w:val="auto"/>
              </w:rPr>
            </w:pPr>
          </w:p>
        </w:tc>
      </w:tr>
      <w:tr>
        <w:trPr>
          <w:trHeight w:val="169"/>
        </w:trPr>
        <w:tc>
          <w:tcPr>
            <w:tcW w:w="7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Investments at fair value:</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00" w:type="dxa"/>
            <w:vAlign w:val="bottom"/>
            <w:gridSpan w:val="2"/>
            <w:shd w:val="clear" w:color="auto" w:fill="CFF0FC"/>
          </w:tcPr>
          <w:p>
            <w:pPr>
              <w:ind w:left="200"/>
              <w:spacing w:after="0" w:line="162" w:lineRule="exact"/>
              <w:rPr>
                <w:sz w:val="20"/>
                <w:szCs w:val="20"/>
                <w:color w:val="auto"/>
              </w:rPr>
            </w:pPr>
            <w:r>
              <w:rPr>
                <w:rFonts w:ascii="Arial" w:cs="Arial" w:eastAsia="Arial" w:hAnsi="Arial"/>
                <w:sz w:val="18"/>
                <w:szCs w:val="18"/>
                <w:color w:val="auto"/>
                <w:w w:val="99"/>
              </w:rPr>
              <w:t>Non-control/non-affiliate investments at fair value (cost of $805,247,907 and $647,448,895,</w:t>
            </w:r>
          </w:p>
        </w:tc>
        <w:tc>
          <w:tcPr>
            <w:tcW w:w="300" w:type="dxa"/>
            <w:vAlign w:val="bottom"/>
            <w:vMerge w:val="restart"/>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799,855,284</w:t>
            </w:r>
          </w:p>
        </w:tc>
        <w:tc>
          <w:tcPr>
            <w:tcW w:w="220" w:type="dxa"/>
            <w:vAlign w:val="bottom"/>
            <w:shd w:val="clear" w:color="auto" w:fill="CFF0FC"/>
          </w:tcPr>
          <w:p>
            <w:pPr>
              <w:spacing w:after="0"/>
              <w:rPr>
                <w:sz w:val="14"/>
                <w:szCs w:val="14"/>
                <w:color w:val="auto"/>
              </w:rPr>
            </w:pPr>
          </w:p>
        </w:tc>
        <w:tc>
          <w:tcPr>
            <w:tcW w:w="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655,384,403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300" w:type="dxa"/>
            <w:vAlign w:val="bottom"/>
            <w:vMerge w:val="continue"/>
            <w:shd w:val="clear" w:color="auto" w:fill="CFF0FC"/>
          </w:tcPr>
          <w:p>
            <w:pPr>
              <w:spacing w:after="0"/>
              <w:rPr>
                <w:sz w:val="18"/>
                <w:szCs w:val="18"/>
                <w:color w:val="auto"/>
              </w:rPr>
            </w:pPr>
          </w:p>
        </w:tc>
        <w:tc>
          <w:tcPr>
            <w:tcW w:w="14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vMerge w:val="continue"/>
            <w:shd w:val="clear" w:color="auto" w:fill="CFF0FC"/>
          </w:tcPr>
          <w:p>
            <w:pPr>
              <w:spacing w:after="0"/>
              <w:rPr>
                <w:sz w:val="18"/>
                <w:szCs w:val="18"/>
                <w:color w:val="auto"/>
              </w:rPr>
            </w:pPr>
          </w:p>
        </w:tc>
        <w:tc>
          <w:tcPr>
            <w:tcW w:w="156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Affiliate investments at fair value (cost of $4,551,235 and $0, respectively)</w:t>
            </w:r>
          </w:p>
        </w:tc>
        <w:tc>
          <w:tcPr>
            <w:tcW w:w="3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2,352,019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Control investments at fair value (cost of $21,172,353 and $34,873,847, respectively)</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5,521,301</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29,130,371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Investment in U.S. Treasury Bills at fair value (cost of $0 and $45,001,250, respectively)</w:t>
            </w:r>
          </w:p>
        </w:tc>
        <w:tc>
          <w:tcPr>
            <w:tcW w:w="300" w:type="dxa"/>
            <w:vAlign w:val="bottom"/>
          </w:tcPr>
          <w:p>
            <w:pPr>
              <w:spacing w:after="0"/>
              <w:rPr>
                <w:sz w:val="17"/>
                <w:szCs w:val="17"/>
                <w:color w:val="auto"/>
              </w:rPr>
            </w:pPr>
          </w:p>
        </w:tc>
        <w:tc>
          <w:tcPr>
            <w:tcW w:w="17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45,001,500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gridSpan w:val="2"/>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investments at fair value (cost of $830,971,495 and $727,323,992, respectively)</w:t>
            </w:r>
          </w:p>
        </w:tc>
        <w:tc>
          <w:tcPr>
            <w:tcW w:w="300" w:type="dxa"/>
            <w:vAlign w:val="bottom"/>
            <w:tcBorders>
              <w:top w:val="single" w:sz="8" w:color="auto"/>
            </w:tcBorders>
            <w:shd w:val="clear" w:color="auto" w:fill="CFF0FC"/>
          </w:tcPr>
          <w:p>
            <w:pPr>
              <w:spacing w:after="0"/>
              <w:rPr>
                <w:sz w:val="17"/>
                <w:szCs w:val="17"/>
                <w:color w:val="auto"/>
              </w:rPr>
            </w:pPr>
          </w:p>
        </w:tc>
        <w:tc>
          <w:tcPr>
            <w:tcW w:w="14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807,728,604</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5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729,516,274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3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6,809,818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4,696,693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interest receivable</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3,419,067</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2,368,680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Other accounts receivable</w:t>
            </w:r>
          </w:p>
        </w:tc>
        <w:tc>
          <w:tcPr>
            <w:tcW w:w="3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81,018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816,065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Prepaid and deferred expenses</w:t>
            </w:r>
          </w:p>
        </w:tc>
        <w:tc>
          <w:tcPr>
            <w:tcW w:w="3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401,909</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949,768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gridSpan w:val="2"/>
          </w:tcPr>
          <w:p>
            <w:pPr>
              <w:ind w:left="380"/>
              <w:spacing w:after="0" w:line="196" w:lineRule="exact"/>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818,440,416</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738,347,480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0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Debt:</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Credit facilities</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163,000,000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61,000,000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2026 Senior Notes</w:t>
            </w:r>
          </w:p>
        </w:tc>
        <w:tc>
          <w:tcPr>
            <w:tcW w:w="3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70,000,000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w w:val="93"/>
              </w:rPr>
              <w:t>Deferred debt costs (net of accumulated amortization of $1,249,583 and $855,295, respectively)</w:t>
            </w:r>
          </w:p>
        </w:tc>
        <w:tc>
          <w:tcPr>
            <w:tcW w:w="30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(4,394,010 )</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(1,511,540 )</w:t>
            </w:r>
          </w:p>
        </w:tc>
        <w:tc>
          <w:tcPr>
            <w:tcW w:w="0" w:type="dxa"/>
            <w:vAlign w:val="bottom"/>
          </w:tcPr>
          <w:p>
            <w:pPr>
              <w:spacing w:after="0"/>
              <w:rPr>
                <w:sz w:val="1"/>
                <w:szCs w:val="1"/>
                <w:color w:val="auto"/>
              </w:rPr>
            </w:pPr>
          </w:p>
        </w:tc>
      </w:tr>
      <w:tr>
        <w:trPr>
          <w:trHeight w:val="196"/>
        </w:trPr>
        <w:tc>
          <w:tcPr>
            <w:tcW w:w="7400" w:type="dxa"/>
            <w:vAlign w:val="bottom"/>
            <w:tcBorders>
              <w:top w:val="single" w:sz="8" w:color="CFF0FC"/>
            </w:tcBorders>
            <w:gridSpan w:val="2"/>
          </w:tcPr>
          <w:p>
            <w:pPr>
              <w:ind w:left="380"/>
              <w:spacing w:after="0" w:line="196" w:lineRule="exact"/>
              <w:rPr>
                <w:sz w:val="20"/>
                <w:szCs w:val="20"/>
                <w:color w:val="auto"/>
              </w:rPr>
            </w:pPr>
            <w:r>
              <w:rPr>
                <w:rFonts w:ascii="Arial" w:cs="Arial" w:eastAsia="Arial" w:hAnsi="Arial"/>
                <w:sz w:val="18"/>
                <w:szCs w:val="18"/>
                <w:color w:val="auto"/>
              </w:rPr>
              <w:t>Total debt, less unamortized deferred debt costs</w:t>
            </w:r>
          </w:p>
        </w:tc>
        <w:tc>
          <w:tcPr>
            <w:tcW w:w="30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228,605,990</w:t>
            </w:r>
          </w:p>
        </w:tc>
        <w:tc>
          <w:tcPr>
            <w:tcW w:w="2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79,488,460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Reverse repurchase agreement</w:t>
            </w:r>
          </w:p>
        </w:tc>
        <w:tc>
          <w:tcPr>
            <w:tcW w:w="30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44,774,963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Accrued incentive fees</w:t>
            </w:r>
          </w:p>
        </w:tc>
        <w:tc>
          <w:tcPr>
            <w:tcW w:w="3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7,415,334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6,010,250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Due to affiliate</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184,759</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221,243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payable</w:t>
            </w:r>
          </w:p>
        </w:tc>
        <w:tc>
          <w:tcPr>
            <w:tcW w:w="3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1,030,660</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249,247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Accrued expenses and other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1,791,669</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5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1,408,826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00" w:type="dxa"/>
            <w:vAlign w:val="bottom"/>
            <w:gridSpan w:val="2"/>
          </w:tcPr>
          <w:p>
            <w:pPr>
              <w:ind w:left="380"/>
              <w:spacing w:after="0" w:line="196" w:lineRule="exact"/>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239,028,412</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132,152,989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00" w:type="dxa"/>
            <w:vAlign w:val="bottom"/>
            <w:gridSpan w:val="2"/>
            <w:shd w:val="clear" w:color="auto" w:fill="CFF0FC"/>
          </w:tcPr>
          <w:p>
            <w:pPr>
              <w:ind w:left="20"/>
              <w:spacing w:after="0" w:line="183" w:lineRule="exact"/>
              <w:rPr>
                <w:sz w:val="20"/>
                <w:szCs w:val="20"/>
                <w:color w:val="auto"/>
              </w:rPr>
            </w:pPr>
            <w:r>
              <w:rPr>
                <w:rFonts w:ascii="Arial" w:cs="Arial" w:eastAsia="Arial" w:hAnsi="Arial"/>
                <w:sz w:val="18"/>
                <w:szCs w:val="18"/>
                <w:color w:val="auto"/>
              </w:rPr>
              <w:t>Commitments and contingencies (Note 3)</w:t>
            </w:r>
          </w:p>
        </w:tc>
        <w:tc>
          <w:tcPr>
            <w:tcW w:w="30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0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Net assets</w:t>
            </w: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Common stock, par value</w:t>
            </w:r>
          </w:p>
        </w:tc>
        <w:tc>
          <w:tcPr>
            <w:tcW w:w="30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413,806</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413,806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30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606,063,671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spacing w:after="0" w:line="202" w:lineRule="exact"/>
              <w:rPr>
                <w:sz w:val="20"/>
                <w:szCs w:val="20"/>
                <w:color w:val="auto"/>
              </w:rPr>
            </w:pPr>
            <w:r>
              <w:rPr>
                <w:rFonts w:ascii="Arial" w:cs="Arial" w:eastAsia="Arial" w:hAnsi="Arial"/>
                <w:sz w:val="18"/>
                <w:szCs w:val="18"/>
                <w:color w:val="auto"/>
              </w:rPr>
              <w:t>606,047,671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0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Distributable (losses)</w:t>
            </w:r>
          </w:p>
        </w:tc>
        <w:tc>
          <w:tcPr>
            <w:tcW w:w="300" w:type="dxa"/>
            <w:vAlign w:val="bottom"/>
            <w:shd w:val="clear" w:color="auto" w:fill="CFF0FC"/>
          </w:tcPr>
          <w:p>
            <w:pPr>
              <w:spacing w:after="0"/>
              <w:rPr>
                <w:sz w:val="17"/>
                <w:szCs w:val="17"/>
                <w:color w:val="auto"/>
              </w:rPr>
            </w:pPr>
          </w:p>
        </w:tc>
        <w:tc>
          <w:tcPr>
            <w:tcW w:w="170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(21,786,236 )</w:t>
            </w:r>
          </w:p>
        </w:tc>
        <w:tc>
          <w:tcPr>
            <w:tcW w:w="18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(266,986 )</w:t>
            </w:r>
          </w:p>
        </w:tc>
        <w:tc>
          <w:tcPr>
            <w:tcW w:w="0" w:type="dxa"/>
            <w:vAlign w:val="bottom"/>
          </w:tcPr>
          <w:p>
            <w:pPr>
              <w:spacing w:after="0"/>
              <w:rPr>
                <w:sz w:val="1"/>
                <w:szCs w:val="1"/>
                <w:color w:val="auto"/>
              </w:rPr>
            </w:pPr>
          </w:p>
        </w:tc>
      </w:tr>
      <w:tr>
        <w:trPr>
          <w:trHeight w:val="203"/>
        </w:trPr>
        <w:tc>
          <w:tcPr>
            <w:tcW w:w="740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Treasury stock</w:t>
            </w:r>
          </w:p>
        </w:tc>
        <w:tc>
          <w:tcPr>
            <w:tcW w:w="300" w:type="dxa"/>
            <w:vAlign w:val="bottom"/>
          </w:tcPr>
          <w:p>
            <w:pPr>
              <w:spacing w:after="0"/>
              <w:rPr>
                <w:sz w:val="17"/>
                <w:szCs w:val="17"/>
                <w:color w:val="auto"/>
              </w:rPr>
            </w:pPr>
          </w:p>
        </w:tc>
        <w:tc>
          <w:tcPr>
            <w:tcW w:w="170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(5,279,237 )</w:t>
            </w:r>
          </w:p>
        </w:tc>
        <w:tc>
          <w:tcPr>
            <w:tcW w:w="180" w:type="dxa"/>
            <w:vAlign w:val="bottom"/>
          </w:tcPr>
          <w:p>
            <w:pPr>
              <w:spacing w:after="0"/>
              <w:rPr>
                <w:sz w:val="17"/>
                <w:szCs w:val="17"/>
                <w:color w:val="auto"/>
              </w:rPr>
            </w:pPr>
          </w:p>
        </w:tc>
        <w:tc>
          <w:tcPr>
            <w:tcW w:w="16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400" w:type="dxa"/>
            <w:vAlign w:val="bottom"/>
            <w:tcBorders>
              <w:bottom w:val="single" w:sz="8" w:color="CFF0FC"/>
            </w:tcBorders>
            <w:gridSpan w:val="2"/>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Total net assets</w:t>
            </w:r>
          </w:p>
        </w:tc>
        <w:tc>
          <w:tcPr>
            <w:tcW w:w="300" w:type="dxa"/>
            <w:vAlign w:val="bottom"/>
            <w:tcBorders>
              <w:top w:val="single" w:sz="8" w:color="auto"/>
              <w:bottom w:val="single" w:sz="8" w:color="auto"/>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579,412,004</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606,194,491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385"/>
        </w:trPr>
        <w:tc>
          <w:tcPr>
            <w:tcW w:w="7400" w:type="dxa"/>
            <w:vAlign w:val="bottom"/>
            <w:gridSpan w:val="2"/>
          </w:tcPr>
          <w:p>
            <w:pPr>
              <w:ind w:left="20"/>
              <w:spacing w:after="0"/>
              <w:rPr>
                <w:sz w:val="20"/>
                <w:szCs w:val="20"/>
                <w:color w:val="auto"/>
              </w:rPr>
            </w:pPr>
            <w:r>
              <w:rPr>
                <w:rFonts w:ascii="Arial" w:cs="Arial" w:eastAsia="Arial" w:hAnsi="Arial"/>
                <w:sz w:val="18"/>
                <w:szCs w:val="18"/>
                <w:color w:val="auto"/>
              </w:rPr>
              <w:t>Shares of common stock outstanding ($0.01 par value, 100,000,000 shares authorized)</w:t>
            </w:r>
          </w:p>
        </w:tc>
        <w:tc>
          <w:tcPr>
            <w:tcW w:w="3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40,967,122</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41,380,614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asset value per share</w:t>
            </w:r>
          </w:p>
        </w:tc>
        <w:tc>
          <w:tcPr>
            <w:tcW w:w="120" w:type="dxa"/>
            <w:vAlign w:val="bottom"/>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-3082290</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-3082290</wp:posOffset>
            </wp:positionV>
            <wp:extent cx="6858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-2276475</wp:posOffset>
            </wp:positionV>
            <wp:extent cx="6858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-2276475</wp:posOffset>
            </wp:positionV>
            <wp:extent cx="6858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-1496695</wp:posOffset>
            </wp:positionV>
            <wp:extent cx="6858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-1496695</wp:posOffset>
            </wp:positionV>
            <wp:extent cx="6858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-427990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-410845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-410845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104"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Statements of Operations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3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For the Three Months Ended June 30,</w:t>
            </w:r>
          </w:p>
        </w:tc>
        <w:tc>
          <w:tcPr>
            <w:tcW w:w="340" w:type="dxa"/>
            <w:vAlign w:val="bottom"/>
          </w:tcPr>
          <w:p>
            <w:pPr>
              <w:spacing w:after="0"/>
              <w:rPr>
                <w:sz w:val="15"/>
                <w:szCs w:val="15"/>
                <w:color w:val="auto"/>
              </w:rPr>
            </w:pPr>
          </w:p>
        </w:tc>
        <w:tc>
          <w:tcPr>
            <w:tcW w:w="30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For the Six Months Ended June 30,</w:t>
            </w:r>
          </w:p>
        </w:tc>
        <w:tc>
          <w:tcPr>
            <w:tcW w:w="0" w:type="dxa"/>
            <w:vAlign w:val="bottom"/>
          </w:tcPr>
          <w:p>
            <w:pPr>
              <w:spacing w:after="0"/>
              <w:rPr>
                <w:sz w:val="1"/>
                <w:szCs w:val="1"/>
                <w:color w:val="auto"/>
              </w:rPr>
            </w:pPr>
          </w:p>
        </w:tc>
      </w:tr>
      <w:tr>
        <w:trPr>
          <w:trHeight w:val="185"/>
        </w:trPr>
        <w:tc>
          <w:tcPr>
            <w:tcW w:w="4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Investment income</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From non-control/non-affiliate investments: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20,430,136</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17,229,488</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37,192,810</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32,250,053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380"/>
              <w:spacing w:after="0" w:line="202" w:lineRule="exact"/>
              <w:rPr>
                <w:sz w:val="20"/>
                <w:szCs w:val="20"/>
                <w:color w:val="auto"/>
              </w:rPr>
            </w:pPr>
            <w:r>
              <w:rPr>
                <w:rFonts w:ascii="Arial" w:cs="Arial" w:eastAsia="Arial" w:hAnsi="Arial"/>
                <w:sz w:val="18"/>
                <w:szCs w:val="18"/>
                <w:color w:val="auto"/>
              </w:rPr>
              <w:t>Payment in-kind interest income</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1,042,832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1,045,527</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2,049,065</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1,989,558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income</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75,448</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126,678</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265,433</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240,970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380"/>
              <w:spacing w:after="0" w:line="202" w:lineRule="exact"/>
              <w:rPr>
                <w:sz w:val="20"/>
                <w:szCs w:val="20"/>
                <w:color w:val="auto"/>
              </w:rPr>
            </w:pPr>
            <w:r>
              <w:rPr>
                <w:rFonts w:ascii="Arial" w:cs="Arial" w:eastAsia="Arial" w:hAnsi="Arial"/>
                <w:sz w:val="18"/>
                <w:szCs w:val="18"/>
                <w:color w:val="auto"/>
              </w:rPr>
              <w:t>Interest income from U.S. Treasury Bills</w:t>
            </w:r>
          </w:p>
        </w:tc>
        <w:tc>
          <w:tcPr>
            <w:tcW w:w="320" w:type="dxa"/>
            <w:vAlign w:val="bottom"/>
          </w:tcPr>
          <w:p>
            <w:pPr>
              <w:spacing w:after="0"/>
              <w:rPr>
                <w:sz w:val="17"/>
                <w:szCs w:val="17"/>
                <w:color w:val="auto"/>
              </w:rPr>
            </w:pPr>
          </w:p>
        </w:tc>
        <w:tc>
          <w:tcPr>
            <w:tcW w:w="15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Dividend income</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317,674</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343,755</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703,092</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687,510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From affiliate investments: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4,654</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4,654</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tcPr>
          <w:p>
            <w:pPr>
              <w:ind w:left="380"/>
              <w:spacing w:after="0" w:line="202" w:lineRule="exact"/>
              <w:rPr>
                <w:sz w:val="20"/>
                <w:szCs w:val="20"/>
                <w:color w:val="auto"/>
              </w:rPr>
            </w:pPr>
            <w:r>
              <w:rPr>
                <w:rFonts w:ascii="Arial" w:cs="Arial" w:eastAsia="Arial" w:hAnsi="Arial"/>
                <w:sz w:val="18"/>
                <w:szCs w:val="18"/>
                <w:color w:val="auto"/>
              </w:rPr>
              <w:t>Payment in-kind interest income</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6,689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96,291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Other income</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8,311</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8,311</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From control investments:</w:t>
            </w: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Interest income</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618,099</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1,112,421</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tcPr>
          <w:p>
            <w:pPr>
              <w:ind w:left="380"/>
              <w:spacing w:after="0" w:line="202" w:lineRule="exact"/>
              <w:rPr>
                <w:sz w:val="20"/>
                <w:szCs w:val="20"/>
                <w:color w:val="auto"/>
              </w:rPr>
            </w:pPr>
            <w:r>
              <w:rPr>
                <w:rFonts w:ascii="Arial" w:cs="Arial" w:eastAsia="Arial" w:hAnsi="Arial"/>
                <w:sz w:val="18"/>
                <w:szCs w:val="18"/>
                <w:color w:val="auto"/>
              </w:rPr>
              <w:t>Payment in-kind interest income</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2,654,039</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2,984,450</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2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 from non-investment sources</w:t>
            </w: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208</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139</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463</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Pr>
          <w:p>
            <w:pPr>
              <w:ind w:left="560"/>
              <w:spacing w:after="0" w:line="196" w:lineRule="exact"/>
              <w:rPr>
                <w:sz w:val="20"/>
                <w:szCs w:val="20"/>
                <w:color w:val="auto"/>
              </w:rPr>
            </w:pPr>
            <w:r>
              <w:rPr>
                <w:rFonts w:ascii="Arial" w:cs="Arial" w:eastAsia="Arial" w:hAnsi="Arial"/>
                <w:sz w:val="18"/>
                <w:szCs w:val="18"/>
                <w:color w:val="auto"/>
              </w:rPr>
              <w:t>Total investment income</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25,158,090</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18,745,602</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44,416,990</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35,168,376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Operating expenses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Management fees</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2,862,303</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2,276,341</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5,422,239</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4,345,550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Incentive fees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3,621,139</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2,836,303</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4,965,135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3,812,007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1,609,132</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761,815</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2,482,617</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1,489,730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Professional fees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888,114</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498,913</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1,247,921</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820,505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Overhead allocation expense</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218,294</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208,736</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455,266</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406,119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Insurance expense</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268,618</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23,275</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537,236</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46,551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Administration fee</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168,078</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92,760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336,651</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240,860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Debt financing fees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726,568</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419,216</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1,432,534</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709,201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Directors’ fees</w:t>
            </w:r>
          </w:p>
        </w:tc>
        <w:tc>
          <w:tcPr>
            <w:tcW w:w="32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82,500</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69,250</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171,000</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134,000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 expense</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823</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1,073</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Other expenses</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233,939</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218,475</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426,848</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341,601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Borders>
              <w:bottom w:val="single" w:sz="8" w:color="CFF0FC"/>
            </w:tcBorders>
            <w:shd w:val="clear" w:color="auto" w:fill="CFF0FC"/>
          </w:tcPr>
          <w:p>
            <w:pPr>
              <w:ind w:left="560"/>
              <w:spacing w:after="0" w:line="196" w:lineRule="exact"/>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10,679,508</w:t>
            </w:r>
          </w:p>
        </w:tc>
        <w:tc>
          <w:tcPr>
            <w:tcW w:w="28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7,405,125</w:t>
            </w:r>
          </w:p>
        </w:tc>
        <w:tc>
          <w:tcPr>
            <w:tcW w:w="2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17,478,520</w:t>
            </w:r>
          </w:p>
        </w:tc>
        <w:tc>
          <w:tcPr>
            <w:tcW w:w="2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12,346,165</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investment income</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14,478,582</w:t>
            </w:r>
          </w:p>
        </w:tc>
        <w:tc>
          <w:tcPr>
            <w:tcW w:w="2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11,340,477</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26,938,470</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22,822,211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w w:val="93"/>
              </w:rPr>
              <w:t>Realized and unrealized gain (loss) on investments</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00"/>
              <w:spacing w:after="0" w:line="162" w:lineRule="exact"/>
              <w:rPr>
                <w:sz w:val="20"/>
                <w:szCs w:val="20"/>
                <w:color w:val="auto"/>
              </w:rPr>
            </w:pPr>
            <w:r>
              <w:rPr>
                <w:rFonts w:ascii="Arial" w:cs="Arial" w:eastAsia="Arial" w:hAnsi="Arial"/>
                <w:sz w:val="18"/>
                <w:szCs w:val="18"/>
                <w:color w:val="auto"/>
              </w:rPr>
              <w:t>Realized gain (loss) on non-control/non-affiliate</w:t>
            </w:r>
          </w:p>
        </w:tc>
        <w:tc>
          <w:tcPr>
            <w:tcW w:w="32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903,787</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(4,595,853 )</w:t>
            </w:r>
          </w:p>
        </w:tc>
        <w:tc>
          <w:tcPr>
            <w:tcW w:w="34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532,526</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(4,795,077 )</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investments, including U.S. Treasury Bills</w:t>
            </w:r>
          </w:p>
        </w:tc>
        <w:tc>
          <w:tcPr>
            <w:tcW w:w="32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Realized gain (loss) on control investments</w:t>
            </w:r>
          </w:p>
        </w:tc>
        <w:tc>
          <w:tcPr>
            <w:tcW w:w="32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(65 )</w:t>
            </w:r>
          </w:p>
        </w:tc>
        <w:tc>
          <w:tcPr>
            <w:tcW w:w="38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(65 )</w:t>
            </w:r>
          </w:p>
        </w:tc>
        <w:tc>
          <w:tcPr>
            <w:tcW w:w="36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120" w:type="dxa"/>
            <w:vAlign w:val="bottom"/>
          </w:tcPr>
          <w:p>
            <w:pPr>
              <w:ind w:left="200"/>
              <w:spacing w:after="0" w:line="162" w:lineRule="exact"/>
              <w:rPr>
                <w:sz w:val="20"/>
                <w:szCs w:val="20"/>
                <w:color w:val="auto"/>
              </w:rPr>
            </w:pPr>
            <w:r>
              <w:rPr>
                <w:rFonts w:ascii="Arial" w:cs="Arial" w:eastAsia="Arial" w:hAnsi="Arial"/>
                <w:sz w:val="18"/>
                <w:szCs w:val="18"/>
                <w:color w:val="auto"/>
              </w:rPr>
              <w:t>Net change in unrealized appreciation</w:t>
            </w: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20" w:type="dxa"/>
            <w:vAlign w:val="bottom"/>
          </w:tcPr>
          <w:p>
            <w:pPr>
              <w:ind w:left="200"/>
              <w:spacing w:after="0" w:line="176" w:lineRule="exact"/>
              <w:rPr>
                <w:sz w:val="20"/>
                <w:szCs w:val="20"/>
                <w:color w:val="auto"/>
              </w:rPr>
            </w:pPr>
            <w:r>
              <w:rPr>
                <w:rFonts w:ascii="Arial" w:cs="Arial" w:eastAsia="Arial" w:hAnsi="Arial"/>
                <w:sz w:val="18"/>
                <w:szCs w:val="18"/>
                <w:color w:val="auto"/>
              </w:rPr>
              <w:t>(depreciation) on non-control/non-affiliate</w:t>
            </w:r>
          </w:p>
        </w:tc>
        <w:tc>
          <w:tcPr>
            <w:tcW w:w="320" w:type="dxa"/>
            <w:vAlign w:val="bottom"/>
          </w:tcPr>
          <w:p>
            <w:pPr>
              <w:spacing w:after="0"/>
              <w:rPr>
                <w:sz w:val="15"/>
                <w:szCs w:val="15"/>
                <w:color w:val="auto"/>
              </w:rPr>
            </w:pPr>
          </w:p>
        </w:tc>
        <w:tc>
          <w:tcPr>
            <w:tcW w:w="15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(8,164,497 )</w:t>
            </w:r>
          </w:p>
        </w:tc>
        <w:tc>
          <w:tcPr>
            <w:tcW w:w="380" w:type="dxa"/>
            <w:vAlign w:val="bottom"/>
          </w:tcPr>
          <w:p>
            <w:pPr>
              <w:spacing w:after="0"/>
              <w:rPr>
                <w:sz w:val="15"/>
                <w:szCs w:val="15"/>
                <w:color w:val="auto"/>
              </w:rPr>
            </w:pPr>
          </w:p>
        </w:tc>
        <w:tc>
          <w:tcPr>
            <w:tcW w:w="14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(1,683,287 )</w:t>
            </w:r>
          </w:p>
        </w:tc>
        <w:tc>
          <w:tcPr>
            <w:tcW w:w="340" w:type="dxa"/>
            <w:vAlign w:val="bottom"/>
          </w:tcPr>
          <w:p>
            <w:pPr>
              <w:spacing w:after="0"/>
              <w:rPr>
                <w:sz w:val="15"/>
                <w:szCs w:val="15"/>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(12,319,166 )</w:t>
            </w:r>
          </w:p>
        </w:tc>
        <w:tc>
          <w:tcPr>
            <w:tcW w:w="360" w:type="dxa"/>
            <w:vAlign w:val="bottom"/>
          </w:tcPr>
          <w:p>
            <w:pPr>
              <w:spacing w:after="0"/>
              <w:rPr>
                <w:sz w:val="15"/>
                <w:szCs w:val="15"/>
                <w:color w:val="auto"/>
              </w:rPr>
            </w:pP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(4,121,553 )</w:t>
            </w:r>
          </w:p>
        </w:tc>
        <w:tc>
          <w:tcPr>
            <w:tcW w:w="0" w:type="dxa"/>
            <w:vAlign w:val="bottom"/>
          </w:tcPr>
          <w:p>
            <w:pPr>
              <w:spacing w:after="0"/>
              <w:rPr>
                <w:sz w:val="1"/>
                <w:szCs w:val="1"/>
                <w:color w:val="auto"/>
              </w:rPr>
            </w:pPr>
          </w:p>
        </w:tc>
      </w:tr>
      <w:tr>
        <w:trPr>
          <w:trHeight w:val="216"/>
        </w:trPr>
        <w:tc>
          <w:tcPr>
            <w:tcW w:w="4120" w:type="dxa"/>
            <w:vAlign w:val="bottom"/>
          </w:tcPr>
          <w:p>
            <w:pPr>
              <w:ind w:left="200"/>
              <w:spacing w:after="0"/>
              <w:rPr>
                <w:sz w:val="20"/>
                <w:szCs w:val="20"/>
                <w:color w:val="auto"/>
              </w:rPr>
            </w:pPr>
            <w:r>
              <w:rPr>
                <w:rFonts w:ascii="Arial" w:cs="Arial" w:eastAsia="Arial" w:hAnsi="Arial"/>
                <w:sz w:val="18"/>
                <w:szCs w:val="18"/>
                <w:color w:val="auto"/>
              </w:rPr>
              <w:t>investments, including U.S. Treasury Bills</w:t>
            </w:r>
          </w:p>
        </w:tc>
        <w:tc>
          <w:tcPr>
            <w:tcW w:w="32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2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Net change in unrealized appreciation</w:t>
            </w:r>
          </w:p>
        </w:tc>
        <w:tc>
          <w:tcPr>
            <w:tcW w:w="320" w:type="dxa"/>
            <w:vAlign w:val="bottom"/>
            <w:shd w:val="clear" w:color="auto" w:fill="CFF0FC"/>
          </w:tcPr>
          <w:p>
            <w:pPr>
              <w:spacing w:after="0"/>
              <w:rPr>
                <w:sz w:val="14"/>
                <w:szCs w:val="14"/>
                <w:color w:val="auto"/>
              </w:rPr>
            </w:pPr>
          </w:p>
        </w:tc>
        <w:tc>
          <w:tcPr>
            <w:tcW w:w="15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(42,673 )</w:t>
            </w:r>
          </w:p>
        </w:tc>
        <w:tc>
          <w:tcPr>
            <w:tcW w:w="380" w:type="dxa"/>
            <w:vAlign w:val="bottom"/>
            <w:shd w:val="clear" w:color="auto" w:fill="CFF0FC"/>
          </w:tcPr>
          <w:p>
            <w:pPr>
              <w:spacing w:after="0"/>
              <w:rPr>
                <w:sz w:val="14"/>
                <w:szCs w:val="14"/>
                <w:color w:val="auto"/>
              </w:rPr>
            </w:pPr>
          </w:p>
        </w:tc>
        <w:tc>
          <w:tcPr>
            <w:tcW w:w="1480" w:type="dxa"/>
            <w:vAlign w:val="bottom"/>
            <w:gridSpan w:val="2"/>
            <w:vMerge w:val="restart"/>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4"/>
                <w:szCs w:val="14"/>
                <w:color w:val="auto"/>
              </w:rPr>
            </w:pPr>
          </w:p>
        </w:tc>
        <w:tc>
          <w:tcPr>
            <w:tcW w:w="14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(3,208,432 )</w:t>
            </w:r>
          </w:p>
        </w:tc>
        <w:tc>
          <w:tcPr>
            <w:tcW w:w="360" w:type="dxa"/>
            <w:vAlign w:val="bottom"/>
            <w:shd w:val="clear" w:color="auto" w:fill="CFF0FC"/>
          </w:tcPr>
          <w:p>
            <w:pPr>
              <w:spacing w:after="0"/>
              <w:rPr>
                <w:sz w:val="14"/>
                <w:szCs w:val="14"/>
                <w:color w:val="auto"/>
              </w:rPr>
            </w:pPr>
          </w:p>
        </w:tc>
        <w:tc>
          <w:tcPr>
            <w:tcW w:w="12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(depreciation) on affiliate investments</w:t>
            </w:r>
          </w:p>
        </w:tc>
        <w:tc>
          <w:tcPr>
            <w:tcW w:w="320" w:type="dxa"/>
            <w:vAlign w:val="bottom"/>
            <w:shd w:val="clear" w:color="auto" w:fill="CFF0FC"/>
          </w:tcPr>
          <w:p>
            <w:pPr>
              <w:spacing w:after="0"/>
              <w:rPr>
                <w:sz w:val="18"/>
                <w:szCs w:val="18"/>
                <w:color w:val="auto"/>
              </w:rPr>
            </w:pPr>
          </w:p>
        </w:tc>
        <w:tc>
          <w:tcPr>
            <w:tcW w:w="1520" w:type="dxa"/>
            <w:vAlign w:val="bottom"/>
            <w:gridSpan w:val="2"/>
            <w:vMerge w:val="continue"/>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2"/>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8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20" w:type="dxa"/>
            <w:vAlign w:val="bottom"/>
          </w:tcPr>
          <w:p>
            <w:pPr>
              <w:ind w:left="200"/>
              <w:spacing w:after="0" w:line="162" w:lineRule="exact"/>
              <w:rPr>
                <w:sz w:val="20"/>
                <w:szCs w:val="20"/>
                <w:color w:val="auto"/>
              </w:rPr>
            </w:pPr>
            <w:r>
              <w:rPr>
                <w:rFonts w:ascii="Arial" w:cs="Arial" w:eastAsia="Arial" w:hAnsi="Arial"/>
                <w:sz w:val="18"/>
                <w:szCs w:val="18"/>
                <w:color w:val="auto"/>
              </w:rPr>
              <w:t>Net change in unrealized appreciation</w:t>
            </w:r>
          </w:p>
        </w:tc>
        <w:tc>
          <w:tcPr>
            <w:tcW w:w="320" w:type="dxa"/>
            <w:vAlign w:val="bottom"/>
          </w:tcPr>
          <w:p>
            <w:pPr>
              <w:spacing w:after="0"/>
              <w:rPr>
                <w:sz w:val="14"/>
                <w:szCs w:val="14"/>
                <w:color w:val="auto"/>
              </w:rPr>
            </w:pPr>
          </w:p>
        </w:tc>
        <w:tc>
          <w:tcPr>
            <w:tcW w:w="15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(7,992,468 )</w:t>
            </w:r>
          </w:p>
        </w:tc>
        <w:tc>
          <w:tcPr>
            <w:tcW w:w="3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1,650,006</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(9,907,576 )</w:t>
            </w:r>
          </w:p>
        </w:tc>
        <w:tc>
          <w:tcPr>
            <w:tcW w:w="3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2,177,090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0"/>
              <w:spacing w:after="0" w:line="202" w:lineRule="exact"/>
              <w:rPr>
                <w:sz w:val="20"/>
                <w:szCs w:val="20"/>
                <w:color w:val="auto"/>
              </w:rPr>
            </w:pPr>
            <w:r>
              <w:rPr>
                <w:rFonts w:ascii="Arial" w:cs="Arial" w:eastAsia="Arial" w:hAnsi="Arial"/>
                <w:sz w:val="18"/>
                <w:szCs w:val="18"/>
                <w:color w:val="auto"/>
              </w:rPr>
              <w:t>(depreciation) on control investments</w:t>
            </w:r>
          </w:p>
        </w:tc>
        <w:tc>
          <w:tcPr>
            <w:tcW w:w="3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b w:val="1"/>
                <w:bCs w:val="1"/>
                <w:color w:val="auto"/>
              </w:rPr>
              <w:t>Net realized and unrealized gain (loss) on</w:t>
            </w:r>
          </w:p>
        </w:tc>
        <w:tc>
          <w:tcPr>
            <w:tcW w:w="320" w:type="dxa"/>
            <w:vAlign w:val="bottom"/>
            <w:shd w:val="clear" w:color="auto" w:fill="CFF0FC"/>
          </w:tcPr>
          <w:p>
            <w:pPr>
              <w:spacing w:after="0"/>
              <w:rPr>
                <w:sz w:val="13"/>
                <w:szCs w:val="13"/>
                <w:color w:val="auto"/>
              </w:rPr>
            </w:pPr>
          </w:p>
        </w:tc>
        <w:tc>
          <w:tcPr>
            <w:tcW w:w="15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(15,295,916 )</w:t>
            </w:r>
          </w:p>
        </w:tc>
        <w:tc>
          <w:tcPr>
            <w:tcW w:w="380" w:type="dxa"/>
            <w:vAlign w:val="bottom"/>
            <w:shd w:val="clear" w:color="auto" w:fill="CFF0FC"/>
          </w:tcPr>
          <w:p>
            <w:pPr>
              <w:spacing w:after="0"/>
              <w:rPr>
                <w:sz w:val="13"/>
                <w:szCs w:val="13"/>
                <w:color w:val="auto"/>
              </w:rPr>
            </w:pPr>
          </w:p>
        </w:tc>
        <w:tc>
          <w:tcPr>
            <w:tcW w:w="14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(4,629,134 )</w:t>
            </w:r>
          </w:p>
        </w:tc>
        <w:tc>
          <w:tcPr>
            <w:tcW w:w="340" w:type="dxa"/>
            <w:vAlign w:val="bottom"/>
            <w:shd w:val="clear" w:color="auto" w:fill="CFF0FC"/>
          </w:tcPr>
          <w:p>
            <w:pPr>
              <w:spacing w:after="0"/>
              <w:rPr>
                <w:sz w:val="13"/>
                <w:szCs w:val="13"/>
                <w:color w:val="auto"/>
              </w:rPr>
            </w:pPr>
          </w:p>
        </w:tc>
        <w:tc>
          <w:tcPr>
            <w:tcW w:w="144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(24,902,713 )</w:t>
            </w:r>
          </w:p>
        </w:tc>
        <w:tc>
          <w:tcPr>
            <w:tcW w:w="360" w:type="dxa"/>
            <w:vAlign w:val="bottom"/>
            <w:shd w:val="clear" w:color="auto" w:fill="CFF0FC"/>
          </w:tcPr>
          <w:p>
            <w:pPr>
              <w:spacing w:after="0"/>
              <w:rPr>
                <w:sz w:val="13"/>
                <w:szCs w:val="13"/>
                <w:color w:val="auto"/>
              </w:rPr>
            </w:pPr>
          </w:p>
        </w:tc>
        <w:tc>
          <w:tcPr>
            <w:tcW w:w="128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8"/>
                <w:szCs w:val="18"/>
                <w:color w:val="auto"/>
              </w:rPr>
              <w:t>(6,739,540 )</w:t>
            </w:r>
          </w:p>
        </w:tc>
        <w:tc>
          <w:tcPr>
            <w:tcW w:w="0" w:type="dxa"/>
            <w:vAlign w:val="bottom"/>
          </w:tcPr>
          <w:p>
            <w:pPr>
              <w:spacing w:after="0"/>
              <w:rPr>
                <w:sz w:val="1"/>
                <w:szCs w:val="1"/>
                <w:color w:val="auto"/>
              </w:rPr>
            </w:pPr>
          </w:p>
        </w:tc>
      </w:tr>
      <w:tr>
        <w:trPr>
          <w:trHeight w:val="203"/>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investments</w:t>
            </w:r>
          </w:p>
        </w:tc>
        <w:tc>
          <w:tcPr>
            <w:tcW w:w="320" w:type="dxa"/>
            <w:vAlign w:val="bottom"/>
            <w:shd w:val="clear" w:color="auto" w:fill="CFF0FC"/>
          </w:tcPr>
          <w:p>
            <w:pPr>
              <w:spacing w:after="0"/>
              <w:rPr>
                <w:sz w:val="17"/>
                <w:szCs w:val="17"/>
                <w:color w:val="auto"/>
              </w:rPr>
            </w:pPr>
          </w:p>
        </w:tc>
        <w:tc>
          <w:tcPr>
            <w:tcW w:w="1520" w:type="dxa"/>
            <w:vAlign w:val="bottom"/>
            <w:gridSpan w:val="2"/>
            <w:vMerge w:val="continue"/>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480" w:type="dxa"/>
            <w:vAlign w:val="bottom"/>
            <w:gridSpan w:val="2"/>
            <w:vMerge w:val="continue"/>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40" w:type="dxa"/>
            <w:vAlign w:val="bottom"/>
            <w:gridSpan w:val="2"/>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8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2"/>
              </w:rPr>
              <w:t>Net increase (decrease) in net assets resulting from</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(817,334 )</w:t>
            </w: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6,711,343</w:t>
            </w:r>
          </w:p>
        </w:tc>
        <w:tc>
          <w:tcPr>
            <w:tcW w:w="280" w:type="dxa"/>
            <w:vAlign w:val="bottom"/>
          </w:tcPr>
          <w:p>
            <w:pPr>
              <w:spacing w:after="0"/>
              <w:rPr>
                <w:sz w:val="13"/>
                <w:szCs w:val="13"/>
                <w:color w:val="auto"/>
              </w:rPr>
            </w:pPr>
          </w:p>
        </w:tc>
        <w:tc>
          <w:tcPr>
            <w:tcW w:w="340" w:type="dxa"/>
            <w:vAlign w:val="bottom"/>
            <w:vMerge w:val="restart"/>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2,035,757</w:t>
            </w:r>
          </w:p>
        </w:tc>
        <w:tc>
          <w:tcPr>
            <w:tcW w:w="260" w:type="dxa"/>
            <w:vAlign w:val="bottom"/>
          </w:tcPr>
          <w:p>
            <w:pPr>
              <w:spacing w:after="0"/>
              <w:rPr>
                <w:sz w:val="13"/>
                <w:szCs w:val="13"/>
                <w:color w:val="auto"/>
              </w:rPr>
            </w:pP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16,082,671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4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operations</w:t>
            </w:r>
          </w:p>
        </w:tc>
        <w:tc>
          <w:tcPr>
            <w:tcW w:w="320" w:type="dxa"/>
            <w:vAlign w:val="bottom"/>
            <w:vMerge w:val="continue"/>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2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20" w:type="dxa"/>
            <w:vAlign w:val="bottom"/>
            <w:shd w:val="clear" w:color="auto" w:fill="CFF0FC"/>
          </w:tcPr>
          <w:p>
            <w:pPr>
              <w:ind w:left="20"/>
              <w:spacing w:after="0" w:line="142" w:lineRule="exact"/>
              <w:rPr>
                <w:sz w:val="20"/>
                <w:szCs w:val="20"/>
                <w:color w:val="auto"/>
              </w:rPr>
            </w:pPr>
            <w:r>
              <w:rPr>
                <w:rFonts w:ascii="Arial" w:cs="Arial" w:eastAsia="Arial" w:hAnsi="Arial"/>
                <w:sz w:val="16"/>
                <w:szCs w:val="16"/>
                <w:color w:val="auto"/>
              </w:rPr>
              <w:t>Net increase in net assets resulting from operations</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52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(0.02 )</w:t>
            </w:r>
          </w:p>
        </w:tc>
        <w:tc>
          <w:tcPr>
            <w:tcW w:w="380" w:type="dxa"/>
            <w:vAlign w:val="bottom"/>
            <w:vMerge w:val="restart"/>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FF0FC"/>
          </w:tcPr>
          <w:p>
            <w:pPr>
              <w:spacing w:after="0"/>
              <w:rPr>
                <w:sz w:val="12"/>
                <w:szCs w:val="12"/>
                <w:color w:val="auto"/>
              </w:rPr>
            </w:pPr>
          </w:p>
        </w:tc>
        <w:tc>
          <w:tcPr>
            <w:tcW w:w="36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 common share</w:t>
            </w:r>
          </w:p>
        </w:tc>
        <w:tc>
          <w:tcPr>
            <w:tcW w:w="320" w:type="dxa"/>
            <w:vAlign w:val="bottom"/>
            <w:vMerge w:val="continue"/>
            <w:shd w:val="clear" w:color="auto" w:fill="CFF0FC"/>
          </w:tcPr>
          <w:p>
            <w:pPr>
              <w:spacing w:after="0"/>
              <w:rPr>
                <w:sz w:val="18"/>
                <w:szCs w:val="18"/>
                <w:color w:val="auto"/>
              </w:rPr>
            </w:pPr>
          </w:p>
        </w:tc>
        <w:tc>
          <w:tcPr>
            <w:tcW w:w="1520" w:type="dxa"/>
            <w:vAlign w:val="bottom"/>
            <w:gridSpan w:val="2"/>
            <w:vMerge w:val="continue"/>
            <w:shd w:val="clear" w:color="auto" w:fill="CFF0FC"/>
          </w:tcPr>
          <w:p>
            <w:pPr>
              <w:spacing w:after="0"/>
              <w:rPr>
                <w:sz w:val="18"/>
                <w:szCs w:val="18"/>
                <w:color w:val="auto"/>
              </w:rPr>
            </w:pPr>
          </w:p>
        </w:tc>
        <w:tc>
          <w:tcPr>
            <w:tcW w:w="380" w:type="dxa"/>
            <w:vAlign w:val="bottom"/>
            <w:vMerge w:val="continue"/>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vMerge w:val="continue"/>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vMerge w:val="continue"/>
            <w:shd w:val="clear" w:color="auto" w:fill="CFF0FC"/>
          </w:tcPr>
          <w:p>
            <w:pPr>
              <w:spacing w:after="0"/>
              <w:rPr>
                <w:sz w:val="18"/>
                <w:szCs w:val="18"/>
                <w:color w:val="auto"/>
              </w:rPr>
            </w:pPr>
          </w:p>
        </w:tc>
        <w:tc>
          <w:tcPr>
            <w:tcW w:w="118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20" w:type="dxa"/>
            <w:vAlign w:val="bottom"/>
          </w:tcPr>
          <w:p>
            <w:pPr>
              <w:ind w:left="20"/>
              <w:spacing w:after="0" w:line="202" w:lineRule="exact"/>
              <w:rPr>
                <w:sz w:val="20"/>
                <w:szCs w:val="20"/>
                <w:color w:val="auto"/>
              </w:rPr>
            </w:pPr>
            <w:r>
              <w:rPr>
                <w:rFonts w:ascii="Arial" w:cs="Arial" w:eastAsia="Arial" w:hAnsi="Arial"/>
                <w:sz w:val="18"/>
                <w:szCs w:val="18"/>
                <w:color w:val="auto"/>
              </w:rPr>
              <w:t>Net investment income per common share</w:t>
            </w:r>
          </w:p>
        </w:tc>
        <w:tc>
          <w:tcPr>
            <w:tcW w:w="320" w:type="dxa"/>
            <w:vAlign w:val="bottom"/>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0.35</w:t>
            </w:r>
          </w:p>
        </w:tc>
        <w:tc>
          <w:tcPr>
            <w:tcW w:w="280" w:type="dxa"/>
            <w:vAlign w:val="bottom"/>
          </w:tcPr>
          <w:p>
            <w:pPr>
              <w:spacing w:after="0"/>
              <w:rPr>
                <w:sz w:val="17"/>
                <w:szCs w:val="17"/>
                <w:color w:val="auto"/>
              </w:rPr>
            </w:pPr>
          </w:p>
        </w:tc>
        <w:tc>
          <w:tcPr>
            <w:tcW w:w="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0.35</w:t>
            </w:r>
          </w:p>
        </w:tc>
        <w:tc>
          <w:tcPr>
            <w:tcW w:w="280" w:type="dxa"/>
            <w:vAlign w:val="bottom"/>
          </w:tcPr>
          <w:p>
            <w:pPr>
              <w:spacing w:after="0"/>
              <w:rPr>
                <w:sz w:val="17"/>
                <w:szCs w:val="17"/>
                <w:color w:val="auto"/>
              </w:rPr>
            </w:pP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0.65</w:t>
            </w:r>
          </w:p>
        </w:tc>
        <w:tc>
          <w:tcPr>
            <w:tcW w:w="26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0.71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Weighted-average shares outstanding</w:t>
            </w:r>
          </w:p>
        </w:tc>
        <w:tc>
          <w:tcPr>
            <w:tcW w:w="32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41,215,664</w:t>
            </w: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32,396,396</w:t>
            </w:r>
          </w:p>
        </w:tc>
        <w:tc>
          <w:tcPr>
            <w:tcW w:w="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41,294,985</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31,953,287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-4274185</wp:posOffset>
            </wp:positionV>
            <wp:extent cx="7747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-4274185</wp:posOffset>
            </wp:positionV>
            <wp:extent cx="7747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-4274185</wp:posOffset>
            </wp:positionV>
            <wp:extent cx="6858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-4274185</wp:posOffset>
            </wp:positionV>
            <wp:extent cx="6858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-2447925</wp:posOffset>
            </wp:positionV>
            <wp:extent cx="7747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-2447925</wp:posOffset>
            </wp:positionV>
            <wp:extent cx="7747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-2447925</wp:posOffset>
            </wp:positionV>
            <wp:extent cx="6858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-2447925</wp:posOffset>
            </wp:positionV>
            <wp:extent cx="6858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-742315</wp:posOffset>
            </wp:positionV>
            <wp:extent cx="7747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-742315</wp:posOffset>
            </wp:positionV>
            <wp:extent cx="7747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-742315</wp:posOffset>
            </wp:positionV>
            <wp:extent cx="6858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-742315</wp:posOffset>
            </wp:positionV>
            <wp:extent cx="6858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Net Assets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20" w:type="dxa"/>
            <w:vAlign w:val="bottom"/>
            <w:gridSpan w:val="5"/>
          </w:tcPr>
          <w:p>
            <w:pPr>
              <w:jc w:val="right"/>
              <w:ind w:right="961"/>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5"/>
                <w:szCs w:val="15"/>
                <w:color w:val="auto"/>
              </w:rPr>
            </w:pPr>
          </w:p>
        </w:tc>
        <w:tc>
          <w:tcPr>
            <w:tcW w:w="3100" w:type="dxa"/>
            <w:vAlign w:val="bottom"/>
            <w:gridSpan w:val="5"/>
          </w:tcPr>
          <w:p>
            <w:pPr>
              <w:jc w:val="right"/>
              <w:ind w:right="861"/>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410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b w:val="1"/>
                <w:bCs w:val="1"/>
                <w:color w:val="auto"/>
              </w:rPr>
              <w:t>Net increase (decrease) in net assets from</w:t>
            </w: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operations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Net investment income</w:t>
            </w: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14,478,582</w:t>
            </w:r>
          </w:p>
        </w:tc>
        <w:tc>
          <w:tcPr>
            <w:tcW w:w="30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11,340,477</w:t>
            </w:r>
          </w:p>
        </w:tc>
        <w:tc>
          <w:tcPr>
            <w:tcW w:w="26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26,938,470</w:t>
            </w:r>
          </w:p>
        </w:tc>
        <w:tc>
          <w:tcPr>
            <w:tcW w:w="280" w:type="dxa"/>
            <w:vAlign w:val="bottom"/>
          </w:tcPr>
          <w:p>
            <w:pPr>
              <w:spacing w:after="0"/>
              <w:rPr>
                <w:sz w:val="17"/>
                <w:szCs w:val="17"/>
                <w:color w:val="auto"/>
              </w:rPr>
            </w:pPr>
          </w:p>
        </w:tc>
        <w:tc>
          <w:tcPr>
            <w:tcW w:w="36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22,822,211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rPr>
              <w:t>Realized gain (loss) on non-control/non-affiliate</w:t>
            </w:r>
          </w:p>
        </w:tc>
        <w:tc>
          <w:tcPr>
            <w:tcW w:w="36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903,787</w:t>
            </w: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60" w:type="dxa"/>
            <w:vAlign w:val="bottom"/>
            <w:gridSpan w:val="2"/>
            <w:vMerge w:val="restart"/>
            <w:shd w:val="clear" w:color="auto" w:fill="CFF0FC"/>
          </w:tcPr>
          <w:p>
            <w:pPr>
              <w:jc w:val="right"/>
              <w:ind w:right="121"/>
              <w:spacing w:after="0"/>
              <w:rPr>
                <w:sz w:val="20"/>
                <w:szCs w:val="20"/>
                <w:color w:val="auto"/>
              </w:rPr>
            </w:pPr>
            <w:r>
              <w:rPr>
                <w:rFonts w:ascii="Arial" w:cs="Arial" w:eastAsia="Arial" w:hAnsi="Arial"/>
                <w:sz w:val="18"/>
                <w:szCs w:val="18"/>
                <w:color w:val="auto"/>
              </w:rPr>
              <w:t>(4,595,853 )</w:t>
            </w:r>
          </w:p>
        </w:tc>
        <w:tc>
          <w:tcPr>
            <w:tcW w:w="360" w:type="dxa"/>
            <w:vAlign w:val="bottom"/>
            <w:shd w:val="clear" w:color="auto" w:fill="CFF0FC"/>
          </w:tcPr>
          <w:p>
            <w:pPr>
              <w:spacing w:after="0"/>
              <w:rPr>
                <w:sz w:val="14"/>
                <w:szCs w:val="14"/>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532,526</w:t>
            </w: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(4,795,077 )</w:t>
            </w: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investments, including U.S. Treasury Bills</w:t>
            </w:r>
          </w:p>
        </w:tc>
        <w:tc>
          <w:tcPr>
            <w:tcW w:w="360" w:type="dxa"/>
            <w:vAlign w:val="bottom"/>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vMerge w:val="continue"/>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Realized gain (loss) on control investments</w:t>
            </w:r>
          </w:p>
        </w:tc>
        <w:tc>
          <w:tcPr>
            <w:tcW w:w="360" w:type="dxa"/>
            <w:vAlign w:val="bottom"/>
          </w:tcPr>
          <w:p>
            <w:pPr>
              <w:spacing w:after="0"/>
              <w:rPr>
                <w:sz w:val="17"/>
                <w:szCs w:val="17"/>
                <w:color w:val="auto"/>
              </w:rPr>
            </w:pPr>
          </w:p>
        </w:tc>
        <w:tc>
          <w:tcPr>
            <w:tcW w:w="15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(65 )</w:t>
            </w:r>
          </w:p>
        </w:tc>
        <w:tc>
          <w:tcPr>
            <w:tcW w:w="360" w:type="dxa"/>
            <w:vAlign w:val="bottom"/>
          </w:tcPr>
          <w:p>
            <w:pPr>
              <w:spacing w:after="0"/>
              <w:rPr>
                <w:sz w:val="17"/>
                <w:szCs w:val="17"/>
                <w:color w:val="auto"/>
              </w:rPr>
            </w:pPr>
          </w:p>
        </w:tc>
        <w:tc>
          <w:tcPr>
            <w:tcW w:w="146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(65 )</w:t>
            </w:r>
          </w:p>
        </w:tc>
        <w:tc>
          <w:tcPr>
            <w:tcW w:w="360" w:type="dxa"/>
            <w:vAlign w:val="bottom"/>
          </w:tcPr>
          <w:p>
            <w:pPr>
              <w:spacing w:after="0"/>
              <w:rPr>
                <w:sz w:val="17"/>
                <w:szCs w:val="17"/>
                <w:color w:val="auto"/>
              </w:rPr>
            </w:pPr>
          </w:p>
        </w:tc>
        <w:tc>
          <w:tcPr>
            <w:tcW w:w="13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41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7"/>
              </w:rPr>
              <w:t>Net change in unrealized appreciation (depreciation)</w:t>
            </w: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00" w:type="dxa"/>
            <w:vAlign w:val="bottom"/>
            <w:shd w:val="clear" w:color="auto" w:fill="CFF0FC"/>
          </w:tcPr>
          <w:p>
            <w:pPr>
              <w:ind w:left="20"/>
              <w:spacing w:after="0" w:line="176" w:lineRule="exact"/>
              <w:rPr>
                <w:sz w:val="20"/>
                <w:szCs w:val="20"/>
                <w:color w:val="auto"/>
              </w:rPr>
            </w:pPr>
            <w:r>
              <w:rPr>
                <w:rFonts w:ascii="Arial" w:cs="Arial" w:eastAsia="Arial" w:hAnsi="Arial"/>
                <w:sz w:val="18"/>
                <w:szCs w:val="18"/>
                <w:color w:val="auto"/>
              </w:rPr>
              <w:t>on non-control/non-affiliate investments, including</w:t>
            </w:r>
          </w:p>
        </w:tc>
        <w:tc>
          <w:tcPr>
            <w:tcW w:w="360" w:type="dxa"/>
            <w:vAlign w:val="bottom"/>
            <w:shd w:val="clear" w:color="auto" w:fill="CFF0FC"/>
          </w:tcPr>
          <w:p>
            <w:pPr>
              <w:spacing w:after="0"/>
              <w:rPr>
                <w:sz w:val="15"/>
                <w:szCs w:val="15"/>
                <w:color w:val="auto"/>
              </w:rPr>
            </w:pPr>
          </w:p>
        </w:tc>
        <w:tc>
          <w:tcPr>
            <w:tcW w:w="150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(8,164,497 )</w:t>
            </w:r>
          </w:p>
        </w:tc>
        <w:tc>
          <w:tcPr>
            <w:tcW w:w="360" w:type="dxa"/>
            <w:vAlign w:val="bottom"/>
            <w:shd w:val="clear" w:color="auto" w:fill="CFF0FC"/>
          </w:tcPr>
          <w:p>
            <w:pPr>
              <w:spacing w:after="0"/>
              <w:rPr>
                <w:sz w:val="15"/>
                <w:szCs w:val="15"/>
                <w:color w:val="auto"/>
              </w:rPr>
            </w:pPr>
          </w:p>
        </w:tc>
        <w:tc>
          <w:tcPr>
            <w:tcW w:w="1460" w:type="dxa"/>
            <w:vAlign w:val="bottom"/>
            <w:gridSpan w:val="2"/>
            <w:vMerge w:val="restart"/>
            <w:shd w:val="clear" w:color="auto" w:fill="CFF0FC"/>
          </w:tcPr>
          <w:p>
            <w:pPr>
              <w:jc w:val="right"/>
              <w:ind w:right="121"/>
              <w:spacing w:after="0"/>
              <w:rPr>
                <w:sz w:val="20"/>
                <w:szCs w:val="20"/>
                <w:color w:val="auto"/>
              </w:rPr>
            </w:pPr>
            <w:r>
              <w:rPr>
                <w:rFonts w:ascii="Arial" w:cs="Arial" w:eastAsia="Arial" w:hAnsi="Arial"/>
                <w:sz w:val="18"/>
                <w:szCs w:val="18"/>
                <w:color w:val="auto"/>
              </w:rPr>
              <w:t>(1,683,287 )</w:t>
            </w:r>
          </w:p>
        </w:tc>
        <w:tc>
          <w:tcPr>
            <w:tcW w:w="360" w:type="dxa"/>
            <w:vAlign w:val="bottom"/>
            <w:shd w:val="clear" w:color="auto" w:fill="CFF0FC"/>
          </w:tcPr>
          <w:p>
            <w:pPr>
              <w:spacing w:after="0"/>
              <w:rPr>
                <w:sz w:val="15"/>
                <w:szCs w:val="15"/>
                <w:color w:val="auto"/>
              </w:rPr>
            </w:pPr>
          </w:p>
        </w:tc>
        <w:tc>
          <w:tcPr>
            <w:tcW w:w="144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(12,319,166 )</w:t>
            </w:r>
          </w:p>
        </w:tc>
        <w:tc>
          <w:tcPr>
            <w:tcW w:w="360" w:type="dxa"/>
            <w:vAlign w:val="bottom"/>
            <w:shd w:val="clear" w:color="auto" w:fill="CFF0FC"/>
          </w:tcPr>
          <w:p>
            <w:pPr>
              <w:spacing w:after="0"/>
              <w:rPr>
                <w:sz w:val="15"/>
                <w:szCs w:val="15"/>
                <w:color w:val="auto"/>
              </w:rPr>
            </w:pPr>
          </w:p>
        </w:tc>
        <w:tc>
          <w:tcPr>
            <w:tcW w:w="13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(4,121,553 )</w:t>
            </w: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Treasury Bills</w:t>
            </w:r>
          </w:p>
        </w:tc>
        <w:tc>
          <w:tcPr>
            <w:tcW w:w="360" w:type="dxa"/>
            <w:vAlign w:val="bottom"/>
            <w:shd w:val="clear" w:color="auto" w:fill="CFF0FC"/>
          </w:tcPr>
          <w:p>
            <w:pPr>
              <w:spacing w:after="0"/>
              <w:rPr>
                <w:sz w:val="18"/>
                <w:szCs w:val="18"/>
                <w:color w:val="auto"/>
              </w:rPr>
            </w:pPr>
          </w:p>
        </w:tc>
        <w:tc>
          <w:tcPr>
            <w:tcW w:w="1500" w:type="dxa"/>
            <w:vAlign w:val="bottom"/>
            <w:gridSpan w:val="2"/>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60" w:type="dxa"/>
            <w:vAlign w:val="bottom"/>
            <w:gridSpan w:val="2"/>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00" w:type="dxa"/>
            <w:vAlign w:val="bottom"/>
          </w:tcPr>
          <w:p>
            <w:pPr>
              <w:ind w:left="20"/>
              <w:spacing w:after="0" w:line="162" w:lineRule="exact"/>
              <w:rPr>
                <w:sz w:val="20"/>
                <w:szCs w:val="20"/>
                <w:color w:val="auto"/>
              </w:rPr>
            </w:pPr>
            <w:r>
              <w:rPr>
                <w:rFonts w:ascii="Arial" w:cs="Arial" w:eastAsia="Arial" w:hAnsi="Arial"/>
                <w:sz w:val="18"/>
                <w:szCs w:val="18"/>
                <w:color w:val="auto"/>
                <w:w w:val="97"/>
              </w:rPr>
              <w:t>Net change in unrealized appreciation (depreciation)</w:t>
            </w:r>
          </w:p>
        </w:tc>
        <w:tc>
          <w:tcPr>
            <w:tcW w:w="360" w:type="dxa"/>
            <w:vAlign w:val="bottom"/>
          </w:tcPr>
          <w:p>
            <w:pPr>
              <w:spacing w:after="0"/>
              <w:rPr>
                <w:sz w:val="14"/>
                <w:szCs w:val="14"/>
                <w:color w:val="auto"/>
              </w:rPr>
            </w:pPr>
          </w:p>
        </w:tc>
        <w:tc>
          <w:tcPr>
            <w:tcW w:w="150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(42,673 )</w:t>
            </w:r>
          </w:p>
        </w:tc>
        <w:tc>
          <w:tcPr>
            <w:tcW w:w="360" w:type="dxa"/>
            <w:vAlign w:val="bottom"/>
          </w:tcPr>
          <w:p>
            <w:pPr>
              <w:spacing w:after="0"/>
              <w:rPr>
                <w:sz w:val="14"/>
                <w:szCs w:val="14"/>
                <w:color w:val="auto"/>
              </w:rPr>
            </w:pPr>
          </w:p>
        </w:tc>
        <w:tc>
          <w:tcPr>
            <w:tcW w:w="1460" w:type="dxa"/>
            <w:vAlign w:val="bottom"/>
            <w:gridSpan w:val="2"/>
            <w:vMerge w:val="restart"/>
          </w:tcPr>
          <w:p>
            <w:pPr>
              <w:jc w:val="right"/>
              <w:ind w:right="201"/>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4"/>
                <w:szCs w:val="14"/>
                <w:color w:val="auto"/>
              </w:rPr>
            </w:pPr>
          </w:p>
        </w:tc>
        <w:tc>
          <w:tcPr>
            <w:tcW w:w="144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(3,208,432 )</w:t>
            </w:r>
          </w:p>
        </w:tc>
        <w:tc>
          <w:tcPr>
            <w:tcW w:w="360" w:type="dxa"/>
            <w:vAlign w:val="bottom"/>
          </w:tcPr>
          <w:p>
            <w:pPr>
              <w:spacing w:after="0"/>
              <w:rPr>
                <w:sz w:val="14"/>
                <w:szCs w:val="14"/>
                <w:color w:val="auto"/>
              </w:rPr>
            </w:pPr>
          </w:p>
        </w:tc>
        <w:tc>
          <w:tcPr>
            <w:tcW w:w="1300" w:type="dxa"/>
            <w:vAlign w:val="bottom"/>
            <w:gridSpan w:val="2"/>
            <w:vMerge w:val="restart"/>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00" w:type="dxa"/>
            <w:vAlign w:val="bottom"/>
          </w:tcPr>
          <w:p>
            <w:pPr>
              <w:ind w:left="20"/>
              <w:spacing w:after="0"/>
              <w:rPr>
                <w:sz w:val="20"/>
                <w:szCs w:val="20"/>
                <w:color w:val="auto"/>
              </w:rPr>
            </w:pPr>
            <w:r>
              <w:rPr>
                <w:rFonts w:ascii="Arial" w:cs="Arial" w:eastAsia="Arial" w:hAnsi="Arial"/>
                <w:sz w:val="18"/>
                <w:szCs w:val="18"/>
                <w:color w:val="auto"/>
              </w:rPr>
              <w:t>on affiliate investments</w:t>
            </w:r>
          </w:p>
        </w:tc>
        <w:tc>
          <w:tcPr>
            <w:tcW w:w="3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7"/>
              </w:rPr>
              <w:t>Net change in unrealized appreciation (depreciation)</w:t>
            </w:r>
          </w:p>
        </w:tc>
        <w:tc>
          <w:tcPr>
            <w:tcW w:w="360" w:type="dxa"/>
            <w:vAlign w:val="bottom"/>
            <w:shd w:val="clear" w:color="auto" w:fill="CFF0FC"/>
          </w:tcPr>
          <w:p>
            <w:pPr>
              <w:spacing w:after="0"/>
              <w:rPr>
                <w:sz w:val="14"/>
                <w:szCs w:val="14"/>
                <w:color w:val="auto"/>
              </w:rPr>
            </w:pPr>
          </w:p>
        </w:tc>
        <w:tc>
          <w:tcPr>
            <w:tcW w:w="150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(7,992,468 )</w:t>
            </w:r>
          </w:p>
        </w:tc>
        <w:tc>
          <w:tcPr>
            <w:tcW w:w="36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1,650,006</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4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(9,907,576 )</w:t>
            </w:r>
          </w:p>
        </w:tc>
        <w:tc>
          <w:tcPr>
            <w:tcW w:w="36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2,177,090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on control investments</w:t>
            </w:r>
          </w:p>
        </w:tc>
        <w:tc>
          <w:tcPr>
            <w:tcW w:w="360" w:type="dxa"/>
            <w:vAlign w:val="bottom"/>
            <w:shd w:val="clear" w:color="auto" w:fill="CFF0FC"/>
          </w:tcPr>
          <w:p>
            <w:pPr>
              <w:spacing w:after="0"/>
              <w:rPr>
                <w:sz w:val="17"/>
                <w:szCs w:val="17"/>
                <w:color w:val="auto"/>
              </w:rPr>
            </w:pPr>
          </w:p>
        </w:tc>
        <w:tc>
          <w:tcPr>
            <w:tcW w:w="1500" w:type="dxa"/>
            <w:vAlign w:val="bottom"/>
            <w:gridSpan w:val="2"/>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gridSpan w:val="2"/>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00" w:type="dxa"/>
            <w:vAlign w:val="bottom"/>
          </w:tcPr>
          <w:p>
            <w:pPr>
              <w:ind w:left="20"/>
              <w:spacing w:after="0" w:line="156" w:lineRule="exact"/>
              <w:rPr>
                <w:sz w:val="20"/>
                <w:szCs w:val="20"/>
                <w:color w:val="auto"/>
              </w:rPr>
            </w:pPr>
            <w:r>
              <w:rPr>
                <w:rFonts w:ascii="Arial" w:cs="Arial" w:eastAsia="Arial" w:hAnsi="Arial"/>
                <w:sz w:val="18"/>
                <w:szCs w:val="18"/>
                <w:b w:val="1"/>
                <w:bCs w:val="1"/>
                <w:color w:val="auto"/>
                <w:w w:val="91"/>
              </w:rPr>
              <w:t>Net increase (decrease) in net assets resulting from</w:t>
            </w:r>
          </w:p>
        </w:tc>
        <w:tc>
          <w:tcPr>
            <w:tcW w:w="360" w:type="dxa"/>
            <w:vAlign w:val="bottom"/>
          </w:tcPr>
          <w:p>
            <w:pPr>
              <w:spacing w:after="0"/>
              <w:rPr>
                <w:sz w:val="13"/>
                <w:szCs w:val="13"/>
                <w:color w:val="auto"/>
              </w:rPr>
            </w:pPr>
          </w:p>
        </w:tc>
        <w:tc>
          <w:tcPr>
            <w:tcW w:w="1500" w:type="dxa"/>
            <w:vAlign w:val="bottom"/>
            <w:gridSpan w:val="2"/>
            <w:vMerge w:val="restart"/>
          </w:tcPr>
          <w:p>
            <w:pPr>
              <w:jc w:val="right"/>
              <w:ind w:right="130"/>
              <w:spacing w:after="0"/>
              <w:rPr>
                <w:sz w:val="20"/>
                <w:szCs w:val="20"/>
                <w:color w:val="auto"/>
              </w:rPr>
            </w:pPr>
            <w:r>
              <w:rPr>
                <w:rFonts w:ascii="Arial" w:cs="Arial" w:eastAsia="Arial" w:hAnsi="Arial"/>
                <w:sz w:val="18"/>
                <w:szCs w:val="18"/>
                <w:color w:val="auto"/>
              </w:rPr>
              <w:t>(817,334 )</w:t>
            </w:r>
          </w:p>
        </w:tc>
        <w:tc>
          <w:tcPr>
            <w:tcW w:w="3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6,711,343</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2,035,757</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16,082,671</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operations</w:t>
            </w:r>
          </w:p>
        </w:tc>
        <w:tc>
          <w:tcPr>
            <w:tcW w:w="36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Distributions to stockholders from:</w:t>
            </w: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6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Dividends paid to stockholders</w:t>
            </w:r>
          </w:p>
        </w:tc>
        <w:tc>
          <w:tcPr>
            <w:tcW w:w="360" w:type="dxa"/>
            <w:vAlign w:val="bottom"/>
          </w:tcPr>
          <w:p>
            <w:pPr>
              <w:spacing w:after="0"/>
              <w:rPr>
                <w:sz w:val="17"/>
                <w:szCs w:val="17"/>
                <w:color w:val="auto"/>
              </w:rPr>
            </w:pPr>
          </w:p>
        </w:tc>
        <w:tc>
          <w:tcPr>
            <w:tcW w:w="15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(12,382,340 )</w:t>
            </w:r>
          </w:p>
        </w:tc>
        <w:tc>
          <w:tcPr>
            <w:tcW w:w="360" w:type="dxa"/>
            <w:vAlign w:val="bottom"/>
          </w:tcPr>
          <w:p>
            <w:pPr>
              <w:spacing w:after="0"/>
              <w:rPr>
                <w:sz w:val="17"/>
                <w:szCs w:val="17"/>
                <w:color w:val="auto"/>
              </w:rPr>
            </w:pPr>
          </w:p>
        </w:tc>
        <w:tc>
          <w:tcPr>
            <w:tcW w:w="146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(11,859,731 )</w:t>
            </w:r>
          </w:p>
        </w:tc>
        <w:tc>
          <w:tcPr>
            <w:tcW w:w="360" w:type="dxa"/>
            <w:vAlign w:val="bottom"/>
          </w:tcPr>
          <w:p>
            <w:pPr>
              <w:spacing w:after="0"/>
              <w:rPr>
                <w:sz w:val="17"/>
                <w:szCs w:val="17"/>
                <w:color w:val="auto"/>
              </w:rPr>
            </w:pPr>
          </w:p>
        </w:tc>
        <w:tc>
          <w:tcPr>
            <w:tcW w:w="14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(23,555,007 )</w:t>
            </w:r>
          </w:p>
        </w:tc>
        <w:tc>
          <w:tcPr>
            <w:tcW w:w="36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(23,482,930 )</w:t>
            </w:r>
          </w:p>
        </w:tc>
        <w:tc>
          <w:tcPr>
            <w:tcW w:w="0" w:type="dxa"/>
            <w:vAlign w:val="bottom"/>
          </w:tcPr>
          <w:p>
            <w:pPr>
              <w:spacing w:after="0"/>
              <w:rPr>
                <w:sz w:val="1"/>
                <w:szCs w:val="1"/>
                <w:color w:val="auto"/>
              </w:rPr>
            </w:pPr>
          </w:p>
        </w:tc>
      </w:tr>
      <w:tr>
        <w:trPr>
          <w:trHeight w:val="196"/>
        </w:trPr>
        <w:tc>
          <w:tcPr>
            <w:tcW w:w="4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distributions to stockholders</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(12,382,340</w:t>
            </w:r>
          </w:p>
        </w:tc>
        <w:tc>
          <w:tcPr>
            <w:tcW w:w="30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(11,859,731</w:t>
            </w:r>
          </w:p>
        </w:tc>
        <w:tc>
          <w:tcPr>
            <w:tcW w:w="260" w:type="dxa"/>
            <w:vAlign w:val="bottom"/>
            <w:tcBorders>
              <w:bottom w:val="single" w:sz="8" w:color="CFF0FC"/>
            </w:tcBorders>
            <w:shd w:val="clear" w:color="auto" w:fill="CFF0FC"/>
          </w:tcPr>
          <w:p>
            <w:pPr>
              <w:jc w:val="right"/>
              <w:ind w:right="121"/>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(23,555,007</w:t>
            </w:r>
          </w:p>
        </w:tc>
        <w:tc>
          <w:tcPr>
            <w:tcW w:w="280" w:type="dxa"/>
            <w:vAlign w:val="bottom"/>
            <w:tcBorders>
              <w:bottom w:val="single" w:sz="8" w:color="CFF0FC"/>
            </w:tcBorders>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(23,482,930</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Capital share transactions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Acquisition of treasury shares</w:t>
            </w:r>
          </w:p>
        </w:tc>
        <w:tc>
          <w:tcPr>
            <w:tcW w:w="3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(4,870,014 )</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rPr>
              <w:t>(5,279,237 )</w:t>
            </w:r>
          </w:p>
        </w:tc>
        <w:tc>
          <w:tcPr>
            <w:tcW w:w="36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Issuance of shares of common stock</w:t>
            </w:r>
          </w:p>
        </w:tc>
        <w:tc>
          <w:tcPr>
            <w:tcW w:w="360" w:type="dxa"/>
            <w:vAlign w:val="bottom"/>
          </w:tcPr>
          <w:p>
            <w:pPr>
              <w:spacing w:after="0"/>
              <w:rPr>
                <w:sz w:val="17"/>
                <w:szCs w:val="17"/>
                <w:color w:val="auto"/>
              </w:rPr>
            </w:pPr>
          </w:p>
        </w:tc>
        <w:tc>
          <w:tcPr>
            <w:tcW w:w="150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6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40" w:type="dxa"/>
            <w:vAlign w:val="bottom"/>
            <w:gridSpan w:val="2"/>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306,911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100" w:type="dxa"/>
            <w:vAlign w:val="bottom"/>
            <w:shd w:val="clear" w:color="auto" w:fill="CFF0FC"/>
          </w:tcPr>
          <w:p>
            <w:pPr>
              <w:ind w:left="20"/>
              <w:spacing w:after="0" w:line="162" w:lineRule="exact"/>
              <w:rPr>
                <w:sz w:val="20"/>
                <w:szCs w:val="20"/>
                <w:color w:val="auto"/>
              </w:rPr>
            </w:pPr>
            <w:r>
              <w:rPr>
                <w:rFonts w:ascii="Arial" w:cs="Arial" w:eastAsia="Arial" w:hAnsi="Arial"/>
                <w:sz w:val="18"/>
                <w:szCs w:val="18"/>
                <w:color w:val="auto"/>
                <w:w w:val="97"/>
              </w:rPr>
              <w:t>Issuance of shares of common stock under dividend</w:t>
            </w:r>
          </w:p>
        </w:tc>
        <w:tc>
          <w:tcPr>
            <w:tcW w:w="360" w:type="dxa"/>
            <w:vAlign w:val="bottom"/>
            <w:shd w:val="clear" w:color="auto" w:fill="CFF0FC"/>
          </w:tcPr>
          <w:p>
            <w:pPr>
              <w:spacing w:after="0"/>
              <w:rPr>
                <w:sz w:val="14"/>
                <w:szCs w:val="14"/>
                <w:color w:val="auto"/>
              </w:rPr>
            </w:pPr>
          </w:p>
        </w:tc>
        <w:tc>
          <w:tcPr>
            <w:tcW w:w="1500" w:type="dxa"/>
            <w:vAlign w:val="bottom"/>
            <w:gridSpan w:val="2"/>
            <w:vMerge w:val="restart"/>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9,410,371</w:t>
            </w:r>
          </w:p>
        </w:tc>
        <w:tc>
          <w:tcPr>
            <w:tcW w:w="26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440" w:type="dxa"/>
            <w:vAlign w:val="bottom"/>
            <w:gridSpan w:val="2"/>
            <w:vMerge w:val="restart"/>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18,593,591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reinvestment plan</w:t>
            </w:r>
          </w:p>
        </w:tc>
        <w:tc>
          <w:tcPr>
            <w:tcW w:w="360" w:type="dxa"/>
            <w:vAlign w:val="bottom"/>
            <w:shd w:val="clear" w:color="auto" w:fill="CFF0FC"/>
          </w:tcPr>
          <w:p>
            <w:pPr>
              <w:spacing w:after="0"/>
              <w:rPr>
                <w:sz w:val="18"/>
                <w:szCs w:val="18"/>
                <w:color w:val="auto"/>
              </w:rPr>
            </w:pPr>
          </w:p>
        </w:tc>
        <w:tc>
          <w:tcPr>
            <w:tcW w:w="1500" w:type="dxa"/>
            <w:vAlign w:val="bottom"/>
            <w:gridSpan w:val="2"/>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gridSpan w:val="2"/>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Offering costs</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16,000</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6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(310 )</w:t>
            </w:r>
          </w:p>
        </w:tc>
        <w:tc>
          <w:tcPr>
            <w:tcW w:w="36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16,000</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(4,831 )</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b w:val="1"/>
                <w:bCs w:val="1"/>
                <w:color w:val="auto"/>
                <w:w w:val="91"/>
              </w:rPr>
              <w:t>Net increase (decrease) in net assets resulting from</w:t>
            </w:r>
          </w:p>
        </w:tc>
        <w:tc>
          <w:tcPr>
            <w:tcW w:w="360" w:type="dxa"/>
            <w:vAlign w:val="bottom"/>
            <w:shd w:val="clear" w:color="auto" w:fill="CFF0FC"/>
          </w:tcPr>
          <w:p>
            <w:pPr>
              <w:spacing w:after="0"/>
              <w:rPr>
                <w:sz w:val="13"/>
                <w:szCs w:val="13"/>
                <w:color w:val="auto"/>
              </w:rPr>
            </w:pPr>
          </w:p>
        </w:tc>
        <w:tc>
          <w:tcPr>
            <w:tcW w:w="1500" w:type="dxa"/>
            <w:vAlign w:val="bottom"/>
            <w:gridSpan w:val="2"/>
            <w:vMerge w:val="restart"/>
            <w:shd w:val="clear" w:color="auto" w:fill="CFF0FC"/>
          </w:tcPr>
          <w:p>
            <w:pPr>
              <w:jc w:val="right"/>
              <w:ind w:right="130"/>
              <w:spacing w:after="0"/>
              <w:rPr>
                <w:sz w:val="20"/>
                <w:szCs w:val="20"/>
                <w:color w:val="auto"/>
              </w:rPr>
            </w:pPr>
            <w:r>
              <w:rPr>
                <w:rFonts w:ascii="Arial" w:cs="Arial" w:eastAsia="Arial" w:hAnsi="Arial"/>
                <w:sz w:val="18"/>
                <w:szCs w:val="18"/>
                <w:color w:val="auto"/>
              </w:rPr>
              <w:t>(4,854,014 )</w:t>
            </w:r>
          </w:p>
        </w:tc>
        <w:tc>
          <w:tcPr>
            <w:tcW w:w="360" w:type="dxa"/>
            <w:vAlign w:val="bottom"/>
            <w:shd w:val="clear" w:color="auto" w:fill="CFF0FC"/>
          </w:tcPr>
          <w:p>
            <w:pPr>
              <w:spacing w:after="0"/>
              <w:rPr>
                <w:sz w:val="13"/>
                <w:szCs w:val="13"/>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9,410,061</w:t>
            </w:r>
          </w:p>
        </w:tc>
        <w:tc>
          <w:tcPr>
            <w:tcW w:w="2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44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(5,263,237 )</w:t>
            </w:r>
          </w:p>
        </w:tc>
        <w:tc>
          <w:tcPr>
            <w:tcW w:w="360" w:type="dxa"/>
            <w:vAlign w:val="bottom"/>
            <w:shd w:val="clear" w:color="auto" w:fill="CFF0FC"/>
          </w:tcPr>
          <w:p>
            <w:pPr>
              <w:spacing w:after="0"/>
              <w:rPr>
                <w:sz w:val="13"/>
                <w:szCs w:val="13"/>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18,895,671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capital share transactions</w:t>
            </w:r>
          </w:p>
        </w:tc>
        <w:tc>
          <w:tcPr>
            <w:tcW w:w="360" w:type="dxa"/>
            <w:vAlign w:val="bottom"/>
            <w:shd w:val="clear" w:color="auto" w:fill="CFF0FC"/>
          </w:tcPr>
          <w:p>
            <w:pPr>
              <w:spacing w:after="0"/>
              <w:rPr>
                <w:sz w:val="17"/>
                <w:szCs w:val="17"/>
                <w:color w:val="auto"/>
              </w:rPr>
            </w:pPr>
          </w:p>
        </w:tc>
        <w:tc>
          <w:tcPr>
            <w:tcW w:w="1500" w:type="dxa"/>
            <w:vAlign w:val="bottom"/>
            <w:gridSpan w:val="2"/>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gridSpan w:val="2"/>
            <w:vMerge w:val="continue"/>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increase (decrease) in net assets</w:t>
            </w:r>
          </w:p>
        </w:tc>
        <w:tc>
          <w:tcPr>
            <w:tcW w:w="360" w:type="dxa"/>
            <w:vAlign w:val="bottom"/>
          </w:tcPr>
          <w:p>
            <w:pPr>
              <w:spacing w:after="0"/>
              <w:rPr>
                <w:sz w:val="17"/>
                <w:szCs w:val="17"/>
                <w:color w:val="auto"/>
              </w:rPr>
            </w:pPr>
          </w:p>
        </w:tc>
        <w:tc>
          <w:tcPr>
            <w:tcW w:w="1500" w:type="dxa"/>
            <w:vAlign w:val="bottom"/>
            <w:gridSpan w:val="2"/>
          </w:tcPr>
          <w:p>
            <w:pPr>
              <w:jc w:val="right"/>
              <w:ind w:right="130"/>
              <w:spacing w:after="0" w:line="196" w:lineRule="exact"/>
              <w:rPr>
                <w:sz w:val="20"/>
                <w:szCs w:val="20"/>
                <w:color w:val="auto"/>
              </w:rPr>
            </w:pPr>
            <w:r>
              <w:rPr>
                <w:rFonts w:ascii="Arial" w:cs="Arial" w:eastAsia="Arial" w:hAnsi="Arial"/>
                <w:sz w:val="18"/>
                <w:szCs w:val="18"/>
                <w:color w:val="auto"/>
              </w:rPr>
              <w:t>(18,053,688 )</w:t>
            </w:r>
          </w:p>
        </w:tc>
        <w:tc>
          <w:tcPr>
            <w:tcW w:w="3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4,261,673</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40" w:type="dxa"/>
            <w:vAlign w:val="bottom"/>
            <w:gridSpan w:val="2"/>
          </w:tcPr>
          <w:p>
            <w:pPr>
              <w:jc w:val="right"/>
              <w:ind w:right="110"/>
              <w:spacing w:after="0" w:line="196" w:lineRule="exact"/>
              <w:rPr>
                <w:sz w:val="20"/>
                <w:szCs w:val="20"/>
                <w:color w:val="auto"/>
              </w:rPr>
            </w:pPr>
            <w:r>
              <w:rPr>
                <w:rFonts w:ascii="Arial" w:cs="Arial" w:eastAsia="Arial" w:hAnsi="Arial"/>
                <w:sz w:val="18"/>
                <w:szCs w:val="18"/>
                <w:color w:val="auto"/>
              </w:rPr>
              <w:t>(26,782,487 )</w:t>
            </w:r>
          </w:p>
        </w:tc>
        <w:tc>
          <w:tcPr>
            <w:tcW w:w="36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11,495,412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8"/>
                <w:szCs w:val="18"/>
                <w:color w:val="auto"/>
              </w:rPr>
              <w:t>Net assets at beginning of period</w:t>
            </w: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597,465,692</w:t>
            </w:r>
          </w:p>
        </w:tc>
        <w:tc>
          <w:tcPr>
            <w:tcW w:w="30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473,477,424</w:t>
            </w:r>
          </w:p>
        </w:tc>
        <w:tc>
          <w:tcPr>
            <w:tcW w:w="26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606,194,491</w:t>
            </w:r>
          </w:p>
        </w:tc>
        <w:tc>
          <w:tcPr>
            <w:tcW w:w="280" w:type="dxa"/>
            <w:vAlign w:val="bottom"/>
            <w:tcBorders>
              <w:bottom w:val="single" w:sz="8" w:color="CFF0FC"/>
            </w:tcBorders>
            <w:shd w:val="clear" w:color="auto" w:fill="CFF0FC"/>
          </w:tcPr>
          <w:p>
            <w:pPr>
              <w:spacing w:after="0"/>
              <w:rPr>
                <w:sz w:val="15"/>
                <w:szCs w:val="15"/>
                <w:color w:val="auto"/>
              </w:rPr>
            </w:pPr>
          </w:p>
        </w:tc>
        <w:tc>
          <w:tcPr>
            <w:tcW w:w="36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8"/>
                <w:szCs w:val="18"/>
                <w:color w:val="auto"/>
              </w:rPr>
              <w:t>466,243,685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assets at end of period</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579,412,004</w:t>
            </w:r>
          </w:p>
        </w:tc>
        <w:tc>
          <w:tcPr>
            <w:tcW w:w="3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477,739,097</w:t>
            </w:r>
          </w:p>
        </w:tc>
        <w:tc>
          <w:tcPr>
            <w:tcW w:w="26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579,412,004</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477,739,097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Capital share activity</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Treasury shares acquired</w:t>
            </w:r>
          </w:p>
        </w:tc>
        <w:tc>
          <w:tcPr>
            <w:tcW w:w="360" w:type="dxa"/>
            <w:vAlign w:val="bottom"/>
          </w:tcPr>
          <w:p>
            <w:pPr>
              <w:spacing w:after="0"/>
              <w:rPr>
                <w:sz w:val="17"/>
                <w:szCs w:val="17"/>
                <w:color w:val="auto"/>
              </w:rPr>
            </w:pPr>
          </w:p>
        </w:tc>
        <w:tc>
          <w:tcPr>
            <w:tcW w:w="150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(381,710 )</w:t>
            </w:r>
          </w:p>
        </w:tc>
        <w:tc>
          <w:tcPr>
            <w:tcW w:w="360" w:type="dxa"/>
            <w:vAlign w:val="bottom"/>
          </w:tcPr>
          <w:p>
            <w:pPr>
              <w:spacing w:after="0"/>
              <w:rPr>
                <w:sz w:val="17"/>
                <w:szCs w:val="17"/>
                <w:color w:val="auto"/>
              </w:rPr>
            </w:pPr>
          </w:p>
        </w:tc>
        <w:tc>
          <w:tcPr>
            <w:tcW w:w="1460" w:type="dxa"/>
            <w:vAlign w:val="bottom"/>
            <w:gridSpan w:val="2"/>
          </w:tcPr>
          <w:p>
            <w:pPr>
              <w:jc w:val="right"/>
              <w:ind w:right="201"/>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440" w:type="dxa"/>
            <w:vAlign w:val="bottom"/>
            <w:gridSpan w:val="2"/>
          </w:tcPr>
          <w:p>
            <w:pPr>
              <w:jc w:val="right"/>
              <w:ind w:right="110"/>
              <w:spacing w:after="0" w:line="202" w:lineRule="exact"/>
              <w:rPr>
                <w:sz w:val="20"/>
                <w:szCs w:val="20"/>
                <w:color w:val="auto"/>
              </w:rPr>
            </w:pPr>
            <w:r>
              <w:rPr>
                <w:rFonts w:ascii="Arial" w:cs="Arial" w:eastAsia="Arial" w:hAnsi="Arial"/>
                <w:sz w:val="18"/>
                <w:szCs w:val="18"/>
                <w:color w:val="auto"/>
              </w:rPr>
              <w:t>(413,492 )</w:t>
            </w:r>
          </w:p>
        </w:tc>
        <w:tc>
          <w:tcPr>
            <w:tcW w:w="360" w:type="dxa"/>
            <w:vAlign w:val="bottom"/>
          </w:tcPr>
          <w:p>
            <w:pPr>
              <w:spacing w:after="0"/>
              <w:rPr>
                <w:sz w:val="17"/>
                <w:szCs w:val="17"/>
                <w:color w:val="auto"/>
              </w:rPr>
            </w:pPr>
          </w:p>
        </w:tc>
        <w:tc>
          <w:tcPr>
            <w:tcW w:w="130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1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Shares issued</w:t>
            </w:r>
          </w:p>
        </w:tc>
        <w:tc>
          <w:tcPr>
            <w:tcW w:w="3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637,127</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1,276,403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100" w:type="dxa"/>
            <w:vAlign w:val="bottom"/>
          </w:tcPr>
          <w:p>
            <w:pPr>
              <w:ind w:left="20"/>
              <w:spacing w:after="0" w:line="202" w:lineRule="exact"/>
              <w:rPr>
                <w:sz w:val="20"/>
                <w:szCs w:val="20"/>
                <w:color w:val="auto"/>
              </w:rPr>
            </w:pPr>
            <w:r>
              <w:rPr>
                <w:rFonts w:ascii="Arial" w:cs="Arial" w:eastAsia="Arial" w:hAnsi="Arial"/>
                <w:sz w:val="18"/>
                <w:szCs w:val="18"/>
                <w:color w:val="auto"/>
              </w:rPr>
              <w:t>Shares outstanding at beginning of period</w:t>
            </w: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41,348,832</w:t>
            </w:r>
          </w:p>
        </w:tc>
        <w:tc>
          <w:tcPr>
            <w:tcW w:w="3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32,053,327</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41,380,614</w:t>
            </w:r>
          </w:p>
        </w:tc>
        <w:tc>
          <w:tcPr>
            <w:tcW w:w="2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31,414,051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1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Shares outstanding at end of period</w:t>
            </w: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40,967,122</w:t>
            </w:r>
          </w:p>
        </w:tc>
        <w:tc>
          <w:tcPr>
            <w:tcW w:w="3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32,690,454</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40,967,122</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32,690,454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3596640</wp:posOffset>
            </wp:positionH>
            <wp:positionV relativeFrom="paragraph">
              <wp:posOffset>-2902585</wp:posOffset>
            </wp:positionV>
            <wp:extent cx="7683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-2902585</wp:posOffset>
            </wp:positionV>
            <wp:extent cx="685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-2902585</wp:posOffset>
            </wp:positionV>
            <wp:extent cx="6858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-2902585</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-2259330</wp:posOffset>
            </wp:positionV>
            <wp:extent cx="76835"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-2259330</wp:posOffset>
            </wp:positionV>
            <wp:extent cx="6858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-2259330</wp:posOffset>
            </wp:positionV>
            <wp:extent cx="6858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-2259330</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-1256665</wp:posOffset>
            </wp:positionV>
            <wp:extent cx="76835"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-1256665</wp:posOffset>
            </wp:positionV>
            <wp:extent cx="6858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-1256665</wp:posOffset>
            </wp:positionV>
            <wp:extent cx="6858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-1256665</wp:posOffset>
            </wp:positionV>
            <wp:extent cx="6858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-965200</wp:posOffset>
            </wp:positionV>
            <wp:extent cx="7683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-965200</wp:posOffset>
            </wp:positionV>
            <wp:extent cx="6858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-965200</wp:posOffset>
            </wp:positionV>
            <wp:extent cx="6858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-965200</wp:posOffset>
            </wp:positionV>
            <wp:extent cx="6858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-24765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3596640</wp:posOffset>
            </wp:positionH>
            <wp:positionV relativeFrom="paragraph">
              <wp:posOffset>-7620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3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73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120"/>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2,035,757</w:t>
            </w:r>
          </w:p>
        </w:tc>
        <w:tc>
          <w:tcPr>
            <w:tcW w:w="300" w:type="dxa"/>
            <w:vAlign w:val="bottom"/>
          </w:tcPr>
          <w:p>
            <w:pPr>
              <w:spacing w:after="0"/>
              <w:rPr>
                <w:sz w:val="17"/>
                <w:szCs w:val="17"/>
                <w:color w:val="auto"/>
              </w:rPr>
            </w:pPr>
          </w:p>
        </w:tc>
        <w:tc>
          <w:tcPr>
            <w:tcW w:w="700" w:type="dxa"/>
            <w:vAlign w:val="bottom"/>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16,082,671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6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Adjustments to reconcile net increase in net assets resulting from operations to net cash</w:t>
            </w:r>
          </w:p>
        </w:tc>
        <w:tc>
          <w:tcPr>
            <w:tcW w:w="4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provided by (used in) operating activities:</w:t>
            </w:r>
          </w:p>
        </w:tc>
        <w:tc>
          <w:tcPr>
            <w:tcW w:w="4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Purchases of investments</w:t>
            </w:r>
          </w:p>
        </w:tc>
        <w:tc>
          <w:tcPr>
            <w:tcW w:w="420" w:type="dxa"/>
            <w:vAlign w:val="bottom"/>
          </w:tcPr>
          <w:p>
            <w:pPr>
              <w:spacing w:after="0"/>
              <w:rPr>
                <w:sz w:val="17"/>
                <w:szCs w:val="17"/>
                <w:color w:val="auto"/>
              </w:rPr>
            </w:pPr>
          </w:p>
        </w:tc>
        <w:tc>
          <w:tcPr>
            <w:tcW w:w="16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(233,472,843 )</w:t>
            </w:r>
          </w:p>
        </w:tc>
        <w:tc>
          <w:tcPr>
            <w:tcW w:w="7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2"/>
              </w:rPr>
              <w:t>(133,681,004 )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Purchases of U.S. Treasury Bills</w:t>
            </w:r>
          </w:p>
        </w:tc>
        <w:tc>
          <w:tcPr>
            <w:tcW w:w="4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(54,999,849 )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Payment in-kind interest</w:t>
            </w:r>
          </w:p>
        </w:tc>
        <w:tc>
          <w:tcPr>
            <w:tcW w:w="420" w:type="dxa"/>
            <w:vAlign w:val="bottom"/>
          </w:tcPr>
          <w:p>
            <w:pPr>
              <w:spacing w:after="0"/>
              <w:rPr>
                <w:sz w:val="17"/>
                <w:szCs w:val="17"/>
                <w:color w:val="auto"/>
              </w:rPr>
            </w:pPr>
          </w:p>
        </w:tc>
        <w:tc>
          <w:tcPr>
            <w:tcW w:w="16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(5,129,806 )</w:t>
            </w:r>
          </w:p>
        </w:tc>
        <w:tc>
          <w:tcPr>
            <w:tcW w:w="7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(1,989,558 )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Sales or repayments of investments</w:t>
            </w:r>
          </w:p>
        </w:tc>
        <w:tc>
          <w:tcPr>
            <w:tcW w:w="4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94,058,934</w:t>
            </w: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96,783,551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Sales or maturities of U.S. Treasury Bills</w:t>
            </w:r>
          </w:p>
        </w:tc>
        <w:tc>
          <w:tcPr>
            <w:tcW w:w="4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44,999,747</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94,999,162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Realized (gain) loss on investments, including U.S. Treasury Bills</w:t>
            </w:r>
          </w:p>
        </w:tc>
        <w:tc>
          <w:tcPr>
            <w:tcW w:w="4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(532,461 )</w:t>
            </w:r>
          </w:p>
        </w:tc>
        <w:tc>
          <w:tcPr>
            <w:tcW w:w="7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4,795,077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360" w:type="dxa"/>
            <w:vAlign w:val="bottom"/>
          </w:tcPr>
          <w:p>
            <w:pPr>
              <w:ind w:left="200"/>
              <w:spacing w:after="0" w:line="162" w:lineRule="exact"/>
              <w:rPr>
                <w:sz w:val="20"/>
                <w:szCs w:val="20"/>
                <w:color w:val="auto"/>
              </w:rPr>
            </w:pPr>
            <w:r>
              <w:rPr>
                <w:rFonts w:ascii="Arial" w:cs="Arial" w:eastAsia="Arial" w:hAnsi="Arial"/>
                <w:sz w:val="18"/>
                <w:szCs w:val="18"/>
                <w:color w:val="auto"/>
                <w:w w:val="96"/>
              </w:rPr>
              <w:t>Net change in unrealized appreciation (depreciation) on investments, including U.S. Treasury</w:t>
            </w:r>
          </w:p>
        </w:tc>
        <w:tc>
          <w:tcPr>
            <w:tcW w:w="4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25,435,174</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1,944,463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7360" w:type="dxa"/>
            <w:vAlign w:val="bottom"/>
          </w:tcPr>
          <w:p>
            <w:pPr>
              <w:ind w:left="200"/>
              <w:spacing w:after="0"/>
              <w:rPr>
                <w:sz w:val="20"/>
                <w:szCs w:val="20"/>
                <w:color w:val="auto"/>
              </w:rPr>
            </w:pPr>
            <w:r>
              <w:rPr>
                <w:rFonts w:ascii="Arial" w:cs="Arial" w:eastAsia="Arial" w:hAnsi="Arial"/>
                <w:sz w:val="18"/>
                <w:szCs w:val="18"/>
                <w:color w:val="auto"/>
              </w:rPr>
              <w:t>Bills</w:t>
            </w:r>
          </w:p>
        </w:tc>
        <w:tc>
          <w:tcPr>
            <w:tcW w:w="42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Amortization of fixed income premiums or accretion of discounts</w:t>
            </w:r>
          </w:p>
        </w:tc>
        <w:tc>
          <w:tcPr>
            <w:tcW w:w="4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(3,571,075 )</w:t>
            </w:r>
          </w:p>
        </w:tc>
        <w:tc>
          <w:tcPr>
            <w:tcW w:w="7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(3,660,438 )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deferred debt costs</w:t>
            </w:r>
          </w:p>
        </w:tc>
        <w:tc>
          <w:tcPr>
            <w:tcW w:w="4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394,289</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232,034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Changes in operating assets and liabilities:</w:t>
            </w:r>
          </w:p>
        </w:tc>
        <w:tc>
          <w:tcPr>
            <w:tcW w:w="42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Accrued interest receivable</w:t>
            </w:r>
          </w:p>
        </w:tc>
        <w:tc>
          <w:tcPr>
            <w:tcW w:w="420" w:type="dxa"/>
            <w:vAlign w:val="bottom"/>
          </w:tcPr>
          <w:p>
            <w:pPr>
              <w:spacing w:after="0"/>
              <w:rPr>
                <w:sz w:val="17"/>
                <w:szCs w:val="17"/>
                <w:color w:val="auto"/>
              </w:rPr>
            </w:pPr>
          </w:p>
        </w:tc>
        <w:tc>
          <w:tcPr>
            <w:tcW w:w="16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(1,050,387 )</w:t>
            </w:r>
          </w:p>
        </w:tc>
        <w:tc>
          <w:tcPr>
            <w:tcW w:w="7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449,244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accounts receivable</w:t>
            </w:r>
          </w:p>
        </w:tc>
        <w:tc>
          <w:tcPr>
            <w:tcW w:w="4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735,047</w:t>
            </w: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129,250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Prepaid and deferred expenses</w:t>
            </w:r>
          </w:p>
        </w:tc>
        <w:tc>
          <w:tcPr>
            <w:tcW w:w="4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547,859</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(271,779 )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Accrued incentive fees</w:t>
            </w:r>
          </w:p>
        </w:tc>
        <w:tc>
          <w:tcPr>
            <w:tcW w:w="4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1,405,084</w:t>
            </w: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1,066,789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Due to affiliate</w:t>
            </w:r>
          </w:p>
        </w:tc>
        <w:tc>
          <w:tcPr>
            <w:tcW w:w="420" w:type="dxa"/>
            <w:vAlign w:val="bottom"/>
          </w:tcPr>
          <w:p>
            <w:pPr>
              <w:spacing w:after="0"/>
              <w:rPr>
                <w:sz w:val="17"/>
                <w:szCs w:val="17"/>
                <w:color w:val="auto"/>
              </w:rPr>
            </w:pPr>
          </w:p>
        </w:tc>
        <w:tc>
          <w:tcPr>
            <w:tcW w:w="16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(36,484 )</w:t>
            </w:r>
          </w:p>
        </w:tc>
        <w:tc>
          <w:tcPr>
            <w:tcW w:w="7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(26,971 )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payable</w:t>
            </w:r>
          </w:p>
        </w:tc>
        <w:tc>
          <w:tcPr>
            <w:tcW w:w="4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781,413</w:t>
            </w: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293,110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 and other liabilities</w:t>
            </w:r>
          </w:p>
        </w:tc>
        <w:tc>
          <w:tcPr>
            <w:tcW w:w="4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382,843</w:t>
            </w:r>
          </w:p>
        </w:tc>
        <w:tc>
          <w:tcPr>
            <w:tcW w:w="3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210,164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Net cash provided by (used in) operating activities</w:t>
            </w:r>
          </w:p>
        </w:tc>
        <w:tc>
          <w:tcPr>
            <w:tcW w:w="4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(73,016,909</w:t>
            </w:r>
          </w:p>
        </w:tc>
        <w:tc>
          <w:tcPr>
            <w:tcW w:w="300" w:type="dxa"/>
            <w:vAlign w:val="bottom"/>
            <w:tcBorders>
              <w:bottom w:val="single" w:sz="8" w:color="CFF0FC"/>
            </w:tcBorders>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22,355,916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Payment of deferred financing costs</w:t>
            </w:r>
          </w:p>
        </w:tc>
        <w:tc>
          <w:tcPr>
            <w:tcW w:w="4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(3,276,759 )</w:t>
            </w:r>
          </w:p>
        </w:tc>
        <w:tc>
          <w:tcPr>
            <w:tcW w:w="7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(12,320 )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Borrowings under credit facilities</w:t>
            </w:r>
          </w:p>
        </w:tc>
        <w:tc>
          <w:tcPr>
            <w:tcW w:w="4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173,000,000</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93,000,000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Repayments under credit facilities</w:t>
            </w:r>
          </w:p>
        </w:tc>
        <w:tc>
          <w:tcPr>
            <w:tcW w:w="4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(71,000,000 )</w:t>
            </w:r>
          </w:p>
        </w:tc>
        <w:tc>
          <w:tcPr>
            <w:tcW w:w="7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(75,000,000 )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Proceeds from 2026 Senior Notes</w:t>
            </w:r>
          </w:p>
        </w:tc>
        <w:tc>
          <w:tcPr>
            <w:tcW w:w="4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50,000,000</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Proceeds from reverse repurchase agreements</w:t>
            </w:r>
          </w:p>
        </w:tc>
        <w:tc>
          <w:tcPr>
            <w:tcW w:w="4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44,774,914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Repayments of reverse repurchase agreements</w:t>
            </w:r>
          </w:p>
        </w:tc>
        <w:tc>
          <w:tcPr>
            <w:tcW w:w="420" w:type="dxa"/>
            <w:vAlign w:val="bottom"/>
          </w:tcPr>
          <w:p>
            <w:pPr>
              <w:spacing w:after="0"/>
              <w:rPr>
                <w:sz w:val="17"/>
                <w:szCs w:val="17"/>
                <w:color w:val="auto"/>
              </w:rPr>
            </w:pPr>
          </w:p>
        </w:tc>
        <w:tc>
          <w:tcPr>
            <w:tcW w:w="16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(44,774,963 )</w:t>
            </w:r>
          </w:p>
        </w:tc>
        <w:tc>
          <w:tcPr>
            <w:tcW w:w="7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(94,524,914 )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Acquisition of treasury shares</w:t>
            </w:r>
          </w:p>
        </w:tc>
        <w:tc>
          <w:tcPr>
            <w:tcW w:w="4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rPr>
              <w:t>(5,279,237 )</w:t>
            </w:r>
          </w:p>
        </w:tc>
        <w:tc>
          <w:tcPr>
            <w:tcW w:w="7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Dividends paid to stockholders</w:t>
            </w:r>
          </w:p>
        </w:tc>
        <w:tc>
          <w:tcPr>
            <w:tcW w:w="420" w:type="dxa"/>
            <w:vAlign w:val="bottom"/>
          </w:tcPr>
          <w:p>
            <w:pPr>
              <w:spacing w:after="0"/>
              <w:rPr>
                <w:sz w:val="17"/>
                <w:szCs w:val="17"/>
                <w:color w:val="auto"/>
              </w:rPr>
            </w:pPr>
          </w:p>
        </w:tc>
        <w:tc>
          <w:tcPr>
            <w:tcW w:w="1620" w:type="dxa"/>
            <w:vAlign w:val="bottom"/>
            <w:gridSpan w:val="2"/>
          </w:tcPr>
          <w:p>
            <w:pPr>
              <w:jc w:val="right"/>
              <w:ind w:right="130"/>
              <w:spacing w:after="0" w:line="202" w:lineRule="exact"/>
              <w:rPr>
                <w:sz w:val="20"/>
                <w:szCs w:val="20"/>
                <w:color w:val="auto"/>
              </w:rPr>
            </w:pPr>
            <w:r>
              <w:rPr>
                <w:rFonts w:ascii="Arial" w:cs="Arial" w:eastAsia="Arial" w:hAnsi="Arial"/>
                <w:sz w:val="18"/>
                <w:szCs w:val="18"/>
                <w:color w:val="auto"/>
              </w:rPr>
              <w:t>(23,555,007 )</w:t>
            </w:r>
          </w:p>
        </w:tc>
        <w:tc>
          <w:tcPr>
            <w:tcW w:w="700" w:type="dxa"/>
            <w:vAlign w:val="bottom"/>
          </w:tcPr>
          <w:p>
            <w:pPr>
              <w:spacing w:after="0"/>
              <w:rPr>
                <w:sz w:val="17"/>
                <w:szCs w:val="17"/>
                <w:color w:val="auto"/>
              </w:rPr>
            </w:pP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(4,889,338 )</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Offering costs</w:t>
            </w:r>
          </w:p>
        </w:tc>
        <w:tc>
          <w:tcPr>
            <w:tcW w:w="4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16,000</w:t>
            </w: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(4,831 )</w:t>
            </w: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Net cash received from common stock issued</w:t>
            </w:r>
          </w:p>
        </w:tc>
        <w:tc>
          <w:tcPr>
            <w:tcW w:w="420" w:type="dxa"/>
            <w:vAlign w:val="bottom"/>
          </w:tcPr>
          <w:p>
            <w:pPr>
              <w:spacing w:after="0"/>
              <w:rPr>
                <w:sz w:val="17"/>
                <w:szCs w:val="17"/>
                <w:color w:val="auto"/>
              </w:rPr>
            </w:pPr>
          </w:p>
        </w:tc>
        <w:tc>
          <w:tcPr>
            <w:tcW w:w="1620" w:type="dxa"/>
            <w:vAlign w:val="bottom"/>
            <w:gridSpan w:val="2"/>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306,911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b w:val="1"/>
                <w:bCs w:val="1"/>
                <w:color w:val="auto"/>
              </w:rPr>
              <w:t>Net cash provided by (used in) financing activities</w:t>
            </w:r>
          </w:p>
        </w:tc>
        <w:tc>
          <w:tcPr>
            <w:tcW w:w="42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75,130,034</w:t>
            </w:r>
          </w:p>
        </w:tc>
        <w:tc>
          <w:tcPr>
            <w:tcW w:w="3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(36,349,578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7360" w:type="dxa"/>
            <w:vAlign w:val="bottom"/>
          </w:tcPr>
          <w:p>
            <w:pPr>
              <w:ind w:left="20"/>
              <w:spacing w:after="0" w:line="196" w:lineRule="exact"/>
              <w:rPr>
                <w:sz w:val="20"/>
                <w:szCs w:val="20"/>
                <w:color w:val="auto"/>
              </w:rPr>
            </w:pPr>
            <w:r>
              <w:rPr>
                <w:rFonts w:ascii="Arial" w:cs="Arial" w:eastAsia="Arial" w:hAnsi="Arial"/>
                <w:sz w:val="18"/>
                <w:szCs w:val="18"/>
                <w:color w:val="auto"/>
              </w:rPr>
              <w:t>Net increase (decrease) in cash</w:t>
            </w:r>
          </w:p>
        </w:tc>
        <w:tc>
          <w:tcPr>
            <w:tcW w:w="420" w:type="dxa"/>
            <w:vAlign w:val="bottom"/>
          </w:tcPr>
          <w:p>
            <w:pPr>
              <w:spacing w:after="0"/>
              <w:rPr>
                <w:sz w:val="17"/>
                <w:szCs w:val="17"/>
                <w:color w:val="auto"/>
              </w:rPr>
            </w:pPr>
          </w:p>
        </w:tc>
        <w:tc>
          <w:tcPr>
            <w:tcW w:w="1320" w:type="dxa"/>
            <w:vAlign w:val="bottom"/>
          </w:tcPr>
          <w:p>
            <w:pPr>
              <w:jc w:val="right"/>
              <w:spacing w:after="0" w:line="196" w:lineRule="exact"/>
              <w:rPr>
                <w:sz w:val="20"/>
                <w:szCs w:val="20"/>
                <w:color w:val="auto"/>
              </w:rPr>
            </w:pPr>
            <w:r>
              <w:rPr>
                <w:rFonts w:ascii="Arial" w:cs="Arial" w:eastAsia="Arial" w:hAnsi="Arial"/>
                <w:sz w:val="18"/>
                <w:szCs w:val="18"/>
                <w:color w:val="auto"/>
              </w:rPr>
              <w:t>2,113,125</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1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(13,993,662 )</w:t>
            </w:r>
          </w:p>
        </w:tc>
        <w:tc>
          <w:tcPr>
            <w:tcW w:w="0" w:type="dxa"/>
            <w:vAlign w:val="bottom"/>
          </w:tcPr>
          <w:p>
            <w:pPr>
              <w:spacing w:after="0"/>
              <w:rPr>
                <w:sz w:val="1"/>
                <w:szCs w:val="1"/>
                <w:color w:val="auto"/>
              </w:rPr>
            </w:pPr>
          </w:p>
        </w:tc>
      </w:tr>
      <w:tr>
        <w:trPr>
          <w:trHeight w:val="203"/>
        </w:trPr>
        <w:tc>
          <w:tcPr>
            <w:tcW w:w="73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 at beginning of period</w:t>
            </w:r>
          </w:p>
        </w:tc>
        <w:tc>
          <w:tcPr>
            <w:tcW w:w="42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4,696,693</w:t>
            </w:r>
          </w:p>
        </w:tc>
        <w:tc>
          <w:tcPr>
            <w:tcW w:w="300" w:type="dxa"/>
            <w:vAlign w:val="bottom"/>
            <w:tcBorders>
              <w:bottom w:val="single" w:sz="8" w:color="CFF0FC"/>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14,886,246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360" w:type="dxa"/>
            <w:vAlign w:val="bottom"/>
          </w:tcPr>
          <w:p>
            <w:pPr>
              <w:ind w:left="200"/>
              <w:spacing w:after="0" w:line="182" w:lineRule="exact"/>
              <w:rPr>
                <w:sz w:val="20"/>
                <w:szCs w:val="20"/>
                <w:color w:val="auto"/>
              </w:rPr>
            </w:pPr>
            <w:r>
              <w:rPr>
                <w:rFonts w:ascii="Arial" w:cs="Arial" w:eastAsia="Arial" w:hAnsi="Arial"/>
                <w:sz w:val="18"/>
                <w:szCs w:val="18"/>
                <w:b w:val="1"/>
                <w:bCs w:val="1"/>
                <w:color w:val="auto"/>
              </w:rPr>
              <w:t>Cash and cash equivalents at end of period</w:t>
            </w:r>
          </w:p>
        </w:tc>
        <w:tc>
          <w:tcPr>
            <w:tcW w:w="4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6,809,818</w:t>
            </w:r>
          </w:p>
        </w:tc>
        <w:tc>
          <w:tcPr>
            <w:tcW w:w="300" w:type="dxa"/>
            <w:vAlign w:val="bottom"/>
          </w:tcPr>
          <w:p>
            <w:pPr>
              <w:spacing w:after="0"/>
              <w:rPr>
                <w:sz w:val="17"/>
                <w:szCs w:val="17"/>
                <w:color w:val="auto"/>
              </w:rPr>
            </w:pPr>
          </w:p>
        </w:tc>
        <w:tc>
          <w:tcPr>
            <w:tcW w:w="700" w:type="dxa"/>
            <w:vAlign w:val="bottom"/>
            <w:tcBorders>
              <w:bottom w:val="single" w:sz="8" w:color="auto"/>
            </w:tcBorders>
          </w:tcPr>
          <w:p>
            <w:pPr>
              <w:jc w:val="right"/>
              <w:ind w:right="51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892,584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6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Supplemental and non-cash financing cash flow information:</w:t>
            </w:r>
          </w:p>
        </w:tc>
        <w:tc>
          <w:tcPr>
            <w:tcW w:w="42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Taxes paid</w:t>
            </w:r>
          </w:p>
        </w:tc>
        <w:tc>
          <w:tcPr>
            <w:tcW w:w="420" w:type="dxa"/>
            <w:vAlign w:val="bottom"/>
          </w:tcPr>
          <w:p>
            <w:pPr>
              <w:jc w:val="right"/>
              <w:ind w:right="230"/>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1,073</w:t>
            </w:r>
          </w:p>
        </w:tc>
        <w:tc>
          <w:tcPr>
            <w:tcW w:w="300" w:type="dxa"/>
            <w:vAlign w:val="bottom"/>
          </w:tcPr>
          <w:p>
            <w:pPr>
              <w:spacing w:after="0"/>
              <w:rPr>
                <w:sz w:val="17"/>
                <w:szCs w:val="17"/>
                <w:color w:val="auto"/>
              </w:rPr>
            </w:pPr>
          </w:p>
        </w:tc>
        <w:tc>
          <w:tcPr>
            <w:tcW w:w="700" w:type="dxa"/>
            <w:vAlign w:val="bottom"/>
          </w:tcPr>
          <w:p>
            <w:pPr>
              <w:jc w:val="right"/>
              <w:ind w:right="5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paid</w:t>
            </w:r>
          </w:p>
        </w:tc>
        <w:tc>
          <w:tcPr>
            <w:tcW w:w="42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1,701,204</w:t>
            </w: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1,196,620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tcPr>
          <w:p>
            <w:pPr>
              <w:ind w:left="200"/>
              <w:spacing w:after="0" w:line="202" w:lineRule="exact"/>
              <w:rPr>
                <w:sz w:val="20"/>
                <w:szCs w:val="20"/>
                <w:color w:val="auto"/>
              </w:rPr>
            </w:pPr>
            <w:r>
              <w:rPr>
                <w:rFonts w:ascii="Arial" w:cs="Arial" w:eastAsia="Arial" w:hAnsi="Arial"/>
                <w:sz w:val="18"/>
                <w:szCs w:val="18"/>
                <w:color w:val="auto"/>
              </w:rPr>
              <w:t>Non-cash portfolio purchases</w:t>
            </w:r>
          </w:p>
        </w:tc>
        <w:tc>
          <w:tcPr>
            <w:tcW w:w="42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1,743,104</w:t>
            </w: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648,744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Non-cash dividend reinvestments</w:t>
            </w:r>
          </w:p>
        </w:tc>
        <w:tc>
          <w:tcPr>
            <w:tcW w:w="42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21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18,593,591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-2628265</wp:posOffset>
            </wp:positionV>
            <wp:extent cx="7747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-2628265</wp:posOffset>
            </wp:positionV>
            <wp:extent cx="6858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-1068070</wp:posOffset>
            </wp:positionV>
            <wp:extent cx="7747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-1068070</wp:posOffset>
            </wp:positionV>
            <wp:extent cx="6858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-802005</wp:posOffset>
            </wp:positionV>
            <wp:extent cx="7747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-802005</wp:posOffset>
            </wp:positionV>
            <wp:extent cx="6858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10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Schedule of Investments (Unaudited)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Maturity</w:t>
            </w:r>
          </w:p>
        </w:tc>
        <w:tc>
          <w:tcPr>
            <w:tcW w:w="820" w:type="dxa"/>
            <w:vAlign w:val="bottom"/>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Footnot</w:t>
            </w:r>
          </w:p>
        </w:tc>
        <w:tc>
          <w:tcPr>
            <w:tcW w:w="0" w:type="dxa"/>
            <w:vAlign w:val="bottom"/>
          </w:tcPr>
          <w:p>
            <w:pPr>
              <w:spacing w:after="0"/>
              <w:rPr>
                <w:sz w:val="1"/>
                <w:szCs w:val="1"/>
                <w:color w:val="auto"/>
              </w:rPr>
            </w:pPr>
          </w:p>
        </w:tc>
      </w:tr>
      <w:tr>
        <w:trPr>
          <w:trHeight w:val="138"/>
        </w:trPr>
        <w:tc>
          <w:tcPr>
            <w:tcW w:w="2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tcPr>
          <w:p>
            <w:pPr>
              <w:spacing w:after="0"/>
              <w:rPr>
                <w:sz w:val="11"/>
                <w:szCs w:val="11"/>
                <w:color w:val="auto"/>
              </w:rPr>
            </w:pPr>
          </w:p>
        </w:tc>
        <w:tc>
          <w:tcPr>
            <w:tcW w:w="26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9"/>
                <w:szCs w:val="19"/>
                <w:b w:val="1"/>
                <w:bCs w:val="1"/>
                <w:color w:val="auto"/>
                <w:vertAlign w:val="superscript"/>
              </w:rPr>
              <w:t>(1),(5),(9)</w:t>
            </w:r>
          </w:p>
        </w:tc>
        <w:tc>
          <w:tcPr>
            <w:tcW w:w="14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10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2"/>
              </w:rPr>
              <w:t>Date</w:t>
            </w:r>
          </w:p>
        </w:tc>
        <w:tc>
          <w:tcPr>
            <w:tcW w:w="8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86"/>
              </w:rPr>
              <w:t>Fair Value</w:t>
            </w:r>
            <w:r>
              <w:rPr>
                <w:rFonts w:ascii="Arial" w:cs="Arial" w:eastAsia="Arial" w:hAnsi="Arial"/>
                <w:sz w:val="19"/>
                <w:szCs w:val="19"/>
                <w:b w:val="1"/>
                <w:bCs w:val="1"/>
                <w:color w:val="auto"/>
                <w:w w:val="86"/>
                <w:vertAlign w:val="superscript"/>
              </w:rPr>
              <w:t>(2),(6)</w:t>
            </w: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2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right"/>
              <w:ind w:right="148"/>
              <w:spacing w:after="0"/>
              <w:rPr>
                <w:sz w:val="20"/>
                <w:szCs w:val="20"/>
                <w:color w:val="auto"/>
              </w:rPr>
            </w:pPr>
            <w:r>
              <w:rPr>
                <w:rFonts w:ascii="Arial" w:cs="Arial" w:eastAsia="Arial" w:hAnsi="Arial"/>
                <w:sz w:val="14"/>
                <w:szCs w:val="14"/>
                <w:b w:val="1"/>
                <w:bCs w:val="1"/>
                <w:color w:val="auto"/>
              </w:rPr>
              <w:t>es</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left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4"/>
                <w:szCs w:val="14"/>
                <w:b w:val="1"/>
                <w:bCs w:val="1"/>
                <w:color w:val="auto"/>
              </w:rPr>
              <w:t>Non-Control/Non-Affiliate</w:t>
            </w:r>
          </w:p>
        </w:tc>
        <w:tc>
          <w:tcPr>
            <w:tcW w:w="140" w:type="dxa"/>
            <w:vAlign w:val="bottom"/>
            <w:shd w:val="clear" w:color="auto" w:fill="CFF0FC"/>
          </w:tcPr>
          <w:p>
            <w:pPr>
              <w:spacing w:after="0"/>
              <w:rPr>
                <w:sz w:val="12"/>
                <w:szCs w:val="12"/>
                <w:color w:val="auto"/>
              </w:rPr>
            </w:pPr>
          </w:p>
        </w:tc>
        <w:tc>
          <w:tcPr>
            <w:tcW w:w="260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9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80" w:type="dxa"/>
            <w:vAlign w:val="bottom"/>
            <w:tcBorders>
              <w:top w:val="single" w:sz="8" w:color="auto"/>
              <w:left w:val="single" w:sz="8" w:color="CFF0FC"/>
            </w:tcBorders>
            <w:gridSpan w:val="2"/>
            <w:shd w:val="clear" w:color="auto" w:fill="CFF0FC"/>
          </w:tcPr>
          <w:p>
            <w:pPr>
              <w:ind w:left="20"/>
              <w:spacing w:after="0" w:line="129" w:lineRule="exact"/>
              <w:rPr>
                <w:sz w:val="20"/>
                <w:szCs w:val="20"/>
                <w:color w:val="auto"/>
              </w:rPr>
            </w:pPr>
            <w:r>
              <w:rPr>
                <w:rFonts w:ascii="Arial" w:cs="Arial" w:eastAsia="Arial" w:hAnsi="Arial"/>
                <w:sz w:val="14"/>
                <w:szCs w:val="14"/>
                <w:b w:val="1"/>
                <w:bCs w:val="1"/>
                <w:color w:val="auto"/>
              </w:rPr>
              <w:t>Investments</w:t>
            </w:r>
          </w:p>
        </w:tc>
        <w:tc>
          <w:tcPr>
            <w:tcW w:w="5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26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98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60" w:type="dxa"/>
            <w:vAlign w:val="bottom"/>
            <w:tcBorders>
              <w:left w:val="single" w:sz="8" w:color="CFF0FC"/>
            </w:tcBorders>
            <w:shd w:val="clear" w:color="auto" w:fill="000000"/>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6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9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Senior Secured Term Loans</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Application Software</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ind w:left="20"/>
              <w:spacing w:after="0" w:line="143" w:lineRule="exact"/>
              <w:rPr>
                <w:sz w:val="20"/>
                <w:szCs w:val="20"/>
                <w:color w:val="auto"/>
              </w:rPr>
            </w:pPr>
            <w:r>
              <w:rPr>
                <w:rFonts w:ascii="Arial" w:cs="Arial" w:eastAsia="Arial" w:hAnsi="Arial"/>
                <w:sz w:val="14"/>
                <w:szCs w:val="14"/>
                <w:color w:val="auto"/>
              </w:rPr>
              <w:t>LIBOR+9.50% PIK, 12.00% floor, 7.50%</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20" w:type="dxa"/>
            <w:vAlign w:val="bottom"/>
            <w:gridSpan w:val="2"/>
          </w:tcPr>
          <w:p>
            <w:pPr>
              <w:jc w:val="center"/>
              <w:ind w:left="68"/>
              <w:spacing w:after="0" w:line="143" w:lineRule="exact"/>
              <w:rPr>
                <w:sz w:val="20"/>
                <w:szCs w:val="20"/>
                <w:color w:val="auto"/>
              </w:rPr>
            </w:pPr>
            <w:r>
              <w:rPr>
                <w:rFonts w:ascii="Arial" w:cs="Arial" w:eastAsia="Arial" w:hAnsi="Arial"/>
                <w:sz w:val="14"/>
                <w:szCs w:val="14"/>
                <w:color w:val="auto"/>
                <w:w w:val="94"/>
              </w:rPr>
              <w:t>12/15/2022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gridSpan w:val="3"/>
          </w:tcPr>
          <w:p>
            <w:pPr>
              <w:ind w:left="20"/>
              <w:spacing w:after="0"/>
              <w:rPr>
                <w:sz w:val="20"/>
                <w:szCs w:val="20"/>
                <w:color w:val="auto"/>
              </w:rPr>
            </w:pPr>
            <w:r>
              <w:rPr>
                <w:rFonts w:ascii="Arial" w:cs="Arial" w:eastAsia="Arial" w:hAnsi="Arial"/>
                <w:sz w:val="14"/>
                <w:szCs w:val="14"/>
                <w:color w:val="auto"/>
              </w:rPr>
              <w:t>Circadence Corporation</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12/20/2018</w:t>
            </w:r>
          </w:p>
        </w:tc>
        <w:tc>
          <w:tcPr>
            <w:tcW w:w="1180" w:type="dxa"/>
            <w:vAlign w:val="bottom"/>
            <w:gridSpan w:val="4"/>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18,667,465</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19,726,705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16,038,243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76"/>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Dtex Systems, Inc.</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LIBOR+9.50%, 10.00% floor, 1.75% ETP</w:t>
            </w:r>
          </w:p>
        </w:tc>
        <w:tc>
          <w:tcPr>
            <w:tcW w:w="920" w:type="dxa"/>
            <w:vAlign w:val="bottom"/>
            <w:gridSpan w:val="2"/>
            <w:shd w:val="clear" w:color="auto" w:fill="CFF0FC"/>
          </w:tcPr>
          <w:p>
            <w:pPr>
              <w:jc w:val="center"/>
              <w:ind w:left="88"/>
              <w:spacing w:after="0"/>
              <w:rPr>
                <w:sz w:val="20"/>
                <w:szCs w:val="20"/>
                <w:color w:val="auto"/>
              </w:rPr>
            </w:pPr>
            <w:r>
              <w:rPr>
                <w:rFonts w:ascii="Arial" w:cs="Arial" w:eastAsia="Arial" w:hAnsi="Arial"/>
                <w:sz w:val="14"/>
                <w:szCs w:val="14"/>
                <w:color w:val="auto"/>
                <w:w w:val="95"/>
              </w:rPr>
              <w:t>6/1/2021</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1"/>
              </w:rPr>
              <w:t>6/1/2025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9,987,299</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9,900,862</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2240" w:type="dxa"/>
            <w:vAlign w:val="bottom"/>
            <w:gridSpan w:val="3"/>
          </w:tcPr>
          <w:p>
            <w:pPr>
              <w:ind w:left="20"/>
              <w:spacing w:after="0"/>
              <w:rPr>
                <w:sz w:val="20"/>
                <w:szCs w:val="20"/>
                <w:color w:val="auto"/>
              </w:rPr>
            </w:pPr>
            <w:r>
              <w:rPr>
                <w:rFonts w:ascii="Arial" w:cs="Arial" w:eastAsia="Arial" w:hAnsi="Arial"/>
                <w:sz w:val="14"/>
                <w:szCs w:val="14"/>
                <w:color w:val="auto"/>
              </w:rPr>
              <w:t>FiscalNote, Inc.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LIBOR+9.25%, 9.75% floor, 5.00%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10/19/2020</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8/21/2023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45,000,000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46,118,289</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46,118,289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5"/>
        </w:trPr>
        <w:tc>
          <w:tcPr>
            <w:tcW w:w="760" w:type="dxa"/>
            <w:vAlign w:val="bottom"/>
            <w:tcBorders>
              <w:left w:val="single" w:sz="8" w:color="CFF0FC"/>
            </w:tcBorders>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LIBOR+9.25%, 9.75% floor</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9/30/2021</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8/21/2023</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10,002,810</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10,002,810</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LIBOR+9.25%, 9.75% floor, 3.75%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3/28/2022</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8/21/2023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20,000,000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20,012,840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20,012,840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2240" w:type="dxa"/>
            <w:vAlign w:val="bottom"/>
            <w:tcBorders>
              <w:left w:val="single" w:sz="8" w:color="CFF0FC"/>
            </w:tcBorders>
            <w:gridSpan w:val="3"/>
            <w:shd w:val="clear" w:color="auto" w:fill="CFF0FC"/>
          </w:tcPr>
          <w:p>
            <w:pPr>
              <w:ind w:left="20"/>
              <w:spacing w:after="0" w:line="143" w:lineRule="exact"/>
              <w:rPr>
                <w:sz w:val="20"/>
                <w:szCs w:val="20"/>
                <w:color w:val="auto"/>
              </w:rPr>
            </w:pPr>
            <w:r>
              <w:rPr>
                <w:rFonts w:ascii="Arial" w:cs="Arial" w:eastAsia="Arial" w:hAnsi="Arial"/>
                <w:sz w:val="14"/>
                <w:szCs w:val="14"/>
                <w:color w:val="auto"/>
                <w:w w:val="95"/>
              </w:rPr>
              <w:t>VTX Intermediate Holdings, Inc. (dba</w:t>
            </w: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center"/>
              <w:ind w:left="68"/>
              <w:spacing w:after="0" w:line="143" w:lineRule="exact"/>
              <w:rPr>
                <w:sz w:val="20"/>
                <w:szCs w:val="20"/>
                <w:color w:val="auto"/>
              </w:rPr>
            </w:pPr>
            <w:r>
              <w:rPr>
                <w:rFonts w:ascii="Arial" w:cs="Arial" w:eastAsia="Arial" w:hAnsi="Arial"/>
                <w:sz w:val="14"/>
                <w:szCs w:val="14"/>
                <w:color w:val="auto"/>
                <w:w w:val="94"/>
              </w:rPr>
              <w:t>12/28/2026</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VertexOne)</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LIBOR+9.00%, 9.50% floor, 4.50% ETP</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4"/>
              </w:rPr>
              <w:t>12/28/2021</w:t>
            </w: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75,000,000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74,628,787</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74,628,787</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5"/>
        </w:trPr>
        <w:tc>
          <w:tcPr>
            <w:tcW w:w="22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Total Application Software -</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LIBOR+9.00%, 9.50% floor, 4.50%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5/31/2022</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12/28/2026</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9,909,638</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9,909,638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33"/>
        </w:trPr>
        <w:tc>
          <w:tcPr>
            <w:tcW w:w="2240" w:type="dxa"/>
            <w:vAlign w:val="bottom"/>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190,386,368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186,611,469</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32.21%*</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Biotechnology</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Mustang Bio, Inc.</w:t>
            </w:r>
          </w:p>
        </w:tc>
        <w:tc>
          <w:tcPr>
            <w:tcW w:w="140" w:type="dxa"/>
            <w:vAlign w:val="bottom"/>
            <w:tcBorders>
              <w:bottom w:val="single" w:sz="8" w:color="CFF0FC"/>
            </w:tcBorders>
            <w:shd w:val="clear" w:color="auto" w:fill="CFF0FC"/>
          </w:tcPr>
          <w:p>
            <w:pPr>
              <w:spacing w:after="0"/>
              <w:rPr>
                <w:sz w:val="15"/>
                <w:szCs w:val="15"/>
                <w:color w:val="auto"/>
              </w:rPr>
            </w:pPr>
          </w:p>
        </w:tc>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LIBOR+8.75%, 9.25% floor, 3.50% ETP</w:t>
            </w:r>
          </w:p>
        </w:tc>
        <w:tc>
          <w:tcPr>
            <w:tcW w:w="920" w:type="dxa"/>
            <w:vAlign w:val="bottom"/>
            <w:tcBorders>
              <w:bottom w:val="single" w:sz="8" w:color="CFF0FC"/>
            </w:tcBorders>
            <w:gridSpan w:val="2"/>
            <w:shd w:val="clear" w:color="auto" w:fill="CFF0FC"/>
          </w:tcPr>
          <w:p>
            <w:pPr>
              <w:jc w:val="center"/>
              <w:ind w:left="88"/>
              <w:spacing w:after="0"/>
              <w:rPr>
                <w:sz w:val="20"/>
                <w:szCs w:val="20"/>
                <w:color w:val="auto"/>
              </w:rPr>
            </w:pPr>
            <w:r>
              <w:rPr>
                <w:rFonts w:ascii="Arial" w:cs="Arial" w:eastAsia="Arial" w:hAnsi="Arial"/>
                <w:sz w:val="14"/>
                <w:szCs w:val="14"/>
                <w:color w:val="auto"/>
                <w:w w:val="95"/>
              </w:rPr>
              <w:t>3/4/2022</w:t>
            </w:r>
          </w:p>
        </w:tc>
        <w:tc>
          <w:tcPr>
            <w:tcW w:w="9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4/15/2027</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30,000,000</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29,509,567</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29,509,567</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9"/>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Biotechnology - 5.09%*</w:t>
            </w: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29,509,567</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29,509,567</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24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Data Processing &amp; Outsourced</w:t>
            </w: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Interactions Corporation</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w w:val="98"/>
              </w:rPr>
              <w:t>SOFR+9.26%, 9.76% floor, 3.4375% ETP</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6/24/2022</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6/15/2027</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40,000,000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39,287,608</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39,287,608</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5"/>
        </w:trPr>
        <w:tc>
          <w:tcPr>
            <w:tcW w:w="2240" w:type="dxa"/>
            <w:vAlign w:val="bottom"/>
            <w:gridSpan w:val="3"/>
          </w:tcPr>
          <w:p>
            <w:pPr>
              <w:ind w:left="20"/>
              <w:spacing w:after="0"/>
              <w:rPr>
                <w:sz w:val="20"/>
                <w:szCs w:val="20"/>
                <w:color w:val="auto"/>
              </w:rPr>
            </w:pPr>
            <w:r>
              <w:rPr>
                <w:rFonts w:ascii="Arial" w:cs="Arial" w:eastAsia="Arial" w:hAnsi="Arial"/>
                <w:sz w:val="14"/>
                <w:szCs w:val="14"/>
                <w:color w:val="auto"/>
              </w:rPr>
              <w:t>ShareThis, Inc.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LIBOR+9.25%, 11.60% floor, 3.00%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12/3/2018</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7/15/2023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19,250,000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19,549,547</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19,549,786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760" w:type="dxa"/>
            <w:vAlign w:val="bottom"/>
            <w:tcBorders>
              <w:left w:val="single" w:sz="8" w:color="CFF0FC"/>
            </w:tcBorders>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LIBOR+9.25%, 11.60% floor, 3.00% ETP</w:t>
            </w:r>
          </w:p>
        </w:tc>
        <w:tc>
          <w:tcPr>
            <w:tcW w:w="920" w:type="dxa"/>
            <w:vAlign w:val="bottom"/>
            <w:gridSpan w:val="2"/>
            <w:shd w:val="clear" w:color="auto" w:fill="CFF0FC"/>
          </w:tcPr>
          <w:p>
            <w:pPr>
              <w:jc w:val="center"/>
              <w:ind w:left="88"/>
              <w:spacing w:after="0"/>
              <w:rPr>
                <w:sz w:val="20"/>
                <w:szCs w:val="20"/>
                <w:color w:val="auto"/>
              </w:rPr>
            </w:pPr>
            <w:r>
              <w:rPr>
                <w:rFonts w:ascii="Arial" w:cs="Arial" w:eastAsia="Arial" w:hAnsi="Arial"/>
                <w:sz w:val="14"/>
                <w:szCs w:val="14"/>
                <w:color w:val="auto"/>
                <w:w w:val="95"/>
              </w:rPr>
              <w:t>1/7/2019</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7/15/2023</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760,632</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761,680</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LIBOR+9.25%, 11.60% floor, 3.00%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7/24/2019</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7/15/2023</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1,000,000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1,011,871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1,015,573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5"/>
        </w:trPr>
        <w:tc>
          <w:tcPr>
            <w:tcW w:w="760" w:type="dxa"/>
            <w:vAlign w:val="bottom"/>
            <w:tcBorders>
              <w:left w:val="single" w:sz="8" w:color="CFF0FC"/>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LIBOR+8.25%, 10.60% floor, 3.00% ETP</w:t>
            </w:r>
          </w:p>
        </w:tc>
        <w:tc>
          <w:tcPr>
            <w:tcW w:w="9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8/18/2020</w:t>
            </w:r>
          </w:p>
        </w:tc>
        <w:tc>
          <w:tcPr>
            <w:tcW w:w="9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7/15/2023</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1,000,000</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1,020,562</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1,015,573</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33"/>
        </w:trPr>
        <w:tc>
          <w:tcPr>
            <w:tcW w:w="224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Total Data Processing &amp;</w:t>
            </w: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61,630,220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61,630,220</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Outsourced Services - 10.64%*</w:t>
            </w: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Education Services</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40" w:type="dxa"/>
            <w:vAlign w:val="bottom"/>
            <w:tcBorders>
              <w:left w:val="single" w:sz="8" w:color="CFF0FC"/>
            </w:tcBorders>
            <w:gridSpan w:val="3"/>
            <w:shd w:val="clear" w:color="auto" w:fill="CFF0FC"/>
          </w:tcPr>
          <w:p>
            <w:pPr>
              <w:ind w:left="20"/>
              <w:spacing w:after="0" w:line="143" w:lineRule="exact"/>
              <w:rPr>
                <w:sz w:val="20"/>
                <w:szCs w:val="20"/>
                <w:color w:val="auto"/>
              </w:rPr>
            </w:pPr>
            <w:r>
              <w:rPr>
                <w:rFonts w:ascii="Arial" w:cs="Arial" w:eastAsia="Arial" w:hAnsi="Arial"/>
                <w:sz w:val="14"/>
                <w:szCs w:val="14"/>
                <w:color w:val="auto"/>
                <w:w w:val="93"/>
              </w:rPr>
              <w:t>Turning Tech Intermediate, Inc. (d/b/a</w:t>
            </w: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Echo 360, Inc.)</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LIBOR+8.50%, 9.00% floor, 3.00% ETP</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6/22/2021</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4"/>
              </w:rPr>
              <w:t>12/14/2025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20,000,000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20,181,718</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20,181,718</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LIBOR+8.50%, 9.00% floor, 3.00%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3/28/2022</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12/14/2025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5,000,000</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5,013,035</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5,013,035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69"/>
        </w:trPr>
        <w:tc>
          <w:tcPr>
            <w:tcW w:w="22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w w:val="98"/>
              </w:rPr>
              <w:t>Total Education Services - 4.35%*</w:t>
            </w:r>
          </w:p>
        </w:tc>
        <w:tc>
          <w:tcPr>
            <w:tcW w:w="140" w:type="dxa"/>
            <w:vAlign w:val="bottom"/>
            <w:tcBorders>
              <w:bottom w:val="single" w:sz="8" w:color="CFF0FC"/>
            </w:tcBorders>
            <w:shd w:val="clear" w:color="auto" w:fill="CFF0FC"/>
          </w:tcPr>
          <w:p>
            <w:pPr>
              <w:spacing w:after="0"/>
              <w:rPr>
                <w:sz w:val="14"/>
                <w:szCs w:val="14"/>
                <w:color w:val="auto"/>
              </w:rPr>
            </w:pPr>
          </w:p>
        </w:tc>
        <w:tc>
          <w:tcPr>
            <w:tcW w:w="26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25,194,753</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25,194,753</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24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Arial" w:cs="Arial" w:eastAsia="Arial" w:hAnsi="Arial"/>
                <w:sz w:val="14"/>
                <w:szCs w:val="14"/>
                <w:b w:val="1"/>
                <w:bCs w:val="1"/>
                <w:color w:val="auto"/>
              </w:rPr>
              <w:t>Electronic Equipment &amp;</w:t>
            </w: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Instruments</w:t>
            </w:r>
          </w:p>
        </w:tc>
        <w:tc>
          <w:tcPr>
            <w:tcW w:w="140" w:type="dxa"/>
            <w:vAlign w:val="bottom"/>
            <w:shd w:val="clear" w:color="auto" w:fill="CFF0FC"/>
          </w:tcPr>
          <w:p>
            <w:pPr>
              <w:spacing w:after="0"/>
              <w:rPr>
                <w:sz w:val="16"/>
                <w:szCs w:val="16"/>
                <w:color w:val="auto"/>
              </w:rPr>
            </w:pPr>
          </w:p>
        </w:tc>
        <w:tc>
          <w:tcPr>
            <w:tcW w:w="26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240" w:type="dxa"/>
            <w:vAlign w:val="bottom"/>
            <w:gridSpan w:val="3"/>
          </w:tcPr>
          <w:p>
            <w:pPr>
              <w:ind w:left="20"/>
              <w:spacing w:after="0" w:line="143" w:lineRule="exact"/>
              <w:rPr>
                <w:sz w:val="20"/>
                <w:szCs w:val="20"/>
                <w:color w:val="auto"/>
              </w:rPr>
            </w:pPr>
            <w:r>
              <w:rPr>
                <w:rFonts w:ascii="Arial" w:cs="Arial" w:eastAsia="Arial" w:hAnsi="Arial"/>
                <w:sz w:val="14"/>
                <w:szCs w:val="14"/>
                <w:color w:val="auto"/>
                <w:w w:val="97"/>
              </w:rPr>
              <w:t>Intellisite Holdings, Inc. (dba Epic IO</w:t>
            </w: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gridSpan w:val="3"/>
          </w:tcPr>
          <w:p>
            <w:pPr>
              <w:ind w:left="20"/>
              <w:spacing w:after="0"/>
              <w:rPr>
                <w:sz w:val="20"/>
                <w:szCs w:val="20"/>
                <w:color w:val="auto"/>
              </w:rPr>
            </w:pPr>
            <w:r>
              <w:rPr>
                <w:rFonts w:ascii="Arial" w:cs="Arial" w:eastAsia="Arial" w:hAnsi="Arial"/>
                <w:sz w:val="14"/>
                <w:szCs w:val="14"/>
                <w:color w:val="auto"/>
              </w:rPr>
              <w:t>Technologies, Inc.)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LIBOR+9.75%, 10.25% floor, 2.00%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12/17/2021</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12/17/2025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19,000,000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18,649,465</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18,649,465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6"/>
        </w:trPr>
        <w:tc>
          <w:tcPr>
            <w:tcW w:w="760" w:type="dxa"/>
            <w:vAlign w:val="bottom"/>
            <w:tcBorders>
              <w:left w:val="single" w:sz="8" w:color="CFF0FC"/>
            </w:tcBorders>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LIBOR+9.75%, 10.25% floor, 2.00% ETP</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2/28/2022</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4"/>
              </w:rPr>
              <w:t>12/17/2025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3,000,000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2,972,557</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2,972,557</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LIBOR+9.75%, 10.25% floor, 2.00%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3/29/2022</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12/17/2025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3,000,000</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2,970,010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2,970,010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33"/>
        </w:trPr>
        <w:tc>
          <w:tcPr>
            <w:tcW w:w="2240" w:type="dxa"/>
            <w:vAlign w:val="bottom"/>
            <w:tcBorders>
              <w:left w:val="single" w:sz="8" w:color="CFF0FC"/>
            </w:tcBorders>
            <w:gridSpan w:val="3"/>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Total Electronic Equipment &amp;</w:t>
            </w:r>
          </w:p>
        </w:tc>
        <w:tc>
          <w:tcPr>
            <w:tcW w:w="14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24,592,032</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24,592,032</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Instruments - 4.24%*</w:t>
            </w:r>
          </w:p>
        </w:tc>
        <w:tc>
          <w:tcPr>
            <w:tcW w:w="140" w:type="dxa"/>
            <w:vAlign w:val="bottom"/>
            <w:tcBorders>
              <w:bottom w:val="single" w:sz="8" w:color="CFF0FC"/>
            </w:tcBorders>
            <w:shd w:val="clear" w:color="auto" w:fill="CFF0FC"/>
          </w:tcPr>
          <w:p>
            <w:pPr>
              <w:spacing w:after="0"/>
              <w:rPr>
                <w:sz w:val="14"/>
                <w:szCs w:val="14"/>
                <w:color w:val="auto"/>
              </w:rPr>
            </w:pPr>
          </w:p>
        </w:tc>
        <w:tc>
          <w:tcPr>
            <w:tcW w:w="26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-2842260</wp:posOffset>
            </wp:positionV>
            <wp:extent cx="6858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-2842260</wp:posOffset>
            </wp:positionV>
            <wp:extent cx="6858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-1839595</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-1839595</wp:posOffset>
            </wp:positionV>
            <wp:extent cx="6858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-965200</wp:posOffset>
            </wp:positionV>
            <wp:extent cx="6858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-965200</wp:posOffset>
            </wp:positionV>
            <wp:extent cx="6858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-5080</wp:posOffset>
            </wp:positionV>
            <wp:extent cx="6858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-5080</wp:posOffset>
            </wp:positionV>
            <wp:extent cx="6858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10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75"/>
        </w:trPr>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9"/>
                <w:szCs w:val="19"/>
                <w:b w:val="1"/>
                <w:bCs w:val="1"/>
                <w:color w:val="auto"/>
                <w:vertAlign w:val="superscript"/>
              </w:rPr>
              <w:t>(1),(5),(9)</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Principal/</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Fair Value</w:t>
            </w:r>
            <w:r>
              <w:rPr>
                <w:rFonts w:ascii="Arial" w:cs="Arial" w:eastAsia="Arial" w:hAnsi="Arial"/>
                <w:sz w:val="19"/>
                <w:szCs w:val="19"/>
                <w:b w:val="1"/>
                <w:bCs w:val="1"/>
                <w:color w:val="auto"/>
                <w:w w:val="94"/>
                <w:vertAlign w:val="superscript"/>
              </w:rPr>
              <w:t>(2),(6)</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tcPr>
          <w:p>
            <w:pPr>
              <w:spacing w:after="0"/>
              <w:rPr>
                <w:sz w:val="16"/>
                <w:szCs w:val="16"/>
                <w:color w:val="auto"/>
              </w:rPr>
            </w:pPr>
          </w:p>
        </w:tc>
        <w:tc>
          <w:tcPr>
            <w:tcW w:w="26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Footnotes</w:t>
            </w:r>
          </w:p>
        </w:tc>
        <w:tc>
          <w:tcPr>
            <w:tcW w:w="0" w:type="dxa"/>
            <w:vAlign w:val="bottom"/>
          </w:tcPr>
          <w:p>
            <w:pPr>
              <w:spacing w:after="0"/>
              <w:rPr>
                <w:sz w:val="1"/>
                <w:szCs w:val="1"/>
                <w:color w:val="auto"/>
              </w:rPr>
            </w:pPr>
          </w:p>
        </w:tc>
      </w:tr>
      <w:tr>
        <w:trPr>
          <w:trHeight w:val="142"/>
        </w:trPr>
        <w:tc>
          <w:tcPr>
            <w:tcW w:w="2240" w:type="dxa"/>
            <w:vAlign w:val="bottom"/>
            <w:tcBorders>
              <w:left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4"/>
                <w:szCs w:val="14"/>
                <w:b w:val="1"/>
                <w:bCs w:val="1"/>
                <w:color w:val="auto"/>
              </w:rPr>
              <w:t>Non-Control/Non-Affiliate</w:t>
            </w: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80" w:type="dxa"/>
            <w:vAlign w:val="bottom"/>
            <w:tcBorders>
              <w:top w:val="single" w:sz="8" w:color="auto"/>
              <w:left w:val="single" w:sz="8" w:color="CFF0FC"/>
            </w:tcBorders>
            <w:gridSpan w:val="2"/>
            <w:shd w:val="clear" w:color="auto" w:fill="CFF0FC"/>
          </w:tcPr>
          <w:p>
            <w:pPr>
              <w:ind w:left="20"/>
              <w:spacing w:after="0" w:line="129" w:lineRule="exact"/>
              <w:rPr>
                <w:sz w:val="20"/>
                <w:szCs w:val="20"/>
                <w:color w:val="auto"/>
              </w:rPr>
            </w:pPr>
            <w:r>
              <w:rPr>
                <w:rFonts w:ascii="Arial" w:cs="Arial" w:eastAsia="Arial" w:hAnsi="Arial"/>
                <w:sz w:val="14"/>
                <w:szCs w:val="14"/>
                <w:b w:val="1"/>
                <w:bCs w:val="1"/>
                <w:color w:val="auto"/>
              </w:rPr>
              <w:t>Investments</w:t>
            </w:r>
          </w:p>
        </w:tc>
        <w:tc>
          <w:tcPr>
            <w:tcW w:w="5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26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60" w:type="dxa"/>
            <w:vAlign w:val="bottom"/>
            <w:tcBorders>
              <w:left w:val="single" w:sz="8" w:color="CFF0FC"/>
            </w:tcBorders>
            <w:shd w:val="clear" w:color="auto" w:fill="000000"/>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6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Senior Secured Term Loans</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Health Care Equipment</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15,000,00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gridSpan w:val="3"/>
          </w:tcPr>
          <w:p>
            <w:pPr>
              <w:ind w:left="20"/>
              <w:spacing w:after="0"/>
              <w:rPr>
                <w:sz w:val="20"/>
                <w:szCs w:val="20"/>
                <w:color w:val="auto"/>
              </w:rPr>
            </w:pPr>
            <w:r>
              <w:rPr>
                <w:rFonts w:ascii="Arial" w:cs="Arial" w:eastAsia="Arial" w:hAnsi="Arial"/>
                <w:sz w:val="14"/>
                <w:szCs w:val="14"/>
                <w:color w:val="auto"/>
              </w:rPr>
              <w:t>Moximed, Inc.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PRIME+5.25%, 8.75% floor, 3.50%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6/24/2022</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7/1/2027</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14,676,894</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14,676,894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12,500,00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12,285,049</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12,285,049</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Revelle Aesthetics, Inc.</w:t>
            </w:r>
          </w:p>
        </w:tc>
        <w:tc>
          <w:tcPr>
            <w:tcW w:w="140" w:type="dxa"/>
            <w:vAlign w:val="bottom"/>
            <w:tcBorders>
              <w:bottom w:val="single" w:sz="8" w:color="CFF0FC"/>
            </w:tcBorders>
            <w:shd w:val="clear" w:color="auto" w:fill="CFF0FC"/>
          </w:tcPr>
          <w:p>
            <w:pPr>
              <w:spacing w:after="0"/>
              <w:rPr>
                <w:sz w:val="14"/>
                <w:szCs w:val="14"/>
                <w:color w:val="auto"/>
              </w:rPr>
            </w:pPr>
          </w:p>
        </w:tc>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PRIME+5.50%, 8.75% floor, 4.00% ETP</w:t>
            </w:r>
          </w:p>
        </w:tc>
        <w:tc>
          <w:tcPr>
            <w:tcW w:w="9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3/30/2022</w:t>
            </w:r>
          </w:p>
        </w:tc>
        <w:tc>
          <w:tcPr>
            <w:tcW w:w="9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1"/>
              </w:rPr>
              <w:t>4/1/2027</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33"/>
        </w:trPr>
        <w:tc>
          <w:tcPr>
            <w:tcW w:w="224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Total Health Care Equipment -</w:t>
            </w: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26,961,943</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26,961,943</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4.65%*</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Health Care Technology</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Allurion Technologies, Inc.</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LIBOR+9.00%, 9.50% floor, 3.00% ETP</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4"/>
              </w:rPr>
              <w:t>12/30/2021</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4"/>
              </w:rPr>
              <w:t>12/30/2025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5,000,000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4,884,220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4,884,220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20,000,00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LIBOR+9.00%, 9.50% floor, 3.00%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12/30/2021</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12/30/2025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20,077,135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20,077,135</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5"/>
        </w:trPr>
        <w:tc>
          <w:tcPr>
            <w:tcW w:w="760" w:type="dxa"/>
            <w:vAlign w:val="bottom"/>
            <w:tcBorders>
              <w:left w:val="single" w:sz="8" w:color="CFF0FC"/>
            </w:tcBorders>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LIBOR+9.00%, 9.50% floor, 3.00% ETP</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6/14/2022</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4"/>
              </w:rPr>
              <w:t>12/30/2025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5,000,000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4,932,111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4,932,111</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20,000,00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gridSpan w:val="3"/>
          </w:tcPr>
          <w:p>
            <w:pPr>
              <w:ind w:left="20"/>
              <w:spacing w:after="0"/>
              <w:rPr>
                <w:sz w:val="20"/>
                <w:szCs w:val="20"/>
                <w:color w:val="auto"/>
              </w:rPr>
            </w:pPr>
            <w:r>
              <w:rPr>
                <w:rFonts w:ascii="Arial" w:cs="Arial" w:eastAsia="Arial" w:hAnsi="Arial"/>
                <w:sz w:val="14"/>
                <w:szCs w:val="14"/>
                <w:color w:val="auto"/>
              </w:rPr>
              <w:t>EBR Systems, Inc.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PRIME+4.90%, 8.90% floor, 4.50%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6/30/2022</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6/15/2027</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19,508,281</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19,508,281</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30,000,00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Gynesonics, Inc.</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LIBOR+8.75%, 9.25% floor, 3.50% ETP</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12/1/2020</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12/1/2025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29,960,390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29,960,390</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ind w:left="20"/>
              <w:spacing w:after="0" w:line="143" w:lineRule="exact"/>
              <w:rPr>
                <w:sz w:val="20"/>
                <w:szCs w:val="20"/>
                <w:color w:val="auto"/>
              </w:rPr>
            </w:pPr>
            <w:r>
              <w:rPr>
                <w:rFonts w:ascii="Arial" w:cs="Arial" w:eastAsia="Arial" w:hAnsi="Arial"/>
                <w:sz w:val="14"/>
                <w:szCs w:val="14"/>
                <w:color w:val="auto"/>
              </w:rPr>
              <w:t>LIBOR+9.50%, 11.75% floor, .25% PIK,</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gridSpan w:val="3"/>
          </w:tcPr>
          <w:p>
            <w:pPr>
              <w:ind w:left="20"/>
              <w:spacing w:after="0"/>
              <w:rPr>
                <w:sz w:val="20"/>
                <w:szCs w:val="20"/>
                <w:color w:val="auto"/>
              </w:rPr>
            </w:pPr>
            <w:r>
              <w:rPr>
                <w:rFonts w:ascii="Arial" w:cs="Arial" w:eastAsia="Arial" w:hAnsi="Arial"/>
                <w:sz w:val="14"/>
                <w:szCs w:val="14"/>
                <w:color w:val="auto"/>
              </w:rPr>
              <w:t>Mingle Healthcare Solutions, Inc.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10.00%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8/15/2018</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10/15/2022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3,963,489</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4,536,183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4,350,144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3"/>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13,000,00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Route 92 Medical, Inc.</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LIBOR+8.48%, 8.98% floor, 3.95% ETP</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8/17/2021</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1"/>
              </w:rPr>
              <w:t>7/1/2026</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12,756,189</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12,756,189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10,000,00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gridSpan w:val="3"/>
          </w:tcPr>
          <w:p>
            <w:pPr>
              <w:ind w:left="20"/>
              <w:spacing w:after="0"/>
              <w:rPr>
                <w:sz w:val="20"/>
                <w:szCs w:val="20"/>
                <w:color w:val="auto"/>
              </w:rPr>
            </w:pPr>
            <w:r>
              <w:rPr>
                <w:rFonts w:ascii="Arial" w:cs="Arial" w:eastAsia="Arial" w:hAnsi="Arial"/>
                <w:sz w:val="14"/>
                <w:szCs w:val="14"/>
                <w:color w:val="auto"/>
              </w:rPr>
              <w:t>SetPoint Medical Corporation</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LIBOR+8.75%, 9.25% floor, 4.00%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6/29/2021</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12/1/2025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10,012,988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10,012,988</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25,000,00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VERO Biotech LLC</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LIBOR+9.05%, 9.55% floor, 3.00% ETP</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4"/>
              </w:rPr>
              <w:t>12/29/2020</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12/1/2024</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24,896,066</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24,896,066</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15,000,00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15,083,724</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15,083,724</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LIBOR+9.05%, 9.55% floor, 3.00%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3/30/2021</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12/1/2024</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33"/>
        </w:trPr>
        <w:tc>
          <w:tcPr>
            <w:tcW w:w="2240" w:type="dxa"/>
            <w:vAlign w:val="bottom"/>
            <w:tcBorders>
              <w:left w:val="single" w:sz="8" w:color="CFF0FC"/>
            </w:tcBorders>
            <w:gridSpan w:val="3"/>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Total Health Care Technology -</w:t>
            </w:r>
          </w:p>
        </w:tc>
        <w:tc>
          <w:tcPr>
            <w:tcW w:w="14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146,647,287</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146,461,248</w:t>
            </w: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60" w:type="dxa"/>
            <w:vAlign w:val="bottom"/>
            <w:tcBorders>
              <w:left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25.28%*</w:t>
            </w:r>
          </w:p>
        </w:tc>
        <w:tc>
          <w:tcPr>
            <w:tcW w:w="9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6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24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Arial" w:cs="Arial" w:eastAsia="Arial" w:hAnsi="Arial"/>
                <w:sz w:val="14"/>
                <w:szCs w:val="14"/>
                <w:b w:val="1"/>
                <w:bCs w:val="1"/>
                <w:color w:val="auto"/>
              </w:rPr>
              <w:t>Human Resource &amp; Employment</w:t>
            </w: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Services</w:t>
            </w:r>
          </w:p>
        </w:tc>
        <w:tc>
          <w:tcPr>
            <w:tcW w:w="140" w:type="dxa"/>
            <w:vAlign w:val="bottom"/>
            <w:shd w:val="clear" w:color="auto" w:fill="CFF0FC"/>
          </w:tcPr>
          <w:p>
            <w:pPr>
              <w:spacing w:after="0"/>
              <w:rPr>
                <w:sz w:val="16"/>
                <w:szCs w:val="16"/>
                <w:color w:val="auto"/>
              </w:rPr>
            </w:pPr>
          </w:p>
        </w:tc>
        <w:tc>
          <w:tcPr>
            <w:tcW w:w="26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35,000,00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gridSpan w:val="3"/>
          </w:tcPr>
          <w:p>
            <w:pPr>
              <w:ind w:left="20"/>
              <w:spacing w:after="0"/>
              <w:rPr>
                <w:sz w:val="20"/>
                <w:szCs w:val="20"/>
                <w:color w:val="auto"/>
              </w:rPr>
            </w:pPr>
            <w:r>
              <w:rPr>
                <w:rFonts w:ascii="Arial" w:cs="Arial" w:eastAsia="Arial" w:hAnsi="Arial"/>
                <w:sz w:val="14"/>
                <w:szCs w:val="14"/>
                <w:color w:val="auto"/>
              </w:rPr>
              <w:t>CloudPay, Inc.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LIBOR+8.75%, 9.25% floor, 2.00%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8/17/2021</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8/17/2025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35,012,244</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35,012,244</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143"/>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10,000,00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0" w:type="dxa"/>
            <w:vAlign w:val="bottom"/>
            <w:tcBorders>
              <w:left w:val="single" w:sz="8" w:color="CFF0FC"/>
            </w:tcBorders>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LIBOR+8.75%, 9.25% floor, 2.00% ETP</w:t>
            </w:r>
          </w:p>
        </w:tc>
        <w:tc>
          <w:tcPr>
            <w:tcW w:w="920" w:type="dxa"/>
            <w:vAlign w:val="bottom"/>
            <w:gridSpan w:val="2"/>
            <w:shd w:val="clear" w:color="auto" w:fill="CFF0FC"/>
          </w:tcPr>
          <w:p>
            <w:pPr>
              <w:jc w:val="center"/>
              <w:ind w:left="88"/>
              <w:spacing w:after="0"/>
              <w:rPr>
                <w:sz w:val="20"/>
                <w:szCs w:val="20"/>
                <w:color w:val="auto"/>
              </w:rPr>
            </w:pPr>
            <w:r>
              <w:rPr>
                <w:rFonts w:ascii="Arial" w:cs="Arial" w:eastAsia="Arial" w:hAnsi="Arial"/>
                <w:sz w:val="14"/>
                <w:szCs w:val="14"/>
                <w:color w:val="auto"/>
                <w:w w:val="95"/>
              </w:rPr>
              <w:t>6/1/2022</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8/17/2025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9,985,293</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9,985,293</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(3)(8)(12)</w:t>
            </w: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37,315,38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37,058,477</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37,058,477</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gridSpan w:val="3"/>
          </w:tcPr>
          <w:p>
            <w:pPr>
              <w:ind w:left="20"/>
              <w:spacing w:after="0"/>
              <w:rPr>
                <w:sz w:val="20"/>
                <w:szCs w:val="20"/>
                <w:color w:val="auto"/>
              </w:rPr>
            </w:pPr>
            <w:r>
              <w:rPr>
                <w:rFonts w:ascii="Arial" w:cs="Arial" w:eastAsia="Arial" w:hAnsi="Arial"/>
                <w:sz w:val="14"/>
                <w:szCs w:val="14"/>
                <w:color w:val="auto"/>
              </w:rPr>
              <w:t>Snagajob.com, Inc.</w:t>
            </w:r>
          </w:p>
        </w:tc>
        <w:tc>
          <w:tcPr>
            <w:tcW w:w="140" w:type="dxa"/>
            <w:vAlign w:val="bottom"/>
          </w:tcPr>
          <w:p>
            <w:pPr>
              <w:spacing w:after="0"/>
              <w:rPr>
                <w:sz w:val="14"/>
                <w:szCs w:val="14"/>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LIBOR+8.50%, 9.00% floor, 2.75%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9/29/2021</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9/1/2025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33"/>
        </w:trPr>
        <w:tc>
          <w:tcPr>
            <w:tcW w:w="2240" w:type="dxa"/>
            <w:vAlign w:val="bottom"/>
            <w:tcBorders>
              <w:left w:val="single" w:sz="8" w:color="CFF0FC"/>
            </w:tcBorders>
            <w:gridSpan w:val="3"/>
            <w:shd w:val="clear" w:color="auto" w:fill="CFF0FC"/>
          </w:tcPr>
          <w:p>
            <w:pPr>
              <w:ind w:left="20"/>
              <w:spacing w:after="0" w:line="133" w:lineRule="exact"/>
              <w:rPr>
                <w:sz w:val="20"/>
                <w:szCs w:val="20"/>
                <w:color w:val="auto"/>
              </w:rPr>
            </w:pPr>
            <w:r>
              <w:rPr>
                <w:rFonts w:ascii="Arial" w:cs="Arial" w:eastAsia="Arial" w:hAnsi="Arial"/>
                <w:sz w:val="14"/>
                <w:szCs w:val="14"/>
                <w:b w:val="1"/>
                <w:bCs w:val="1"/>
                <w:color w:val="auto"/>
              </w:rPr>
              <w:t>Total Human Resource &amp;</w:t>
            </w:r>
          </w:p>
        </w:tc>
        <w:tc>
          <w:tcPr>
            <w:tcW w:w="14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82,056,014</w:t>
            </w:r>
          </w:p>
        </w:tc>
        <w:tc>
          <w:tcPr>
            <w:tcW w:w="2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82,056,014</w:t>
            </w:r>
          </w:p>
        </w:tc>
        <w:tc>
          <w:tcPr>
            <w:tcW w:w="2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Employment Services - 14.16%*</w:t>
            </w:r>
          </w:p>
        </w:tc>
        <w:tc>
          <w:tcPr>
            <w:tcW w:w="140" w:type="dxa"/>
            <w:vAlign w:val="bottom"/>
            <w:tcBorders>
              <w:bottom w:val="single" w:sz="8" w:color="CFF0FC"/>
            </w:tcBorders>
            <w:shd w:val="clear" w:color="auto" w:fill="CFF0FC"/>
          </w:tcPr>
          <w:p>
            <w:pPr>
              <w:spacing w:after="0"/>
              <w:rPr>
                <w:sz w:val="14"/>
                <w:szCs w:val="14"/>
                <w:color w:val="auto"/>
              </w:rPr>
            </w:pPr>
          </w:p>
        </w:tc>
        <w:tc>
          <w:tcPr>
            <w:tcW w:w="26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Internet Retail</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26,610,40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81"/>
        </w:trPr>
        <w:tc>
          <w:tcPr>
            <w:tcW w:w="2240" w:type="dxa"/>
            <w:vAlign w:val="bottom"/>
            <w:gridSpan w:val="3"/>
          </w:tcPr>
          <w:p>
            <w:pPr>
              <w:ind w:left="20"/>
              <w:spacing w:after="0"/>
              <w:rPr>
                <w:sz w:val="20"/>
                <w:szCs w:val="20"/>
                <w:color w:val="auto"/>
              </w:rPr>
            </w:pPr>
            <w:r>
              <w:rPr>
                <w:rFonts w:ascii="Arial" w:cs="Arial" w:eastAsia="Arial" w:hAnsi="Arial"/>
                <w:sz w:val="14"/>
                <w:szCs w:val="14"/>
                <w:color w:val="auto"/>
              </w:rPr>
              <w:t>Marley Spoon AG</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LIBOR+8.50%, 1.25% PIK, 9.00% floor</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6/30/2021</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6/15/2025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26,309,290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26,309,290</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3"/>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line="143"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81"/>
        </w:trPr>
        <w:tc>
          <w:tcPr>
            <w:tcW w:w="760" w:type="dxa"/>
            <w:vAlign w:val="bottom"/>
            <w:tcBorders>
              <w:left w:val="single" w:sz="8" w:color="CFF0FC"/>
            </w:tcBorders>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LIBOR+8.50%, 1.25% PIK, 9.00% floor</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4"/>
              </w:rPr>
              <w:t>12/29/2021</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6/15/2025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8,147,364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8,085,042</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8,085,042</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11,700,40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11,700,406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11,700,406</w:t>
            </w:r>
          </w:p>
        </w:tc>
        <w:tc>
          <w:tcPr>
            <w:tcW w:w="8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67"/>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LIBOR+8.50%, 1.25% PIK, 9.00% floor</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6/14/2022</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6/15/2025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9"/>
        </w:trPr>
        <w:tc>
          <w:tcPr>
            <w:tcW w:w="22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Total Internet Retail - 7.96%*</w:t>
            </w:r>
          </w:p>
        </w:tc>
        <w:tc>
          <w:tcPr>
            <w:tcW w:w="140" w:type="dxa"/>
            <w:vAlign w:val="bottom"/>
            <w:tcBorders>
              <w:bottom w:val="single" w:sz="8" w:color="CFF0FC"/>
            </w:tcBorders>
            <w:shd w:val="clear" w:color="auto" w:fill="CFF0FC"/>
          </w:tcPr>
          <w:p>
            <w:pPr>
              <w:spacing w:after="0"/>
              <w:rPr>
                <w:sz w:val="14"/>
                <w:szCs w:val="14"/>
                <w:color w:val="auto"/>
              </w:rPr>
            </w:pPr>
          </w:p>
        </w:tc>
        <w:tc>
          <w:tcPr>
            <w:tcW w:w="26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46,094,738</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46,094,738</w:t>
            </w:r>
          </w:p>
        </w:tc>
        <w:tc>
          <w:tcPr>
            <w:tcW w:w="2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-4608195</wp:posOffset>
            </wp:positionV>
            <wp:extent cx="6858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-4608195</wp:posOffset>
            </wp:positionV>
            <wp:extent cx="6858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-2105025</wp:posOffset>
            </wp:positionV>
            <wp:extent cx="6858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-2105025</wp:posOffset>
            </wp:positionV>
            <wp:extent cx="6858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-965200</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-965200</wp:posOffset>
            </wp:positionV>
            <wp:extent cx="6858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-5080</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-5080</wp:posOffset>
            </wp:positionV>
            <wp:extent cx="6858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10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363" w:lineRule="exact"/>
        <w:rPr>
          <w:sz w:val="20"/>
          <w:szCs w:val="20"/>
          <w:color w:val="auto"/>
        </w:rPr>
      </w:pPr>
    </w:p>
    <w:tbl>
      <w:tblPr>
        <w:tblLayout w:type="fixed"/>
        <w:tblInd w:w="10" w:type="dxa"/>
        <w:tblCellMar>
          <w:top w:w="0" w:type="dxa"/>
          <w:left w:w="0" w:type="dxa"/>
          <w:bottom w:w="0" w:type="dxa"/>
          <w:right w:w="0" w:type="dxa"/>
        </w:tblCellMar>
      </w:tblPr>
      <w:tr>
        <w:trPr>
          <w:trHeight w:val="176"/>
        </w:trPr>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9"/>
                <w:szCs w:val="19"/>
                <w:b w:val="1"/>
                <w:bCs w:val="1"/>
                <w:color w:val="auto"/>
                <w:vertAlign w:val="superscript"/>
              </w:rPr>
              <w:t>(1),(5),(9)</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b w:val="1"/>
                <w:bCs w:val="1"/>
                <w:color w:val="auto"/>
                <w:w w:val="98"/>
              </w:rPr>
              <w:t>Principal/</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Fair Value</w:t>
            </w:r>
            <w:r>
              <w:rPr>
                <w:rFonts w:ascii="Arial" w:cs="Arial" w:eastAsia="Arial" w:hAnsi="Arial"/>
                <w:sz w:val="19"/>
                <w:szCs w:val="19"/>
                <w:b w:val="1"/>
                <w:bCs w:val="1"/>
                <w:color w:val="auto"/>
                <w:w w:val="94"/>
                <w:vertAlign w:val="superscript"/>
              </w:rPr>
              <w:t>(2),(6)</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tcPr>
          <w:p>
            <w:pPr>
              <w:spacing w:after="0"/>
              <w:rPr>
                <w:sz w:val="16"/>
                <w:szCs w:val="16"/>
                <w:color w:val="auto"/>
              </w:rPr>
            </w:pPr>
          </w:p>
        </w:tc>
        <w:tc>
          <w:tcPr>
            <w:tcW w:w="26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Footnotes</w:t>
            </w:r>
          </w:p>
        </w:tc>
        <w:tc>
          <w:tcPr>
            <w:tcW w:w="0" w:type="dxa"/>
            <w:vAlign w:val="bottom"/>
          </w:tcPr>
          <w:p>
            <w:pPr>
              <w:spacing w:after="0"/>
              <w:rPr>
                <w:sz w:val="1"/>
                <w:szCs w:val="1"/>
                <w:color w:val="auto"/>
              </w:rPr>
            </w:pPr>
          </w:p>
        </w:tc>
      </w:tr>
      <w:tr>
        <w:trPr>
          <w:trHeight w:val="142"/>
        </w:trPr>
        <w:tc>
          <w:tcPr>
            <w:tcW w:w="2240" w:type="dxa"/>
            <w:vAlign w:val="bottom"/>
            <w:tcBorders>
              <w:left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4"/>
                <w:szCs w:val="14"/>
                <w:b w:val="1"/>
                <w:bCs w:val="1"/>
                <w:color w:val="auto"/>
              </w:rPr>
              <w:t>Non-Control/Non-Affiliate</w:t>
            </w: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80" w:type="dxa"/>
            <w:vAlign w:val="bottom"/>
            <w:tcBorders>
              <w:top w:val="single" w:sz="8" w:color="auto"/>
              <w:left w:val="single" w:sz="8" w:color="CFF0FC"/>
            </w:tcBorders>
            <w:gridSpan w:val="2"/>
            <w:shd w:val="clear" w:color="auto" w:fill="CFF0FC"/>
          </w:tcPr>
          <w:p>
            <w:pPr>
              <w:ind w:left="20"/>
              <w:spacing w:after="0" w:line="129" w:lineRule="exact"/>
              <w:rPr>
                <w:sz w:val="20"/>
                <w:szCs w:val="20"/>
                <w:color w:val="auto"/>
              </w:rPr>
            </w:pPr>
            <w:r>
              <w:rPr>
                <w:rFonts w:ascii="Arial" w:cs="Arial" w:eastAsia="Arial" w:hAnsi="Arial"/>
                <w:sz w:val="14"/>
                <w:szCs w:val="14"/>
                <w:b w:val="1"/>
                <w:bCs w:val="1"/>
                <w:color w:val="auto"/>
              </w:rPr>
              <w:t>Investments</w:t>
            </w:r>
          </w:p>
        </w:tc>
        <w:tc>
          <w:tcPr>
            <w:tcW w:w="5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26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4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60" w:type="dxa"/>
            <w:vAlign w:val="bottom"/>
            <w:tcBorders>
              <w:left w:val="single" w:sz="8" w:color="CFF0FC"/>
            </w:tcBorders>
            <w:shd w:val="clear" w:color="auto" w:fill="000000"/>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6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4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Senior Secured Term Loans</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Internet Software and Services</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ind w:left="20"/>
              <w:spacing w:after="0" w:line="143" w:lineRule="exact"/>
              <w:rPr>
                <w:sz w:val="20"/>
                <w:szCs w:val="20"/>
                <w:color w:val="auto"/>
              </w:rPr>
            </w:pPr>
            <w:r>
              <w:rPr>
                <w:rFonts w:ascii="Arial" w:cs="Arial" w:eastAsia="Arial" w:hAnsi="Arial"/>
                <w:sz w:val="14"/>
                <w:szCs w:val="14"/>
                <w:color w:val="auto"/>
              </w:rPr>
              <w:t>LIBOR+5.00%, 5.50% floor, 3.75% PIK,</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20,938,68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gridSpan w:val="3"/>
          </w:tcPr>
          <w:p>
            <w:pPr>
              <w:ind w:left="20"/>
              <w:spacing w:after="0"/>
              <w:rPr>
                <w:sz w:val="20"/>
                <w:szCs w:val="20"/>
                <w:color w:val="auto"/>
              </w:rPr>
            </w:pPr>
            <w:r>
              <w:rPr>
                <w:rFonts w:ascii="Arial" w:cs="Arial" w:eastAsia="Arial" w:hAnsi="Arial"/>
                <w:sz w:val="14"/>
                <w:szCs w:val="14"/>
                <w:color w:val="auto"/>
              </w:rPr>
              <w:t>Bombora, Inc.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2.00%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3/31/2021</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3/31/2025</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20,821,022</w:t>
            </w:r>
          </w:p>
        </w:tc>
        <w:tc>
          <w:tcPr>
            <w:tcW w:w="42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20,821,022</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3"/>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13,641,25</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Fidelis Cybersecurity, Inc.</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LIBOR+11.00%, 12.0% floor, 2.39% ETP</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5/13/2021</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5/13/2024</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13,679,409</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13,679,409</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10,000,00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LIBOR+11.00%, 12.0% floor, 2.39%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3/25/2022</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5/13/2024</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9,925,623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9,925,623</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40,000,00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INRIX, Inc.</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LIBOR+9.00%, 9.50% floor, 2.50% ETP</w:t>
            </w:r>
          </w:p>
        </w:tc>
        <w:tc>
          <w:tcPr>
            <w:tcW w:w="920" w:type="dxa"/>
            <w:vAlign w:val="bottom"/>
            <w:gridSpan w:val="2"/>
            <w:shd w:val="clear" w:color="auto" w:fill="CFF0FC"/>
          </w:tcPr>
          <w:p>
            <w:pPr>
              <w:jc w:val="center"/>
              <w:ind w:left="88"/>
              <w:spacing w:after="0"/>
              <w:rPr>
                <w:sz w:val="20"/>
                <w:szCs w:val="20"/>
                <w:color w:val="auto"/>
              </w:rPr>
            </w:pPr>
            <w:r>
              <w:rPr>
                <w:rFonts w:ascii="Arial" w:cs="Arial" w:eastAsia="Arial" w:hAnsi="Arial"/>
                <w:sz w:val="14"/>
                <w:szCs w:val="14"/>
                <w:color w:val="auto"/>
                <w:w w:val="91"/>
              </w:rPr>
              <w:t>11/15/2021</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4"/>
              </w:rPr>
              <w:t>11/15/2025</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40,099,878</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40,099,878</w:t>
            </w: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75"/>
        </w:trPr>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LIBOR+9.00%, 9.50% floor, 2.50% ETP</w:t>
            </w:r>
          </w:p>
        </w:tc>
        <w:tc>
          <w:tcPr>
            <w:tcW w:w="920" w:type="dxa"/>
            <w:vAlign w:val="bottom"/>
            <w:gridSpan w:val="2"/>
          </w:tcPr>
          <w:p>
            <w:pPr>
              <w:jc w:val="center"/>
              <w:ind w:left="88"/>
              <w:spacing w:after="0"/>
              <w:rPr>
                <w:sz w:val="20"/>
                <w:szCs w:val="20"/>
                <w:color w:val="auto"/>
              </w:rPr>
            </w:pPr>
            <w:r>
              <w:rPr>
                <w:rFonts w:ascii="Arial" w:cs="Arial" w:eastAsia="Arial" w:hAnsi="Arial"/>
                <w:sz w:val="14"/>
                <w:szCs w:val="14"/>
                <w:color w:val="auto"/>
                <w:w w:val="95"/>
              </w:rPr>
              <w:t>5/3/2022</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11/15/2025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5,000,000</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5,007,879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5,007,879</w:t>
            </w: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3"/>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jc w:val="right"/>
              <w:spacing w:after="0" w:line="143" w:lineRule="exact"/>
              <w:rPr>
                <w:sz w:val="20"/>
                <w:szCs w:val="20"/>
                <w:color w:val="auto"/>
              </w:rPr>
            </w:pPr>
            <w:r>
              <w:rPr>
                <w:rFonts w:ascii="Arial" w:cs="Arial" w:eastAsia="Arial" w:hAnsi="Arial"/>
                <w:sz w:val="14"/>
                <w:szCs w:val="14"/>
                <w:color w:val="auto"/>
              </w:rPr>
              <w:t>35,000,00</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34,829,473</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34,829,473</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Synack, Inc.</w:t>
            </w:r>
          </w:p>
        </w:tc>
        <w:tc>
          <w:tcPr>
            <w:tcW w:w="140" w:type="dxa"/>
            <w:vAlign w:val="bottom"/>
            <w:tcBorders>
              <w:bottom w:val="single" w:sz="8" w:color="CFF0FC"/>
            </w:tcBorders>
            <w:shd w:val="clear" w:color="auto" w:fill="CFF0FC"/>
          </w:tcPr>
          <w:p>
            <w:pPr>
              <w:spacing w:after="0"/>
              <w:rPr>
                <w:sz w:val="14"/>
                <w:szCs w:val="14"/>
                <w:color w:val="auto"/>
              </w:rPr>
            </w:pPr>
          </w:p>
        </w:tc>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PRIME+4.25%, 8.25% floor</w:t>
            </w:r>
          </w:p>
        </w:tc>
        <w:tc>
          <w:tcPr>
            <w:tcW w:w="9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6/30/2022</w:t>
            </w:r>
          </w:p>
        </w:tc>
        <w:tc>
          <w:tcPr>
            <w:tcW w:w="9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6/30/2027</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0</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33"/>
        </w:trPr>
        <w:tc>
          <w:tcPr>
            <w:tcW w:w="224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Total Internet Software and</w:t>
            </w: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124,363,284</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124,363,284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Services - 21.46%*</w:t>
            </w: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24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w w:val="94"/>
              </w:rPr>
              <w:t>Total Senior Secured Term Loans -</w:t>
            </w: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757,436,206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753,475,268</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130.04%*</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Second Lien Term Loans</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System Software</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ind w:left="20"/>
              <w:spacing w:after="0" w:line="143" w:lineRule="exact"/>
              <w:rPr>
                <w:sz w:val="20"/>
                <w:szCs w:val="20"/>
                <w:color w:val="auto"/>
              </w:rPr>
            </w:pPr>
            <w:r>
              <w:rPr>
                <w:rFonts w:ascii="Arial" w:cs="Arial" w:eastAsia="Arial" w:hAnsi="Arial"/>
                <w:sz w:val="14"/>
                <w:szCs w:val="14"/>
                <w:color w:val="auto"/>
              </w:rPr>
              <w:t>LIBOR+5.00%, 5.50 floor, 5.00% PIK,</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13,319,18</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13,247,638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13,247,638</w:t>
            </w:r>
          </w:p>
        </w:tc>
        <w:tc>
          <w:tcPr>
            <w:tcW w:w="8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(3)(4)(8)</w:t>
            </w:r>
          </w:p>
        </w:tc>
        <w:tc>
          <w:tcPr>
            <w:tcW w:w="0" w:type="dxa"/>
            <w:vAlign w:val="bottom"/>
          </w:tcPr>
          <w:p>
            <w:pPr>
              <w:spacing w:after="0"/>
              <w:rPr>
                <w:sz w:val="1"/>
                <w:szCs w:val="1"/>
                <w:color w:val="auto"/>
              </w:rPr>
            </w:pPr>
          </w:p>
        </w:tc>
      </w:tr>
      <w:tr>
        <w:trPr>
          <w:trHeight w:val="167"/>
        </w:trPr>
        <w:tc>
          <w:tcPr>
            <w:tcW w:w="2240" w:type="dxa"/>
            <w:vAlign w:val="bottom"/>
            <w:gridSpan w:val="3"/>
          </w:tcPr>
          <w:p>
            <w:pPr>
              <w:ind w:left="20"/>
              <w:spacing w:after="0"/>
              <w:rPr>
                <w:sz w:val="20"/>
                <w:szCs w:val="20"/>
                <w:color w:val="auto"/>
              </w:rPr>
            </w:pPr>
            <w:r>
              <w:rPr>
                <w:rFonts w:ascii="Arial" w:cs="Arial" w:eastAsia="Arial" w:hAnsi="Arial"/>
                <w:sz w:val="14"/>
                <w:szCs w:val="14"/>
                <w:color w:val="auto"/>
              </w:rPr>
              <w:t>Dejero Labs Inc.</w:t>
            </w:r>
          </w:p>
        </w:tc>
        <w:tc>
          <w:tcPr>
            <w:tcW w:w="140" w:type="dxa"/>
            <w:vAlign w:val="bottom"/>
          </w:tcPr>
          <w:p>
            <w:pPr>
              <w:spacing w:after="0"/>
              <w:rPr>
                <w:sz w:val="14"/>
                <w:szCs w:val="14"/>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3.00% ETP</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12/22/2021</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12/22/2025</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9"/>
        </w:trPr>
        <w:tc>
          <w:tcPr>
            <w:tcW w:w="22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Total System Software - 2.29%*</w:t>
            </w:r>
          </w:p>
        </w:tc>
        <w:tc>
          <w:tcPr>
            <w:tcW w:w="140" w:type="dxa"/>
            <w:vAlign w:val="bottom"/>
            <w:tcBorders>
              <w:bottom w:val="single" w:sz="8" w:color="CFF0FC"/>
            </w:tcBorders>
            <w:shd w:val="clear" w:color="auto" w:fill="CFF0FC"/>
          </w:tcPr>
          <w:p>
            <w:pPr>
              <w:spacing w:after="0"/>
              <w:rPr>
                <w:sz w:val="14"/>
                <w:szCs w:val="14"/>
                <w:color w:val="auto"/>
              </w:rPr>
            </w:pPr>
          </w:p>
        </w:tc>
        <w:tc>
          <w:tcPr>
            <w:tcW w:w="26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13,247,638</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13,247,638</w:t>
            </w:r>
          </w:p>
        </w:tc>
        <w:tc>
          <w:tcPr>
            <w:tcW w:w="2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240" w:type="dxa"/>
            <w:vAlign w:val="bottom"/>
            <w:tcBorders>
              <w:left w:val="single" w:sz="8" w:color="CFF0FC"/>
            </w:tcBorders>
            <w:gridSpan w:val="3"/>
            <w:shd w:val="clear" w:color="auto" w:fill="CFF0FC"/>
          </w:tcPr>
          <w:p>
            <w:pPr>
              <w:ind w:left="20"/>
              <w:spacing w:after="0" w:line="139" w:lineRule="exact"/>
              <w:rPr>
                <w:sz w:val="20"/>
                <w:szCs w:val="20"/>
                <w:color w:val="auto"/>
              </w:rPr>
            </w:pPr>
            <w:r>
              <w:rPr>
                <w:rFonts w:ascii="Arial" w:cs="Arial" w:eastAsia="Arial" w:hAnsi="Arial"/>
                <w:sz w:val="14"/>
                <w:szCs w:val="14"/>
                <w:b w:val="1"/>
                <w:bCs w:val="1"/>
                <w:color w:val="auto"/>
              </w:rPr>
              <w:t>Total Second Lien Term Loans -</w:t>
            </w: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13,247,638</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13,247,638</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60" w:type="dxa"/>
            <w:vAlign w:val="bottom"/>
            <w:tcBorders>
              <w:left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2.29%*</w:t>
            </w:r>
          </w:p>
        </w:tc>
        <w:tc>
          <w:tcPr>
            <w:tcW w:w="9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6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Preferred Stocks</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Application Software</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Aria Systems, Inc.</w:t>
            </w:r>
          </w:p>
        </w:tc>
        <w:tc>
          <w:tcPr>
            <w:tcW w:w="140" w:type="dxa"/>
            <w:vAlign w:val="bottom"/>
            <w:tcBorders>
              <w:bottom w:val="single" w:sz="8" w:color="CFF0FC"/>
            </w:tcBorders>
            <w:shd w:val="clear" w:color="auto" w:fill="CFF0FC"/>
          </w:tcPr>
          <w:p>
            <w:pPr>
              <w:spacing w:after="0"/>
              <w:rPr>
                <w:sz w:val="15"/>
                <w:szCs w:val="15"/>
                <w:color w:val="auto"/>
              </w:rPr>
            </w:pPr>
          </w:p>
        </w:tc>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Series G</w:t>
            </w:r>
          </w:p>
        </w:tc>
        <w:tc>
          <w:tcPr>
            <w:tcW w:w="9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7/10/2018</w:t>
            </w:r>
          </w:p>
        </w:tc>
        <w:tc>
          <w:tcPr>
            <w:tcW w:w="14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289,419</w:t>
            </w:r>
          </w:p>
        </w:tc>
        <w:tc>
          <w:tcPr>
            <w:tcW w:w="24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250,000</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408,727</w:t>
            </w: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3"/>
        </w:trPr>
        <w:tc>
          <w:tcPr>
            <w:tcW w:w="224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Total Application Software -</w:t>
            </w: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250,000</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408,727</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0.07%*</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Health Care Technology</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0" w:type="dxa"/>
            <w:vAlign w:val="bottom"/>
            <w:tcBorders>
              <w:left w:val="single" w:sz="8" w:color="CFF0FC"/>
            </w:tcBorders>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11% Series A Cumulative Redeemable</w:t>
            </w: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12,131,866</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12,230,834</w:t>
            </w: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color w:val="auto"/>
              </w:rPr>
              <w:t>CareCloud, Inc.</w:t>
            </w:r>
          </w:p>
        </w:tc>
        <w:tc>
          <w:tcPr>
            <w:tcW w:w="140" w:type="dxa"/>
            <w:vAlign w:val="bottom"/>
            <w:tcBorders>
              <w:bottom w:val="single" w:sz="8" w:color="CFF0FC"/>
            </w:tcBorders>
            <w:shd w:val="clear" w:color="auto" w:fill="CFF0FC"/>
          </w:tcPr>
          <w:p>
            <w:pPr>
              <w:spacing w:after="0"/>
              <w:rPr>
                <w:sz w:val="14"/>
                <w:szCs w:val="14"/>
                <w:color w:val="auto"/>
              </w:rPr>
            </w:pPr>
          </w:p>
        </w:tc>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Perpetual</w:t>
            </w:r>
          </w:p>
        </w:tc>
        <w:tc>
          <w:tcPr>
            <w:tcW w:w="920" w:type="dxa"/>
            <w:vAlign w:val="bottom"/>
            <w:tcBorders>
              <w:bottom w:val="single" w:sz="8" w:color="CFF0FC"/>
            </w:tcBorders>
            <w:gridSpan w:val="2"/>
            <w:shd w:val="clear" w:color="auto" w:fill="CFF0FC"/>
          </w:tcPr>
          <w:p>
            <w:pPr>
              <w:jc w:val="center"/>
              <w:ind w:left="88"/>
              <w:spacing w:after="0"/>
              <w:rPr>
                <w:sz w:val="20"/>
                <w:szCs w:val="20"/>
                <w:color w:val="auto"/>
              </w:rPr>
            </w:pPr>
            <w:r>
              <w:rPr>
                <w:rFonts w:ascii="Arial" w:cs="Arial" w:eastAsia="Arial" w:hAnsi="Arial"/>
                <w:sz w:val="14"/>
                <w:szCs w:val="14"/>
                <w:color w:val="auto"/>
                <w:w w:val="95"/>
              </w:rPr>
              <w:t>1/8/2020</w:t>
            </w: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462,064</w:t>
            </w: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8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(15)(17)</w:t>
            </w:r>
          </w:p>
        </w:tc>
        <w:tc>
          <w:tcPr>
            <w:tcW w:w="0" w:type="dxa"/>
            <w:vAlign w:val="bottom"/>
          </w:tcPr>
          <w:p>
            <w:pPr>
              <w:spacing w:after="0"/>
              <w:rPr>
                <w:sz w:val="1"/>
                <w:szCs w:val="1"/>
                <w:color w:val="auto"/>
              </w:rPr>
            </w:pPr>
          </w:p>
        </w:tc>
      </w:tr>
      <w:tr>
        <w:trPr>
          <w:trHeight w:val="133"/>
        </w:trPr>
        <w:tc>
          <w:tcPr>
            <w:tcW w:w="224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Total Health Care Technology -</w:t>
            </w: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12,131,866</w:t>
            </w: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12,230,834</w:t>
            </w: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60" w:type="dxa"/>
            <w:vAlign w:val="bottom"/>
          </w:tcPr>
          <w:p>
            <w:pPr>
              <w:ind w:left="20"/>
              <w:spacing w:after="0"/>
              <w:rPr>
                <w:sz w:val="20"/>
                <w:szCs w:val="20"/>
                <w:color w:val="auto"/>
              </w:rPr>
            </w:pPr>
            <w:r>
              <w:rPr>
                <w:rFonts w:ascii="Arial" w:cs="Arial" w:eastAsia="Arial" w:hAnsi="Arial"/>
                <w:sz w:val="14"/>
                <w:szCs w:val="14"/>
                <w:b w:val="1"/>
                <w:bCs w:val="1"/>
                <w:color w:val="auto"/>
              </w:rPr>
              <w:t>2.11%*</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Preferred Stocks - 2.18%*</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12,381,866</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12,639,561</w:t>
            </w: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60" w:type="dxa"/>
            <w:vAlign w:val="bottom"/>
            <w:tcBorders>
              <w:left w:val="single" w:sz="8" w:color="CFF0FC"/>
            </w:tcBorders>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 Stocks</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4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Internet Retail</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361,175</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918,508</w:t>
            </w:r>
          </w:p>
        </w:tc>
        <w:tc>
          <w:tcPr>
            <w:tcW w:w="8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(7)(15)</w:t>
            </w:r>
          </w:p>
        </w:tc>
        <w:tc>
          <w:tcPr>
            <w:tcW w:w="0" w:type="dxa"/>
            <w:vAlign w:val="bottom"/>
          </w:tcPr>
          <w:p>
            <w:pPr>
              <w:spacing w:after="0"/>
              <w:rPr>
                <w:sz w:val="1"/>
                <w:szCs w:val="1"/>
                <w:color w:val="auto"/>
              </w:rPr>
            </w:pPr>
          </w:p>
        </w:tc>
      </w:tr>
      <w:tr>
        <w:trPr>
          <w:trHeight w:val="167"/>
        </w:trPr>
        <w:tc>
          <w:tcPr>
            <w:tcW w:w="2240" w:type="dxa"/>
            <w:vAlign w:val="bottom"/>
            <w:gridSpan w:val="3"/>
          </w:tcPr>
          <w:p>
            <w:pPr>
              <w:ind w:left="20"/>
              <w:spacing w:after="0"/>
              <w:rPr>
                <w:sz w:val="20"/>
                <w:szCs w:val="20"/>
                <w:color w:val="auto"/>
              </w:rPr>
            </w:pPr>
            <w:r>
              <w:rPr>
                <w:rFonts w:ascii="Arial" w:cs="Arial" w:eastAsia="Arial" w:hAnsi="Arial"/>
                <w:sz w:val="14"/>
                <w:szCs w:val="14"/>
                <w:color w:val="auto"/>
              </w:rPr>
              <w:t>Brilliant Earth Group, Inc.</w:t>
            </w:r>
          </w:p>
        </w:tc>
        <w:tc>
          <w:tcPr>
            <w:tcW w:w="140" w:type="dxa"/>
            <w:vAlign w:val="bottom"/>
          </w:tcPr>
          <w:p>
            <w:pPr>
              <w:spacing w:after="0"/>
              <w:rPr>
                <w:sz w:val="14"/>
                <w:szCs w:val="14"/>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Class A</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9/22/2021</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193,370</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9"/>
        </w:trPr>
        <w:tc>
          <w:tcPr>
            <w:tcW w:w="224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4"/>
                <w:szCs w:val="14"/>
                <w:b w:val="1"/>
                <w:bCs w:val="1"/>
                <w:color w:val="auto"/>
              </w:rPr>
              <w:t>Total Internet Retail - 0.16%*</w:t>
            </w:r>
          </w:p>
        </w:tc>
        <w:tc>
          <w:tcPr>
            <w:tcW w:w="140" w:type="dxa"/>
            <w:vAlign w:val="bottom"/>
            <w:tcBorders>
              <w:bottom w:val="single" w:sz="8" w:color="CFF0FC"/>
            </w:tcBorders>
            <w:shd w:val="clear" w:color="auto" w:fill="CFF0FC"/>
          </w:tcPr>
          <w:p>
            <w:pPr>
              <w:spacing w:after="0"/>
              <w:rPr>
                <w:sz w:val="14"/>
                <w:szCs w:val="14"/>
                <w:color w:val="auto"/>
              </w:rPr>
            </w:pPr>
          </w:p>
        </w:tc>
        <w:tc>
          <w:tcPr>
            <w:tcW w:w="26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361,175</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918,508</w:t>
            </w:r>
          </w:p>
        </w:tc>
        <w:tc>
          <w:tcPr>
            <w:tcW w:w="22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-3691255</wp:posOffset>
            </wp:positionV>
            <wp:extent cx="6858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-3691255</wp:posOffset>
            </wp:positionV>
            <wp:extent cx="6858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-2508250</wp:posOffset>
            </wp:positionV>
            <wp:extent cx="6858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-2508250</wp:posOffset>
            </wp:positionV>
            <wp:extent cx="6858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-2190750</wp:posOffset>
            </wp:positionV>
            <wp:extent cx="6858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-2190750</wp:posOffset>
            </wp:positionV>
            <wp:extent cx="6858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-1736725</wp:posOffset>
            </wp:positionV>
            <wp:extent cx="685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-1736725</wp:posOffset>
            </wp:positionV>
            <wp:extent cx="6858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-1102360</wp:posOffset>
            </wp:positionV>
            <wp:extent cx="6858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-1102360</wp:posOffset>
            </wp:positionV>
            <wp:extent cx="685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-5080</wp:posOffset>
            </wp:positionV>
            <wp:extent cx="685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6588760</wp:posOffset>
            </wp:positionH>
            <wp:positionV relativeFrom="paragraph">
              <wp:posOffset>-5080</wp:posOffset>
            </wp:positionV>
            <wp:extent cx="685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36"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2022</w:t>
      </w:r>
    </w:p>
    <w:p>
      <w:pPr>
        <w:spacing w:after="0" w:line="363" w:lineRule="exact"/>
        <w:rPr>
          <w:sz w:val="20"/>
          <w:szCs w:val="20"/>
          <w:color w:val="auto"/>
        </w:rPr>
      </w:pPr>
    </w:p>
    <w:tbl>
      <w:tblPr>
        <w:tblLayout w:type="fixed"/>
        <w:tblInd w:w="80" w:type="dxa"/>
        <w:tblCellMar>
          <w:top w:w="0" w:type="dxa"/>
          <w:left w:w="0" w:type="dxa"/>
          <w:bottom w:w="0" w:type="dxa"/>
          <w:right w:w="0" w:type="dxa"/>
        </w:tblCellMar>
      </w:tblPr>
      <w:tr>
        <w:trPr>
          <w:trHeight w:val="176"/>
        </w:trPr>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9"/>
                <w:szCs w:val="19"/>
                <w:b w:val="1"/>
                <w:bCs w:val="1"/>
                <w:color w:val="auto"/>
                <w:vertAlign w:val="superscript"/>
              </w:rPr>
              <w:t>(1),(5),(9)</w:t>
            </w:r>
          </w:p>
        </w:tc>
        <w:tc>
          <w:tcPr>
            <w:tcW w:w="14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20" w:type="dxa"/>
            <w:vAlign w:val="bottom"/>
          </w:tcPr>
          <w:p>
            <w:pPr>
              <w:spacing w:after="0"/>
              <w:rPr>
                <w:sz w:val="15"/>
                <w:szCs w:val="15"/>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Fair Value</w:t>
            </w:r>
            <w:r>
              <w:rPr>
                <w:rFonts w:ascii="Arial" w:cs="Arial" w:eastAsia="Arial" w:hAnsi="Arial"/>
                <w:sz w:val="19"/>
                <w:szCs w:val="19"/>
                <w:b w:val="1"/>
                <w:bCs w:val="1"/>
                <w:color w:val="auto"/>
                <w:w w:val="90"/>
                <w:vertAlign w:val="superscript"/>
              </w:rPr>
              <w:t>(2),(6)</w:t>
            </w: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tcPr>
          <w:p>
            <w:pPr>
              <w:spacing w:after="0"/>
              <w:rPr>
                <w:sz w:val="16"/>
                <w:szCs w:val="16"/>
                <w:color w:val="auto"/>
              </w:rPr>
            </w:pPr>
          </w:p>
        </w:tc>
        <w:tc>
          <w:tcPr>
            <w:tcW w:w="25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Footnotes</w:t>
            </w:r>
          </w:p>
        </w:tc>
        <w:tc>
          <w:tcPr>
            <w:tcW w:w="0" w:type="dxa"/>
            <w:vAlign w:val="bottom"/>
          </w:tcPr>
          <w:p>
            <w:pPr>
              <w:spacing w:after="0"/>
              <w:rPr>
                <w:sz w:val="1"/>
                <w:szCs w:val="1"/>
                <w:color w:val="auto"/>
              </w:rPr>
            </w:pPr>
          </w:p>
        </w:tc>
      </w:tr>
      <w:tr>
        <w:trPr>
          <w:trHeight w:val="142"/>
        </w:trPr>
        <w:tc>
          <w:tcPr>
            <w:tcW w:w="2220" w:type="dxa"/>
            <w:vAlign w:val="bottom"/>
            <w:gridSpan w:val="3"/>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Non-Control/Non-Affiliate</w:t>
            </w:r>
          </w:p>
        </w:tc>
        <w:tc>
          <w:tcPr>
            <w:tcW w:w="14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660" w:type="dxa"/>
            <w:vAlign w:val="bottom"/>
            <w:tcBorders>
              <w:top w:val="single" w:sz="8" w:color="auto"/>
            </w:tcBorders>
            <w:gridSpan w:val="2"/>
            <w:shd w:val="clear" w:color="auto" w:fill="CFF0FC"/>
          </w:tcPr>
          <w:p>
            <w:pPr>
              <w:spacing w:after="0" w:line="129" w:lineRule="exact"/>
              <w:rPr>
                <w:sz w:val="20"/>
                <w:szCs w:val="20"/>
                <w:color w:val="auto"/>
              </w:rPr>
            </w:pPr>
            <w:r>
              <w:rPr>
                <w:rFonts w:ascii="Arial" w:cs="Arial" w:eastAsia="Arial" w:hAnsi="Arial"/>
                <w:sz w:val="14"/>
                <w:szCs w:val="14"/>
                <w:b w:val="1"/>
                <w:bCs w:val="1"/>
                <w:color w:val="auto"/>
              </w:rPr>
              <w:t>Investments</w:t>
            </w:r>
          </w:p>
        </w:tc>
        <w:tc>
          <w:tcPr>
            <w:tcW w:w="5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25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6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7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740" w:type="dxa"/>
            <w:vAlign w:val="bottom"/>
            <w:shd w:val="clear" w:color="auto" w:fill="000000"/>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5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7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6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7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7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Common Stocks</w:t>
            </w: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220" w:type="dxa"/>
            <w:vAlign w:val="bottom"/>
            <w:gridSpan w:val="3"/>
            <w:shd w:val="clear" w:color="auto" w:fill="CFF0FC"/>
          </w:tcPr>
          <w:p>
            <w:pPr>
              <w:spacing w:after="0" w:line="139" w:lineRule="exact"/>
              <w:rPr>
                <w:sz w:val="20"/>
                <w:szCs w:val="20"/>
                <w:color w:val="auto"/>
              </w:rPr>
            </w:pPr>
            <w:r>
              <w:rPr>
                <w:rFonts w:ascii="Arial" w:cs="Arial" w:eastAsia="Arial" w:hAnsi="Arial"/>
                <w:sz w:val="14"/>
                <w:szCs w:val="14"/>
                <w:b w:val="1"/>
                <w:bCs w:val="1"/>
                <w:color w:val="auto"/>
                <w:w w:val="99"/>
              </w:rPr>
              <w:t>Technology Hardware, Storage &amp;</w:t>
            </w:r>
          </w:p>
        </w:tc>
        <w:tc>
          <w:tcPr>
            <w:tcW w:w="140" w:type="dxa"/>
            <w:vAlign w:val="bottom"/>
            <w:shd w:val="clear" w:color="auto" w:fill="CFF0FC"/>
          </w:tcPr>
          <w:p>
            <w:pPr>
              <w:spacing w:after="0"/>
              <w:rPr>
                <w:sz w:val="12"/>
                <w:szCs w:val="12"/>
                <w:color w:val="auto"/>
              </w:rPr>
            </w:pPr>
          </w:p>
        </w:tc>
        <w:tc>
          <w:tcPr>
            <w:tcW w:w="25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22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Peripherals</w:t>
            </w:r>
          </w:p>
        </w:tc>
        <w:tc>
          <w:tcPr>
            <w:tcW w:w="140" w:type="dxa"/>
            <w:vAlign w:val="bottom"/>
            <w:shd w:val="clear" w:color="auto" w:fill="CFF0FC"/>
          </w:tcPr>
          <w:p>
            <w:pPr>
              <w:spacing w:after="0"/>
              <w:rPr>
                <w:sz w:val="16"/>
                <w:szCs w:val="16"/>
                <w:color w:val="auto"/>
              </w:rPr>
            </w:pPr>
          </w:p>
        </w:tc>
        <w:tc>
          <w:tcPr>
            <w:tcW w:w="25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(3)(7)(15)</w:t>
            </w:r>
          </w:p>
        </w:tc>
        <w:tc>
          <w:tcPr>
            <w:tcW w:w="0" w:type="dxa"/>
            <w:vAlign w:val="bottom"/>
          </w:tcPr>
          <w:p>
            <w:pPr>
              <w:spacing w:after="0"/>
              <w:rPr>
                <w:sz w:val="1"/>
                <w:szCs w:val="1"/>
                <w:color w:val="auto"/>
              </w:rPr>
            </w:pPr>
          </w:p>
        </w:tc>
      </w:tr>
      <w:tr>
        <w:trPr>
          <w:trHeight w:val="181"/>
        </w:trPr>
        <w:tc>
          <w:tcPr>
            <w:tcW w:w="2220" w:type="dxa"/>
            <w:vAlign w:val="bottom"/>
            <w:gridSpan w:val="3"/>
          </w:tcPr>
          <w:p>
            <w:pPr>
              <w:spacing w:after="0"/>
              <w:rPr>
                <w:sz w:val="20"/>
                <w:szCs w:val="20"/>
                <w:color w:val="auto"/>
              </w:rPr>
            </w:pPr>
            <w:r>
              <w:rPr>
                <w:rFonts w:ascii="Arial" w:cs="Arial" w:eastAsia="Arial" w:hAnsi="Arial"/>
                <w:sz w:val="14"/>
                <w:szCs w:val="14"/>
                <w:color w:val="auto"/>
              </w:rPr>
              <w:t>Quantum Corporation</w:t>
            </w: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92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8/13/2021</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459,720</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2,606,612</w:t>
            </w:r>
          </w:p>
        </w:tc>
        <w:tc>
          <w:tcPr>
            <w:tcW w:w="4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652,802</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75"/>
        </w:trPr>
        <w:tc>
          <w:tcPr>
            <w:tcW w:w="22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color w:val="auto"/>
              </w:rPr>
              <w:t>zSpace, Inc.</w:t>
            </w:r>
          </w:p>
        </w:tc>
        <w:tc>
          <w:tcPr>
            <w:tcW w:w="140" w:type="dxa"/>
            <w:vAlign w:val="bottom"/>
            <w:tcBorders>
              <w:bottom w:val="single" w:sz="8" w:color="CFF0FC"/>
            </w:tcBorders>
            <w:shd w:val="clear" w:color="auto" w:fill="CFF0FC"/>
          </w:tcPr>
          <w:p>
            <w:pPr>
              <w:spacing w:after="0"/>
              <w:rPr>
                <w:sz w:val="15"/>
                <w:szCs w:val="15"/>
                <w:color w:val="auto"/>
              </w:rPr>
            </w:pPr>
          </w:p>
        </w:tc>
        <w:tc>
          <w:tcPr>
            <w:tcW w:w="258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94"/>
              </w:rPr>
              <w:t>12/31/2020</w:t>
            </w: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6,078,499</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1,119,096</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3"/>
        </w:trPr>
        <w:tc>
          <w:tcPr>
            <w:tcW w:w="22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Total Technology Hardware,</w:t>
            </w:r>
          </w:p>
        </w:tc>
        <w:tc>
          <w:tcPr>
            <w:tcW w:w="1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3,725,708</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652,802</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Storage &amp; Peripherals - 0.11%*</w:t>
            </w:r>
          </w:p>
        </w:tc>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5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Total Common Stocks - 0.27%*</w:t>
            </w:r>
          </w:p>
        </w:tc>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4,086,883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1,571,310</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920" w:type="dxa"/>
            <w:vAlign w:val="bottom"/>
            <w:gridSpan w:val="2"/>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Warrants</w:t>
            </w: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222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Advertising</w:t>
            </w:r>
          </w:p>
        </w:tc>
        <w:tc>
          <w:tcPr>
            <w:tcW w:w="140" w:type="dxa"/>
            <w:vAlign w:val="bottom"/>
            <w:shd w:val="clear" w:color="auto" w:fill="CFF0FC"/>
          </w:tcPr>
          <w:p>
            <w:pPr>
              <w:spacing w:after="0"/>
              <w:rPr>
                <w:sz w:val="15"/>
                <w:szCs w:val="15"/>
                <w:color w:val="auto"/>
              </w:rPr>
            </w:pPr>
          </w:p>
        </w:tc>
        <w:tc>
          <w:tcPr>
            <w:tcW w:w="2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gridSpan w:val="3"/>
          </w:tcPr>
          <w:p>
            <w:pPr>
              <w:spacing w:after="0"/>
              <w:rPr>
                <w:sz w:val="20"/>
                <w:szCs w:val="20"/>
                <w:color w:val="auto"/>
              </w:rPr>
            </w:pPr>
            <w:r>
              <w:rPr>
                <w:rFonts w:ascii="Arial" w:cs="Arial" w:eastAsia="Arial" w:hAnsi="Arial"/>
                <w:sz w:val="14"/>
                <w:szCs w:val="14"/>
                <w:color w:val="auto"/>
              </w:rPr>
              <w:t>STN Video Inc.</w:t>
            </w:r>
          </w:p>
        </w:tc>
        <w:tc>
          <w:tcPr>
            <w:tcW w:w="14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Class B Non-Voting Stock</w:t>
            </w:r>
          </w:p>
        </w:tc>
        <w:tc>
          <w:tcPr>
            <w:tcW w:w="92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6/30/2017</w:t>
            </w:r>
          </w:p>
        </w:tc>
        <w:tc>
          <w:tcPr>
            <w:tcW w:w="920" w:type="dxa"/>
            <w:vAlign w:val="bottom"/>
            <w:gridSpan w:val="2"/>
          </w:tcPr>
          <w:p>
            <w:pPr>
              <w:jc w:val="center"/>
              <w:ind w:left="28"/>
              <w:spacing w:after="0"/>
              <w:rPr>
                <w:sz w:val="20"/>
                <w:szCs w:val="20"/>
                <w:color w:val="auto"/>
              </w:rPr>
            </w:pPr>
            <w:r>
              <w:rPr>
                <w:rFonts w:ascii="Arial" w:cs="Arial" w:eastAsia="Arial" w:hAnsi="Arial"/>
                <w:sz w:val="14"/>
                <w:szCs w:val="14"/>
                <w:color w:val="auto"/>
                <w:w w:val="93"/>
              </w:rPr>
              <w:t>6/30/2027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191,500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246,461</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9"/>
        </w:trPr>
        <w:tc>
          <w:tcPr>
            <w:tcW w:w="22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b w:val="1"/>
                <w:bCs w:val="1"/>
                <w:color w:val="auto"/>
              </w:rPr>
              <w:t>Total Advertising - 0.00%*</w:t>
            </w:r>
          </w:p>
        </w:tc>
        <w:tc>
          <w:tcPr>
            <w:tcW w:w="140" w:type="dxa"/>
            <w:vAlign w:val="bottom"/>
            <w:tcBorders>
              <w:bottom w:val="single" w:sz="8" w:color="CFF0FC"/>
            </w:tcBorders>
            <w:shd w:val="clear" w:color="auto" w:fill="CFF0FC"/>
          </w:tcPr>
          <w:p>
            <w:pPr>
              <w:spacing w:after="0"/>
              <w:rPr>
                <w:sz w:val="14"/>
                <w:szCs w:val="14"/>
                <w:color w:val="auto"/>
              </w:rPr>
            </w:pPr>
          </w:p>
        </w:tc>
        <w:tc>
          <w:tcPr>
            <w:tcW w:w="25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246,461</w:t>
            </w:r>
          </w:p>
        </w:tc>
        <w:tc>
          <w:tcPr>
            <w:tcW w:w="24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Application Software</w:t>
            </w:r>
          </w:p>
        </w:tc>
        <w:tc>
          <w:tcPr>
            <w:tcW w:w="140" w:type="dxa"/>
            <w:vAlign w:val="bottom"/>
            <w:shd w:val="clear" w:color="auto" w:fill="CFF0FC"/>
          </w:tcPr>
          <w:p>
            <w:pPr>
              <w:spacing w:after="0"/>
              <w:rPr>
                <w:sz w:val="15"/>
                <w:szCs w:val="15"/>
                <w:color w:val="auto"/>
              </w:rPr>
            </w:pPr>
          </w:p>
        </w:tc>
        <w:tc>
          <w:tcPr>
            <w:tcW w:w="25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gridSpan w:val="3"/>
          </w:tcPr>
          <w:p>
            <w:pPr>
              <w:spacing w:after="0"/>
              <w:rPr>
                <w:sz w:val="20"/>
                <w:szCs w:val="20"/>
                <w:color w:val="auto"/>
              </w:rPr>
            </w:pPr>
            <w:r>
              <w:rPr>
                <w:rFonts w:ascii="Arial" w:cs="Arial" w:eastAsia="Arial" w:hAnsi="Arial"/>
                <w:sz w:val="14"/>
                <w:szCs w:val="14"/>
                <w:color w:val="auto"/>
              </w:rPr>
              <w:t>3DNA Corp. (dba NationBuilder)</w:t>
            </w:r>
          </w:p>
        </w:tc>
        <w:tc>
          <w:tcPr>
            <w:tcW w:w="14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Series C-1 Preferred Stock</w:t>
            </w:r>
          </w:p>
        </w:tc>
        <w:tc>
          <w:tcPr>
            <w:tcW w:w="9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12/28/2018</w:t>
            </w:r>
          </w:p>
        </w:tc>
        <w:tc>
          <w:tcPr>
            <w:tcW w:w="9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12/28/2028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273,164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104,138</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2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Aria Systems, Inc.</w:t>
            </w:r>
          </w:p>
        </w:tc>
        <w:tc>
          <w:tcPr>
            <w:tcW w:w="140" w:type="dxa"/>
            <w:vAlign w:val="bottom"/>
            <w:shd w:val="clear" w:color="auto" w:fill="CFF0FC"/>
          </w:tcPr>
          <w:p>
            <w:pPr>
              <w:spacing w:after="0"/>
              <w:rPr>
                <w:sz w:val="15"/>
                <w:szCs w:val="15"/>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4"/>
                <w:szCs w:val="14"/>
                <w:color w:val="auto"/>
              </w:rPr>
              <w:t>Series G Preferred Stock</w:t>
            </w:r>
          </w:p>
        </w:tc>
        <w:tc>
          <w:tcPr>
            <w:tcW w:w="92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93"/>
              </w:rPr>
              <w:t>6/29/2018</w:t>
            </w:r>
          </w:p>
        </w:tc>
        <w:tc>
          <w:tcPr>
            <w:tcW w:w="92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93"/>
              </w:rPr>
              <w:t>6/29/2028</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2,387,705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1,047,581</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3,372,000</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2220" w:type="dxa"/>
            <w:vAlign w:val="bottom"/>
            <w:gridSpan w:val="3"/>
          </w:tcPr>
          <w:p>
            <w:pPr>
              <w:spacing w:after="0"/>
              <w:rPr>
                <w:sz w:val="20"/>
                <w:szCs w:val="20"/>
                <w:color w:val="auto"/>
              </w:rPr>
            </w:pPr>
            <w:r>
              <w:rPr>
                <w:rFonts w:ascii="Arial" w:cs="Arial" w:eastAsia="Arial" w:hAnsi="Arial"/>
                <w:sz w:val="14"/>
                <w:szCs w:val="14"/>
                <w:color w:val="auto"/>
              </w:rPr>
              <w:t>Circadence Corporation</w:t>
            </w:r>
          </w:p>
        </w:tc>
        <w:tc>
          <w:tcPr>
            <w:tcW w:w="14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Series A-6 Preferred Stock</w:t>
            </w:r>
          </w:p>
        </w:tc>
        <w:tc>
          <w:tcPr>
            <w:tcW w:w="9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12/20/2018</w:t>
            </w:r>
          </w:p>
        </w:tc>
        <w:tc>
          <w:tcPr>
            <w:tcW w:w="9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12/20/2028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1,538,462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3,630,000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492,635</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7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4"/>
                <w:szCs w:val="14"/>
                <w:color w:val="auto"/>
              </w:rPr>
              <w:t>Series A-6 Preferred Stock</w:t>
            </w:r>
          </w:p>
        </w:tc>
        <w:tc>
          <w:tcPr>
            <w:tcW w:w="92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94"/>
              </w:rPr>
              <w:t>10/31/2019</w:t>
            </w:r>
          </w:p>
        </w:tc>
        <w:tc>
          <w:tcPr>
            <w:tcW w:w="92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94"/>
              </w:rPr>
              <w:t>10/31/2029</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384,615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845,540</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123,159</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2220" w:type="dxa"/>
            <w:vAlign w:val="bottom"/>
            <w:gridSpan w:val="3"/>
          </w:tcPr>
          <w:p>
            <w:pPr>
              <w:spacing w:after="0"/>
              <w:rPr>
                <w:sz w:val="20"/>
                <w:szCs w:val="20"/>
                <w:color w:val="auto"/>
              </w:rPr>
            </w:pPr>
            <w:r>
              <w:rPr>
                <w:rFonts w:ascii="Arial" w:cs="Arial" w:eastAsia="Arial" w:hAnsi="Arial"/>
                <w:sz w:val="14"/>
                <w:szCs w:val="14"/>
                <w:color w:val="auto"/>
              </w:rPr>
              <w:t>Dtex Systems, Inc.</w:t>
            </w:r>
          </w:p>
        </w:tc>
        <w:tc>
          <w:tcPr>
            <w:tcW w:w="14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Series C-Prime Preferred Stock</w:t>
            </w:r>
          </w:p>
        </w:tc>
        <w:tc>
          <w:tcPr>
            <w:tcW w:w="92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6/1/2018</w:t>
            </w:r>
          </w:p>
        </w:tc>
        <w:tc>
          <w:tcPr>
            <w:tcW w:w="92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6/1/2025</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500,000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59,000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247,968</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7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580" w:type="dxa"/>
            <w:vAlign w:val="bottom"/>
            <w:shd w:val="clear" w:color="auto" w:fill="CFF0FC"/>
          </w:tcPr>
          <w:p>
            <w:pPr>
              <w:spacing w:after="0"/>
              <w:rPr>
                <w:sz w:val="20"/>
                <w:szCs w:val="20"/>
                <w:color w:val="auto"/>
              </w:rPr>
            </w:pPr>
            <w:r>
              <w:rPr>
                <w:rFonts w:ascii="Arial" w:cs="Arial" w:eastAsia="Arial" w:hAnsi="Arial"/>
                <w:sz w:val="14"/>
                <w:szCs w:val="14"/>
                <w:color w:val="auto"/>
              </w:rPr>
              <w:t>Series C-Prime Preferred Stock</w:t>
            </w:r>
          </w:p>
        </w:tc>
        <w:tc>
          <w:tcPr>
            <w:tcW w:w="92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93"/>
              </w:rPr>
              <w:t>7/11/2019</w:t>
            </w:r>
          </w:p>
        </w:tc>
        <w:tc>
          <w:tcPr>
            <w:tcW w:w="920" w:type="dxa"/>
            <w:vAlign w:val="bottom"/>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93"/>
              </w:rPr>
              <w:t>7/11/2026</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833,333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114,719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413,281</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2220" w:type="dxa"/>
            <w:vAlign w:val="bottom"/>
            <w:gridSpan w:val="3"/>
          </w:tcPr>
          <w:p>
            <w:pPr>
              <w:spacing w:after="0"/>
              <w:rPr>
                <w:sz w:val="20"/>
                <w:szCs w:val="20"/>
                <w:color w:val="auto"/>
              </w:rPr>
            </w:pPr>
            <w:r>
              <w:rPr>
                <w:rFonts w:ascii="Arial" w:cs="Arial" w:eastAsia="Arial" w:hAnsi="Arial"/>
                <w:sz w:val="14"/>
                <w:szCs w:val="14"/>
                <w:color w:val="auto"/>
              </w:rPr>
              <w:t>FiscalNote, Inc.</w:t>
            </w:r>
          </w:p>
        </w:tc>
        <w:tc>
          <w:tcPr>
            <w:tcW w:w="140" w:type="dxa"/>
            <w:vAlign w:val="bottom"/>
          </w:tcPr>
          <w:p>
            <w:pPr>
              <w:spacing w:after="0"/>
              <w:rPr>
                <w:sz w:val="15"/>
                <w:szCs w:val="15"/>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Common Stock</w:t>
            </w:r>
          </w:p>
        </w:tc>
        <w:tc>
          <w:tcPr>
            <w:tcW w:w="9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10/19/2020</w:t>
            </w:r>
          </w:p>
        </w:tc>
        <w:tc>
          <w:tcPr>
            <w:tcW w:w="92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10/19/2030</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194,673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438,014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2,238,726</w:t>
            </w: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22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color w:val="auto"/>
              </w:rPr>
              <w:t>Porch Group, Inc.</w:t>
            </w:r>
          </w:p>
        </w:tc>
        <w:tc>
          <w:tcPr>
            <w:tcW w:w="140" w:type="dxa"/>
            <w:vAlign w:val="bottom"/>
            <w:tcBorders>
              <w:bottom w:val="single" w:sz="8" w:color="CFF0FC"/>
            </w:tcBorders>
            <w:shd w:val="clear" w:color="auto" w:fill="CFF0FC"/>
          </w:tcPr>
          <w:p>
            <w:pPr>
              <w:spacing w:after="0"/>
              <w:rPr>
                <w:sz w:val="15"/>
                <w:szCs w:val="15"/>
                <w:color w:val="auto"/>
              </w:rPr>
            </w:pPr>
          </w:p>
        </w:tc>
        <w:tc>
          <w:tcPr>
            <w:tcW w:w="2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Earnout</w:t>
            </w:r>
          </w:p>
        </w:tc>
        <w:tc>
          <w:tcPr>
            <w:tcW w:w="920" w:type="dxa"/>
            <w:vAlign w:val="bottom"/>
            <w:tcBorders>
              <w:bottom w:val="single" w:sz="8" w:color="CFF0FC"/>
            </w:tcBorders>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94"/>
              </w:rPr>
              <w:t>12/23/2020</w:t>
            </w:r>
          </w:p>
        </w:tc>
        <w:tc>
          <w:tcPr>
            <w:tcW w:w="920" w:type="dxa"/>
            <w:vAlign w:val="bottom"/>
            <w:tcBorders>
              <w:bottom w:val="single" w:sz="8" w:color="CFF0FC"/>
            </w:tcBorders>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94"/>
              </w:rPr>
              <w:t>12/23/2023</w:t>
            </w: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(7)(13)(15)</w:t>
            </w:r>
          </w:p>
        </w:tc>
        <w:tc>
          <w:tcPr>
            <w:tcW w:w="0" w:type="dxa"/>
            <w:vAlign w:val="bottom"/>
          </w:tcPr>
          <w:p>
            <w:pPr>
              <w:spacing w:after="0"/>
              <w:rPr>
                <w:sz w:val="1"/>
                <w:szCs w:val="1"/>
                <w:color w:val="auto"/>
              </w:rPr>
            </w:pPr>
          </w:p>
        </w:tc>
      </w:tr>
      <w:tr>
        <w:trPr>
          <w:trHeight w:val="133"/>
        </w:trPr>
        <w:tc>
          <w:tcPr>
            <w:tcW w:w="22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Total Application Software -</w:t>
            </w:r>
          </w:p>
        </w:tc>
        <w:tc>
          <w:tcPr>
            <w:tcW w:w="1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6,238,992</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6,887,769</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40" w:type="dxa"/>
            <w:vAlign w:val="bottom"/>
          </w:tcPr>
          <w:p>
            <w:pPr>
              <w:spacing w:after="0"/>
              <w:rPr>
                <w:sz w:val="20"/>
                <w:szCs w:val="20"/>
                <w:color w:val="auto"/>
              </w:rPr>
            </w:pPr>
            <w:r>
              <w:rPr>
                <w:rFonts w:ascii="Arial" w:cs="Arial" w:eastAsia="Arial" w:hAnsi="Arial"/>
                <w:sz w:val="14"/>
                <w:szCs w:val="14"/>
                <w:b w:val="1"/>
                <w:bCs w:val="1"/>
                <w:color w:val="auto"/>
              </w:rPr>
              <w:t>1.19%*</w:t>
            </w: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Biotechnology</w:t>
            </w: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color w:val="auto"/>
              </w:rPr>
              <w:t>Mustang Bio, Inc.</w:t>
            </w:r>
          </w:p>
        </w:tc>
        <w:tc>
          <w:tcPr>
            <w:tcW w:w="140" w:type="dxa"/>
            <w:vAlign w:val="bottom"/>
            <w:tcBorders>
              <w:bottom w:val="single" w:sz="8" w:color="CFF0FC"/>
            </w:tcBorders>
            <w:shd w:val="clear" w:color="auto" w:fill="CFF0FC"/>
          </w:tcPr>
          <w:p>
            <w:pPr>
              <w:spacing w:after="0"/>
              <w:rPr>
                <w:sz w:val="15"/>
                <w:szCs w:val="15"/>
                <w:color w:val="auto"/>
              </w:rPr>
            </w:pPr>
          </w:p>
        </w:tc>
        <w:tc>
          <w:tcPr>
            <w:tcW w:w="2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Common Stock</w:t>
            </w:r>
          </w:p>
        </w:tc>
        <w:tc>
          <w:tcPr>
            <w:tcW w:w="9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5"/>
              </w:rPr>
              <w:t>3/4/2022</w:t>
            </w:r>
          </w:p>
        </w:tc>
        <w:tc>
          <w:tcPr>
            <w:tcW w:w="920" w:type="dxa"/>
            <w:vAlign w:val="bottom"/>
            <w:tcBorders>
              <w:bottom w:val="single" w:sz="8" w:color="CFF0FC"/>
            </w:tcBorders>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5"/>
              </w:rPr>
              <w:t>3/4/2032</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748,036</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315,000</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166,858</w:t>
            </w: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9"/>
        </w:trPr>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Total Biotechnology - 0.03%*</w:t>
            </w:r>
          </w:p>
        </w:tc>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315,000</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166,858</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Computer &amp; Electronics Retail</w:t>
            </w: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color w:val="auto"/>
              </w:rPr>
              <w:t>Massdrop, Inc.</w:t>
            </w:r>
          </w:p>
        </w:tc>
        <w:tc>
          <w:tcPr>
            <w:tcW w:w="140" w:type="dxa"/>
            <w:vAlign w:val="bottom"/>
            <w:tcBorders>
              <w:bottom w:val="single" w:sz="8" w:color="CFF0FC"/>
            </w:tcBorders>
            <w:shd w:val="clear" w:color="auto" w:fill="CFF0FC"/>
          </w:tcPr>
          <w:p>
            <w:pPr>
              <w:spacing w:after="0"/>
              <w:rPr>
                <w:sz w:val="15"/>
                <w:szCs w:val="15"/>
                <w:color w:val="auto"/>
              </w:rPr>
            </w:pPr>
          </w:p>
        </w:tc>
        <w:tc>
          <w:tcPr>
            <w:tcW w:w="2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Series B Preferred Stock</w:t>
            </w:r>
          </w:p>
        </w:tc>
        <w:tc>
          <w:tcPr>
            <w:tcW w:w="920" w:type="dxa"/>
            <w:vAlign w:val="bottom"/>
            <w:tcBorders>
              <w:bottom w:val="single" w:sz="8" w:color="CFF0FC"/>
            </w:tcBorders>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93"/>
              </w:rPr>
              <w:t>7/22/2019</w:t>
            </w:r>
          </w:p>
        </w:tc>
        <w:tc>
          <w:tcPr>
            <w:tcW w:w="920" w:type="dxa"/>
            <w:vAlign w:val="bottom"/>
            <w:tcBorders>
              <w:bottom w:val="single" w:sz="8" w:color="CFF0FC"/>
            </w:tcBorders>
            <w:gridSpan w:val="2"/>
            <w:shd w:val="clear" w:color="auto" w:fill="CFF0FC"/>
          </w:tcPr>
          <w:p>
            <w:pPr>
              <w:jc w:val="center"/>
              <w:ind w:left="28"/>
              <w:spacing w:after="0"/>
              <w:rPr>
                <w:sz w:val="20"/>
                <w:szCs w:val="20"/>
                <w:color w:val="auto"/>
              </w:rPr>
            </w:pPr>
            <w:r>
              <w:rPr>
                <w:rFonts w:ascii="Arial" w:cs="Arial" w:eastAsia="Arial" w:hAnsi="Arial"/>
                <w:sz w:val="14"/>
                <w:szCs w:val="14"/>
                <w:color w:val="auto"/>
                <w:w w:val="93"/>
              </w:rPr>
              <w:t>7/22/2029</w:t>
            </w:r>
          </w:p>
        </w:tc>
        <w:tc>
          <w:tcPr>
            <w:tcW w:w="9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848,093</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183,188</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145,573</w:t>
            </w:r>
          </w:p>
        </w:tc>
        <w:tc>
          <w:tcPr>
            <w:tcW w:w="9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3"/>
        </w:trPr>
        <w:tc>
          <w:tcPr>
            <w:tcW w:w="22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Total Computer &amp; Electronics</w:t>
            </w:r>
          </w:p>
        </w:tc>
        <w:tc>
          <w:tcPr>
            <w:tcW w:w="14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183,188</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145,573</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Retail - 0.03%*</w:t>
            </w:r>
          </w:p>
        </w:tc>
        <w:tc>
          <w:tcPr>
            <w:tcW w:w="1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-3476625</wp:posOffset>
            </wp:positionV>
            <wp:extent cx="6858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-3476625</wp:posOffset>
            </wp:positionV>
            <wp:extent cx="6858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-3150870</wp:posOffset>
            </wp:positionV>
            <wp:extent cx="68580" cy="57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-3150870</wp:posOffset>
            </wp:positionV>
            <wp:extent cx="68580"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-2456815</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-2456815</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-1333500</wp:posOffset>
            </wp:positionV>
            <wp:extent cx="68580" cy="57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-1333500</wp:posOffset>
            </wp:positionV>
            <wp:extent cx="6858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-784860</wp:posOffset>
            </wp:positionV>
            <wp:extent cx="6858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-784860</wp:posOffset>
            </wp:positionV>
            <wp:extent cx="68580"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-321945</wp:posOffset>
            </wp:positionV>
            <wp:extent cx="68580"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6511290</wp:posOffset>
            </wp:positionH>
            <wp:positionV relativeFrom="paragraph">
              <wp:posOffset>-321945</wp:posOffset>
            </wp:positionV>
            <wp:extent cx="6858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financial statements.</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 w:name="page11"/>
    <w:bookmarkEnd w:id="10"/>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90"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Footnot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tcPr>
          <w:p>
            <w:pPr>
              <w:spacing w:after="0"/>
              <w:rPr>
                <w:sz w:val="11"/>
                <w:szCs w:val="11"/>
                <w:color w:val="auto"/>
              </w:rPr>
            </w:pPr>
          </w:p>
        </w:tc>
        <w:tc>
          <w:tcPr>
            <w:tcW w:w="26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9"/>
                <w:szCs w:val="19"/>
                <w:b w:val="1"/>
                <w:bCs w:val="1"/>
                <w:color w:val="auto"/>
                <w:vertAlign w:val="superscript"/>
              </w:rPr>
              <w:t>(1),(5),(9)</w:t>
            </w:r>
          </w:p>
        </w:tc>
        <w:tc>
          <w:tcPr>
            <w:tcW w:w="14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9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6"/>
              </w:rPr>
              <w:t>Fair Value</w:t>
            </w:r>
            <w:r>
              <w:rPr>
                <w:rFonts w:ascii="Arial" w:cs="Arial" w:eastAsia="Arial" w:hAnsi="Arial"/>
                <w:sz w:val="19"/>
                <w:szCs w:val="19"/>
                <w:b w:val="1"/>
                <w:bCs w:val="1"/>
                <w:color w:val="auto"/>
                <w:w w:val="86"/>
                <w:vertAlign w:val="superscript"/>
              </w:rPr>
              <w:t>(2),(6)</w:t>
            </w: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es</w:t>
            </w:r>
          </w:p>
        </w:tc>
        <w:tc>
          <w:tcPr>
            <w:tcW w:w="0" w:type="dxa"/>
            <w:vAlign w:val="bottom"/>
          </w:tcPr>
          <w:p>
            <w:pPr>
              <w:spacing w:after="0"/>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2220" w:type="dxa"/>
            <w:vAlign w:val="bottom"/>
            <w:gridSpan w:val="3"/>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Non-Control/Non-Affiliate</w:t>
            </w: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CFF0FC"/>
            </w:tcBorders>
            <w:shd w:val="clear" w:color="auto" w:fill="CFF0FC"/>
          </w:tcPr>
          <w:p>
            <w:pPr>
              <w:spacing w:after="0"/>
              <w:rPr>
                <w:sz w:val="11"/>
                <w:szCs w:val="11"/>
                <w:color w:val="auto"/>
              </w:rPr>
            </w:pPr>
          </w:p>
        </w:tc>
        <w:tc>
          <w:tcPr>
            <w:tcW w:w="1660" w:type="dxa"/>
            <w:vAlign w:val="bottom"/>
            <w:tcBorders>
              <w:top w:val="single" w:sz="8" w:color="auto"/>
            </w:tcBorders>
            <w:gridSpan w:val="2"/>
            <w:shd w:val="clear" w:color="auto" w:fill="CFF0FC"/>
          </w:tcPr>
          <w:p>
            <w:pPr>
              <w:spacing w:after="0" w:line="129" w:lineRule="exact"/>
              <w:rPr>
                <w:sz w:val="20"/>
                <w:szCs w:val="20"/>
                <w:color w:val="auto"/>
              </w:rPr>
            </w:pPr>
            <w:r>
              <w:rPr>
                <w:rFonts w:ascii="Arial" w:cs="Arial" w:eastAsia="Arial" w:hAnsi="Arial"/>
                <w:sz w:val="14"/>
                <w:szCs w:val="14"/>
                <w:b w:val="1"/>
                <w:bCs w:val="1"/>
                <w:color w:val="auto"/>
              </w:rPr>
              <w:t>Investments</w:t>
            </w:r>
          </w:p>
        </w:tc>
        <w:tc>
          <w:tcPr>
            <w:tcW w:w="5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26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92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10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Warrants</w:t>
            </w:r>
          </w:p>
        </w:tc>
        <w:tc>
          <w:tcPr>
            <w:tcW w:w="1480" w:type="dxa"/>
            <w:vAlign w:val="bottom"/>
            <w:tcBorders>
              <w:top w:val="single" w:sz="8" w:color="CFF0FC"/>
            </w:tcBorders>
            <w:gridSpan w:val="2"/>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6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7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78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92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80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000" w:type="dxa"/>
            <w:vAlign w:val="bottom"/>
            <w:tcBorders>
              <w:top w:val="single" w:sz="8" w:color="CFF0FC"/>
            </w:tcBorders>
          </w:tcPr>
          <w:p>
            <w:pPr>
              <w:spacing w:after="0"/>
              <w:rPr>
                <w:sz w:val="15"/>
                <w:szCs w:val="15"/>
                <w:color w:val="auto"/>
              </w:rPr>
            </w:pPr>
          </w:p>
        </w:tc>
        <w:tc>
          <w:tcPr>
            <w:tcW w:w="780" w:type="dxa"/>
            <w:vAlign w:val="bottom"/>
            <w:tcBorders>
              <w:top w:val="single" w:sz="8" w:color="CFF0FC"/>
            </w:tcBorders>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220" w:type="dxa"/>
            <w:vAlign w:val="bottom"/>
            <w:gridSpan w:val="3"/>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Data Processing &amp; Outsourced</w:t>
            </w:r>
          </w:p>
        </w:tc>
        <w:tc>
          <w:tcPr>
            <w:tcW w:w="140" w:type="dxa"/>
            <w:vAlign w:val="bottom"/>
            <w:shd w:val="clear" w:color="auto" w:fill="CFF0FC"/>
          </w:tcPr>
          <w:p>
            <w:pPr>
              <w:spacing w:after="0"/>
              <w:rPr>
                <w:sz w:val="12"/>
                <w:szCs w:val="12"/>
                <w:color w:val="auto"/>
              </w:rPr>
            </w:pPr>
          </w:p>
        </w:tc>
        <w:tc>
          <w:tcPr>
            <w:tcW w:w="2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22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Services</w:t>
            </w:r>
          </w:p>
        </w:tc>
        <w:tc>
          <w:tcPr>
            <w:tcW w:w="140" w:type="dxa"/>
            <w:vAlign w:val="bottom"/>
            <w:shd w:val="clear" w:color="auto" w:fill="CFF0FC"/>
          </w:tcPr>
          <w:p>
            <w:pPr>
              <w:spacing w:after="0"/>
              <w:rPr>
                <w:sz w:val="16"/>
                <w:szCs w:val="16"/>
                <w:color w:val="auto"/>
              </w:rPr>
            </w:pPr>
          </w:p>
        </w:tc>
        <w:tc>
          <w:tcPr>
            <w:tcW w:w="26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Interactions Corporation</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6/24/2022</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6/24/2032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189,408</w:t>
            </w:r>
          </w:p>
        </w:tc>
        <w:tc>
          <w:tcPr>
            <w:tcW w:w="4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218,773</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218,773</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22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color w:val="auto"/>
              </w:rPr>
              <w:t>ShareThis, Inc.</w:t>
            </w:r>
          </w:p>
        </w:tc>
        <w:tc>
          <w:tcPr>
            <w:tcW w:w="140" w:type="dxa"/>
            <w:vAlign w:val="bottom"/>
            <w:tcBorders>
              <w:bottom w:val="single" w:sz="8" w:color="CFF0FC"/>
            </w:tcBorders>
            <w:shd w:val="clear" w:color="auto" w:fill="CFF0FC"/>
          </w:tcPr>
          <w:p>
            <w:pPr>
              <w:spacing w:after="0"/>
              <w:rPr>
                <w:sz w:val="15"/>
                <w:szCs w:val="15"/>
                <w:color w:val="auto"/>
              </w:rPr>
            </w:pPr>
          </w:p>
        </w:tc>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Series D-3 Preferred Stock</w:t>
            </w:r>
          </w:p>
        </w:tc>
        <w:tc>
          <w:tcPr>
            <w:tcW w:w="9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12/3/2018</w:t>
            </w:r>
          </w:p>
        </w:tc>
        <w:tc>
          <w:tcPr>
            <w:tcW w:w="9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12/3/2028</w:t>
            </w: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647,615</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2,162,000</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2,333,333</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Total Data Processing &amp;</w:t>
            </w: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2,380,773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2,552,106</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Outsourced Services - 0.44%*</w:t>
            </w: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Education Services</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2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color w:val="auto"/>
              </w:rPr>
              <w:t>Aspen Group Inc.</w:t>
            </w:r>
          </w:p>
        </w:tc>
        <w:tc>
          <w:tcPr>
            <w:tcW w:w="140" w:type="dxa"/>
            <w:vAlign w:val="bottom"/>
            <w:tcBorders>
              <w:bottom w:val="single" w:sz="8" w:color="CFF0FC"/>
            </w:tcBorders>
            <w:shd w:val="clear" w:color="auto" w:fill="CFF0FC"/>
          </w:tcPr>
          <w:p>
            <w:pPr>
              <w:spacing w:after="0"/>
              <w:rPr>
                <w:sz w:val="15"/>
                <w:szCs w:val="15"/>
                <w:color w:val="auto"/>
              </w:rPr>
            </w:pPr>
          </w:p>
        </w:tc>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Common Stock</w:t>
            </w:r>
          </w:p>
        </w:tc>
        <w:tc>
          <w:tcPr>
            <w:tcW w:w="9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7/25/2017</w:t>
            </w:r>
          </w:p>
        </w:tc>
        <w:tc>
          <w:tcPr>
            <w:tcW w:w="9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7/25/2022</w:t>
            </w: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224,174</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583,301</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w w:val="98"/>
              </w:rPr>
              <w:t>Total Education Services - 0.00%*</w:t>
            </w: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583,301</w:t>
            </w: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2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Electronic Equipment &amp;</w:t>
            </w: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FF0FC"/>
            </w:tcBorders>
            <w:shd w:val="clear" w:color="auto" w:fill="CFF0FC"/>
          </w:tcPr>
          <w:p>
            <w:pPr>
              <w:spacing w:after="0"/>
              <w:rPr>
                <w:sz w:val="15"/>
                <w:szCs w:val="15"/>
                <w:color w:val="auto"/>
              </w:rPr>
            </w:pPr>
          </w:p>
        </w:tc>
        <w:tc>
          <w:tcPr>
            <w:tcW w:w="222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color w:val="auto"/>
              </w:rPr>
              <w:t>Epic IO Technologies, Inc.</w:t>
            </w:r>
          </w:p>
        </w:tc>
        <w:tc>
          <w:tcPr>
            <w:tcW w:w="140" w:type="dxa"/>
            <w:vAlign w:val="bottom"/>
            <w:tcBorders>
              <w:bottom w:val="single" w:sz="8" w:color="CFF0FC"/>
            </w:tcBorders>
            <w:shd w:val="clear" w:color="auto" w:fill="CFF0FC"/>
          </w:tcPr>
          <w:p>
            <w:pPr>
              <w:spacing w:after="0"/>
              <w:rPr>
                <w:sz w:val="15"/>
                <w:szCs w:val="15"/>
                <w:color w:val="auto"/>
              </w:rPr>
            </w:pPr>
          </w:p>
        </w:tc>
        <w:tc>
          <w:tcPr>
            <w:tcW w:w="2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Success fee</w:t>
            </w:r>
          </w:p>
        </w:tc>
        <w:tc>
          <w:tcPr>
            <w:tcW w:w="9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4"/>
              </w:rPr>
              <w:t>12/17/2021</w:t>
            </w:r>
          </w:p>
        </w:tc>
        <w:tc>
          <w:tcPr>
            <w:tcW w:w="920" w:type="dxa"/>
            <w:vAlign w:val="bottom"/>
            <w:tcBorders>
              <w:bottom w:val="single" w:sz="8" w:color="CFF0FC"/>
            </w:tcBorders>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4"/>
              </w:rPr>
              <w:t>12/17/2024</w:t>
            </w:r>
          </w:p>
        </w:tc>
        <w:tc>
          <w:tcPr>
            <w:tcW w:w="140" w:type="dxa"/>
            <w:vAlign w:val="bottom"/>
            <w:tcBorders>
              <w:bottom w:val="single" w:sz="8" w:color="CFF0FC"/>
            </w:tcBorders>
            <w:shd w:val="clear" w:color="auto" w:fill="CFF0FC"/>
          </w:tcPr>
          <w:p>
            <w:pPr>
              <w:spacing w:after="0"/>
              <w:rPr>
                <w:sz w:val="15"/>
                <w:szCs w:val="15"/>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312,498</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335,471</w:t>
            </w:r>
          </w:p>
        </w:tc>
        <w:tc>
          <w:tcPr>
            <w:tcW w:w="78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Total Electronic Equipment &amp;</w:t>
            </w: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312,498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335,471</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Instruments - 0.06%*</w:t>
            </w: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Health Care Equipment</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Moximed, Inc.</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Series C Preferred Stock</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6/24/2022</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6/24/2032</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214,285</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175,233</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175,233</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Revelle Aesthetics, Inc.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Series A-2 Preferred Stock</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3/30/2022</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3/30/3032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115,591</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126,314</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108,172</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3"/>
        </w:trPr>
        <w:tc>
          <w:tcPr>
            <w:tcW w:w="20" w:type="dxa"/>
            <w:vAlign w:val="bottom"/>
            <w:shd w:val="clear" w:color="auto" w:fill="CFF0FC"/>
          </w:tcPr>
          <w:p>
            <w:pPr>
              <w:spacing w:after="0"/>
              <w:rPr>
                <w:sz w:val="11"/>
                <w:szCs w:val="11"/>
                <w:color w:val="auto"/>
              </w:rPr>
            </w:pPr>
          </w:p>
        </w:tc>
        <w:tc>
          <w:tcPr>
            <w:tcW w:w="2220" w:type="dxa"/>
            <w:vAlign w:val="bottom"/>
            <w:gridSpan w:val="3"/>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Total Health Care Equipment -</w:t>
            </w:r>
          </w:p>
        </w:tc>
        <w:tc>
          <w:tcPr>
            <w:tcW w:w="14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301,547</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283,405</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0.05%*</w:t>
            </w:r>
          </w:p>
        </w:tc>
        <w:tc>
          <w:tcPr>
            <w:tcW w:w="9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6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22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Health Care Technology</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Allurion Technologies, Inc.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Series C Preferred Stock</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3/30/2021</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3/30/2031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132,979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282,462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648,331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Series D-1 Preferred Stock</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6/14/2022</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3/30/2031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14,740</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45,204</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45,204</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CareCloud, Inc.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920" w:type="dxa"/>
            <w:vAlign w:val="bottom"/>
            <w:gridSpan w:val="2"/>
          </w:tcPr>
          <w:p>
            <w:pPr>
              <w:jc w:val="center"/>
              <w:ind w:left="88"/>
              <w:spacing w:after="0"/>
              <w:rPr>
                <w:sz w:val="20"/>
                <w:szCs w:val="20"/>
                <w:color w:val="auto"/>
              </w:rPr>
            </w:pPr>
            <w:r>
              <w:rPr>
                <w:rFonts w:ascii="Arial" w:cs="Arial" w:eastAsia="Arial" w:hAnsi="Arial"/>
                <w:sz w:val="14"/>
                <w:szCs w:val="14"/>
                <w:color w:val="auto"/>
                <w:w w:val="95"/>
              </w:rPr>
              <w:t>1/8/2020</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1"/>
              </w:rPr>
              <w:t>1/8/2023</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837,000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EBR Systems, Inc.</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Success fee</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6/30/2022</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6/30/2032</w:t>
            </w: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292,297</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292,297</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6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16,786,86</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Gynesonics, Inc.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Series G Convertible Preferred Stock</w:t>
            </w:r>
          </w:p>
        </w:tc>
        <w:tc>
          <w:tcPr>
            <w:tcW w:w="920" w:type="dxa"/>
            <w:vAlign w:val="bottom"/>
            <w:gridSpan w:val="2"/>
          </w:tcPr>
          <w:p>
            <w:pPr>
              <w:jc w:val="center"/>
              <w:ind w:left="88"/>
              <w:spacing w:after="0"/>
              <w:rPr>
                <w:sz w:val="20"/>
                <w:szCs w:val="20"/>
                <w:color w:val="auto"/>
              </w:rPr>
            </w:pPr>
            <w:r>
              <w:rPr>
                <w:rFonts w:ascii="Arial" w:cs="Arial" w:eastAsia="Arial" w:hAnsi="Arial"/>
                <w:sz w:val="14"/>
                <w:szCs w:val="14"/>
                <w:color w:val="auto"/>
                <w:w w:val="91"/>
              </w:rPr>
              <w:t>11/19/2021</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11/19/2031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128,142</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216,839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Mingle Healthcare Solutions, Inc.</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Series AA Preferred Stock</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8/15/2018</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8/15/2028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1,625,000</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492,375</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Route 92 Medical, Inc.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Success fee</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8/17/2021</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8/17/2031</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248,118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239,916</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22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SetPoint Medical Corporation</w:t>
            </w:r>
          </w:p>
        </w:tc>
        <w:tc>
          <w:tcPr>
            <w:tcW w:w="140" w:type="dxa"/>
            <w:vAlign w:val="bottom"/>
            <w:shd w:val="clear" w:color="auto" w:fill="CFF0FC"/>
          </w:tcPr>
          <w:p>
            <w:pPr>
              <w:spacing w:after="0"/>
              <w:rPr>
                <w:sz w:val="15"/>
                <w:szCs w:val="15"/>
                <w:color w:val="auto"/>
              </w:rPr>
            </w:pPr>
          </w:p>
        </w:tc>
        <w:tc>
          <w:tcPr>
            <w:tcW w:w="2600" w:type="dxa"/>
            <w:vAlign w:val="bottom"/>
            <w:shd w:val="clear" w:color="auto" w:fill="CFF0FC"/>
          </w:tcPr>
          <w:p>
            <w:pPr>
              <w:ind w:left="20"/>
              <w:spacing w:after="0"/>
              <w:rPr>
                <w:sz w:val="20"/>
                <w:szCs w:val="20"/>
                <w:color w:val="auto"/>
              </w:rPr>
            </w:pPr>
            <w:r>
              <w:rPr>
                <w:rFonts w:ascii="Arial" w:cs="Arial" w:eastAsia="Arial" w:hAnsi="Arial"/>
                <w:sz w:val="14"/>
                <w:szCs w:val="14"/>
                <w:color w:val="auto"/>
              </w:rPr>
              <w:t>Series B Preferred Stock</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6/29/2021</w:t>
            </w:r>
          </w:p>
        </w:tc>
        <w:tc>
          <w:tcPr>
            <w:tcW w:w="92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6/29/2031</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400,000</w:t>
            </w:r>
          </w:p>
        </w:tc>
        <w:tc>
          <w:tcPr>
            <w:tcW w:w="2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14,060</w:t>
            </w:r>
          </w:p>
        </w:tc>
        <w:tc>
          <w:tcPr>
            <w:tcW w:w="2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gridSpan w:val="3"/>
          </w:tcPr>
          <w:p>
            <w:pPr>
              <w:spacing w:after="0"/>
              <w:rPr>
                <w:sz w:val="20"/>
                <w:szCs w:val="20"/>
                <w:color w:val="auto"/>
              </w:rPr>
            </w:pPr>
            <w:r>
              <w:rPr>
                <w:rFonts w:ascii="Arial" w:cs="Arial" w:eastAsia="Arial" w:hAnsi="Arial"/>
                <w:sz w:val="14"/>
                <w:szCs w:val="14"/>
                <w:color w:val="auto"/>
              </w:rPr>
              <w:t>VERO Biotech LLC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Success fee</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12/29/2020</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4"/>
              </w:rPr>
              <w:t>12/29/2025</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376,500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398,577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(7)(13)</w:t>
            </w:r>
          </w:p>
        </w:tc>
        <w:tc>
          <w:tcPr>
            <w:tcW w:w="0" w:type="dxa"/>
            <w:vAlign w:val="bottom"/>
          </w:tcPr>
          <w:p>
            <w:pPr>
              <w:spacing w:after="0"/>
              <w:rPr>
                <w:sz w:val="1"/>
                <w:szCs w:val="1"/>
                <w:color w:val="auto"/>
              </w:rPr>
            </w:pPr>
          </w:p>
        </w:tc>
      </w:tr>
      <w:tr>
        <w:trPr>
          <w:trHeight w:val="133"/>
        </w:trPr>
        <w:tc>
          <w:tcPr>
            <w:tcW w:w="20" w:type="dxa"/>
            <w:vAlign w:val="bottom"/>
            <w:shd w:val="clear" w:color="auto" w:fill="CFF0FC"/>
          </w:tcPr>
          <w:p>
            <w:pPr>
              <w:spacing w:after="0"/>
              <w:rPr>
                <w:sz w:val="11"/>
                <w:szCs w:val="11"/>
                <w:color w:val="auto"/>
              </w:rPr>
            </w:pPr>
          </w:p>
        </w:tc>
        <w:tc>
          <w:tcPr>
            <w:tcW w:w="2220" w:type="dxa"/>
            <w:vAlign w:val="bottom"/>
            <w:gridSpan w:val="3"/>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Total Health Care Technology -</w:t>
            </w:r>
          </w:p>
        </w:tc>
        <w:tc>
          <w:tcPr>
            <w:tcW w:w="140" w:type="dxa"/>
            <w:vAlign w:val="bottom"/>
            <w:shd w:val="clear" w:color="auto" w:fill="CFF0FC"/>
          </w:tcPr>
          <w:p>
            <w:pPr>
              <w:spacing w:after="0"/>
              <w:rPr>
                <w:sz w:val="11"/>
                <w:szCs w:val="11"/>
                <w:color w:val="auto"/>
              </w:rPr>
            </w:pPr>
          </w:p>
        </w:tc>
        <w:tc>
          <w:tcPr>
            <w:tcW w:w="26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2,716,158</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1,842,164</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0.32%*</w:t>
            </w:r>
          </w:p>
        </w:tc>
        <w:tc>
          <w:tcPr>
            <w:tcW w:w="9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26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7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9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-3510915</wp:posOffset>
            </wp:positionV>
            <wp:extent cx="6858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-3510915</wp:posOffset>
            </wp:positionV>
            <wp:extent cx="6858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-2962275</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-2962275</wp:posOffset>
            </wp:positionV>
            <wp:extent cx="6858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-2405380</wp:posOffset>
            </wp:positionV>
            <wp:extent cx="6858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-2405380</wp:posOffset>
            </wp:positionV>
            <wp:extent cx="6858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-1539240</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-1539240</wp:posOffset>
            </wp:positionV>
            <wp:extent cx="6858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-5080</wp:posOffset>
            </wp:positionV>
            <wp:extent cx="6858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-5080</wp:posOffset>
            </wp:positionV>
            <wp:extent cx="6858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10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Footnot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tcPr>
          <w:p>
            <w:pPr>
              <w:spacing w:after="0"/>
              <w:rPr>
                <w:sz w:val="11"/>
                <w:szCs w:val="11"/>
                <w:color w:val="auto"/>
              </w:rPr>
            </w:pPr>
          </w:p>
        </w:tc>
        <w:tc>
          <w:tcPr>
            <w:tcW w:w="22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Investment Description</w:t>
            </w:r>
            <w:r>
              <w:rPr>
                <w:rFonts w:ascii="Arial" w:cs="Arial" w:eastAsia="Arial" w:hAnsi="Arial"/>
                <w:sz w:val="19"/>
                <w:szCs w:val="19"/>
                <w:b w:val="1"/>
                <w:bCs w:val="1"/>
                <w:color w:val="auto"/>
                <w:w w:val="96"/>
                <w:vertAlign w:val="superscript"/>
              </w:rPr>
              <w:t>(1),(5),(9)</w:t>
            </w:r>
          </w:p>
        </w:tc>
        <w:tc>
          <w:tcPr>
            <w:tcW w:w="12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9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86"/>
              </w:rPr>
              <w:t>Fair Value</w:t>
            </w:r>
            <w:r>
              <w:rPr>
                <w:rFonts w:ascii="Arial" w:cs="Arial" w:eastAsia="Arial" w:hAnsi="Arial"/>
                <w:sz w:val="19"/>
                <w:szCs w:val="19"/>
                <w:b w:val="1"/>
                <w:bCs w:val="1"/>
                <w:color w:val="auto"/>
                <w:w w:val="86"/>
                <w:vertAlign w:val="superscript"/>
              </w:rPr>
              <w:t>(2),(6)</w:t>
            </w: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es</w:t>
            </w:r>
          </w:p>
        </w:tc>
        <w:tc>
          <w:tcPr>
            <w:tcW w:w="0" w:type="dxa"/>
            <w:vAlign w:val="bottom"/>
          </w:tcPr>
          <w:p>
            <w:pPr>
              <w:spacing w:after="0"/>
              <w:rPr>
                <w:sz w:val="1"/>
                <w:szCs w:val="1"/>
                <w:color w:val="auto"/>
              </w:rPr>
            </w:pPr>
          </w:p>
        </w:tc>
      </w:tr>
      <w:tr>
        <w:trPr>
          <w:trHeight w:val="142"/>
        </w:trPr>
        <w:tc>
          <w:tcPr>
            <w:tcW w:w="20" w:type="dxa"/>
            <w:vAlign w:val="bottom"/>
            <w:shd w:val="clear" w:color="auto" w:fill="CEF0FC"/>
          </w:tcPr>
          <w:p>
            <w:pPr>
              <w:spacing w:after="0"/>
              <w:rPr>
                <w:sz w:val="12"/>
                <w:szCs w:val="12"/>
                <w:color w:val="auto"/>
              </w:rPr>
            </w:pPr>
          </w:p>
        </w:tc>
        <w:tc>
          <w:tcPr>
            <w:tcW w:w="2240" w:type="dxa"/>
            <w:vAlign w:val="bottom"/>
            <w:gridSpan w:val="3"/>
            <w:shd w:val="clear" w:color="auto" w:fill="CEF0FC"/>
          </w:tcPr>
          <w:p>
            <w:pPr>
              <w:spacing w:after="0" w:line="142" w:lineRule="exact"/>
              <w:rPr>
                <w:sz w:val="20"/>
                <w:szCs w:val="20"/>
                <w:color w:val="auto"/>
              </w:rPr>
            </w:pPr>
            <w:r>
              <w:rPr>
                <w:rFonts w:ascii="Arial" w:cs="Arial" w:eastAsia="Arial" w:hAnsi="Arial"/>
                <w:sz w:val="14"/>
                <w:szCs w:val="14"/>
                <w:b w:val="1"/>
                <w:bCs w:val="1"/>
                <w:color w:val="auto"/>
              </w:rPr>
              <w:t>Non-Control/Non-Affiliate</w:t>
            </w:r>
          </w:p>
        </w:tc>
        <w:tc>
          <w:tcPr>
            <w:tcW w:w="140" w:type="dxa"/>
            <w:vAlign w:val="bottom"/>
            <w:shd w:val="clear" w:color="auto" w:fill="CEF0FC"/>
          </w:tcPr>
          <w:p>
            <w:pPr>
              <w:spacing w:after="0"/>
              <w:rPr>
                <w:sz w:val="12"/>
                <w:szCs w:val="12"/>
                <w:color w:val="auto"/>
              </w:rPr>
            </w:pPr>
          </w:p>
        </w:tc>
        <w:tc>
          <w:tcPr>
            <w:tcW w:w="2260" w:type="dxa"/>
            <w:vAlign w:val="bottom"/>
            <w:shd w:val="clear" w:color="auto" w:fill="CEF0FC"/>
          </w:tcPr>
          <w:p>
            <w:pPr>
              <w:spacing w:after="0"/>
              <w:rPr>
                <w:sz w:val="12"/>
                <w:szCs w:val="12"/>
                <w:color w:val="auto"/>
              </w:rPr>
            </w:pPr>
          </w:p>
        </w:tc>
        <w:tc>
          <w:tcPr>
            <w:tcW w:w="120" w:type="dxa"/>
            <w:vAlign w:val="bottom"/>
            <w:shd w:val="clear" w:color="auto" w:fill="CE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108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92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80" w:type="dxa"/>
            <w:vAlign w:val="bottom"/>
            <w:shd w:val="clear" w:color="auto" w:fill="CEF0FC"/>
          </w:tcPr>
          <w:p>
            <w:pPr>
              <w:spacing w:after="0"/>
              <w:rPr>
                <w:sz w:val="12"/>
                <w:szCs w:val="12"/>
                <w:color w:val="auto"/>
              </w:rPr>
            </w:pPr>
          </w:p>
        </w:tc>
        <w:tc>
          <w:tcPr>
            <w:tcW w:w="1000" w:type="dxa"/>
            <w:vAlign w:val="bottom"/>
            <w:shd w:val="clear" w:color="auto" w:fill="CEF0FC"/>
          </w:tcPr>
          <w:p>
            <w:pPr>
              <w:spacing w:after="0"/>
              <w:rPr>
                <w:sz w:val="12"/>
                <w:szCs w:val="12"/>
                <w:color w:val="auto"/>
              </w:rPr>
            </w:pPr>
          </w:p>
        </w:tc>
        <w:tc>
          <w:tcPr>
            <w:tcW w:w="220" w:type="dxa"/>
            <w:vAlign w:val="bottom"/>
            <w:shd w:val="clear" w:color="auto" w:fill="CEF0FC"/>
          </w:tcPr>
          <w:p>
            <w:pPr>
              <w:spacing w:after="0"/>
              <w:rPr>
                <w:sz w:val="12"/>
                <w:szCs w:val="12"/>
                <w:color w:val="auto"/>
              </w:rPr>
            </w:pPr>
          </w:p>
        </w:tc>
        <w:tc>
          <w:tcPr>
            <w:tcW w:w="560" w:type="dxa"/>
            <w:vAlign w:val="bottom"/>
            <w:shd w:val="clear" w:color="auto" w:fill="CE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Borders>
              <w:top w:val="single" w:sz="8" w:color="CEF0FC"/>
            </w:tcBorders>
            <w:shd w:val="clear" w:color="auto" w:fill="CEF0FC"/>
          </w:tcPr>
          <w:p>
            <w:pPr>
              <w:spacing w:after="0"/>
              <w:rPr>
                <w:sz w:val="11"/>
                <w:szCs w:val="11"/>
                <w:color w:val="auto"/>
              </w:rPr>
            </w:pPr>
          </w:p>
        </w:tc>
        <w:tc>
          <w:tcPr>
            <w:tcW w:w="1660" w:type="dxa"/>
            <w:vAlign w:val="bottom"/>
            <w:tcBorders>
              <w:top w:val="single" w:sz="8" w:color="auto"/>
            </w:tcBorders>
            <w:gridSpan w:val="2"/>
            <w:shd w:val="clear" w:color="auto" w:fill="CEF0FC"/>
          </w:tcPr>
          <w:p>
            <w:pPr>
              <w:spacing w:after="0" w:line="129" w:lineRule="exact"/>
              <w:rPr>
                <w:sz w:val="20"/>
                <w:szCs w:val="20"/>
                <w:color w:val="auto"/>
              </w:rPr>
            </w:pPr>
            <w:r>
              <w:rPr>
                <w:rFonts w:ascii="Arial" w:cs="Arial" w:eastAsia="Arial" w:hAnsi="Arial"/>
                <w:sz w:val="14"/>
                <w:szCs w:val="14"/>
                <w:b w:val="1"/>
                <w:bCs w:val="1"/>
                <w:color w:val="auto"/>
              </w:rPr>
              <w:t>Investments</w:t>
            </w:r>
          </w:p>
        </w:tc>
        <w:tc>
          <w:tcPr>
            <w:tcW w:w="580" w:type="dxa"/>
            <w:vAlign w:val="bottom"/>
            <w:tcBorders>
              <w:top w:val="single" w:sz="8" w:color="CEF0FC"/>
            </w:tcBorders>
            <w:shd w:val="clear" w:color="auto" w:fill="CEF0FC"/>
          </w:tcPr>
          <w:p>
            <w:pPr>
              <w:spacing w:after="0"/>
              <w:rPr>
                <w:sz w:val="11"/>
                <w:szCs w:val="11"/>
                <w:color w:val="auto"/>
              </w:rPr>
            </w:pPr>
          </w:p>
        </w:tc>
        <w:tc>
          <w:tcPr>
            <w:tcW w:w="140" w:type="dxa"/>
            <w:vAlign w:val="bottom"/>
            <w:tcBorders>
              <w:top w:val="single" w:sz="8" w:color="CEF0FC"/>
            </w:tcBorders>
            <w:shd w:val="clear" w:color="auto" w:fill="CEF0FC"/>
          </w:tcPr>
          <w:p>
            <w:pPr>
              <w:spacing w:after="0"/>
              <w:rPr>
                <w:sz w:val="11"/>
                <w:szCs w:val="11"/>
                <w:color w:val="auto"/>
              </w:rPr>
            </w:pPr>
          </w:p>
        </w:tc>
        <w:tc>
          <w:tcPr>
            <w:tcW w:w="2260" w:type="dxa"/>
            <w:vAlign w:val="bottom"/>
            <w:tcBorders>
              <w:top w:val="single" w:sz="8" w:color="CEF0FC"/>
            </w:tcBorders>
            <w:shd w:val="clear" w:color="auto" w:fill="CEF0FC"/>
          </w:tcPr>
          <w:p>
            <w:pPr>
              <w:spacing w:after="0"/>
              <w:rPr>
                <w:sz w:val="11"/>
                <w:szCs w:val="11"/>
                <w:color w:val="auto"/>
              </w:rPr>
            </w:pPr>
          </w:p>
        </w:tc>
        <w:tc>
          <w:tcPr>
            <w:tcW w:w="120" w:type="dxa"/>
            <w:vAlign w:val="bottom"/>
            <w:tcBorders>
              <w:top w:val="single" w:sz="8" w:color="CEF0FC"/>
            </w:tcBorders>
            <w:shd w:val="clear" w:color="auto" w:fill="CEF0FC"/>
          </w:tcPr>
          <w:p>
            <w:pPr>
              <w:spacing w:after="0"/>
              <w:rPr>
                <w:sz w:val="11"/>
                <w:szCs w:val="11"/>
                <w:color w:val="auto"/>
              </w:rPr>
            </w:pPr>
          </w:p>
        </w:tc>
        <w:tc>
          <w:tcPr>
            <w:tcW w:w="800" w:type="dxa"/>
            <w:vAlign w:val="bottom"/>
            <w:tcBorders>
              <w:top w:val="single" w:sz="8" w:color="CEF0FC"/>
            </w:tcBorders>
            <w:shd w:val="clear" w:color="auto" w:fill="CEF0FC"/>
          </w:tcPr>
          <w:p>
            <w:pPr>
              <w:spacing w:after="0"/>
              <w:rPr>
                <w:sz w:val="11"/>
                <w:szCs w:val="11"/>
                <w:color w:val="auto"/>
              </w:rPr>
            </w:pPr>
          </w:p>
        </w:tc>
        <w:tc>
          <w:tcPr>
            <w:tcW w:w="140" w:type="dxa"/>
            <w:vAlign w:val="bottom"/>
            <w:tcBorders>
              <w:top w:val="single" w:sz="8" w:color="CEF0FC"/>
            </w:tcBorders>
            <w:shd w:val="clear" w:color="auto" w:fill="CEF0FC"/>
          </w:tcPr>
          <w:p>
            <w:pPr>
              <w:spacing w:after="0"/>
              <w:rPr>
                <w:sz w:val="11"/>
                <w:szCs w:val="11"/>
                <w:color w:val="auto"/>
              </w:rPr>
            </w:pPr>
          </w:p>
        </w:tc>
        <w:tc>
          <w:tcPr>
            <w:tcW w:w="1080" w:type="dxa"/>
            <w:vAlign w:val="bottom"/>
            <w:tcBorders>
              <w:top w:val="single" w:sz="8" w:color="CEF0FC"/>
            </w:tcBorders>
            <w:shd w:val="clear" w:color="auto" w:fill="CEF0FC"/>
          </w:tcPr>
          <w:p>
            <w:pPr>
              <w:spacing w:after="0"/>
              <w:rPr>
                <w:sz w:val="11"/>
                <w:szCs w:val="11"/>
                <w:color w:val="auto"/>
              </w:rPr>
            </w:pPr>
          </w:p>
        </w:tc>
        <w:tc>
          <w:tcPr>
            <w:tcW w:w="140" w:type="dxa"/>
            <w:vAlign w:val="bottom"/>
            <w:tcBorders>
              <w:top w:val="single" w:sz="8" w:color="CEF0FC"/>
            </w:tcBorders>
            <w:shd w:val="clear" w:color="auto" w:fill="CEF0FC"/>
          </w:tcPr>
          <w:p>
            <w:pPr>
              <w:spacing w:after="0"/>
              <w:rPr>
                <w:sz w:val="11"/>
                <w:szCs w:val="11"/>
                <w:color w:val="auto"/>
              </w:rPr>
            </w:pPr>
          </w:p>
        </w:tc>
        <w:tc>
          <w:tcPr>
            <w:tcW w:w="920" w:type="dxa"/>
            <w:vAlign w:val="bottom"/>
            <w:tcBorders>
              <w:top w:val="single" w:sz="8" w:color="CEF0FC"/>
            </w:tcBorders>
            <w:shd w:val="clear" w:color="auto" w:fill="CEF0FC"/>
          </w:tcPr>
          <w:p>
            <w:pPr>
              <w:spacing w:after="0"/>
              <w:rPr>
                <w:sz w:val="11"/>
                <w:szCs w:val="11"/>
                <w:color w:val="auto"/>
              </w:rPr>
            </w:pPr>
          </w:p>
        </w:tc>
        <w:tc>
          <w:tcPr>
            <w:tcW w:w="240" w:type="dxa"/>
            <w:vAlign w:val="bottom"/>
            <w:tcBorders>
              <w:top w:val="single" w:sz="8" w:color="CEF0FC"/>
            </w:tcBorders>
            <w:shd w:val="clear" w:color="auto" w:fill="CEF0FC"/>
          </w:tcPr>
          <w:p>
            <w:pPr>
              <w:spacing w:after="0"/>
              <w:rPr>
                <w:sz w:val="11"/>
                <w:szCs w:val="11"/>
                <w:color w:val="auto"/>
              </w:rPr>
            </w:pPr>
          </w:p>
        </w:tc>
        <w:tc>
          <w:tcPr>
            <w:tcW w:w="240" w:type="dxa"/>
            <w:vAlign w:val="bottom"/>
            <w:tcBorders>
              <w:top w:val="single" w:sz="8" w:color="CEF0FC"/>
            </w:tcBorders>
            <w:shd w:val="clear" w:color="auto" w:fill="CEF0FC"/>
          </w:tcPr>
          <w:p>
            <w:pPr>
              <w:spacing w:after="0"/>
              <w:rPr>
                <w:sz w:val="11"/>
                <w:szCs w:val="11"/>
                <w:color w:val="auto"/>
              </w:rPr>
            </w:pPr>
          </w:p>
        </w:tc>
        <w:tc>
          <w:tcPr>
            <w:tcW w:w="800" w:type="dxa"/>
            <w:vAlign w:val="bottom"/>
            <w:tcBorders>
              <w:top w:val="single" w:sz="8" w:color="CEF0FC"/>
            </w:tcBorders>
            <w:shd w:val="clear" w:color="auto" w:fill="CEF0FC"/>
          </w:tcPr>
          <w:p>
            <w:pPr>
              <w:spacing w:after="0"/>
              <w:rPr>
                <w:sz w:val="11"/>
                <w:szCs w:val="11"/>
                <w:color w:val="auto"/>
              </w:rPr>
            </w:pPr>
          </w:p>
        </w:tc>
        <w:tc>
          <w:tcPr>
            <w:tcW w:w="240" w:type="dxa"/>
            <w:vAlign w:val="bottom"/>
            <w:tcBorders>
              <w:top w:val="single" w:sz="8" w:color="CEF0FC"/>
            </w:tcBorders>
            <w:shd w:val="clear" w:color="auto" w:fill="CEF0FC"/>
          </w:tcPr>
          <w:p>
            <w:pPr>
              <w:spacing w:after="0"/>
              <w:rPr>
                <w:sz w:val="11"/>
                <w:szCs w:val="11"/>
                <w:color w:val="auto"/>
              </w:rPr>
            </w:pPr>
          </w:p>
        </w:tc>
        <w:tc>
          <w:tcPr>
            <w:tcW w:w="80" w:type="dxa"/>
            <w:vAlign w:val="bottom"/>
            <w:tcBorders>
              <w:top w:val="single" w:sz="8" w:color="CEF0FC"/>
            </w:tcBorders>
            <w:shd w:val="clear" w:color="auto" w:fill="CEF0FC"/>
          </w:tcPr>
          <w:p>
            <w:pPr>
              <w:spacing w:after="0"/>
              <w:rPr>
                <w:sz w:val="11"/>
                <w:szCs w:val="11"/>
                <w:color w:val="auto"/>
              </w:rPr>
            </w:pPr>
          </w:p>
        </w:tc>
        <w:tc>
          <w:tcPr>
            <w:tcW w:w="1000" w:type="dxa"/>
            <w:vAlign w:val="bottom"/>
            <w:tcBorders>
              <w:top w:val="single" w:sz="8" w:color="CEF0FC"/>
            </w:tcBorders>
            <w:shd w:val="clear" w:color="auto" w:fill="CEF0FC"/>
          </w:tcPr>
          <w:p>
            <w:pPr>
              <w:spacing w:after="0"/>
              <w:rPr>
                <w:sz w:val="11"/>
                <w:szCs w:val="11"/>
                <w:color w:val="auto"/>
              </w:rPr>
            </w:pPr>
          </w:p>
        </w:tc>
        <w:tc>
          <w:tcPr>
            <w:tcW w:w="220" w:type="dxa"/>
            <w:vAlign w:val="bottom"/>
            <w:tcBorders>
              <w:top w:val="single" w:sz="8" w:color="CEF0FC"/>
            </w:tcBorders>
            <w:shd w:val="clear" w:color="auto" w:fill="CEF0FC"/>
          </w:tcPr>
          <w:p>
            <w:pPr>
              <w:spacing w:after="0"/>
              <w:rPr>
                <w:sz w:val="11"/>
                <w:szCs w:val="11"/>
                <w:color w:val="auto"/>
              </w:rPr>
            </w:pPr>
          </w:p>
        </w:tc>
        <w:tc>
          <w:tcPr>
            <w:tcW w:w="560" w:type="dxa"/>
            <w:vAlign w:val="bottom"/>
            <w:tcBorders>
              <w:top w:val="single" w:sz="8" w:color="CEF0FC"/>
            </w:tcBorders>
            <w:shd w:val="clear" w:color="auto" w:fill="CE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EF0FC"/>
            </w:tcBorders>
          </w:tcPr>
          <w:p>
            <w:pPr>
              <w:spacing w:after="0"/>
              <w:rPr>
                <w:sz w:val="15"/>
                <w:szCs w:val="15"/>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Warrants</w:t>
            </w:r>
          </w:p>
        </w:tc>
        <w:tc>
          <w:tcPr>
            <w:tcW w:w="1500" w:type="dxa"/>
            <w:vAlign w:val="bottom"/>
            <w:tcBorders>
              <w:top w:val="single" w:sz="8" w:color="CEF0FC"/>
            </w:tcBorders>
            <w:gridSpan w:val="2"/>
          </w:tcPr>
          <w:p>
            <w:pPr>
              <w:spacing w:after="0"/>
              <w:rPr>
                <w:sz w:val="15"/>
                <w:szCs w:val="15"/>
                <w:color w:val="auto"/>
              </w:rPr>
            </w:pPr>
          </w:p>
        </w:tc>
        <w:tc>
          <w:tcPr>
            <w:tcW w:w="140" w:type="dxa"/>
            <w:vAlign w:val="bottom"/>
            <w:tcBorders>
              <w:top w:val="single" w:sz="8" w:color="CEF0FC"/>
            </w:tcBorders>
          </w:tcPr>
          <w:p>
            <w:pPr>
              <w:spacing w:after="0"/>
              <w:rPr>
                <w:sz w:val="15"/>
                <w:szCs w:val="15"/>
                <w:color w:val="auto"/>
              </w:rPr>
            </w:pPr>
          </w:p>
        </w:tc>
        <w:tc>
          <w:tcPr>
            <w:tcW w:w="2260" w:type="dxa"/>
            <w:vAlign w:val="bottom"/>
            <w:tcBorders>
              <w:top w:val="single" w:sz="8" w:color="CEF0FC"/>
            </w:tcBorders>
          </w:tcPr>
          <w:p>
            <w:pPr>
              <w:spacing w:after="0"/>
              <w:rPr>
                <w:sz w:val="15"/>
                <w:szCs w:val="15"/>
                <w:color w:val="auto"/>
              </w:rPr>
            </w:pPr>
          </w:p>
        </w:tc>
        <w:tc>
          <w:tcPr>
            <w:tcW w:w="120" w:type="dxa"/>
            <w:vAlign w:val="bottom"/>
            <w:tcBorders>
              <w:top w:val="single" w:sz="8" w:color="CEF0FC"/>
            </w:tcBorders>
          </w:tcPr>
          <w:p>
            <w:pPr>
              <w:spacing w:after="0"/>
              <w:rPr>
                <w:sz w:val="15"/>
                <w:szCs w:val="15"/>
                <w:color w:val="auto"/>
              </w:rPr>
            </w:pPr>
          </w:p>
        </w:tc>
        <w:tc>
          <w:tcPr>
            <w:tcW w:w="800" w:type="dxa"/>
            <w:vAlign w:val="bottom"/>
            <w:tcBorders>
              <w:top w:val="single" w:sz="8" w:color="CEF0FC"/>
            </w:tcBorders>
          </w:tcPr>
          <w:p>
            <w:pPr>
              <w:spacing w:after="0"/>
              <w:rPr>
                <w:sz w:val="15"/>
                <w:szCs w:val="15"/>
                <w:color w:val="auto"/>
              </w:rPr>
            </w:pPr>
          </w:p>
        </w:tc>
        <w:tc>
          <w:tcPr>
            <w:tcW w:w="140" w:type="dxa"/>
            <w:vAlign w:val="bottom"/>
            <w:tcBorders>
              <w:top w:val="single" w:sz="8" w:color="CEF0FC"/>
            </w:tcBorders>
          </w:tcPr>
          <w:p>
            <w:pPr>
              <w:spacing w:after="0"/>
              <w:rPr>
                <w:sz w:val="15"/>
                <w:szCs w:val="15"/>
                <w:color w:val="auto"/>
              </w:rPr>
            </w:pPr>
          </w:p>
        </w:tc>
        <w:tc>
          <w:tcPr>
            <w:tcW w:w="1080" w:type="dxa"/>
            <w:vAlign w:val="bottom"/>
            <w:tcBorders>
              <w:top w:val="single" w:sz="8" w:color="CEF0FC"/>
            </w:tcBorders>
          </w:tcPr>
          <w:p>
            <w:pPr>
              <w:spacing w:after="0"/>
              <w:rPr>
                <w:sz w:val="15"/>
                <w:szCs w:val="15"/>
                <w:color w:val="auto"/>
              </w:rPr>
            </w:pPr>
          </w:p>
        </w:tc>
        <w:tc>
          <w:tcPr>
            <w:tcW w:w="140" w:type="dxa"/>
            <w:vAlign w:val="bottom"/>
            <w:tcBorders>
              <w:top w:val="single" w:sz="8" w:color="CEF0FC"/>
            </w:tcBorders>
          </w:tcPr>
          <w:p>
            <w:pPr>
              <w:spacing w:after="0"/>
              <w:rPr>
                <w:sz w:val="15"/>
                <w:szCs w:val="15"/>
                <w:color w:val="auto"/>
              </w:rPr>
            </w:pPr>
          </w:p>
        </w:tc>
        <w:tc>
          <w:tcPr>
            <w:tcW w:w="920" w:type="dxa"/>
            <w:vAlign w:val="bottom"/>
            <w:tcBorders>
              <w:top w:val="single" w:sz="8" w:color="CEF0FC"/>
            </w:tcBorders>
          </w:tcPr>
          <w:p>
            <w:pPr>
              <w:spacing w:after="0"/>
              <w:rPr>
                <w:sz w:val="15"/>
                <w:szCs w:val="15"/>
                <w:color w:val="auto"/>
              </w:rPr>
            </w:pPr>
          </w:p>
        </w:tc>
        <w:tc>
          <w:tcPr>
            <w:tcW w:w="240" w:type="dxa"/>
            <w:vAlign w:val="bottom"/>
            <w:tcBorders>
              <w:top w:val="single" w:sz="8" w:color="CEF0FC"/>
            </w:tcBorders>
          </w:tcPr>
          <w:p>
            <w:pPr>
              <w:spacing w:after="0"/>
              <w:rPr>
                <w:sz w:val="15"/>
                <w:szCs w:val="15"/>
                <w:color w:val="auto"/>
              </w:rPr>
            </w:pPr>
          </w:p>
        </w:tc>
        <w:tc>
          <w:tcPr>
            <w:tcW w:w="240" w:type="dxa"/>
            <w:vAlign w:val="bottom"/>
            <w:tcBorders>
              <w:top w:val="single" w:sz="8" w:color="CEF0FC"/>
            </w:tcBorders>
          </w:tcPr>
          <w:p>
            <w:pPr>
              <w:spacing w:after="0"/>
              <w:rPr>
                <w:sz w:val="15"/>
                <w:szCs w:val="15"/>
                <w:color w:val="auto"/>
              </w:rPr>
            </w:pPr>
          </w:p>
        </w:tc>
        <w:tc>
          <w:tcPr>
            <w:tcW w:w="800" w:type="dxa"/>
            <w:vAlign w:val="bottom"/>
            <w:tcBorders>
              <w:top w:val="single" w:sz="8" w:color="CEF0FC"/>
            </w:tcBorders>
          </w:tcPr>
          <w:p>
            <w:pPr>
              <w:spacing w:after="0"/>
              <w:rPr>
                <w:sz w:val="15"/>
                <w:szCs w:val="15"/>
                <w:color w:val="auto"/>
              </w:rPr>
            </w:pPr>
          </w:p>
        </w:tc>
        <w:tc>
          <w:tcPr>
            <w:tcW w:w="240" w:type="dxa"/>
            <w:vAlign w:val="bottom"/>
            <w:tcBorders>
              <w:top w:val="single" w:sz="8" w:color="CEF0FC"/>
            </w:tcBorders>
          </w:tcPr>
          <w:p>
            <w:pPr>
              <w:spacing w:after="0"/>
              <w:rPr>
                <w:sz w:val="15"/>
                <w:szCs w:val="15"/>
                <w:color w:val="auto"/>
              </w:rPr>
            </w:pPr>
          </w:p>
        </w:tc>
        <w:tc>
          <w:tcPr>
            <w:tcW w:w="80" w:type="dxa"/>
            <w:vAlign w:val="bottom"/>
            <w:tcBorders>
              <w:top w:val="single" w:sz="8" w:color="CEF0FC"/>
            </w:tcBorders>
          </w:tcPr>
          <w:p>
            <w:pPr>
              <w:spacing w:after="0"/>
              <w:rPr>
                <w:sz w:val="15"/>
                <w:szCs w:val="15"/>
                <w:color w:val="auto"/>
              </w:rPr>
            </w:pPr>
          </w:p>
        </w:tc>
        <w:tc>
          <w:tcPr>
            <w:tcW w:w="1000" w:type="dxa"/>
            <w:vAlign w:val="bottom"/>
            <w:tcBorders>
              <w:top w:val="single" w:sz="8" w:color="CEF0FC"/>
            </w:tcBorders>
          </w:tcPr>
          <w:p>
            <w:pPr>
              <w:spacing w:after="0"/>
              <w:rPr>
                <w:sz w:val="15"/>
                <w:szCs w:val="15"/>
                <w:color w:val="auto"/>
              </w:rPr>
            </w:pPr>
          </w:p>
        </w:tc>
        <w:tc>
          <w:tcPr>
            <w:tcW w:w="780" w:type="dxa"/>
            <w:vAlign w:val="bottom"/>
            <w:tcBorders>
              <w:top w:val="single" w:sz="8" w:color="CEF0FC"/>
            </w:tcBorders>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9"/>
        </w:trPr>
        <w:tc>
          <w:tcPr>
            <w:tcW w:w="20" w:type="dxa"/>
            <w:vAlign w:val="bottom"/>
            <w:shd w:val="clear" w:color="auto" w:fill="CEF0FC"/>
          </w:tcPr>
          <w:p>
            <w:pPr>
              <w:spacing w:after="0"/>
              <w:rPr>
                <w:sz w:val="12"/>
                <w:szCs w:val="12"/>
                <w:color w:val="auto"/>
              </w:rPr>
            </w:pPr>
          </w:p>
        </w:tc>
        <w:tc>
          <w:tcPr>
            <w:tcW w:w="2240" w:type="dxa"/>
            <w:vAlign w:val="bottom"/>
            <w:gridSpan w:val="3"/>
            <w:shd w:val="clear" w:color="auto" w:fill="CEF0FC"/>
          </w:tcPr>
          <w:p>
            <w:pPr>
              <w:spacing w:after="0" w:line="139" w:lineRule="exact"/>
              <w:rPr>
                <w:sz w:val="20"/>
                <w:szCs w:val="20"/>
                <w:color w:val="auto"/>
              </w:rPr>
            </w:pPr>
            <w:r>
              <w:rPr>
                <w:rFonts w:ascii="Arial" w:cs="Arial" w:eastAsia="Arial" w:hAnsi="Arial"/>
                <w:sz w:val="14"/>
                <w:szCs w:val="14"/>
                <w:b w:val="1"/>
                <w:bCs w:val="1"/>
                <w:color w:val="auto"/>
              </w:rPr>
              <w:t>Human Resource &amp; Employment</w:t>
            </w:r>
          </w:p>
        </w:tc>
        <w:tc>
          <w:tcPr>
            <w:tcW w:w="140" w:type="dxa"/>
            <w:vAlign w:val="bottom"/>
            <w:shd w:val="clear" w:color="auto" w:fill="CEF0FC"/>
          </w:tcPr>
          <w:p>
            <w:pPr>
              <w:spacing w:after="0"/>
              <w:rPr>
                <w:sz w:val="12"/>
                <w:szCs w:val="12"/>
                <w:color w:val="auto"/>
              </w:rPr>
            </w:pPr>
          </w:p>
        </w:tc>
        <w:tc>
          <w:tcPr>
            <w:tcW w:w="2260" w:type="dxa"/>
            <w:vAlign w:val="bottom"/>
            <w:shd w:val="clear" w:color="auto" w:fill="CEF0FC"/>
          </w:tcPr>
          <w:p>
            <w:pPr>
              <w:spacing w:after="0"/>
              <w:rPr>
                <w:sz w:val="12"/>
                <w:szCs w:val="12"/>
                <w:color w:val="auto"/>
              </w:rPr>
            </w:pPr>
          </w:p>
        </w:tc>
        <w:tc>
          <w:tcPr>
            <w:tcW w:w="120" w:type="dxa"/>
            <w:vAlign w:val="bottom"/>
            <w:shd w:val="clear" w:color="auto" w:fill="CE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108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92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80" w:type="dxa"/>
            <w:vAlign w:val="bottom"/>
            <w:shd w:val="clear" w:color="auto" w:fill="CEF0FC"/>
          </w:tcPr>
          <w:p>
            <w:pPr>
              <w:spacing w:after="0"/>
              <w:rPr>
                <w:sz w:val="12"/>
                <w:szCs w:val="12"/>
                <w:color w:val="auto"/>
              </w:rPr>
            </w:pPr>
          </w:p>
        </w:tc>
        <w:tc>
          <w:tcPr>
            <w:tcW w:w="1000" w:type="dxa"/>
            <w:vAlign w:val="bottom"/>
            <w:shd w:val="clear" w:color="auto" w:fill="CEF0FC"/>
          </w:tcPr>
          <w:p>
            <w:pPr>
              <w:spacing w:after="0"/>
              <w:rPr>
                <w:sz w:val="12"/>
                <w:szCs w:val="12"/>
                <w:color w:val="auto"/>
              </w:rPr>
            </w:pPr>
          </w:p>
        </w:tc>
        <w:tc>
          <w:tcPr>
            <w:tcW w:w="220" w:type="dxa"/>
            <w:vAlign w:val="bottom"/>
            <w:shd w:val="clear" w:color="auto" w:fill="CEF0FC"/>
          </w:tcPr>
          <w:p>
            <w:pPr>
              <w:spacing w:after="0"/>
              <w:rPr>
                <w:sz w:val="12"/>
                <w:szCs w:val="12"/>
                <w:color w:val="auto"/>
              </w:rPr>
            </w:pPr>
          </w:p>
        </w:tc>
        <w:tc>
          <w:tcPr>
            <w:tcW w:w="560" w:type="dxa"/>
            <w:vAlign w:val="bottom"/>
            <w:shd w:val="clear" w:color="auto" w:fill="CE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EF0FC"/>
          </w:tcPr>
          <w:p>
            <w:pPr>
              <w:spacing w:after="0"/>
              <w:rPr>
                <w:sz w:val="16"/>
                <w:szCs w:val="16"/>
                <w:color w:val="auto"/>
              </w:rPr>
            </w:pPr>
          </w:p>
        </w:tc>
        <w:tc>
          <w:tcPr>
            <w:tcW w:w="2240" w:type="dxa"/>
            <w:vAlign w:val="bottom"/>
            <w:gridSpan w:val="3"/>
            <w:shd w:val="clear" w:color="auto" w:fill="CEF0FC"/>
          </w:tcPr>
          <w:p>
            <w:pPr>
              <w:spacing w:after="0"/>
              <w:rPr>
                <w:sz w:val="20"/>
                <w:szCs w:val="20"/>
                <w:color w:val="auto"/>
              </w:rPr>
            </w:pPr>
            <w:r>
              <w:rPr>
                <w:rFonts w:ascii="Arial" w:cs="Arial" w:eastAsia="Arial" w:hAnsi="Arial"/>
                <w:sz w:val="14"/>
                <w:szCs w:val="14"/>
                <w:b w:val="1"/>
                <w:bCs w:val="1"/>
                <w:color w:val="auto"/>
              </w:rPr>
              <w:t>Services</w:t>
            </w:r>
          </w:p>
        </w:tc>
        <w:tc>
          <w:tcPr>
            <w:tcW w:w="140" w:type="dxa"/>
            <w:vAlign w:val="bottom"/>
            <w:shd w:val="clear" w:color="auto" w:fill="CEF0FC"/>
          </w:tcPr>
          <w:p>
            <w:pPr>
              <w:spacing w:after="0"/>
              <w:rPr>
                <w:sz w:val="16"/>
                <w:szCs w:val="16"/>
                <w:color w:val="auto"/>
              </w:rPr>
            </w:pPr>
          </w:p>
        </w:tc>
        <w:tc>
          <w:tcPr>
            <w:tcW w:w="226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8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10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920" w:type="dxa"/>
            <w:vAlign w:val="bottom"/>
            <w:shd w:val="clear" w:color="auto" w:fill="CEF0FC"/>
          </w:tcPr>
          <w:p>
            <w:pPr>
              <w:spacing w:after="0"/>
              <w:rPr>
                <w:sz w:val="16"/>
                <w:szCs w:val="16"/>
                <w:color w:val="auto"/>
              </w:rPr>
            </w:pPr>
          </w:p>
        </w:tc>
        <w:tc>
          <w:tcPr>
            <w:tcW w:w="240" w:type="dxa"/>
            <w:vAlign w:val="bottom"/>
            <w:shd w:val="clear" w:color="auto" w:fill="CEF0FC"/>
          </w:tcPr>
          <w:p>
            <w:pPr>
              <w:spacing w:after="0"/>
              <w:rPr>
                <w:sz w:val="16"/>
                <w:szCs w:val="16"/>
                <w:color w:val="auto"/>
              </w:rPr>
            </w:pPr>
          </w:p>
        </w:tc>
        <w:tc>
          <w:tcPr>
            <w:tcW w:w="240" w:type="dxa"/>
            <w:vAlign w:val="bottom"/>
            <w:shd w:val="clear" w:color="auto" w:fill="CEF0FC"/>
          </w:tcPr>
          <w:p>
            <w:pPr>
              <w:spacing w:after="0"/>
              <w:rPr>
                <w:sz w:val="16"/>
                <w:szCs w:val="16"/>
                <w:color w:val="auto"/>
              </w:rPr>
            </w:pPr>
          </w:p>
        </w:tc>
        <w:tc>
          <w:tcPr>
            <w:tcW w:w="800" w:type="dxa"/>
            <w:vAlign w:val="bottom"/>
            <w:shd w:val="clear" w:color="auto" w:fill="CEF0FC"/>
          </w:tcPr>
          <w:p>
            <w:pPr>
              <w:spacing w:after="0"/>
              <w:rPr>
                <w:sz w:val="16"/>
                <w:szCs w:val="16"/>
                <w:color w:val="auto"/>
              </w:rPr>
            </w:pPr>
          </w:p>
        </w:tc>
        <w:tc>
          <w:tcPr>
            <w:tcW w:w="240" w:type="dxa"/>
            <w:vAlign w:val="bottom"/>
            <w:shd w:val="clear" w:color="auto" w:fill="CEF0FC"/>
          </w:tcPr>
          <w:p>
            <w:pPr>
              <w:spacing w:after="0"/>
              <w:rPr>
                <w:sz w:val="16"/>
                <w:szCs w:val="16"/>
                <w:color w:val="auto"/>
              </w:rPr>
            </w:pPr>
          </w:p>
        </w:tc>
        <w:tc>
          <w:tcPr>
            <w:tcW w:w="80" w:type="dxa"/>
            <w:vAlign w:val="bottom"/>
            <w:shd w:val="clear" w:color="auto" w:fill="CEF0FC"/>
          </w:tcPr>
          <w:p>
            <w:pPr>
              <w:spacing w:after="0"/>
              <w:rPr>
                <w:sz w:val="16"/>
                <w:szCs w:val="16"/>
                <w:color w:val="auto"/>
              </w:rPr>
            </w:pPr>
          </w:p>
        </w:tc>
        <w:tc>
          <w:tcPr>
            <w:tcW w:w="1000" w:type="dxa"/>
            <w:vAlign w:val="bottom"/>
            <w:shd w:val="clear" w:color="auto" w:fill="CEF0FC"/>
          </w:tcPr>
          <w:p>
            <w:pPr>
              <w:spacing w:after="0"/>
              <w:rPr>
                <w:sz w:val="16"/>
                <w:szCs w:val="16"/>
                <w:color w:val="auto"/>
              </w:rPr>
            </w:pPr>
          </w:p>
        </w:tc>
        <w:tc>
          <w:tcPr>
            <w:tcW w:w="220" w:type="dxa"/>
            <w:vAlign w:val="bottom"/>
            <w:shd w:val="clear" w:color="auto" w:fill="CEF0FC"/>
          </w:tcPr>
          <w:p>
            <w:pPr>
              <w:spacing w:after="0"/>
              <w:rPr>
                <w:sz w:val="16"/>
                <w:szCs w:val="16"/>
                <w:color w:val="auto"/>
              </w:rPr>
            </w:pPr>
          </w:p>
        </w:tc>
        <w:tc>
          <w:tcPr>
            <w:tcW w:w="5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8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40" w:type="dxa"/>
            <w:vAlign w:val="bottom"/>
            <w:gridSpan w:val="3"/>
          </w:tcPr>
          <w:p>
            <w:pPr>
              <w:spacing w:after="0"/>
              <w:rPr>
                <w:sz w:val="20"/>
                <w:szCs w:val="20"/>
                <w:color w:val="auto"/>
              </w:rPr>
            </w:pPr>
            <w:r>
              <w:rPr>
                <w:rFonts w:ascii="Arial" w:cs="Arial" w:eastAsia="Arial" w:hAnsi="Arial"/>
                <w:sz w:val="14"/>
                <w:szCs w:val="14"/>
                <w:color w:val="auto"/>
              </w:rPr>
              <w:t>CloudPay, Inc.</w:t>
            </w:r>
          </w:p>
        </w:tc>
        <w:tc>
          <w:tcPr>
            <w:tcW w:w="14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Arial" w:cs="Arial" w:eastAsia="Arial" w:hAnsi="Arial"/>
                <w:sz w:val="14"/>
                <w:szCs w:val="14"/>
                <w:color w:val="auto"/>
              </w:rPr>
              <w:t>Series B Preferred Stock</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6/30/2020</w:t>
            </w:r>
          </w:p>
        </w:tc>
        <w:tc>
          <w:tcPr>
            <w:tcW w:w="122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6/30/2030</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11,273</w:t>
            </w:r>
          </w:p>
        </w:tc>
        <w:tc>
          <w:tcPr>
            <w:tcW w:w="4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217,500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874,348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3"/>
        </w:trPr>
        <w:tc>
          <w:tcPr>
            <w:tcW w:w="20" w:type="dxa"/>
            <w:vAlign w:val="bottom"/>
            <w:shd w:val="clear" w:color="auto" w:fill="CEF0FC"/>
          </w:tcPr>
          <w:p>
            <w:pPr>
              <w:spacing w:after="0"/>
              <w:rPr>
                <w:sz w:val="12"/>
                <w:szCs w:val="12"/>
                <w:color w:val="auto"/>
              </w:rPr>
            </w:pPr>
          </w:p>
        </w:tc>
        <w:tc>
          <w:tcPr>
            <w:tcW w:w="740" w:type="dxa"/>
            <w:vAlign w:val="bottom"/>
            <w:shd w:val="clear" w:color="auto" w:fill="CEF0FC"/>
          </w:tcPr>
          <w:p>
            <w:pPr>
              <w:spacing w:after="0"/>
              <w:rPr>
                <w:sz w:val="12"/>
                <w:szCs w:val="12"/>
                <w:color w:val="auto"/>
              </w:rPr>
            </w:pPr>
          </w:p>
        </w:tc>
        <w:tc>
          <w:tcPr>
            <w:tcW w:w="920" w:type="dxa"/>
            <w:vAlign w:val="bottom"/>
            <w:shd w:val="clear" w:color="auto" w:fill="CEF0FC"/>
          </w:tcPr>
          <w:p>
            <w:pPr>
              <w:spacing w:after="0"/>
              <w:rPr>
                <w:sz w:val="12"/>
                <w:szCs w:val="12"/>
                <w:color w:val="auto"/>
              </w:rPr>
            </w:pPr>
          </w:p>
        </w:tc>
        <w:tc>
          <w:tcPr>
            <w:tcW w:w="58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2260" w:type="dxa"/>
            <w:vAlign w:val="bottom"/>
            <w:shd w:val="clear" w:color="auto" w:fill="CEF0FC"/>
          </w:tcPr>
          <w:p>
            <w:pPr>
              <w:spacing w:after="0"/>
              <w:rPr>
                <w:sz w:val="12"/>
                <w:szCs w:val="12"/>
                <w:color w:val="auto"/>
              </w:rPr>
            </w:pPr>
          </w:p>
        </w:tc>
        <w:tc>
          <w:tcPr>
            <w:tcW w:w="120" w:type="dxa"/>
            <w:vAlign w:val="bottom"/>
            <w:shd w:val="clear" w:color="auto" w:fill="CE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108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92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80" w:type="dxa"/>
            <w:vAlign w:val="bottom"/>
            <w:shd w:val="clear" w:color="auto" w:fill="CEF0FC"/>
          </w:tcPr>
          <w:p>
            <w:pPr>
              <w:spacing w:after="0"/>
              <w:rPr>
                <w:sz w:val="12"/>
                <w:szCs w:val="12"/>
                <w:color w:val="auto"/>
              </w:rPr>
            </w:pPr>
          </w:p>
        </w:tc>
        <w:tc>
          <w:tcPr>
            <w:tcW w:w="1000" w:type="dxa"/>
            <w:vAlign w:val="bottom"/>
            <w:shd w:val="clear" w:color="auto" w:fill="CEF0FC"/>
          </w:tcPr>
          <w:p>
            <w:pPr>
              <w:spacing w:after="0"/>
              <w:rPr>
                <w:sz w:val="12"/>
                <w:szCs w:val="12"/>
                <w:color w:val="auto"/>
              </w:rPr>
            </w:pPr>
          </w:p>
        </w:tc>
        <w:tc>
          <w:tcPr>
            <w:tcW w:w="780" w:type="dxa"/>
            <w:vAlign w:val="bottom"/>
            <w:gridSpan w:val="2"/>
            <w:shd w:val="clear" w:color="auto" w:fill="CEF0FC"/>
          </w:tcPr>
          <w:p>
            <w:pPr>
              <w:jc w:val="right"/>
              <w:spacing w:after="0" w:line="143"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1"/>
        </w:trPr>
        <w:tc>
          <w:tcPr>
            <w:tcW w:w="20" w:type="dxa"/>
            <w:vAlign w:val="bottom"/>
            <w:shd w:val="clear" w:color="auto" w:fill="CEF0FC"/>
          </w:tcPr>
          <w:p>
            <w:pPr>
              <w:spacing w:after="0"/>
              <w:rPr>
                <w:sz w:val="15"/>
                <w:szCs w:val="15"/>
                <w:color w:val="auto"/>
              </w:rPr>
            </w:pPr>
          </w:p>
        </w:tc>
        <w:tc>
          <w:tcPr>
            <w:tcW w:w="740" w:type="dxa"/>
            <w:vAlign w:val="bottom"/>
            <w:shd w:val="clear" w:color="auto" w:fill="CEF0FC"/>
          </w:tcPr>
          <w:p>
            <w:pPr>
              <w:spacing w:after="0"/>
              <w:rPr>
                <w:sz w:val="15"/>
                <w:szCs w:val="15"/>
                <w:color w:val="auto"/>
              </w:rPr>
            </w:pPr>
          </w:p>
        </w:tc>
        <w:tc>
          <w:tcPr>
            <w:tcW w:w="920" w:type="dxa"/>
            <w:vAlign w:val="bottom"/>
            <w:shd w:val="clear" w:color="auto" w:fill="CEF0FC"/>
          </w:tcPr>
          <w:p>
            <w:pPr>
              <w:spacing w:after="0"/>
              <w:rPr>
                <w:sz w:val="15"/>
                <w:szCs w:val="15"/>
                <w:color w:val="auto"/>
              </w:rPr>
            </w:pPr>
          </w:p>
        </w:tc>
        <w:tc>
          <w:tcPr>
            <w:tcW w:w="58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2260" w:type="dxa"/>
            <w:vAlign w:val="bottom"/>
            <w:shd w:val="clear" w:color="auto" w:fill="CEF0FC"/>
          </w:tcPr>
          <w:p>
            <w:pPr>
              <w:ind w:left="20"/>
              <w:spacing w:after="0"/>
              <w:rPr>
                <w:sz w:val="20"/>
                <w:szCs w:val="20"/>
                <w:color w:val="auto"/>
              </w:rPr>
            </w:pPr>
            <w:r>
              <w:rPr>
                <w:rFonts w:ascii="Arial" w:cs="Arial" w:eastAsia="Arial" w:hAnsi="Arial"/>
                <w:sz w:val="14"/>
                <w:szCs w:val="14"/>
                <w:color w:val="auto"/>
              </w:rPr>
              <w:t>Series D Preferred Stock</w:t>
            </w:r>
          </w:p>
        </w:tc>
        <w:tc>
          <w:tcPr>
            <w:tcW w:w="920" w:type="dxa"/>
            <w:vAlign w:val="bottom"/>
            <w:gridSpan w:val="2"/>
            <w:shd w:val="clear" w:color="auto" w:fill="CEF0FC"/>
          </w:tcPr>
          <w:p>
            <w:pPr>
              <w:jc w:val="center"/>
              <w:ind w:left="68"/>
              <w:spacing w:after="0"/>
              <w:rPr>
                <w:sz w:val="20"/>
                <w:szCs w:val="20"/>
                <w:color w:val="auto"/>
              </w:rPr>
            </w:pPr>
            <w:r>
              <w:rPr>
                <w:rFonts w:ascii="Arial" w:cs="Arial" w:eastAsia="Arial" w:hAnsi="Arial"/>
                <w:sz w:val="14"/>
                <w:szCs w:val="14"/>
                <w:color w:val="auto"/>
                <w:w w:val="93"/>
              </w:rPr>
              <w:t>8/17/2021</w:t>
            </w:r>
          </w:p>
        </w:tc>
        <w:tc>
          <w:tcPr>
            <w:tcW w:w="1220" w:type="dxa"/>
            <w:vAlign w:val="bottom"/>
            <w:gridSpan w:val="2"/>
            <w:shd w:val="clear" w:color="auto" w:fill="CEF0FC"/>
          </w:tcPr>
          <w:p>
            <w:pPr>
              <w:jc w:val="center"/>
              <w:ind w:left="68"/>
              <w:spacing w:after="0"/>
              <w:rPr>
                <w:sz w:val="20"/>
                <w:szCs w:val="20"/>
                <w:color w:val="auto"/>
              </w:rPr>
            </w:pPr>
            <w:r>
              <w:rPr>
                <w:rFonts w:ascii="Arial" w:cs="Arial" w:eastAsia="Arial" w:hAnsi="Arial"/>
                <w:sz w:val="14"/>
                <w:szCs w:val="14"/>
                <w:color w:val="auto"/>
                <w:w w:val="96"/>
              </w:rPr>
              <w:t>8/17/2031</w:t>
            </w:r>
          </w:p>
        </w:tc>
        <w:tc>
          <w:tcPr>
            <w:tcW w:w="1060" w:type="dxa"/>
            <w:vAlign w:val="bottom"/>
            <w:gridSpan w:val="2"/>
            <w:shd w:val="clear" w:color="auto" w:fill="CEF0FC"/>
          </w:tcPr>
          <w:p>
            <w:pPr>
              <w:jc w:val="right"/>
              <w:spacing w:after="0"/>
              <w:rPr>
                <w:sz w:val="20"/>
                <w:szCs w:val="20"/>
                <w:color w:val="auto"/>
              </w:rPr>
            </w:pPr>
            <w:r>
              <w:rPr>
                <w:rFonts w:ascii="Arial" w:cs="Arial" w:eastAsia="Arial" w:hAnsi="Arial"/>
                <w:sz w:val="14"/>
                <w:szCs w:val="14"/>
                <w:color w:val="auto"/>
              </w:rPr>
              <w:t>3,502</w:t>
            </w:r>
          </w:p>
        </w:tc>
        <w:tc>
          <w:tcPr>
            <w:tcW w:w="240" w:type="dxa"/>
            <w:vAlign w:val="bottom"/>
            <w:shd w:val="clear" w:color="auto" w:fill="CEF0FC"/>
          </w:tcPr>
          <w:p>
            <w:pPr>
              <w:spacing w:after="0"/>
              <w:rPr>
                <w:sz w:val="15"/>
                <w:szCs w:val="15"/>
                <w:color w:val="auto"/>
              </w:rPr>
            </w:pPr>
          </w:p>
        </w:tc>
        <w:tc>
          <w:tcPr>
            <w:tcW w:w="240" w:type="dxa"/>
            <w:vAlign w:val="bottom"/>
            <w:shd w:val="clear" w:color="auto" w:fill="CEF0FC"/>
          </w:tcPr>
          <w:p>
            <w:pPr>
              <w:spacing w:after="0"/>
              <w:rPr>
                <w:sz w:val="15"/>
                <w:szCs w:val="15"/>
                <w:color w:val="auto"/>
              </w:rPr>
            </w:pPr>
          </w:p>
        </w:tc>
        <w:tc>
          <w:tcPr>
            <w:tcW w:w="8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52,346</w:t>
            </w:r>
          </w:p>
        </w:tc>
        <w:tc>
          <w:tcPr>
            <w:tcW w:w="240" w:type="dxa"/>
            <w:vAlign w:val="bottom"/>
            <w:shd w:val="clear" w:color="auto" w:fill="CEF0FC"/>
          </w:tcPr>
          <w:p>
            <w:pPr>
              <w:spacing w:after="0"/>
              <w:rPr>
                <w:sz w:val="15"/>
                <w:szCs w:val="15"/>
                <w:color w:val="auto"/>
              </w:rPr>
            </w:pPr>
          </w:p>
        </w:tc>
        <w:tc>
          <w:tcPr>
            <w:tcW w:w="80" w:type="dxa"/>
            <w:vAlign w:val="bottom"/>
            <w:shd w:val="clear" w:color="auto" w:fill="CEF0FC"/>
          </w:tcPr>
          <w:p>
            <w:pPr>
              <w:spacing w:after="0"/>
              <w:rPr>
                <w:sz w:val="15"/>
                <w:szCs w:val="15"/>
                <w:color w:val="auto"/>
              </w:rPr>
            </w:pPr>
          </w:p>
        </w:tc>
        <w:tc>
          <w:tcPr>
            <w:tcW w:w="10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42,622</w:t>
            </w:r>
          </w:p>
        </w:tc>
        <w:tc>
          <w:tcPr>
            <w:tcW w:w="780" w:type="dxa"/>
            <w:vAlign w:val="bottom"/>
            <w:gridSpan w:val="2"/>
            <w:shd w:val="clear" w:color="auto" w:fill="CEF0FC"/>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40" w:type="dxa"/>
            <w:vAlign w:val="bottom"/>
            <w:gridSpan w:val="3"/>
          </w:tcPr>
          <w:p>
            <w:pPr>
              <w:spacing w:after="0"/>
              <w:rPr>
                <w:sz w:val="20"/>
                <w:szCs w:val="20"/>
                <w:color w:val="auto"/>
              </w:rPr>
            </w:pPr>
            <w:r>
              <w:rPr>
                <w:rFonts w:ascii="Arial" w:cs="Arial" w:eastAsia="Arial" w:hAnsi="Arial"/>
                <w:sz w:val="14"/>
                <w:szCs w:val="14"/>
                <w:color w:val="auto"/>
              </w:rPr>
              <w:t>Snagajob.com, Inc.</w:t>
            </w:r>
          </w:p>
        </w:tc>
        <w:tc>
          <w:tcPr>
            <w:tcW w:w="14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Arial" w:cs="Arial" w:eastAsia="Arial" w:hAnsi="Arial"/>
                <w:sz w:val="14"/>
                <w:szCs w:val="14"/>
                <w:color w:val="auto"/>
              </w:rPr>
              <w:t>Series B-1 Preferred Stock</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9/29/2021</w:t>
            </w:r>
          </w:p>
        </w:tc>
        <w:tc>
          <w:tcPr>
            <w:tcW w:w="122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9/29/2031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763,269</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342,716</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368,171</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3"/>
        </w:trPr>
        <w:tc>
          <w:tcPr>
            <w:tcW w:w="20" w:type="dxa"/>
            <w:vAlign w:val="bottom"/>
            <w:shd w:val="clear" w:color="auto" w:fill="CEF0FC"/>
          </w:tcPr>
          <w:p>
            <w:pPr>
              <w:spacing w:after="0"/>
              <w:rPr>
                <w:sz w:val="11"/>
                <w:szCs w:val="11"/>
                <w:color w:val="auto"/>
              </w:rPr>
            </w:pPr>
          </w:p>
        </w:tc>
        <w:tc>
          <w:tcPr>
            <w:tcW w:w="2240" w:type="dxa"/>
            <w:vAlign w:val="bottom"/>
            <w:gridSpan w:val="3"/>
            <w:shd w:val="clear" w:color="auto" w:fill="CEF0FC"/>
          </w:tcPr>
          <w:p>
            <w:pPr>
              <w:spacing w:after="0" w:line="133" w:lineRule="exact"/>
              <w:rPr>
                <w:sz w:val="20"/>
                <w:szCs w:val="20"/>
                <w:color w:val="auto"/>
              </w:rPr>
            </w:pPr>
            <w:r>
              <w:rPr>
                <w:rFonts w:ascii="Arial" w:cs="Arial" w:eastAsia="Arial" w:hAnsi="Arial"/>
                <w:sz w:val="14"/>
                <w:szCs w:val="14"/>
                <w:b w:val="1"/>
                <w:bCs w:val="1"/>
                <w:color w:val="auto"/>
              </w:rPr>
              <w:t>Total Human Resource &amp;</w:t>
            </w:r>
          </w:p>
        </w:tc>
        <w:tc>
          <w:tcPr>
            <w:tcW w:w="140" w:type="dxa"/>
            <w:vAlign w:val="bottom"/>
            <w:shd w:val="clear" w:color="auto" w:fill="CEF0FC"/>
          </w:tcPr>
          <w:p>
            <w:pPr>
              <w:spacing w:after="0"/>
              <w:rPr>
                <w:sz w:val="11"/>
                <w:szCs w:val="11"/>
                <w:color w:val="auto"/>
              </w:rPr>
            </w:pPr>
          </w:p>
        </w:tc>
        <w:tc>
          <w:tcPr>
            <w:tcW w:w="2260" w:type="dxa"/>
            <w:vAlign w:val="bottom"/>
            <w:shd w:val="clear" w:color="auto" w:fill="CEF0FC"/>
          </w:tcPr>
          <w:p>
            <w:pPr>
              <w:spacing w:after="0"/>
              <w:rPr>
                <w:sz w:val="11"/>
                <w:szCs w:val="11"/>
                <w:color w:val="auto"/>
              </w:rPr>
            </w:pPr>
          </w:p>
        </w:tc>
        <w:tc>
          <w:tcPr>
            <w:tcW w:w="120" w:type="dxa"/>
            <w:vAlign w:val="bottom"/>
            <w:shd w:val="clear" w:color="auto" w:fill="CEF0FC"/>
          </w:tcPr>
          <w:p>
            <w:pPr>
              <w:spacing w:after="0"/>
              <w:rPr>
                <w:sz w:val="11"/>
                <w:szCs w:val="11"/>
                <w:color w:val="auto"/>
              </w:rPr>
            </w:pPr>
          </w:p>
        </w:tc>
        <w:tc>
          <w:tcPr>
            <w:tcW w:w="800" w:type="dxa"/>
            <w:vAlign w:val="bottom"/>
            <w:shd w:val="clear" w:color="auto" w:fill="CEF0FC"/>
          </w:tcPr>
          <w:p>
            <w:pPr>
              <w:spacing w:after="0"/>
              <w:rPr>
                <w:sz w:val="11"/>
                <w:szCs w:val="11"/>
                <w:color w:val="auto"/>
              </w:rPr>
            </w:pPr>
          </w:p>
        </w:tc>
        <w:tc>
          <w:tcPr>
            <w:tcW w:w="140" w:type="dxa"/>
            <w:vAlign w:val="bottom"/>
            <w:shd w:val="clear" w:color="auto" w:fill="CEF0FC"/>
          </w:tcPr>
          <w:p>
            <w:pPr>
              <w:spacing w:after="0"/>
              <w:rPr>
                <w:sz w:val="11"/>
                <w:szCs w:val="11"/>
                <w:color w:val="auto"/>
              </w:rPr>
            </w:pPr>
          </w:p>
        </w:tc>
        <w:tc>
          <w:tcPr>
            <w:tcW w:w="1080" w:type="dxa"/>
            <w:vAlign w:val="bottom"/>
            <w:shd w:val="clear" w:color="auto" w:fill="CEF0FC"/>
          </w:tcPr>
          <w:p>
            <w:pPr>
              <w:spacing w:after="0"/>
              <w:rPr>
                <w:sz w:val="11"/>
                <w:szCs w:val="11"/>
                <w:color w:val="auto"/>
              </w:rPr>
            </w:pPr>
          </w:p>
        </w:tc>
        <w:tc>
          <w:tcPr>
            <w:tcW w:w="140" w:type="dxa"/>
            <w:vAlign w:val="bottom"/>
            <w:shd w:val="clear" w:color="auto" w:fill="CEF0FC"/>
          </w:tcPr>
          <w:p>
            <w:pPr>
              <w:spacing w:after="0"/>
              <w:rPr>
                <w:sz w:val="11"/>
                <w:szCs w:val="11"/>
                <w:color w:val="auto"/>
              </w:rPr>
            </w:pPr>
          </w:p>
        </w:tc>
        <w:tc>
          <w:tcPr>
            <w:tcW w:w="920" w:type="dxa"/>
            <w:vAlign w:val="bottom"/>
            <w:shd w:val="clear" w:color="auto" w:fill="CEF0FC"/>
          </w:tcPr>
          <w:p>
            <w:pPr>
              <w:spacing w:after="0"/>
              <w:rPr>
                <w:sz w:val="11"/>
                <w:szCs w:val="11"/>
                <w:color w:val="auto"/>
              </w:rPr>
            </w:pPr>
          </w:p>
        </w:tc>
        <w:tc>
          <w:tcPr>
            <w:tcW w:w="240" w:type="dxa"/>
            <w:vAlign w:val="bottom"/>
            <w:shd w:val="clear" w:color="auto" w:fill="CEF0FC"/>
          </w:tcPr>
          <w:p>
            <w:pPr>
              <w:spacing w:after="0"/>
              <w:rPr>
                <w:sz w:val="11"/>
                <w:szCs w:val="11"/>
                <w:color w:val="auto"/>
              </w:rPr>
            </w:pPr>
          </w:p>
        </w:tc>
        <w:tc>
          <w:tcPr>
            <w:tcW w:w="240" w:type="dxa"/>
            <w:vAlign w:val="bottom"/>
            <w:shd w:val="clear" w:color="auto" w:fill="CEF0FC"/>
          </w:tcPr>
          <w:p>
            <w:pPr>
              <w:spacing w:after="0"/>
              <w:rPr>
                <w:sz w:val="11"/>
                <w:szCs w:val="11"/>
                <w:color w:val="auto"/>
              </w:rPr>
            </w:pPr>
          </w:p>
        </w:tc>
        <w:tc>
          <w:tcPr>
            <w:tcW w:w="800" w:type="dxa"/>
            <w:vAlign w:val="bottom"/>
            <w:vMerge w:val="restart"/>
            <w:shd w:val="clear" w:color="auto" w:fill="CEF0FC"/>
          </w:tcPr>
          <w:p>
            <w:pPr>
              <w:jc w:val="right"/>
              <w:spacing w:after="0"/>
              <w:rPr>
                <w:sz w:val="20"/>
                <w:szCs w:val="20"/>
                <w:color w:val="auto"/>
              </w:rPr>
            </w:pPr>
            <w:r>
              <w:rPr>
                <w:rFonts w:ascii="Arial" w:cs="Arial" w:eastAsia="Arial" w:hAnsi="Arial"/>
                <w:sz w:val="14"/>
                <w:szCs w:val="14"/>
                <w:color w:val="auto"/>
              </w:rPr>
              <w:t>612,562</w:t>
            </w:r>
          </w:p>
        </w:tc>
        <w:tc>
          <w:tcPr>
            <w:tcW w:w="240" w:type="dxa"/>
            <w:vAlign w:val="bottom"/>
            <w:shd w:val="clear" w:color="auto" w:fill="CEF0FC"/>
          </w:tcPr>
          <w:p>
            <w:pPr>
              <w:spacing w:after="0"/>
              <w:rPr>
                <w:sz w:val="11"/>
                <w:szCs w:val="11"/>
                <w:color w:val="auto"/>
              </w:rPr>
            </w:pPr>
          </w:p>
        </w:tc>
        <w:tc>
          <w:tcPr>
            <w:tcW w:w="80" w:type="dxa"/>
            <w:vAlign w:val="bottom"/>
            <w:shd w:val="clear" w:color="auto" w:fill="CEF0FC"/>
          </w:tcPr>
          <w:p>
            <w:pPr>
              <w:spacing w:after="0"/>
              <w:rPr>
                <w:sz w:val="11"/>
                <w:szCs w:val="11"/>
                <w:color w:val="auto"/>
              </w:rPr>
            </w:pPr>
          </w:p>
        </w:tc>
        <w:tc>
          <w:tcPr>
            <w:tcW w:w="1000" w:type="dxa"/>
            <w:vAlign w:val="bottom"/>
            <w:vMerge w:val="restart"/>
            <w:shd w:val="clear" w:color="auto" w:fill="CEF0FC"/>
          </w:tcPr>
          <w:p>
            <w:pPr>
              <w:jc w:val="right"/>
              <w:spacing w:after="0"/>
              <w:rPr>
                <w:sz w:val="20"/>
                <w:szCs w:val="20"/>
                <w:color w:val="auto"/>
              </w:rPr>
            </w:pPr>
            <w:r>
              <w:rPr>
                <w:rFonts w:ascii="Arial" w:cs="Arial" w:eastAsia="Arial" w:hAnsi="Arial"/>
                <w:sz w:val="14"/>
                <w:szCs w:val="14"/>
                <w:color w:val="auto"/>
              </w:rPr>
              <w:t>1,285,141</w:t>
            </w:r>
          </w:p>
        </w:tc>
        <w:tc>
          <w:tcPr>
            <w:tcW w:w="220" w:type="dxa"/>
            <w:vAlign w:val="bottom"/>
            <w:shd w:val="clear" w:color="auto" w:fill="CEF0FC"/>
          </w:tcPr>
          <w:p>
            <w:pPr>
              <w:spacing w:after="0"/>
              <w:rPr>
                <w:sz w:val="11"/>
                <w:szCs w:val="11"/>
                <w:color w:val="auto"/>
              </w:rPr>
            </w:pPr>
          </w:p>
        </w:tc>
        <w:tc>
          <w:tcPr>
            <w:tcW w:w="560" w:type="dxa"/>
            <w:vAlign w:val="bottom"/>
            <w:shd w:val="clear" w:color="auto" w:fill="CE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EF0FC"/>
            </w:tcBorders>
            <w:shd w:val="clear" w:color="auto" w:fill="CEF0FC"/>
          </w:tcPr>
          <w:p>
            <w:pPr>
              <w:spacing w:after="0"/>
              <w:rPr>
                <w:sz w:val="14"/>
                <w:szCs w:val="14"/>
                <w:color w:val="auto"/>
              </w:rPr>
            </w:pPr>
          </w:p>
        </w:tc>
        <w:tc>
          <w:tcPr>
            <w:tcW w:w="2240" w:type="dxa"/>
            <w:vAlign w:val="bottom"/>
            <w:tcBorders>
              <w:bottom w:val="single" w:sz="8" w:color="CEF0FC"/>
            </w:tcBorders>
            <w:gridSpan w:val="3"/>
            <w:shd w:val="clear" w:color="auto" w:fill="CEF0FC"/>
          </w:tcPr>
          <w:p>
            <w:pPr>
              <w:spacing w:after="0"/>
              <w:rPr>
                <w:sz w:val="20"/>
                <w:szCs w:val="20"/>
                <w:color w:val="auto"/>
              </w:rPr>
            </w:pPr>
            <w:r>
              <w:rPr>
                <w:rFonts w:ascii="Arial" w:cs="Arial" w:eastAsia="Arial" w:hAnsi="Arial"/>
                <w:sz w:val="14"/>
                <w:szCs w:val="14"/>
                <w:b w:val="1"/>
                <w:bCs w:val="1"/>
                <w:color w:val="auto"/>
              </w:rPr>
              <w:t>Employment Services - 0.22%*</w:t>
            </w:r>
          </w:p>
        </w:tc>
        <w:tc>
          <w:tcPr>
            <w:tcW w:w="140" w:type="dxa"/>
            <w:vAlign w:val="bottom"/>
            <w:tcBorders>
              <w:bottom w:val="single" w:sz="8" w:color="CEF0FC"/>
            </w:tcBorders>
            <w:shd w:val="clear" w:color="auto" w:fill="CEF0FC"/>
          </w:tcPr>
          <w:p>
            <w:pPr>
              <w:spacing w:after="0"/>
              <w:rPr>
                <w:sz w:val="14"/>
                <w:szCs w:val="14"/>
                <w:color w:val="auto"/>
              </w:rPr>
            </w:pPr>
          </w:p>
        </w:tc>
        <w:tc>
          <w:tcPr>
            <w:tcW w:w="2260" w:type="dxa"/>
            <w:vAlign w:val="bottom"/>
            <w:tcBorders>
              <w:bottom w:val="single" w:sz="8" w:color="CEF0FC"/>
            </w:tcBorders>
            <w:shd w:val="clear" w:color="auto" w:fill="CEF0FC"/>
          </w:tcPr>
          <w:p>
            <w:pPr>
              <w:spacing w:after="0"/>
              <w:rPr>
                <w:sz w:val="14"/>
                <w:szCs w:val="14"/>
                <w:color w:val="auto"/>
              </w:rPr>
            </w:pPr>
          </w:p>
        </w:tc>
        <w:tc>
          <w:tcPr>
            <w:tcW w:w="120" w:type="dxa"/>
            <w:vAlign w:val="bottom"/>
            <w:tcBorders>
              <w:bottom w:val="single" w:sz="8" w:color="CEF0FC"/>
            </w:tcBorders>
            <w:shd w:val="clear" w:color="auto" w:fill="CEF0FC"/>
          </w:tcPr>
          <w:p>
            <w:pPr>
              <w:spacing w:after="0"/>
              <w:rPr>
                <w:sz w:val="14"/>
                <w:szCs w:val="14"/>
                <w:color w:val="auto"/>
              </w:rPr>
            </w:pPr>
          </w:p>
        </w:tc>
        <w:tc>
          <w:tcPr>
            <w:tcW w:w="80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108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920" w:type="dxa"/>
            <w:vAlign w:val="bottom"/>
            <w:tcBorders>
              <w:bottom w:val="single" w:sz="8" w:color="CEF0FC"/>
            </w:tcBorders>
            <w:shd w:val="clear" w:color="auto" w:fill="CEF0FC"/>
          </w:tcPr>
          <w:p>
            <w:pPr>
              <w:spacing w:after="0"/>
              <w:rPr>
                <w:sz w:val="14"/>
                <w:szCs w:val="14"/>
                <w:color w:val="auto"/>
              </w:rPr>
            </w:pPr>
          </w:p>
        </w:tc>
        <w:tc>
          <w:tcPr>
            <w:tcW w:w="240" w:type="dxa"/>
            <w:vAlign w:val="bottom"/>
            <w:tcBorders>
              <w:bottom w:val="single" w:sz="8" w:color="CEF0FC"/>
            </w:tcBorders>
            <w:shd w:val="clear" w:color="auto" w:fill="CEF0FC"/>
          </w:tcPr>
          <w:p>
            <w:pPr>
              <w:spacing w:after="0"/>
              <w:rPr>
                <w:sz w:val="14"/>
                <w:szCs w:val="14"/>
                <w:color w:val="auto"/>
              </w:rPr>
            </w:pPr>
          </w:p>
        </w:tc>
        <w:tc>
          <w:tcPr>
            <w:tcW w:w="240" w:type="dxa"/>
            <w:vAlign w:val="bottom"/>
            <w:tcBorders>
              <w:bottom w:val="single" w:sz="8" w:color="auto"/>
            </w:tcBorders>
            <w:shd w:val="clear" w:color="auto" w:fill="CEF0FC"/>
          </w:tcPr>
          <w:p>
            <w:pPr>
              <w:spacing w:after="0"/>
              <w:rPr>
                <w:sz w:val="14"/>
                <w:szCs w:val="14"/>
                <w:color w:val="auto"/>
              </w:rPr>
            </w:pPr>
          </w:p>
        </w:tc>
        <w:tc>
          <w:tcPr>
            <w:tcW w:w="800" w:type="dxa"/>
            <w:vAlign w:val="bottom"/>
            <w:tcBorders>
              <w:bottom w:val="single" w:sz="8" w:color="auto"/>
            </w:tcBorders>
            <w:vMerge w:val="continue"/>
            <w:shd w:val="clear" w:color="auto" w:fill="CEF0FC"/>
          </w:tcPr>
          <w:p>
            <w:pPr>
              <w:spacing w:after="0"/>
              <w:rPr>
                <w:sz w:val="14"/>
                <w:szCs w:val="14"/>
                <w:color w:val="auto"/>
              </w:rPr>
            </w:pPr>
          </w:p>
        </w:tc>
        <w:tc>
          <w:tcPr>
            <w:tcW w:w="240" w:type="dxa"/>
            <w:vAlign w:val="bottom"/>
            <w:tcBorders>
              <w:bottom w:val="single" w:sz="8" w:color="CEF0FC"/>
            </w:tcBorders>
            <w:shd w:val="clear" w:color="auto" w:fill="CEF0FC"/>
          </w:tcPr>
          <w:p>
            <w:pPr>
              <w:spacing w:after="0"/>
              <w:rPr>
                <w:sz w:val="14"/>
                <w:szCs w:val="14"/>
                <w:color w:val="auto"/>
              </w:rPr>
            </w:pPr>
          </w:p>
        </w:tc>
        <w:tc>
          <w:tcPr>
            <w:tcW w:w="80" w:type="dxa"/>
            <w:vAlign w:val="bottom"/>
            <w:tcBorders>
              <w:bottom w:val="single" w:sz="8" w:color="auto"/>
            </w:tcBorders>
            <w:shd w:val="clear" w:color="auto" w:fill="CEF0FC"/>
          </w:tcPr>
          <w:p>
            <w:pPr>
              <w:spacing w:after="0"/>
              <w:rPr>
                <w:sz w:val="14"/>
                <w:szCs w:val="14"/>
                <w:color w:val="auto"/>
              </w:rPr>
            </w:pPr>
          </w:p>
        </w:tc>
        <w:tc>
          <w:tcPr>
            <w:tcW w:w="1000" w:type="dxa"/>
            <w:vAlign w:val="bottom"/>
            <w:tcBorders>
              <w:bottom w:val="single" w:sz="8" w:color="auto"/>
            </w:tcBorders>
            <w:vMerge w:val="continue"/>
            <w:shd w:val="clear" w:color="auto" w:fill="CEF0FC"/>
          </w:tcPr>
          <w:p>
            <w:pPr>
              <w:spacing w:after="0"/>
              <w:rPr>
                <w:sz w:val="14"/>
                <w:szCs w:val="14"/>
                <w:color w:val="auto"/>
              </w:rPr>
            </w:pPr>
          </w:p>
        </w:tc>
        <w:tc>
          <w:tcPr>
            <w:tcW w:w="220" w:type="dxa"/>
            <w:vAlign w:val="bottom"/>
            <w:tcBorders>
              <w:bottom w:val="single" w:sz="8" w:color="CEF0FC"/>
            </w:tcBorders>
            <w:shd w:val="clear" w:color="auto" w:fill="CEF0FC"/>
          </w:tcPr>
          <w:p>
            <w:pPr>
              <w:spacing w:after="0"/>
              <w:rPr>
                <w:sz w:val="14"/>
                <w:szCs w:val="14"/>
                <w:color w:val="auto"/>
              </w:rPr>
            </w:pPr>
          </w:p>
        </w:tc>
        <w:tc>
          <w:tcPr>
            <w:tcW w:w="560" w:type="dxa"/>
            <w:vAlign w:val="bottom"/>
            <w:tcBorders>
              <w:bottom w:val="single" w:sz="8" w:color="CEF0FC"/>
            </w:tcBorders>
            <w:shd w:val="clear" w:color="auto" w:fill="CE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EF0FC"/>
          </w:tcPr>
          <w:p>
            <w:pPr>
              <w:spacing w:after="0"/>
              <w:rPr>
                <w:sz w:val="15"/>
                <w:szCs w:val="15"/>
                <w:color w:val="auto"/>
              </w:rPr>
            </w:pPr>
          </w:p>
        </w:tc>
        <w:tc>
          <w:tcPr>
            <w:tcW w:w="2240" w:type="dxa"/>
            <w:vAlign w:val="bottom"/>
            <w:gridSpan w:val="3"/>
            <w:shd w:val="clear" w:color="auto" w:fill="CEF0FC"/>
          </w:tcPr>
          <w:p>
            <w:pPr>
              <w:spacing w:after="0"/>
              <w:rPr>
                <w:sz w:val="20"/>
                <w:szCs w:val="20"/>
                <w:color w:val="auto"/>
              </w:rPr>
            </w:pPr>
            <w:r>
              <w:rPr>
                <w:rFonts w:ascii="Arial" w:cs="Arial" w:eastAsia="Arial" w:hAnsi="Arial"/>
                <w:sz w:val="14"/>
                <w:szCs w:val="14"/>
                <w:b w:val="1"/>
                <w:bCs w:val="1"/>
                <w:color w:val="auto"/>
              </w:rPr>
              <w:t>Internet Software and Services</w:t>
            </w:r>
          </w:p>
        </w:tc>
        <w:tc>
          <w:tcPr>
            <w:tcW w:w="140" w:type="dxa"/>
            <w:vAlign w:val="bottom"/>
            <w:shd w:val="clear" w:color="auto" w:fill="CEF0FC"/>
          </w:tcPr>
          <w:p>
            <w:pPr>
              <w:spacing w:after="0"/>
              <w:rPr>
                <w:sz w:val="15"/>
                <w:szCs w:val="15"/>
                <w:color w:val="auto"/>
              </w:rPr>
            </w:pPr>
          </w:p>
        </w:tc>
        <w:tc>
          <w:tcPr>
            <w:tcW w:w="2260" w:type="dxa"/>
            <w:vAlign w:val="bottom"/>
            <w:shd w:val="clear" w:color="auto" w:fill="CEF0FC"/>
          </w:tcPr>
          <w:p>
            <w:pPr>
              <w:spacing w:after="0"/>
              <w:rPr>
                <w:sz w:val="15"/>
                <w:szCs w:val="15"/>
                <w:color w:val="auto"/>
              </w:rPr>
            </w:pPr>
          </w:p>
        </w:tc>
        <w:tc>
          <w:tcPr>
            <w:tcW w:w="120" w:type="dxa"/>
            <w:vAlign w:val="bottom"/>
            <w:shd w:val="clear" w:color="auto" w:fill="CEF0FC"/>
          </w:tcPr>
          <w:p>
            <w:pPr>
              <w:spacing w:after="0"/>
              <w:rPr>
                <w:sz w:val="15"/>
                <w:szCs w:val="15"/>
                <w:color w:val="auto"/>
              </w:rPr>
            </w:pPr>
          </w:p>
        </w:tc>
        <w:tc>
          <w:tcPr>
            <w:tcW w:w="80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108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920" w:type="dxa"/>
            <w:vAlign w:val="bottom"/>
            <w:shd w:val="clear" w:color="auto" w:fill="CEF0FC"/>
          </w:tcPr>
          <w:p>
            <w:pPr>
              <w:spacing w:after="0"/>
              <w:rPr>
                <w:sz w:val="15"/>
                <w:szCs w:val="15"/>
                <w:color w:val="auto"/>
              </w:rPr>
            </w:pPr>
          </w:p>
        </w:tc>
        <w:tc>
          <w:tcPr>
            <w:tcW w:w="240" w:type="dxa"/>
            <w:vAlign w:val="bottom"/>
            <w:shd w:val="clear" w:color="auto" w:fill="CEF0FC"/>
          </w:tcPr>
          <w:p>
            <w:pPr>
              <w:spacing w:after="0"/>
              <w:rPr>
                <w:sz w:val="15"/>
                <w:szCs w:val="15"/>
                <w:color w:val="auto"/>
              </w:rPr>
            </w:pPr>
          </w:p>
        </w:tc>
        <w:tc>
          <w:tcPr>
            <w:tcW w:w="240" w:type="dxa"/>
            <w:vAlign w:val="bottom"/>
            <w:shd w:val="clear" w:color="auto" w:fill="CEF0FC"/>
          </w:tcPr>
          <w:p>
            <w:pPr>
              <w:spacing w:after="0"/>
              <w:rPr>
                <w:sz w:val="15"/>
                <w:szCs w:val="15"/>
                <w:color w:val="auto"/>
              </w:rPr>
            </w:pPr>
          </w:p>
        </w:tc>
        <w:tc>
          <w:tcPr>
            <w:tcW w:w="800" w:type="dxa"/>
            <w:vAlign w:val="bottom"/>
            <w:shd w:val="clear" w:color="auto" w:fill="CEF0FC"/>
          </w:tcPr>
          <w:p>
            <w:pPr>
              <w:spacing w:after="0"/>
              <w:rPr>
                <w:sz w:val="15"/>
                <w:szCs w:val="15"/>
                <w:color w:val="auto"/>
              </w:rPr>
            </w:pPr>
          </w:p>
        </w:tc>
        <w:tc>
          <w:tcPr>
            <w:tcW w:w="240" w:type="dxa"/>
            <w:vAlign w:val="bottom"/>
            <w:shd w:val="clear" w:color="auto" w:fill="CEF0FC"/>
          </w:tcPr>
          <w:p>
            <w:pPr>
              <w:spacing w:after="0"/>
              <w:rPr>
                <w:sz w:val="15"/>
                <w:szCs w:val="15"/>
                <w:color w:val="auto"/>
              </w:rPr>
            </w:pPr>
          </w:p>
        </w:tc>
        <w:tc>
          <w:tcPr>
            <w:tcW w:w="80" w:type="dxa"/>
            <w:vAlign w:val="bottom"/>
            <w:shd w:val="clear" w:color="auto" w:fill="CEF0FC"/>
          </w:tcPr>
          <w:p>
            <w:pPr>
              <w:spacing w:after="0"/>
              <w:rPr>
                <w:sz w:val="15"/>
                <w:szCs w:val="15"/>
                <w:color w:val="auto"/>
              </w:rPr>
            </w:pPr>
          </w:p>
        </w:tc>
        <w:tc>
          <w:tcPr>
            <w:tcW w:w="1000" w:type="dxa"/>
            <w:vAlign w:val="bottom"/>
            <w:shd w:val="clear" w:color="auto" w:fill="CEF0FC"/>
          </w:tcPr>
          <w:p>
            <w:pPr>
              <w:spacing w:after="0"/>
              <w:rPr>
                <w:sz w:val="15"/>
                <w:szCs w:val="15"/>
                <w:color w:val="auto"/>
              </w:rPr>
            </w:pPr>
          </w:p>
        </w:tc>
        <w:tc>
          <w:tcPr>
            <w:tcW w:w="220" w:type="dxa"/>
            <w:vAlign w:val="bottom"/>
            <w:shd w:val="clear" w:color="auto" w:fill="CEF0FC"/>
          </w:tcPr>
          <w:p>
            <w:pPr>
              <w:spacing w:after="0"/>
              <w:rPr>
                <w:sz w:val="15"/>
                <w:szCs w:val="15"/>
                <w:color w:val="auto"/>
              </w:rPr>
            </w:pPr>
          </w:p>
        </w:tc>
        <w:tc>
          <w:tcPr>
            <w:tcW w:w="560" w:type="dxa"/>
            <w:vAlign w:val="bottom"/>
            <w:shd w:val="clear" w:color="auto" w:fill="CE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40" w:type="dxa"/>
            <w:vAlign w:val="bottom"/>
            <w:gridSpan w:val="3"/>
          </w:tcPr>
          <w:p>
            <w:pPr>
              <w:spacing w:after="0"/>
              <w:rPr>
                <w:sz w:val="20"/>
                <w:szCs w:val="20"/>
                <w:color w:val="auto"/>
              </w:rPr>
            </w:pPr>
            <w:r>
              <w:rPr>
                <w:rFonts w:ascii="Arial" w:cs="Arial" w:eastAsia="Arial" w:hAnsi="Arial"/>
                <w:sz w:val="14"/>
                <w:szCs w:val="14"/>
                <w:color w:val="auto"/>
              </w:rPr>
              <w:t>Bombora, Inc.</w:t>
            </w:r>
          </w:p>
        </w:tc>
        <w:tc>
          <w:tcPr>
            <w:tcW w:w="14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3/31/2021</w:t>
            </w:r>
          </w:p>
        </w:tc>
        <w:tc>
          <w:tcPr>
            <w:tcW w:w="122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3/31/2031</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121,581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174,500</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251,039</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shd w:val="clear" w:color="auto" w:fill="CEF0FC"/>
          </w:tcPr>
          <w:p>
            <w:pPr>
              <w:spacing w:after="0"/>
              <w:rPr>
                <w:sz w:val="15"/>
                <w:szCs w:val="15"/>
                <w:color w:val="auto"/>
              </w:rPr>
            </w:pPr>
          </w:p>
        </w:tc>
        <w:tc>
          <w:tcPr>
            <w:tcW w:w="2240" w:type="dxa"/>
            <w:vAlign w:val="bottom"/>
            <w:gridSpan w:val="3"/>
            <w:shd w:val="clear" w:color="auto" w:fill="CEF0FC"/>
          </w:tcPr>
          <w:p>
            <w:pPr>
              <w:spacing w:after="0"/>
              <w:rPr>
                <w:sz w:val="20"/>
                <w:szCs w:val="20"/>
                <w:color w:val="auto"/>
              </w:rPr>
            </w:pPr>
            <w:r>
              <w:rPr>
                <w:rFonts w:ascii="Arial" w:cs="Arial" w:eastAsia="Arial" w:hAnsi="Arial"/>
                <w:sz w:val="14"/>
                <w:szCs w:val="14"/>
                <w:color w:val="auto"/>
              </w:rPr>
              <w:t>Fidelis Cybersecurity, Inc.</w:t>
            </w:r>
          </w:p>
        </w:tc>
        <w:tc>
          <w:tcPr>
            <w:tcW w:w="140" w:type="dxa"/>
            <w:vAlign w:val="bottom"/>
            <w:shd w:val="clear" w:color="auto" w:fill="CEF0FC"/>
          </w:tcPr>
          <w:p>
            <w:pPr>
              <w:spacing w:after="0"/>
              <w:rPr>
                <w:sz w:val="15"/>
                <w:szCs w:val="15"/>
                <w:color w:val="auto"/>
              </w:rPr>
            </w:pPr>
          </w:p>
        </w:tc>
        <w:tc>
          <w:tcPr>
            <w:tcW w:w="2260" w:type="dxa"/>
            <w:vAlign w:val="bottom"/>
            <w:shd w:val="clear" w:color="auto" w:fill="CEF0FC"/>
          </w:tcPr>
          <w:p>
            <w:pPr>
              <w:ind w:left="20"/>
              <w:spacing w:after="0"/>
              <w:rPr>
                <w:sz w:val="20"/>
                <w:szCs w:val="20"/>
                <w:color w:val="auto"/>
              </w:rPr>
            </w:pPr>
            <w:r>
              <w:rPr>
                <w:rFonts w:ascii="Arial" w:cs="Arial" w:eastAsia="Arial" w:hAnsi="Arial"/>
                <w:sz w:val="14"/>
                <w:szCs w:val="14"/>
                <w:color w:val="auto"/>
              </w:rPr>
              <w:t>Common Stock</w:t>
            </w:r>
          </w:p>
        </w:tc>
        <w:tc>
          <w:tcPr>
            <w:tcW w:w="920" w:type="dxa"/>
            <w:vAlign w:val="bottom"/>
            <w:gridSpan w:val="2"/>
            <w:shd w:val="clear" w:color="auto" w:fill="CEF0FC"/>
          </w:tcPr>
          <w:p>
            <w:pPr>
              <w:jc w:val="center"/>
              <w:ind w:left="68"/>
              <w:spacing w:after="0"/>
              <w:rPr>
                <w:sz w:val="20"/>
                <w:szCs w:val="20"/>
                <w:color w:val="auto"/>
              </w:rPr>
            </w:pPr>
            <w:r>
              <w:rPr>
                <w:rFonts w:ascii="Arial" w:cs="Arial" w:eastAsia="Arial" w:hAnsi="Arial"/>
                <w:sz w:val="14"/>
                <w:szCs w:val="14"/>
                <w:color w:val="auto"/>
                <w:w w:val="93"/>
              </w:rPr>
              <w:t>3/25/2022</w:t>
            </w:r>
          </w:p>
        </w:tc>
        <w:tc>
          <w:tcPr>
            <w:tcW w:w="1220" w:type="dxa"/>
            <w:vAlign w:val="bottom"/>
            <w:gridSpan w:val="2"/>
            <w:shd w:val="clear" w:color="auto" w:fill="CEF0FC"/>
          </w:tcPr>
          <w:p>
            <w:pPr>
              <w:jc w:val="center"/>
              <w:ind w:left="68"/>
              <w:spacing w:after="0"/>
              <w:rPr>
                <w:sz w:val="20"/>
                <w:szCs w:val="20"/>
                <w:color w:val="auto"/>
              </w:rPr>
            </w:pPr>
            <w:r>
              <w:rPr>
                <w:rFonts w:ascii="Arial" w:cs="Arial" w:eastAsia="Arial" w:hAnsi="Arial"/>
                <w:sz w:val="14"/>
                <w:szCs w:val="14"/>
                <w:color w:val="auto"/>
                <w:w w:val="96"/>
              </w:rPr>
              <w:t>3/25/2032</w:t>
            </w:r>
          </w:p>
        </w:tc>
        <w:tc>
          <w:tcPr>
            <w:tcW w:w="140" w:type="dxa"/>
            <w:vAlign w:val="bottom"/>
            <w:shd w:val="clear" w:color="auto" w:fill="CEF0FC"/>
          </w:tcPr>
          <w:p>
            <w:pPr>
              <w:spacing w:after="0"/>
              <w:rPr>
                <w:sz w:val="15"/>
                <w:szCs w:val="15"/>
                <w:color w:val="auto"/>
              </w:rPr>
            </w:pPr>
          </w:p>
        </w:tc>
        <w:tc>
          <w:tcPr>
            <w:tcW w:w="920" w:type="dxa"/>
            <w:vAlign w:val="bottom"/>
            <w:shd w:val="clear" w:color="auto" w:fill="CE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EF0FC"/>
          </w:tcPr>
          <w:p>
            <w:pPr>
              <w:spacing w:after="0"/>
              <w:rPr>
                <w:sz w:val="15"/>
                <w:szCs w:val="15"/>
                <w:color w:val="auto"/>
              </w:rPr>
            </w:pPr>
          </w:p>
        </w:tc>
        <w:tc>
          <w:tcPr>
            <w:tcW w:w="240" w:type="dxa"/>
            <w:vAlign w:val="bottom"/>
            <w:shd w:val="clear" w:color="auto" w:fill="CEF0FC"/>
          </w:tcPr>
          <w:p>
            <w:pPr>
              <w:spacing w:after="0"/>
              <w:rPr>
                <w:sz w:val="15"/>
                <w:szCs w:val="15"/>
                <w:color w:val="auto"/>
              </w:rPr>
            </w:pPr>
          </w:p>
        </w:tc>
        <w:tc>
          <w:tcPr>
            <w:tcW w:w="8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79,464</w:t>
            </w:r>
          </w:p>
        </w:tc>
        <w:tc>
          <w:tcPr>
            <w:tcW w:w="240" w:type="dxa"/>
            <w:vAlign w:val="bottom"/>
            <w:shd w:val="clear" w:color="auto" w:fill="CEF0FC"/>
          </w:tcPr>
          <w:p>
            <w:pPr>
              <w:spacing w:after="0"/>
              <w:rPr>
                <w:sz w:val="15"/>
                <w:szCs w:val="15"/>
                <w:color w:val="auto"/>
              </w:rPr>
            </w:pPr>
          </w:p>
        </w:tc>
        <w:tc>
          <w:tcPr>
            <w:tcW w:w="80" w:type="dxa"/>
            <w:vAlign w:val="bottom"/>
            <w:shd w:val="clear" w:color="auto" w:fill="CEF0FC"/>
          </w:tcPr>
          <w:p>
            <w:pPr>
              <w:spacing w:after="0"/>
              <w:rPr>
                <w:sz w:val="15"/>
                <w:szCs w:val="15"/>
                <w:color w:val="auto"/>
              </w:rPr>
            </w:pPr>
          </w:p>
        </w:tc>
        <w:tc>
          <w:tcPr>
            <w:tcW w:w="10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89,341</w:t>
            </w:r>
          </w:p>
        </w:tc>
        <w:tc>
          <w:tcPr>
            <w:tcW w:w="780" w:type="dxa"/>
            <w:vAlign w:val="bottom"/>
            <w:gridSpan w:val="2"/>
            <w:shd w:val="clear" w:color="auto" w:fill="CEF0FC"/>
          </w:tcPr>
          <w:p>
            <w:pPr>
              <w:jc w:val="right"/>
              <w:spacing w:after="0"/>
              <w:rPr>
                <w:sz w:val="20"/>
                <w:szCs w:val="20"/>
                <w:color w:val="auto"/>
              </w:rPr>
            </w:pPr>
            <w:r>
              <w:rPr>
                <w:rFonts w:ascii="Arial" w:cs="Arial" w:eastAsia="Arial" w:hAnsi="Arial"/>
                <w:sz w:val="14"/>
                <w:szCs w:val="14"/>
                <w:color w:val="auto"/>
              </w:rPr>
              <w:t>(7)(16)</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40" w:type="dxa"/>
            <w:vAlign w:val="bottom"/>
            <w:gridSpan w:val="3"/>
          </w:tcPr>
          <w:p>
            <w:pPr>
              <w:spacing w:after="0"/>
              <w:rPr>
                <w:sz w:val="20"/>
                <w:szCs w:val="20"/>
                <w:color w:val="auto"/>
              </w:rPr>
            </w:pPr>
            <w:r>
              <w:rPr>
                <w:rFonts w:ascii="Arial" w:cs="Arial" w:eastAsia="Arial" w:hAnsi="Arial"/>
                <w:sz w:val="14"/>
                <w:szCs w:val="14"/>
                <w:color w:val="auto"/>
              </w:rPr>
              <w:t>INRIX, Inc.</w:t>
            </w:r>
          </w:p>
        </w:tc>
        <w:tc>
          <w:tcPr>
            <w:tcW w:w="14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7/26/2019</w:t>
            </w:r>
          </w:p>
        </w:tc>
        <w:tc>
          <w:tcPr>
            <w:tcW w:w="122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7/26/2029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150,804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522,083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1,751,940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3"/>
        </w:trPr>
        <w:tc>
          <w:tcPr>
            <w:tcW w:w="20" w:type="dxa"/>
            <w:vAlign w:val="bottom"/>
            <w:shd w:val="clear" w:color="auto" w:fill="CEF0FC"/>
          </w:tcPr>
          <w:p>
            <w:pPr>
              <w:spacing w:after="0"/>
              <w:rPr>
                <w:sz w:val="12"/>
                <w:szCs w:val="12"/>
                <w:color w:val="auto"/>
              </w:rPr>
            </w:pPr>
          </w:p>
        </w:tc>
        <w:tc>
          <w:tcPr>
            <w:tcW w:w="2240" w:type="dxa"/>
            <w:vAlign w:val="bottom"/>
            <w:gridSpan w:val="3"/>
            <w:shd w:val="clear" w:color="auto" w:fill="CEF0FC"/>
          </w:tcPr>
          <w:p>
            <w:pPr>
              <w:spacing w:after="0" w:line="143" w:lineRule="exact"/>
              <w:rPr>
                <w:sz w:val="20"/>
                <w:szCs w:val="20"/>
                <w:color w:val="auto"/>
              </w:rPr>
            </w:pPr>
            <w:r>
              <w:rPr>
                <w:rFonts w:ascii="Arial" w:cs="Arial" w:eastAsia="Arial" w:hAnsi="Arial"/>
                <w:sz w:val="14"/>
                <w:szCs w:val="14"/>
                <w:color w:val="auto"/>
              </w:rPr>
              <w:t>Longtail Ad Solutions, Inc. (dba JW</w:t>
            </w:r>
          </w:p>
        </w:tc>
        <w:tc>
          <w:tcPr>
            <w:tcW w:w="140" w:type="dxa"/>
            <w:vAlign w:val="bottom"/>
            <w:shd w:val="clear" w:color="auto" w:fill="CEF0FC"/>
          </w:tcPr>
          <w:p>
            <w:pPr>
              <w:spacing w:after="0"/>
              <w:rPr>
                <w:sz w:val="12"/>
                <w:szCs w:val="12"/>
                <w:color w:val="auto"/>
              </w:rPr>
            </w:pPr>
          </w:p>
        </w:tc>
        <w:tc>
          <w:tcPr>
            <w:tcW w:w="2260" w:type="dxa"/>
            <w:vAlign w:val="bottom"/>
            <w:shd w:val="clear" w:color="auto" w:fill="CEF0FC"/>
          </w:tcPr>
          <w:p>
            <w:pPr>
              <w:spacing w:after="0"/>
              <w:rPr>
                <w:sz w:val="12"/>
                <w:szCs w:val="12"/>
                <w:color w:val="auto"/>
              </w:rPr>
            </w:pPr>
          </w:p>
        </w:tc>
        <w:tc>
          <w:tcPr>
            <w:tcW w:w="120" w:type="dxa"/>
            <w:vAlign w:val="bottom"/>
            <w:shd w:val="clear" w:color="auto" w:fill="CE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108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92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80" w:type="dxa"/>
            <w:vAlign w:val="bottom"/>
            <w:shd w:val="clear" w:color="auto" w:fill="CEF0FC"/>
          </w:tcPr>
          <w:p>
            <w:pPr>
              <w:spacing w:after="0"/>
              <w:rPr>
                <w:sz w:val="12"/>
                <w:szCs w:val="12"/>
                <w:color w:val="auto"/>
              </w:rPr>
            </w:pPr>
          </w:p>
        </w:tc>
        <w:tc>
          <w:tcPr>
            <w:tcW w:w="1000" w:type="dxa"/>
            <w:vAlign w:val="bottom"/>
            <w:shd w:val="clear" w:color="auto" w:fill="CEF0FC"/>
          </w:tcPr>
          <w:p>
            <w:pPr>
              <w:spacing w:after="0"/>
              <w:rPr>
                <w:sz w:val="12"/>
                <w:szCs w:val="12"/>
                <w:color w:val="auto"/>
              </w:rPr>
            </w:pPr>
          </w:p>
        </w:tc>
        <w:tc>
          <w:tcPr>
            <w:tcW w:w="220" w:type="dxa"/>
            <w:vAlign w:val="bottom"/>
            <w:shd w:val="clear" w:color="auto" w:fill="CEF0FC"/>
          </w:tcPr>
          <w:p>
            <w:pPr>
              <w:spacing w:after="0"/>
              <w:rPr>
                <w:sz w:val="12"/>
                <w:szCs w:val="12"/>
                <w:color w:val="auto"/>
              </w:rPr>
            </w:pPr>
          </w:p>
        </w:tc>
        <w:tc>
          <w:tcPr>
            <w:tcW w:w="560" w:type="dxa"/>
            <w:vAlign w:val="bottom"/>
            <w:shd w:val="clear" w:color="auto" w:fill="CE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shd w:val="clear" w:color="auto" w:fill="CEF0FC"/>
          </w:tcPr>
          <w:p>
            <w:pPr>
              <w:spacing w:after="0"/>
              <w:rPr>
                <w:sz w:val="15"/>
                <w:szCs w:val="15"/>
                <w:color w:val="auto"/>
              </w:rPr>
            </w:pPr>
          </w:p>
        </w:tc>
        <w:tc>
          <w:tcPr>
            <w:tcW w:w="2240" w:type="dxa"/>
            <w:vAlign w:val="bottom"/>
            <w:gridSpan w:val="3"/>
            <w:shd w:val="clear" w:color="auto" w:fill="CEF0FC"/>
          </w:tcPr>
          <w:p>
            <w:pPr>
              <w:spacing w:after="0"/>
              <w:rPr>
                <w:sz w:val="20"/>
                <w:szCs w:val="20"/>
                <w:color w:val="auto"/>
              </w:rPr>
            </w:pPr>
            <w:r>
              <w:rPr>
                <w:rFonts w:ascii="Arial" w:cs="Arial" w:eastAsia="Arial" w:hAnsi="Arial"/>
                <w:sz w:val="14"/>
                <w:szCs w:val="14"/>
                <w:color w:val="auto"/>
              </w:rPr>
              <w:t>Player)</w:t>
            </w:r>
          </w:p>
        </w:tc>
        <w:tc>
          <w:tcPr>
            <w:tcW w:w="140" w:type="dxa"/>
            <w:vAlign w:val="bottom"/>
            <w:shd w:val="clear" w:color="auto" w:fill="CEF0FC"/>
          </w:tcPr>
          <w:p>
            <w:pPr>
              <w:spacing w:after="0"/>
              <w:rPr>
                <w:sz w:val="15"/>
                <w:szCs w:val="15"/>
                <w:color w:val="auto"/>
              </w:rPr>
            </w:pPr>
          </w:p>
        </w:tc>
        <w:tc>
          <w:tcPr>
            <w:tcW w:w="2260" w:type="dxa"/>
            <w:vAlign w:val="bottom"/>
            <w:shd w:val="clear" w:color="auto" w:fill="CEF0FC"/>
          </w:tcPr>
          <w:p>
            <w:pPr>
              <w:ind w:left="20"/>
              <w:spacing w:after="0"/>
              <w:rPr>
                <w:sz w:val="20"/>
                <w:szCs w:val="20"/>
                <w:color w:val="auto"/>
              </w:rPr>
            </w:pPr>
            <w:r>
              <w:rPr>
                <w:rFonts w:ascii="Arial" w:cs="Arial" w:eastAsia="Arial" w:hAnsi="Arial"/>
                <w:sz w:val="14"/>
                <w:szCs w:val="14"/>
                <w:color w:val="auto"/>
              </w:rPr>
              <w:t>Common Stock</w:t>
            </w:r>
          </w:p>
        </w:tc>
        <w:tc>
          <w:tcPr>
            <w:tcW w:w="920" w:type="dxa"/>
            <w:vAlign w:val="bottom"/>
            <w:gridSpan w:val="2"/>
            <w:shd w:val="clear" w:color="auto" w:fill="CEF0FC"/>
          </w:tcPr>
          <w:p>
            <w:pPr>
              <w:jc w:val="center"/>
              <w:ind w:left="68"/>
              <w:spacing w:after="0"/>
              <w:rPr>
                <w:sz w:val="20"/>
                <w:szCs w:val="20"/>
                <w:color w:val="auto"/>
              </w:rPr>
            </w:pPr>
            <w:r>
              <w:rPr>
                <w:rFonts w:ascii="Arial" w:cs="Arial" w:eastAsia="Arial" w:hAnsi="Arial"/>
                <w:sz w:val="14"/>
                <w:szCs w:val="14"/>
                <w:color w:val="auto"/>
                <w:w w:val="94"/>
              </w:rPr>
              <w:t>12/12/2019</w:t>
            </w:r>
          </w:p>
        </w:tc>
        <w:tc>
          <w:tcPr>
            <w:tcW w:w="1220" w:type="dxa"/>
            <w:vAlign w:val="bottom"/>
            <w:gridSpan w:val="2"/>
            <w:shd w:val="clear" w:color="auto" w:fill="CEF0FC"/>
          </w:tcPr>
          <w:p>
            <w:pPr>
              <w:jc w:val="center"/>
              <w:ind w:left="68"/>
              <w:spacing w:after="0"/>
              <w:rPr>
                <w:sz w:val="20"/>
                <w:szCs w:val="20"/>
                <w:color w:val="auto"/>
              </w:rPr>
            </w:pPr>
            <w:r>
              <w:rPr>
                <w:rFonts w:ascii="Arial" w:cs="Arial" w:eastAsia="Arial" w:hAnsi="Arial"/>
                <w:sz w:val="14"/>
                <w:szCs w:val="14"/>
                <w:color w:val="auto"/>
                <w:w w:val="91"/>
              </w:rPr>
              <w:t>12/12/2029</w:t>
            </w:r>
          </w:p>
        </w:tc>
        <w:tc>
          <w:tcPr>
            <w:tcW w:w="1060" w:type="dxa"/>
            <w:vAlign w:val="bottom"/>
            <w:gridSpan w:val="2"/>
            <w:shd w:val="clear" w:color="auto" w:fill="CEF0FC"/>
          </w:tcPr>
          <w:p>
            <w:pPr>
              <w:jc w:val="right"/>
              <w:spacing w:after="0"/>
              <w:rPr>
                <w:sz w:val="20"/>
                <w:szCs w:val="20"/>
                <w:color w:val="auto"/>
              </w:rPr>
            </w:pPr>
            <w:r>
              <w:rPr>
                <w:rFonts w:ascii="Arial" w:cs="Arial" w:eastAsia="Arial" w:hAnsi="Arial"/>
                <w:sz w:val="14"/>
                <w:szCs w:val="14"/>
                <w:color w:val="auto"/>
              </w:rPr>
              <w:t>387,596</w:t>
            </w:r>
          </w:p>
        </w:tc>
        <w:tc>
          <w:tcPr>
            <w:tcW w:w="240" w:type="dxa"/>
            <w:vAlign w:val="bottom"/>
            <w:shd w:val="clear" w:color="auto" w:fill="CEF0FC"/>
          </w:tcPr>
          <w:p>
            <w:pPr>
              <w:spacing w:after="0"/>
              <w:rPr>
                <w:sz w:val="15"/>
                <w:szCs w:val="15"/>
                <w:color w:val="auto"/>
              </w:rPr>
            </w:pPr>
          </w:p>
        </w:tc>
        <w:tc>
          <w:tcPr>
            <w:tcW w:w="240" w:type="dxa"/>
            <w:vAlign w:val="bottom"/>
            <w:shd w:val="clear" w:color="auto" w:fill="CEF0FC"/>
          </w:tcPr>
          <w:p>
            <w:pPr>
              <w:spacing w:after="0"/>
              <w:rPr>
                <w:sz w:val="15"/>
                <w:szCs w:val="15"/>
                <w:color w:val="auto"/>
              </w:rPr>
            </w:pPr>
          </w:p>
        </w:tc>
        <w:tc>
          <w:tcPr>
            <w:tcW w:w="8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46,552</w:t>
            </w:r>
          </w:p>
        </w:tc>
        <w:tc>
          <w:tcPr>
            <w:tcW w:w="240" w:type="dxa"/>
            <w:vAlign w:val="bottom"/>
            <w:shd w:val="clear" w:color="auto" w:fill="CEF0FC"/>
          </w:tcPr>
          <w:p>
            <w:pPr>
              <w:spacing w:after="0"/>
              <w:rPr>
                <w:sz w:val="15"/>
                <w:szCs w:val="15"/>
                <w:color w:val="auto"/>
              </w:rPr>
            </w:pPr>
          </w:p>
        </w:tc>
        <w:tc>
          <w:tcPr>
            <w:tcW w:w="80" w:type="dxa"/>
            <w:vAlign w:val="bottom"/>
            <w:shd w:val="clear" w:color="auto" w:fill="CEF0FC"/>
          </w:tcPr>
          <w:p>
            <w:pPr>
              <w:spacing w:after="0"/>
              <w:rPr>
                <w:sz w:val="15"/>
                <w:szCs w:val="15"/>
                <w:color w:val="auto"/>
              </w:rPr>
            </w:pPr>
          </w:p>
        </w:tc>
        <w:tc>
          <w:tcPr>
            <w:tcW w:w="10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362,016</w:t>
            </w:r>
          </w:p>
        </w:tc>
        <w:tc>
          <w:tcPr>
            <w:tcW w:w="780" w:type="dxa"/>
            <w:vAlign w:val="bottom"/>
            <w:gridSpan w:val="2"/>
            <w:shd w:val="clear" w:color="auto" w:fill="CE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40" w:type="dxa"/>
            <w:vAlign w:val="bottom"/>
            <w:gridSpan w:val="3"/>
          </w:tcPr>
          <w:p>
            <w:pPr>
              <w:spacing w:after="0"/>
              <w:rPr>
                <w:sz w:val="20"/>
                <w:szCs w:val="20"/>
                <w:color w:val="auto"/>
              </w:rPr>
            </w:pPr>
            <w:r>
              <w:rPr>
                <w:rFonts w:ascii="Arial" w:cs="Arial" w:eastAsia="Arial" w:hAnsi="Arial"/>
                <w:sz w:val="14"/>
                <w:szCs w:val="14"/>
                <w:color w:val="auto"/>
              </w:rPr>
              <w:t>Synack, Inc.</w:t>
            </w:r>
          </w:p>
        </w:tc>
        <w:tc>
          <w:tcPr>
            <w:tcW w:w="14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6/30/2022</w:t>
            </w:r>
          </w:p>
        </w:tc>
        <w:tc>
          <w:tcPr>
            <w:tcW w:w="122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6/30/2032</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100,645</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127,448</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127,448</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3"/>
        </w:trPr>
        <w:tc>
          <w:tcPr>
            <w:tcW w:w="20" w:type="dxa"/>
            <w:vAlign w:val="bottom"/>
            <w:shd w:val="clear" w:color="auto" w:fill="CEF0FC"/>
          </w:tcPr>
          <w:p>
            <w:pPr>
              <w:spacing w:after="0"/>
              <w:rPr>
                <w:sz w:val="11"/>
                <w:szCs w:val="11"/>
                <w:color w:val="auto"/>
              </w:rPr>
            </w:pPr>
          </w:p>
        </w:tc>
        <w:tc>
          <w:tcPr>
            <w:tcW w:w="2240" w:type="dxa"/>
            <w:vAlign w:val="bottom"/>
            <w:gridSpan w:val="3"/>
            <w:shd w:val="clear" w:color="auto" w:fill="CEF0FC"/>
          </w:tcPr>
          <w:p>
            <w:pPr>
              <w:spacing w:after="0" w:line="133" w:lineRule="exact"/>
              <w:rPr>
                <w:sz w:val="20"/>
                <w:szCs w:val="20"/>
                <w:color w:val="auto"/>
              </w:rPr>
            </w:pPr>
            <w:r>
              <w:rPr>
                <w:rFonts w:ascii="Arial" w:cs="Arial" w:eastAsia="Arial" w:hAnsi="Arial"/>
                <w:sz w:val="14"/>
                <w:szCs w:val="14"/>
                <w:b w:val="1"/>
                <w:bCs w:val="1"/>
                <w:color w:val="auto"/>
              </w:rPr>
              <w:t>Total Internet Software and</w:t>
            </w:r>
          </w:p>
        </w:tc>
        <w:tc>
          <w:tcPr>
            <w:tcW w:w="140" w:type="dxa"/>
            <w:vAlign w:val="bottom"/>
            <w:shd w:val="clear" w:color="auto" w:fill="CEF0FC"/>
          </w:tcPr>
          <w:p>
            <w:pPr>
              <w:spacing w:after="0"/>
              <w:rPr>
                <w:sz w:val="11"/>
                <w:szCs w:val="11"/>
                <w:color w:val="auto"/>
              </w:rPr>
            </w:pPr>
          </w:p>
        </w:tc>
        <w:tc>
          <w:tcPr>
            <w:tcW w:w="2260" w:type="dxa"/>
            <w:vAlign w:val="bottom"/>
            <w:shd w:val="clear" w:color="auto" w:fill="CEF0FC"/>
          </w:tcPr>
          <w:p>
            <w:pPr>
              <w:spacing w:after="0"/>
              <w:rPr>
                <w:sz w:val="11"/>
                <w:szCs w:val="11"/>
                <w:color w:val="auto"/>
              </w:rPr>
            </w:pPr>
          </w:p>
        </w:tc>
        <w:tc>
          <w:tcPr>
            <w:tcW w:w="120" w:type="dxa"/>
            <w:vAlign w:val="bottom"/>
            <w:shd w:val="clear" w:color="auto" w:fill="CEF0FC"/>
          </w:tcPr>
          <w:p>
            <w:pPr>
              <w:spacing w:after="0"/>
              <w:rPr>
                <w:sz w:val="11"/>
                <w:szCs w:val="11"/>
                <w:color w:val="auto"/>
              </w:rPr>
            </w:pPr>
          </w:p>
        </w:tc>
        <w:tc>
          <w:tcPr>
            <w:tcW w:w="800" w:type="dxa"/>
            <w:vAlign w:val="bottom"/>
            <w:shd w:val="clear" w:color="auto" w:fill="CEF0FC"/>
          </w:tcPr>
          <w:p>
            <w:pPr>
              <w:spacing w:after="0"/>
              <w:rPr>
                <w:sz w:val="11"/>
                <w:szCs w:val="11"/>
                <w:color w:val="auto"/>
              </w:rPr>
            </w:pPr>
          </w:p>
        </w:tc>
        <w:tc>
          <w:tcPr>
            <w:tcW w:w="140" w:type="dxa"/>
            <w:vAlign w:val="bottom"/>
            <w:shd w:val="clear" w:color="auto" w:fill="CEF0FC"/>
          </w:tcPr>
          <w:p>
            <w:pPr>
              <w:spacing w:after="0"/>
              <w:rPr>
                <w:sz w:val="11"/>
                <w:szCs w:val="11"/>
                <w:color w:val="auto"/>
              </w:rPr>
            </w:pPr>
          </w:p>
        </w:tc>
        <w:tc>
          <w:tcPr>
            <w:tcW w:w="1080" w:type="dxa"/>
            <w:vAlign w:val="bottom"/>
            <w:shd w:val="clear" w:color="auto" w:fill="CEF0FC"/>
          </w:tcPr>
          <w:p>
            <w:pPr>
              <w:spacing w:after="0"/>
              <w:rPr>
                <w:sz w:val="11"/>
                <w:szCs w:val="11"/>
                <w:color w:val="auto"/>
              </w:rPr>
            </w:pPr>
          </w:p>
        </w:tc>
        <w:tc>
          <w:tcPr>
            <w:tcW w:w="140" w:type="dxa"/>
            <w:vAlign w:val="bottom"/>
            <w:shd w:val="clear" w:color="auto" w:fill="CEF0FC"/>
          </w:tcPr>
          <w:p>
            <w:pPr>
              <w:spacing w:after="0"/>
              <w:rPr>
                <w:sz w:val="11"/>
                <w:szCs w:val="11"/>
                <w:color w:val="auto"/>
              </w:rPr>
            </w:pPr>
          </w:p>
        </w:tc>
        <w:tc>
          <w:tcPr>
            <w:tcW w:w="920" w:type="dxa"/>
            <w:vAlign w:val="bottom"/>
            <w:shd w:val="clear" w:color="auto" w:fill="CEF0FC"/>
          </w:tcPr>
          <w:p>
            <w:pPr>
              <w:spacing w:after="0"/>
              <w:rPr>
                <w:sz w:val="11"/>
                <w:szCs w:val="11"/>
                <w:color w:val="auto"/>
              </w:rPr>
            </w:pPr>
          </w:p>
        </w:tc>
        <w:tc>
          <w:tcPr>
            <w:tcW w:w="240" w:type="dxa"/>
            <w:vAlign w:val="bottom"/>
            <w:shd w:val="clear" w:color="auto" w:fill="CEF0FC"/>
          </w:tcPr>
          <w:p>
            <w:pPr>
              <w:spacing w:after="0"/>
              <w:rPr>
                <w:sz w:val="11"/>
                <w:szCs w:val="11"/>
                <w:color w:val="auto"/>
              </w:rPr>
            </w:pPr>
          </w:p>
        </w:tc>
        <w:tc>
          <w:tcPr>
            <w:tcW w:w="240" w:type="dxa"/>
            <w:vAlign w:val="bottom"/>
            <w:shd w:val="clear" w:color="auto" w:fill="CEF0FC"/>
          </w:tcPr>
          <w:p>
            <w:pPr>
              <w:spacing w:after="0"/>
              <w:rPr>
                <w:sz w:val="11"/>
                <w:szCs w:val="11"/>
                <w:color w:val="auto"/>
              </w:rPr>
            </w:pPr>
          </w:p>
        </w:tc>
        <w:tc>
          <w:tcPr>
            <w:tcW w:w="800" w:type="dxa"/>
            <w:vAlign w:val="bottom"/>
            <w:vMerge w:val="restart"/>
            <w:shd w:val="clear" w:color="auto" w:fill="CEF0FC"/>
          </w:tcPr>
          <w:p>
            <w:pPr>
              <w:jc w:val="right"/>
              <w:spacing w:after="0"/>
              <w:rPr>
                <w:sz w:val="20"/>
                <w:szCs w:val="20"/>
                <w:color w:val="auto"/>
              </w:rPr>
            </w:pPr>
            <w:r>
              <w:rPr>
                <w:rFonts w:ascii="Arial" w:cs="Arial" w:eastAsia="Arial" w:hAnsi="Arial"/>
                <w:sz w:val="14"/>
                <w:szCs w:val="14"/>
                <w:color w:val="auto"/>
              </w:rPr>
              <w:t>950,047</w:t>
            </w:r>
          </w:p>
        </w:tc>
        <w:tc>
          <w:tcPr>
            <w:tcW w:w="240" w:type="dxa"/>
            <w:vAlign w:val="bottom"/>
            <w:shd w:val="clear" w:color="auto" w:fill="CEF0FC"/>
          </w:tcPr>
          <w:p>
            <w:pPr>
              <w:spacing w:after="0"/>
              <w:rPr>
                <w:sz w:val="11"/>
                <w:szCs w:val="11"/>
                <w:color w:val="auto"/>
              </w:rPr>
            </w:pPr>
          </w:p>
        </w:tc>
        <w:tc>
          <w:tcPr>
            <w:tcW w:w="80" w:type="dxa"/>
            <w:vAlign w:val="bottom"/>
            <w:shd w:val="clear" w:color="auto" w:fill="CEF0FC"/>
          </w:tcPr>
          <w:p>
            <w:pPr>
              <w:spacing w:after="0"/>
              <w:rPr>
                <w:sz w:val="11"/>
                <w:szCs w:val="11"/>
                <w:color w:val="auto"/>
              </w:rPr>
            </w:pPr>
          </w:p>
        </w:tc>
        <w:tc>
          <w:tcPr>
            <w:tcW w:w="1000" w:type="dxa"/>
            <w:vAlign w:val="bottom"/>
            <w:vMerge w:val="restart"/>
            <w:shd w:val="clear" w:color="auto" w:fill="CEF0FC"/>
          </w:tcPr>
          <w:p>
            <w:pPr>
              <w:jc w:val="right"/>
              <w:spacing w:after="0"/>
              <w:rPr>
                <w:sz w:val="20"/>
                <w:szCs w:val="20"/>
                <w:color w:val="auto"/>
              </w:rPr>
            </w:pPr>
            <w:r>
              <w:rPr>
                <w:rFonts w:ascii="Arial" w:cs="Arial" w:eastAsia="Arial" w:hAnsi="Arial"/>
                <w:sz w:val="14"/>
                <w:szCs w:val="14"/>
                <w:color w:val="auto"/>
              </w:rPr>
              <w:t>2,581,784</w:t>
            </w:r>
          </w:p>
        </w:tc>
        <w:tc>
          <w:tcPr>
            <w:tcW w:w="220" w:type="dxa"/>
            <w:vAlign w:val="bottom"/>
            <w:shd w:val="clear" w:color="auto" w:fill="CEF0FC"/>
          </w:tcPr>
          <w:p>
            <w:pPr>
              <w:spacing w:after="0"/>
              <w:rPr>
                <w:sz w:val="11"/>
                <w:szCs w:val="11"/>
                <w:color w:val="auto"/>
              </w:rPr>
            </w:pPr>
          </w:p>
        </w:tc>
        <w:tc>
          <w:tcPr>
            <w:tcW w:w="560" w:type="dxa"/>
            <w:vAlign w:val="bottom"/>
            <w:shd w:val="clear" w:color="auto" w:fill="CE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EF0FC"/>
            </w:tcBorders>
            <w:shd w:val="clear" w:color="auto" w:fill="CEF0FC"/>
          </w:tcPr>
          <w:p>
            <w:pPr>
              <w:spacing w:after="0"/>
              <w:rPr>
                <w:sz w:val="14"/>
                <w:szCs w:val="14"/>
                <w:color w:val="auto"/>
              </w:rPr>
            </w:pPr>
          </w:p>
        </w:tc>
        <w:tc>
          <w:tcPr>
            <w:tcW w:w="2240" w:type="dxa"/>
            <w:vAlign w:val="bottom"/>
            <w:tcBorders>
              <w:bottom w:val="single" w:sz="8" w:color="CEF0FC"/>
            </w:tcBorders>
            <w:gridSpan w:val="3"/>
            <w:shd w:val="clear" w:color="auto" w:fill="CEF0FC"/>
          </w:tcPr>
          <w:p>
            <w:pPr>
              <w:spacing w:after="0"/>
              <w:rPr>
                <w:sz w:val="20"/>
                <w:szCs w:val="20"/>
                <w:color w:val="auto"/>
              </w:rPr>
            </w:pPr>
            <w:r>
              <w:rPr>
                <w:rFonts w:ascii="Arial" w:cs="Arial" w:eastAsia="Arial" w:hAnsi="Arial"/>
                <w:sz w:val="14"/>
                <w:szCs w:val="14"/>
                <w:b w:val="1"/>
                <w:bCs w:val="1"/>
                <w:color w:val="auto"/>
              </w:rPr>
              <w:t>Services - 0.45%*</w:t>
            </w:r>
          </w:p>
        </w:tc>
        <w:tc>
          <w:tcPr>
            <w:tcW w:w="140" w:type="dxa"/>
            <w:vAlign w:val="bottom"/>
            <w:tcBorders>
              <w:bottom w:val="single" w:sz="8" w:color="CEF0FC"/>
            </w:tcBorders>
            <w:shd w:val="clear" w:color="auto" w:fill="CEF0FC"/>
          </w:tcPr>
          <w:p>
            <w:pPr>
              <w:spacing w:after="0"/>
              <w:rPr>
                <w:sz w:val="14"/>
                <w:szCs w:val="14"/>
                <w:color w:val="auto"/>
              </w:rPr>
            </w:pPr>
          </w:p>
        </w:tc>
        <w:tc>
          <w:tcPr>
            <w:tcW w:w="2260" w:type="dxa"/>
            <w:vAlign w:val="bottom"/>
            <w:tcBorders>
              <w:bottom w:val="single" w:sz="8" w:color="CEF0FC"/>
            </w:tcBorders>
            <w:shd w:val="clear" w:color="auto" w:fill="CEF0FC"/>
          </w:tcPr>
          <w:p>
            <w:pPr>
              <w:spacing w:after="0"/>
              <w:rPr>
                <w:sz w:val="14"/>
                <w:szCs w:val="14"/>
                <w:color w:val="auto"/>
              </w:rPr>
            </w:pPr>
          </w:p>
        </w:tc>
        <w:tc>
          <w:tcPr>
            <w:tcW w:w="120" w:type="dxa"/>
            <w:vAlign w:val="bottom"/>
            <w:tcBorders>
              <w:bottom w:val="single" w:sz="8" w:color="CEF0FC"/>
            </w:tcBorders>
            <w:shd w:val="clear" w:color="auto" w:fill="CEF0FC"/>
          </w:tcPr>
          <w:p>
            <w:pPr>
              <w:spacing w:after="0"/>
              <w:rPr>
                <w:sz w:val="14"/>
                <w:szCs w:val="14"/>
                <w:color w:val="auto"/>
              </w:rPr>
            </w:pPr>
          </w:p>
        </w:tc>
        <w:tc>
          <w:tcPr>
            <w:tcW w:w="80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108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920" w:type="dxa"/>
            <w:vAlign w:val="bottom"/>
            <w:tcBorders>
              <w:bottom w:val="single" w:sz="8" w:color="CEF0FC"/>
            </w:tcBorders>
            <w:shd w:val="clear" w:color="auto" w:fill="CEF0FC"/>
          </w:tcPr>
          <w:p>
            <w:pPr>
              <w:spacing w:after="0"/>
              <w:rPr>
                <w:sz w:val="14"/>
                <w:szCs w:val="14"/>
                <w:color w:val="auto"/>
              </w:rPr>
            </w:pPr>
          </w:p>
        </w:tc>
        <w:tc>
          <w:tcPr>
            <w:tcW w:w="240" w:type="dxa"/>
            <w:vAlign w:val="bottom"/>
            <w:tcBorders>
              <w:bottom w:val="single" w:sz="8" w:color="CEF0FC"/>
            </w:tcBorders>
            <w:shd w:val="clear" w:color="auto" w:fill="CEF0FC"/>
          </w:tcPr>
          <w:p>
            <w:pPr>
              <w:spacing w:after="0"/>
              <w:rPr>
                <w:sz w:val="14"/>
                <w:szCs w:val="14"/>
                <w:color w:val="auto"/>
              </w:rPr>
            </w:pPr>
          </w:p>
        </w:tc>
        <w:tc>
          <w:tcPr>
            <w:tcW w:w="240" w:type="dxa"/>
            <w:vAlign w:val="bottom"/>
            <w:tcBorders>
              <w:bottom w:val="single" w:sz="8" w:color="auto"/>
            </w:tcBorders>
            <w:shd w:val="clear" w:color="auto" w:fill="CEF0FC"/>
          </w:tcPr>
          <w:p>
            <w:pPr>
              <w:spacing w:after="0"/>
              <w:rPr>
                <w:sz w:val="14"/>
                <w:szCs w:val="14"/>
                <w:color w:val="auto"/>
              </w:rPr>
            </w:pPr>
          </w:p>
        </w:tc>
        <w:tc>
          <w:tcPr>
            <w:tcW w:w="800" w:type="dxa"/>
            <w:vAlign w:val="bottom"/>
            <w:tcBorders>
              <w:bottom w:val="single" w:sz="8" w:color="auto"/>
            </w:tcBorders>
            <w:vMerge w:val="continue"/>
            <w:shd w:val="clear" w:color="auto" w:fill="CEF0FC"/>
          </w:tcPr>
          <w:p>
            <w:pPr>
              <w:spacing w:after="0"/>
              <w:rPr>
                <w:sz w:val="14"/>
                <w:szCs w:val="14"/>
                <w:color w:val="auto"/>
              </w:rPr>
            </w:pPr>
          </w:p>
        </w:tc>
        <w:tc>
          <w:tcPr>
            <w:tcW w:w="240" w:type="dxa"/>
            <w:vAlign w:val="bottom"/>
            <w:tcBorders>
              <w:bottom w:val="single" w:sz="8" w:color="CEF0FC"/>
            </w:tcBorders>
            <w:shd w:val="clear" w:color="auto" w:fill="CEF0FC"/>
          </w:tcPr>
          <w:p>
            <w:pPr>
              <w:spacing w:after="0"/>
              <w:rPr>
                <w:sz w:val="14"/>
                <w:szCs w:val="14"/>
                <w:color w:val="auto"/>
              </w:rPr>
            </w:pPr>
          </w:p>
        </w:tc>
        <w:tc>
          <w:tcPr>
            <w:tcW w:w="80" w:type="dxa"/>
            <w:vAlign w:val="bottom"/>
            <w:tcBorders>
              <w:bottom w:val="single" w:sz="8" w:color="auto"/>
            </w:tcBorders>
            <w:shd w:val="clear" w:color="auto" w:fill="CEF0FC"/>
          </w:tcPr>
          <w:p>
            <w:pPr>
              <w:spacing w:after="0"/>
              <w:rPr>
                <w:sz w:val="14"/>
                <w:szCs w:val="14"/>
                <w:color w:val="auto"/>
              </w:rPr>
            </w:pPr>
          </w:p>
        </w:tc>
        <w:tc>
          <w:tcPr>
            <w:tcW w:w="1000" w:type="dxa"/>
            <w:vAlign w:val="bottom"/>
            <w:tcBorders>
              <w:bottom w:val="single" w:sz="8" w:color="auto"/>
            </w:tcBorders>
            <w:vMerge w:val="continue"/>
            <w:shd w:val="clear" w:color="auto" w:fill="CEF0FC"/>
          </w:tcPr>
          <w:p>
            <w:pPr>
              <w:spacing w:after="0"/>
              <w:rPr>
                <w:sz w:val="14"/>
                <w:szCs w:val="14"/>
                <w:color w:val="auto"/>
              </w:rPr>
            </w:pPr>
          </w:p>
        </w:tc>
        <w:tc>
          <w:tcPr>
            <w:tcW w:w="220" w:type="dxa"/>
            <w:vAlign w:val="bottom"/>
            <w:tcBorders>
              <w:bottom w:val="single" w:sz="8" w:color="CEF0FC"/>
            </w:tcBorders>
            <w:shd w:val="clear" w:color="auto" w:fill="CEF0FC"/>
          </w:tcPr>
          <w:p>
            <w:pPr>
              <w:spacing w:after="0"/>
              <w:rPr>
                <w:sz w:val="14"/>
                <w:szCs w:val="14"/>
                <w:color w:val="auto"/>
              </w:rPr>
            </w:pPr>
          </w:p>
        </w:tc>
        <w:tc>
          <w:tcPr>
            <w:tcW w:w="560" w:type="dxa"/>
            <w:vAlign w:val="bottom"/>
            <w:tcBorders>
              <w:bottom w:val="single" w:sz="8" w:color="CEF0FC"/>
            </w:tcBorders>
            <w:shd w:val="clear" w:color="auto" w:fill="CE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EF0FC"/>
          </w:tcPr>
          <w:p>
            <w:pPr>
              <w:spacing w:after="0"/>
              <w:rPr>
                <w:sz w:val="15"/>
                <w:szCs w:val="15"/>
                <w:color w:val="auto"/>
              </w:rPr>
            </w:pPr>
          </w:p>
        </w:tc>
        <w:tc>
          <w:tcPr>
            <w:tcW w:w="2240" w:type="dxa"/>
            <w:vAlign w:val="bottom"/>
            <w:gridSpan w:val="3"/>
            <w:shd w:val="clear" w:color="auto" w:fill="CEF0FC"/>
          </w:tcPr>
          <w:p>
            <w:pPr>
              <w:spacing w:after="0"/>
              <w:rPr>
                <w:sz w:val="20"/>
                <w:szCs w:val="20"/>
                <w:color w:val="auto"/>
              </w:rPr>
            </w:pPr>
            <w:r>
              <w:rPr>
                <w:rFonts w:ascii="Arial" w:cs="Arial" w:eastAsia="Arial" w:hAnsi="Arial"/>
                <w:sz w:val="14"/>
                <w:szCs w:val="14"/>
                <w:b w:val="1"/>
                <w:bCs w:val="1"/>
                <w:color w:val="auto"/>
              </w:rPr>
              <w:t>Specialized Consumer Services</w:t>
            </w:r>
          </w:p>
        </w:tc>
        <w:tc>
          <w:tcPr>
            <w:tcW w:w="140" w:type="dxa"/>
            <w:vAlign w:val="bottom"/>
            <w:shd w:val="clear" w:color="auto" w:fill="CEF0FC"/>
          </w:tcPr>
          <w:p>
            <w:pPr>
              <w:spacing w:after="0"/>
              <w:rPr>
                <w:sz w:val="15"/>
                <w:szCs w:val="15"/>
                <w:color w:val="auto"/>
              </w:rPr>
            </w:pPr>
          </w:p>
        </w:tc>
        <w:tc>
          <w:tcPr>
            <w:tcW w:w="2260" w:type="dxa"/>
            <w:vAlign w:val="bottom"/>
            <w:shd w:val="clear" w:color="auto" w:fill="CEF0FC"/>
          </w:tcPr>
          <w:p>
            <w:pPr>
              <w:spacing w:after="0"/>
              <w:rPr>
                <w:sz w:val="15"/>
                <w:szCs w:val="15"/>
                <w:color w:val="auto"/>
              </w:rPr>
            </w:pPr>
          </w:p>
        </w:tc>
        <w:tc>
          <w:tcPr>
            <w:tcW w:w="120" w:type="dxa"/>
            <w:vAlign w:val="bottom"/>
            <w:shd w:val="clear" w:color="auto" w:fill="CEF0FC"/>
          </w:tcPr>
          <w:p>
            <w:pPr>
              <w:spacing w:after="0"/>
              <w:rPr>
                <w:sz w:val="15"/>
                <w:szCs w:val="15"/>
                <w:color w:val="auto"/>
              </w:rPr>
            </w:pPr>
          </w:p>
        </w:tc>
        <w:tc>
          <w:tcPr>
            <w:tcW w:w="80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108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920" w:type="dxa"/>
            <w:vAlign w:val="bottom"/>
            <w:shd w:val="clear" w:color="auto" w:fill="CEF0FC"/>
          </w:tcPr>
          <w:p>
            <w:pPr>
              <w:spacing w:after="0"/>
              <w:rPr>
                <w:sz w:val="15"/>
                <w:szCs w:val="15"/>
                <w:color w:val="auto"/>
              </w:rPr>
            </w:pPr>
          </w:p>
        </w:tc>
        <w:tc>
          <w:tcPr>
            <w:tcW w:w="240" w:type="dxa"/>
            <w:vAlign w:val="bottom"/>
            <w:shd w:val="clear" w:color="auto" w:fill="CEF0FC"/>
          </w:tcPr>
          <w:p>
            <w:pPr>
              <w:spacing w:after="0"/>
              <w:rPr>
                <w:sz w:val="15"/>
                <w:szCs w:val="15"/>
                <w:color w:val="auto"/>
              </w:rPr>
            </w:pPr>
          </w:p>
        </w:tc>
        <w:tc>
          <w:tcPr>
            <w:tcW w:w="240" w:type="dxa"/>
            <w:vAlign w:val="bottom"/>
            <w:shd w:val="clear" w:color="auto" w:fill="CEF0FC"/>
          </w:tcPr>
          <w:p>
            <w:pPr>
              <w:spacing w:after="0"/>
              <w:rPr>
                <w:sz w:val="15"/>
                <w:szCs w:val="15"/>
                <w:color w:val="auto"/>
              </w:rPr>
            </w:pPr>
          </w:p>
        </w:tc>
        <w:tc>
          <w:tcPr>
            <w:tcW w:w="800" w:type="dxa"/>
            <w:vAlign w:val="bottom"/>
            <w:shd w:val="clear" w:color="auto" w:fill="CEF0FC"/>
          </w:tcPr>
          <w:p>
            <w:pPr>
              <w:spacing w:after="0"/>
              <w:rPr>
                <w:sz w:val="15"/>
                <w:szCs w:val="15"/>
                <w:color w:val="auto"/>
              </w:rPr>
            </w:pPr>
          </w:p>
        </w:tc>
        <w:tc>
          <w:tcPr>
            <w:tcW w:w="240" w:type="dxa"/>
            <w:vAlign w:val="bottom"/>
            <w:shd w:val="clear" w:color="auto" w:fill="CEF0FC"/>
          </w:tcPr>
          <w:p>
            <w:pPr>
              <w:spacing w:after="0"/>
              <w:rPr>
                <w:sz w:val="15"/>
                <w:szCs w:val="15"/>
                <w:color w:val="auto"/>
              </w:rPr>
            </w:pPr>
          </w:p>
        </w:tc>
        <w:tc>
          <w:tcPr>
            <w:tcW w:w="80" w:type="dxa"/>
            <w:vAlign w:val="bottom"/>
            <w:shd w:val="clear" w:color="auto" w:fill="CEF0FC"/>
          </w:tcPr>
          <w:p>
            <w:pPr>
              <w:spacing w:after="0"/>
              <w:rPr>
                <w:sz w:val="15"/>
                <w:szCs w:val="15"/>
                <w:color w:val="auto"/>
              </w:rPr>
            </w:pPr>
          </w:p>
        </w:tc>
        <w:tc>
          <w:tcPr>
            <w:tcW w:w="1000" w:type="dxa"/>
            <w:vAlign w:val="bottom"/>
            <w:shd w:val="clear" w:color="auto" w:fill="CEF0FC"/>
          </w:tcPr>
          <w:p>
            <w:pPr>
              <w:spacing w:after="0"/>
              <w:rPr>
                <w:sz w:val="15"/>
                <w:szCs w:val="15"/>
                <w:color w:val="auto"/>
              </w:rPr>
            </w:pPr>
          </w:p>
        </w:tc>
        <w:tc>
          <w:tcPr>
            <w:tcW w:w="220" w:type="dxa"/>
            <w:vAlign w:val="bottom"/>
            <w:shd w:val="clear" w:color="auto" w:fill="CEF0FC"/>
          </w:tcPr>
          <w:p>
            <w:pPr>
              <w:spacing w:after="0"/>
              <w:rPr>
                <w:sz w:val="15"/>
                <w:szCs w:val="15"/>
                <w:color w:val="auto"/>
              </w:rPr>
            </w:pPr>
          </w:p>
        </w:tc>
        <w:tc>
          <w:tcPr>
            <w:tcW w:w="560" w:type="dxa"/>
            <w:vAlign w:val="bottom"/>
            <w:shd w:val="clear" w:color="auto" w:fill="CE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40" w:type="dxa"/>
            <w:vAlign w:val="bottom"/>
            <w:gridSpan w:val="3"/>
          </w:tcPr>
          <w:p>
            <w:pPr>
              <w:spacing w:after="0"/>
              <w:rPr>
                <w:sz w:val="20"/>
                <w:szCs w:val="20"/>
                <w:color w:val="auto"/>
              </w:rPr>
            </w:pPr>
            <w:r>
              <w:rPr>
                <w:rFonts w:ascii="Arial" w:cs="Arial" w:eastAsia="Arial" w:hAnsi="Arial"/>
                <w:sz w:val="14"/>
                <w:szCs w:val="14"/>
                <w:color w:val="auto"/>
              </w:rPr>
              <w:t>AllClear ID, Inc.</w:t>
            </w:r>
          </w:p>
        </w:tc>
        <w:tc>
          <w:tcPr>
            <w:tcW w:w="14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92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9/1/2017</w:t>
            </w:r>
          </w:p>
        </w:tc>
        <w:tc>
          <w:tcPr>
            <w:tcW w:w="122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9/1/2027</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870,514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1,749,733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575,410</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tcBorders>
              <w:bottom w:val="single" w:sz="8" w:color="CEF0FC"/>
            </w:tcBorders>
            <w:shd w:val="clear" w:color="auto" w:fill="CEF0FC"/>
          </w:tcPr>
          <w:p>
            <w:pPr>
              <w:spacing w:after="0"/>
              <w:rPr>
                <w:sz w:val="15"/>
                <w:szCs w:val="15"/>
                <w:color w:val="auto"/>
              </w:rPr>
            </w:pPr>
          </w:p>
        </w:tc>
        <w:tc>
          <w:tcPr>
            <w:tcW w:w="2240" w:type="dxa"/>
            <w:vAlign w:val="bottom"/>
            <w:tcBorders>
              <w:bottom w:val="single" w:sz="8" w:color="CEF0FC"/>
            </w:tcBorders>
            <w:gridSpan w:val="3"/>
            <w:shd w:val="clear" w:color="auto" w:fill="CEF0FC"/>
          </w:tcPr>
          <w:p>
            <w:pPr>
              <w:spacing w:after="0"/>
              <w:rPr>
                <w:sz w:val="20"/>
                <w:szCs w:val="20"/>
                <w:color w:val="auto"/>
              </w:rPr>
            </w:pPr>
            <w:r>
              <w:rPr>
                <w:rFonts w:ascii="Arial" w:cs="Arial" w:eastAsia="Arial" w:hAnsi="Arial"/>
                <w:sz w:val="14"/>
                <w:szCs w:val="14"/>
                <w:color w:val="auto"/>
              </w:rPr>
              <w:t>Credit Sesame, Inc.</w:t>
            </w:r>
          </w:p>
        </w:tc>
        <w:tc>
          <w:tcPr>
            <w:tcW w:w="140" w:type="dxa"/>
            <w:vAlign w:val="bottom"/>
            <w:tcBorders>
              <w:bottom w:val="single" w:sz="8" w:color="CEF0FC"/>
            </w:tcBorders>
            <w:shd w:val="clear" w:color="auto" w:fill="CEF0FC"/>
          </w:tcPr>
          <w:p>
            <w:pPr>
              <w:spacing w:after="0"/>
              <w:rPr>
                <w:sz w:val="15"/>
                <w:szCs w:val="15"/>
                <w:color w:val="auto"/>
              </w:rPr>
            </w:pPr>
          </w:p>
        </w:tc>
        <w:tc>
          <w:tcPr>
            <w:tcW w:w="2260" w:type="dxa"/>
            <w:vAlign w:val="bottom"/>
            <w:tcBorders>
              <w:bottom w:val="single" w:sz="8" w:color="CEF0FC"/>
            </w:tcBorders>
            <w:shd w:val="clear" w:color="auto" w:fill="CEF0FC"/>
          </w:tcPr>
          <w:p>
            <w:pPr>
              <w:ind w:left="20"/>
              <w:spacing w:after="0"/>
              <w:rPr>
                <w:sz w:val="20"/>
                <w:szCs w:val="20"/>
                <w:color w:val="auto"/>
              </w:rPr>
            </w:pPr>
            <w:r>
              <w:rPr>
                <w:rFonts w:ascii="Arial" w:cs="Arial" w:eastAsia="Arial" w:hAnsi="Arial"/>
                <w:sz w:val="14"/>
                <w:szCs w:val="14"/>
                <w:color w:val="auto"/>
              </w:rPr>
              <w:t>Common Stock</w:t>
            </w:r>
          </w:p>
        </w:tc>
        <w:tc>
          <w:tcPr>
            <w:tcW w:w="920" w:type="dxa"/>
            <w:vAlign w:val="bottom"/>
            <w:tcBorders>
              <w:bottom w:val="single" w:sz="8" w:color="CEF0FC"/>
            </w:tcBorders>
            <w:gridSpan w:val="2"/>
            <w:shd w:val="clear" w:color="auto" w:fill="CEF0FC"/>
          </w:tcPr>
          <w:p>
            <w:pPr>
              <w:jc w:val="center"/>
              <w:ind w:left="48"/>
              <w:spacing w:after="0"/>
              <w:rPr>
                <w:sz w:val="20"/>
                <w:szCs w:val="20"/>
                <w:color w:val="auto"/>
              </w:rPr>
            </w:pPr>
            <w:r>
              <w:rPr>
                <w:rFonts w:ascii="Arial" w:cs="Arial" w:eastAsia="Arial" w:hAnsi="Arial"/>
                <w:sz w:val="14"/>
                <w:szCs w:val="14"/>
                <w:color w:val="auto"/>
                <w:w w:val="95"/>
              </w:rPr>
              <w:t>1/7/2020</w:t>
            </w:r>
          </w:p>
        </w:tc>
        <w:tc>
          <w:tcPr>
            <w:tcW w:w="1220" w:type="dxa"/>
            <w:vAlign w:val="bottom"/>
            <w:tcBorders>
              <w:bottom w:val="single" w:sz="8" w:color="CEF0FC"/>
            </w:tcBorders>
            <w:gridSpan w:val="2"/>
            <w:shd w:val="clear" w:color="auto" w:fill="CEF0FC"/>
          </w:tcPr>
          <w:p>
            <w:pPr>
              <w:jc w:val="center"/>
              <w:ind w:left="68"/>
              <w:spacing w:after="0"/>
              <w:rPr>
                <w:sz w:val="20"/>
                <w:szCs w:val="20"/>
                <w:color w:val="auto"/>
              </w:rPr>
            </w:pPr>
            <w:r>
              <w:rPr>
                <w:rFonts w:ascii="Arial" w:cs="Arial" w:eastAsia="Arial" w:hAnsi="Arial"/>
                <w:sz w:val="14"/>
                <w:szCs w:val="14"/>
                <w:color w:val="auto"/>
                <w:w w:val="95"/>
              </w:rPr>
              <w:t>1/7/2030</w:t>
            </w:r>
          </w:p>
        </w:tc>
        <w:tc>
          <w:tcPr>
            <w:tcW w:w="1060" w:type="dxa"/>
            <w:vAlign w:val="bottom"/>
            <w:tcBorders>
              <w:bottom w:val="single" w:sz="8" w:color="CEF0FC"/>
            </w:tcBorders>
            <w:gridSpan w:val="2"/>
            <w:shd w:val="clear" w:color="auto" w:fill="CEF0FC"/>
          </w:tcPr>
          <w:p>
            <w:pPr>
              <w:jc w:val="right"/>
              <w:spacing w:after="0"/>
              <w:rPr>
                <w:sz w:val="20"/>
                <w:szCs w:val="20"/>
                <w:color w:val="auto"/>
              </w:rPr>
            </w:pPr>
            <w:r>
              <w:rPr>
                <w:rFonts w:ascii="Arial" w:cs="Arial" w:eastAsia="Arial" w:hAnsi="Arial"/>
                <w:sz w:val="14"/>
                <w:szCs w:val="14"/>
                <w:color w:val="auto"/>
              </w:rPr>
              <w:t>191,601</w:t>
            </w:r>
          </w:p>
        </w:tc>
        <w:tc>
          <w:tcPr>
            <w:tcW w:w="240" w:type="dxa"/>
            <w:vAlign w:val="bottom"/>
            <w:tcBorders>
              <w:bottom w:val="single" w:sz="8" w:color="CEF0FC"/>
            </w:tcBorders>
            <w:shd w:val="clear" w:color="auto" w:fill="CEF0FC"/>
          </w:tcPr>
          <w:p>
            <w:pPr>
              <w:spacing w:after="0"/>
              <w:rPr>
                <w:sz w:val="15"/>
                <w:szCs w:val="15"/>
                <w:color w:val="auto"/>
              </w:rPr>
            </w:pPr>
          </w:p>
        </w:tc>
        <w:tc>
          <w:tcPr>
            <w:tcW w:w="240" w:type="dxa"/>
            <w:vAlign w:val="bottom"/>
            <w:tcBorders>
              <w:bottom w:val="single" w:sz="8" w:color="auto"/>
            </w:tcBorders>
            <w:shd w:val="clear" w:color="auto" w:fill="CEF0FC"/>
          </w:tcPr>
          <w:p>
            <w:pPr>
              <w:spacing w:after="0"/>
              <w:rPr>
                <w:sz w:val="15"/>
                <w:szCs w:val="15"/>
                <w:color w:val="auto"/>
              </w:rPr>
            </w:pPr>
          </w:p>
        </w:tc>
        <w:tc>
          <w:tcPr>
            <w:tcW w:w="80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4"/>
                <w:szCs w:val="14"/>
                <w:color w:val="auto"/>
              </w:rPr>
              <w:t>424,800</w:t>
            </w:r>
          </w:p>
        </w:tc>
        <w:tc>
          <w:tcPr>
            <w:tcW w:w="240" w:type="dxa"/>
            <w:vAlign w:val="bottom"/>
            <w:tcBorders>
              <w:bottom w:val="single" w:sz="8" w:color="CEF0FC"/>
            </w:tcBorders>
            <w:shd w:val="clear" w:color="auto" w:fill="CEF0FC"/>
          </w:tcPr>
          <w:p>
            <w:pPr>
              <w:spacing w:after="0"/>
              <w:rPr>
                <w:sz w:val="15"/>
                <w:szCs w:val="15"/>
                <w:color w:val="auto"/>
              </w:rPr>
            </w:pPr>
          </w:p>
        </w:tc>
        <w:tc>
          <w:tcPr>
            <w:tcW w:w="80" w:type="dxa"/>
            <w:vAlign w:val="bottom"/>
            <w:tcBorders>
              <w:bottom w:val="single" w:sz="8" w:color="auto"/>
            </w:tcBorders>
            <w:shd w:val="clear" w:color="auto" w:fill="CEF0FC"/>
          </w:tcPr>
          <w:p>
            <w:pPr>
              <w:spacing w:after="0"/>
              <w:rPr>
                <w:sz w:val="15"/>
                <w:szCs w:val="15"/>
                <w:color w:val="auto"/>
              </w:rPr>
            </w:pPr>
          </w:p>
        </w:tc>
        <w:tc>
          <w:tcPr>
            <w:tcW w:w="100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4"/>
                <w:szCs w:val="14"/>
                <w:color w:val="auto"/>
              </w:rPr>
              <w:t>1,186,961</w:t>
            </w:r>
          </w:p>
        </w:tc>
        <w:tc>
          <w:tcPr>
            <w:tcW w:w="780" w:type="dxa"/>
            <w:vAlign w:val="bottom"/>
            <w:tcBorders>
              <w:bottom w:val="single" w:sz="8" w:color="CEF0FC"/>
            </w:tcBorders>
            <w:gridSpan w:val="2"/>
            <w:shd w:val="clear" w:color="auto" w:fill="CE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4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Total Specialized Consumer</w:t>
            </w:r>
          </w:p>
        </w:tc>
        <w:tc>
          <w:tcPr>
            <w:tcW w:w="14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2,174,533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1,762,371</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Services - 0.30%*</w:t>
            </w: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EF0FC"/>
          </w:tcPr>
          <w:p>
            <w:pPr>
              <w:spacing w:after="0"/>
              <w:rPr>
                <w:sz w:val="14"/>
                <w:szCs w:val="14"/>
                <w:color w:val="auto"/>
              </w:rPr>
            </w:pPr>
          </w:p>
        </w:tc>
        <w:tc>
          <w:tcPr>
            <w:tcW w:w="740" w:type="dxa"/>
            <w:vAlign w:val="bottom"/>
            <w:shd w:val="clear" w:color="auto" w:fill="CEF0FC"/>
          </w:tcPr>
          <w:p>
            <w:pPr>
              <w:spacing w:after="0"/>
              <w:rPr>
                <w:sz w:val="14"/>
                <w:szCs w:val="14"/>
                <w:color w:val="auto"/>
              </w:rPr>
            </w:pPr>
          </w:p>
        </w:tc>
        <w:tc>
          <w:tcPr>
            <w:tcW w:w="920" w:type="dxa"/>
            <w:vAlign w:val="bottom"/>
            <w:shd w:val="clear" w:color="auto" w:fill="CEF0FC"/>
          </w:tcPr>
          <w:p>
            <w:pPr>
              <w:spacing w:after="0"/>
              <w:rPr>
                <w:sz w:val="14"/>
                <w:szCs w:val="14"/>
                <w:color w:val="auto"/>
              </w:rPr>
            </w:pPr>
          </w:p>
        </w:tc>
        <w:tc>
          <w:tcPr>
            <w:tcW w:w="58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2260" w:type="dxa"/>
            <w:vAlign w:val="bottom"/>
            <w:shd w:val="clear" w:color="auto" w:fill="CEF0FC"/>
          </w:tcPr>
          <w:p>
            <w:pPr>
              <w:spacing w:after="0"/>
              <w:rPr>
                <w:sz w:val="14"/>
                <w:szCs w:val="14"/>
                <w:color w:val="auto"/>
              </w:rPr>
            </w:pPr>
          </w:p>
        </w:tc>
        <w:tc>
          <w:tcPr>
            <w:tcW w:w="120" w:type="dxa"/>
            <w:vAlign w:val="bottom"/>
            <w:shd w:val="clear" w:color="auto" w:fill="CEF0FC"/>
          </w:tcPr>
          <w:p>
            <w:pPr>
              <w:spacing w:after="0"/>
              <w:rPr>
                <w:sz w:val="14"/>
                <w:szCs w:val="14"/>
                <w:color w:val="auto"/>
              </w:rPr>
            </w:pPr>
          </w:p>
        </w:tc>
        <w:tc>
          <w:tcPr>
            <w:tcW w:w="80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108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920" w:type="dxa"/>
            <w:vAlign w:val="bottom"/>
            <w:shd w:val="clear" w:color="auto" w:fill="CEF0FC"/>
          </w:tcPr>
          <w:p>
            <w:pPr>
              <w:spacing w:after="0"/>
              <w:rPr>
                <w:sz w:val="14"/>
                <w:szCs w:val="14"/>
                <w:color w:val="auto"/>
              </w:rPr>
            </w:pPr>
          </w:p>
        </w:tc>
        <w:tc>
          <w:tcPr>
            <w:tcW w:w="240" w:type="dxa"/>
            <w:vAlign w:val="bottom"/>
            <w:shd w:val="clear" w:color="auto" w:fill="CEF0FC"/>
          </w:tcPr>
          <w:p>
            <w:pPr>
              <w:spacing w:after="0"/>
              <w:rPr>
                <w:sz w:val="14"/>
                <w:szCs w:val="14"/>
                <w:color w:val="auto"/>
              </w:rPr>
            </w:pPr>
          </w:p>
        </w:tc>
        <w:tc>
          <w:tcPr>
            <w:tcW w:w="240" w:type="dxa"/>
            <w:vAlign w:val="bottom"/>
            <w:shd w:val="clear" w:color="auto" w:fill="CEF0FC"/>
          </w:tcPr>
          <w:p>
            <w:pPr>
              <w:spacing w:after="0"/>
              <w:rPr>
                <w:sz w:val="14"/>
                <w:szCs w:val="14"/>
                <w:color w:val="auto"/>
              </w:rPr>
            </w:pPr>
          </w:p>
        </w:tc>
        <w:tc>
          <w:tcPr>
            <w:tcW w:w="800" w:type="dxa"/>
            <w:vAlign w:val="bottom"/>
            <w:shd w:val="clear" w:color="auto" w:fill="CEF0FC"/>
          </w:tcPr>
          <w:p>
            <w:pPr>
              <w:spacing w:after="0"/>
              <w:rPr>
                <w:sz w:val="14"/>
                <w:szCs w:val="14"/>
                <w:color w:val="auto"/>
              </w:rPr>
            </w:pPr>
          </w:p>
        </w:tc>
        <w:tc>
          <w:tcPr>
            <w:tcW w:w="240" w:type="dxa"/>
            <w:vAlign w:val="bottom"/>
            <w:shd w:val="clear" w:color="auto" w:fill="CEF0FC"/>
          </w:tcPr>
          <w:p>
            <w:pPr>
              <w:spacing w:after="0"/>
              <w:rPr>
                <w:sz w:val="14"/>
                <w:szCs w:val="14"/>
                <w:color w:val="auto"/>
              </w:rPr>
            </w:pPr>
          </w:p>
        </w:tc>
        <w:tc>
          <w:tcPr>
            <w:tcW w:w="80" w:type="dxa"/>
            <w:vAlign w:val="bottom"/>
            <w:shd w:val="clear" w:color="auto" w:fill="CEF0FC"/>
          </w:tcPr>
          <w:p>
            <w:pPr>
              <w:spacing w:after="0"/>
              <w:rPr>
                <w:sz w:val="14"/>
                <w:szCs w:val="14"/>
                <w:color w:val="auto"/>
              </w:rPr>
            </w:pPr>
          </w:p>
        </w:tc>
        <w:tc>
          <w:tcPr>
            <w:tcW w:w="1000" w:type="dxa"/>
            <w:vAlign w:val="bottom"/>
            <w:shd w:val="clear" w:color="auto" w:fill="CEF0FC"/>
          </w:tcPr>
          <w:p>
            <w:pPr>
              <w:spacing w:after="0"/>
              <w:rPr>
                <w:sz w:val="14"/>
                <w:szCs w:val="14"/>
                <w:color w:val="auto"/>
              </w:rPr>
            </w:pPr>
          </w:p>
        </w:tc>
        <w:tc>
          <w:tcPr>
            <w:tcW w:w="220" w:type="dxa"/>
            <w:vAlign w:val="bottom"/>
            <w:shd w:val="clear" w:color="auto" w:fill="CEF0FC"/>
          </w:tcPr>
          <w:p>
            <w:pPr>
              <w:spacing w:after="0"/>
              <w:rPr>
                <w:sz w:val="14"/>
                <w:szCs w:val="14"/>
                <w:color w:val="auto"/>
              </w:rPr>
            </w:pPr>
          </w:p>
        </w:tc>
        <w:tc>
          <w:tcPr>
            <w:tcW w:w="560" w:type="dxa"/>
            <w:vAlign w:val="bottom"/>
            <w:shd w:val="clear" w:color="auto" w:fill="CE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System Software</w:t>
            </w:r>
          </w:p>
        </w:tc>
        <w:tc>
          <w:tcPr>
            <w:tcW w:w="1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EF0FC"/>
          </w:tcPr>
          <w:p>
            <w:pPr>
              <w:spacing w:after="0"/>
              <w:rPr>
                <w:sz w:val="12"/>
                <w:szCs w:val="12"/>
                <w:color w:val="auto"/>
              </w:rPr>
            </w:pPr>
          </w:p>
        </w:tc>
        <w:tc>
          <w:tcPr>
            <w:tcW w:w="740" w:type="dxa"/>
            <w:vAlign w:val="bottom"/>
            <w:shd w:val="clear" w:color="auto" w:fill="CEF0FC"/>
          </w:tcPr>
          <w:p>
            <w:pPr>
              <w:spacing w:after="0"/>
              <w:rPr>
                <w:sz w:val="12"/>
                <w:szCs w:val="12"/>
                <w:color w:val="auto"/>
              </w:rPr>
            </w:pPr>
          </w:p>
        </w:tc>
        <w:tc>
          <w:tcPr>
            <w:tcW w:w="920" w:type="dxa"/>
            <w:vAlign w:val="bottom"/>
            <w:shd w:val="clear" w:color="auto" w:fill="CEF0FC"/>
          </w:tcPr>
          <w:p>
            <w:pPr>
              <w:spacing w:after="0"/>
              <w:rPr>
                <w:sz w:val="12"/>
                <w:szCs w:val="12"/>
                <w:color w:val="auto"/>
              </w:rPr>
            </w:pPr>
          </w:p>
        </w:tc>
        <w:tc>
          <w:tcPr>
            <w:tcW w:w="58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2260" w:type="dxa"/>
            <w:vAlign w:val="bottom"/>
            <w:shd w:val="clear" w:color="auto" w:fill="CEF0FC"/>
          </w:tcPr>
          <w:p>
            <w:pPr>
              <w:spacing w:after="0"/>
              <w:rPr>
                <w:sz w:val="12"/>
                <w:szCs w:val="12"/>
                <w:color w:val="auto"/>
              </w:rPr>
            </w:pPr>
          </w:p>
        </w:tc>
        <w:tc>
          <w:tcPr>
            <w:tcW w:w="120" w:type="dxa"/>
            <w:vAlign w:val="bottom"/>
            <w:shd w:val="clear" w:color="auto" w:fill="CE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108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92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80" w:type="dxa"/>
            <w:vAlign w:val="bottom"/>
            <w:shd w:val="clear" w:color="auto" w:fill="CEF0FC"/>
          </w:tcPr>
          <w:p>
            <w:pPr>
              <w:spacing w:after="0"/>
              <w:rPr>
                <w:sz w:val="12"/>
                <w:szCs w:val="12"/>
                <w:color w:val="auto"/>
              </w:rPr>
            </w:pPr>
          </w:p>
        </w:tc>
        <w:tc>
          <w:tcPr>
            <w:tcW w:w="1000" w:type="dxa"/>
            <w:vAlign w:val="bottom"/>
            <w:shd w:val="clear" w:color="auto" w:fill="CEF0FC"/>
          </w:tcPr>
          <w:p>
            <w:pPr>
              <w:spacing w:after="0"/>
              <w:rPr>
                <w:sz w:val="12"/>
                <w:szCs w:val="12"/>
                <w:color w:val="auto"/>
              </w:rPr>
            </w:pPr>
          </w:p>
        </w:tc>
        <w:tc>
          <w:tcPr>
            <w:tcW w:w="780" w:type="dxa"/>
            <w:vAlign w:val="bottom"/>
            <w:gridSpan w:val="2"/>
            <w:shd w:val="clear" w:color="auto" w:fill="CEF0FC"/>
          </w:tcPr>
          <w:p>
            <w:pPr>
              <w:jc w:val="right"/>
              <w:spacing w:after="0" w:line="143"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1"/>
        </w:trPr>
        <w:tc>
          <w:tcPr>
            <w:tcW w:w="20" w:type="dxa"/>
            <w:vAlign w:val="bottom"/>
            <w:shd w:val="clear" w:color="auto" w:fill="CEF0FC"/>
          </w:tcPr>
          <w:p>
            <w:pPr>
              <w:spacing w:after="0"/>
              <w:rPr>
                <w:sz w:val="15"/>
                <w:szCs w:val="15"/>
                <w:color w:val="auto"/>
              </w:rPr>
            </w:pPr>
          </w:p>
        </w:tc>
        <w:tc>
          <w:tcPr>
            <w:tcW w:w="2240" w:type="dxa"/>
            <w:vAlign w:val="bottom"/>
            <w:gridSpan w:val="3"/>
            <w:shd w:val="clear" w:color="auto" w:fill="CEF0FC"/>
          </w:tcPr>
          <w:p>
            <w:pPr>
              <w:spacing w:after="0"/>
              <w:rPr>
                <w:sz w:val="20"/>
                <w:szCs w:val="20"/>
                <w:color w:val="auto"/>
              </w:rPr>
            </w:pPr>
            <w:r>
              <w:rPr>
                <w:rFonts w:ascii="Arial" w:cs="Arial" w:eastAsia="Arial" w:hAnsi="Arial"/>
                <w:sz w:val="14"/>
                <w:szCs w:val="14"/>
                <w:color w:val="auto"/>
              </w:rPr>
              <w:t>Dejero Labs Inc.</w:t>
            </w:r>
          </w:p>
        </w:tc>
        <w:tc>
          <w:tcPr>
            <w:tcW w:w="140" w:type="dxa"/>
            <w:vAlign w:val="bottom"/>
            <w:shd w:val="clear" w:color="auto" w:fill="CEF0FC"/>
          </w:tcPr>
          <w:p>
            <w:pPr>
              <w:spacing w:after="0"/>
              <w:rPr>
                <w:sz w:val="15"/>
                <w:szCs w:val="15"/>
                <w:color w:val="auto"/>
              </w:rPr>
            </w:pPr>
          </w:p>
        </w:tc>
        <w:tc>
          <w:tcPr>
            <w:tcW w:w="2260" w:type="dxa"/>
            <w:vAlign w:val="bottom"/>
            <w:shd w:val="clear" w:color="auto" w:fill="CEF0FC"/>
          </w:tcPr>
          <w:p>
            <w:pPr>
              <w:ind w:left="20"/>
              <w:spacing w:after="0"/>
              <w:rPr>
                <w:sz w:val="20"/>
                <w:szCs w:val="20"/>
                <w:color w:val="auto"/>
              </w:rPr>
            </w:pPr>
            <w:r>
              <w:rPr>
                <w:rFonts w:ascii="Arial" w:cs="Arial" w:eastAsia="Arial" w:hAnsi="Arial"/>
                <w:sz w:val="14"/>
                <w:szCs w:val="14"/>
                <w:color w:val="auto"/>
              </w:rPr>
              <w:t>Common Stock</w:t>
            </w:r>
          </w:p>
        </w:tc>
        <w:tc>
          <w:tcPr>
            <w:tcW w:w="920" w:type="dxa"/>
            <w:vAlign w:val="bottom"/>
            <w:gridSpan w:val="2"/>
            <w:shd w:val="clear" w:color="auto" w:fill="CEF0FC"/>
          </w:tcPr>
          <w:p>
            <w:pPr>
              <w:jc w:val="center"/>
              <w:ind w:left="68"/>
              <w:spacing w:after="0"/>
              <w:rPr>
                <w:sz w:val="20"/>
                <w:szCs w:val="20"/>
                <w:color w:val="auto"/>
              </w:rPr>
            </w:pPr>
            <w:r>
              <w:rPr>
                <w:rFonts w:ascii="Arial" w:cs="Arial" w:eastAsia="Arial" w:hAnsi="Arial"/>
                <w:sz w:val="14"/>
                <w:szCs w:val="14"/>
                <w:color w:val="auto"/>
                <w:w w:val="93"/>
              </w:rPr>
              <w:t>5/31/2019</w:t>
            </w:r>
          </w:p>
        </w:tc>
        <w:tc>
          <w:tcPr>
            <w:tcW w:w="1220" w:type="dxa"/>
            <w:vAlign w:val="bottom"/>
            <w:gridSpan w:val="2"/>
            <w:shd w:val="clear" w:color="auto" w:fill="CEF0FC"/>
          </w:tcPr>
          <w:p>
            <w:pPr>
              <w:jc w:val="center"/>
              <w:ind w:left="68"/>
              <w:spacing w:after="0"/>
              <w:rPr>
                <w:sz w:val="20"/>
                <w:szCs w:val="20"/>
                <w:color w:val="auto"/>
              </w:rPr>
            </w:pPr>
            <w:r>
              <w:rPr>
                <w:rFonts w:ascii="Arial" w:cs="Arial" w:eastAsia="Arial" w:hAnsi="Arial"/>
                <w:sz w:val="14"/>
                <w:szCs w:val="14"/>
                <w:color w:val="auto"/>
                <w:w w:val="96"/>
              </w:rPr>
              <w:t>5/31/2029</w:t>
            </w:r>
          </w:p>
        </w:tc>
        <w:tc>
          <w:tcPr>
            <w:tcW w:w="1060" w:type="dxa"/>
            <w:vAlign w:val="bottom"/>
            <w:gridSpan w:val="2"/>
            <w:shd w:val="clear" w:color="auto" w:fill="CEF0FC"/>
          </w:tcPr>
          <w:p>
            <w:pPr>
              <w:jc w:val="right"/>
              <w:spacing w:after="0"/>
              <w:rPr>
                <w:sz w:val="20"/>
                <w:szCs w:val="20"/>
                <w:color w:val="auto"/>
              </w:rPr>
            </w:pPr>
            <w:r>
              <w:rPr>
                <w:rFonts w:ascii="Arial" w:cs="Arial" w:eastAsia="Arial" w:hAnsi="Arial"/>
                <w:sz w:val="14"/>
                <w:szCs w:val="14"/>
                <w:color w:val="auto"/>
              </w:rPr>
              <w:t>333,621</w:t>
            </w:r>
          </w:p>
        </w:tc>
        <w:tc>
          <w:tcPr>
            <w:tcW w:w="240" w:type="dxa"/>
            <w:vAlign w:val="bottom"/>
            <w:shd w:val="clear" w:color="auto" w:fill="CEF0FC"/>
          </w:tcPr>
          <w:p>
            <w:pPr>
              <w:spacing w:after="0"/>
              <w:rPr>
                <w:sz w:val="15"/>
                <w:szCs w:val="15"/>
                <w:color w:val="auto"/>
              </w:rPr>
            </w:pPr>
          </w:p>
        </w:tc>
        <w:tc>
          <w:tcPr>
            <w:tcW w:w="240" w:type="dxa"/>
            <w:vAlign w:val="bottom"/>
            <w:shd w:val="clear" w:color="auto" w:fill="CEF0FC"/>
          </w:tcPr>
          <w:p>
            <w:pPr>
              <w:spacing w:after="0"/>
              <w:rPr>
                <w:sz w:val="15"/>
                <w:szCs w:val="15"/>
                <w:color w:val="auto"/>
              </w:rPr>
            </w:pPr>
          </w:p>
        </w:tc>
        <w:tc>
          <w:tcPr>
            <w:tcW w:w="8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192,499</w:t>
            </w:r>
          </w:p>
        </w:tc>
        <w:tc>
          <w:tcPr>
            <w:tcW w:w="240" w:type="dxa"/>
            <w:vAlign w:val="bottom"/>
            <w:shd w:val="clear" w:color="auto" w:fill="CEF0FC"/>
          </w:tcPr>
          <w:p>
            <w:pPr>
              <w:spacing w:after="0"/>
              <w:rPr>
                <w:sz w:val="15"/>
                <w:szCs w:val="15"/>
                <w:color w:val="auto"/>
              </w:rPr>
            </w:pPr>
          </w:p>
        </w:tc>
        <w:tc>
          <w:tcPr>
            <w:tcW w:w="80" w:type="dxa"/>
            <w:vAlign w:val="bottom"/>
            <w:shd w:val="clear" w:color="auto" w:fill="CEF0FC"/>
          </w:tcPr>
          <w:p>
            <w:pPr>
              <w:spacing w:after="0"/>
              <w:rPr>
                <w:sz w:val="15"/>
                <w:szCs w:val="15"/>
                <w:color w:val="auto"/>
              </w:rPr>
            </w:pPr>
          </w:p>
        </w:tc>
        <w:tc>
          <w:tcPr>
            <w:tcW w:w="10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250,519</w:t>
            </w:r>
          </w:p>
        </w:tc>
        <w:tc>
          <w:tcPr>
            <w:tcW w:w="780" w:type="dxa"/>
            <w:vAlign w:val="bottom"/>
            <w:gridSpan w:val="2"/>
            <w:shd w:val="clear" w:color="auto" w:fill="CEF0FC"/>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40" w:type="dxa"/>
            <w:vAlign w:val="bottom"/>
            <w:gridSpan w:val="3"/>
          </w:tcPr>
          <w:p>
            <w:pPr>
              <w:spacing w:after="0"/>
              <w:rPr>
                <w:sz w:val="20"/>
                <w:szCs w:val="20"/>
                <w:color w:val="auto"/>
              </w:rPr>
            </w:pPr>
            <w:r>
              <w:rPr>
                <w:rFonts w:ascii="Arial" w:cs="Arial" w:eastAsia="Arial" w:hAnsi="Arial"/>
                <w:sz w:val="14"/>
                <w:szCs w:val="14"/>
                <w:color w:val="auto"/>
              </w:rPr>
              <w:t>Scale Computing, Inc.</w:t>
            </w:r>
          </w:p>
        </w:tc>
        <w:tc>
          <w:tcPr>
            <w:tcW w:w="14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Arial" w:cs="Arial" w:eastAsia="Arial" w:hAnsi="Arial"/>
                <w:sz w:val="14"/>
                <w:szCs w:val="14"/>
                <w:color w:val="auto"/>
              </w:rPr>
              <w:t>Common Stock</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3/29/2019</w:t>
            </w:r>
          </w:p>
        </w:tc>
        <w:tc>
          <w:tcPr>
            <w:tcW w:w="122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3/29/2029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9,665,667</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345,816</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9"/>
        </w:trPr>
        <w:tc>
          <w:tcPr>
            <w:tcW w:w="20" w:type="dxa"/>
            <w:vAlign w:val="bottom"/>
            <w:tcBorders>
              <w:bottom w:val="single" w:sz="8" w:color="CEF0FC"/>
            </w:tcBorders>
            <w:shd w:val="clear" w:color="auto" w:fill="CEF0FC"/>
          </w:tcPr>
          <w:p>
            <w:pPr>
              <w:spacing w:after="0"/>
              <w:rPr>
                <w:sz w:val="14"/>
                <w:szCs w:val="14"/>
                <w:color w:val="auto"/>
              </w:rPr>
            </w:pPr>
          </w:p>
        </w:tc>
        <w:tc>
          <w:tcPr>
            <w:tcW w:w="2240" w:type="dxa"/>
            <w:vAlign w:val="bottom"/>
            <w:tcBorders>
              <w:bottom w:val="single" w:sz="8" w:color="CEF0FC"/>
            </w:tcBorders>
            <w:gridSpan w:val="3"/>
            <w:shd w:val="clear" w:color="auto" w:fill="CEF0FC"/>
          </w:tcPr>
          <w:p>
            <w:pPr>
              <w:spacing w:after="0"/>
              <w:rPr>
                <w:sz w:val="20"/>
                <w:szCs w:val="20"/>
                <w:color w:val="auto"/>
              </w:rPr>
            </w:pPr>
            <w:r>
              <w:rPr>
                <w:rFonts w:ascii="Arial" w:cs="Arial" w:eastAsia="Arial" w:hAnsi="Arial"/>
                <w:sz w:val="14"/>
                <w:szCs w:val="14"/>
                <w:b w:val="1"/>
                <w:bCs w:val="1"/>
                <w:color w:val="auto"/>
              </w:rPr>
              <w:t>Total System Software - 0.04%*</w:t>
            </w:r>
          </w:p>
        </w:tc>
        <w:tc>
          <w:tcPr>
            <w:tcW w:w="140" w:type="dxa"/>
            <w:vAlign w:val="bottom"/>
            <w:tcBorders>
              <w:bottom w:val="single" w:sz="8" w:color="CEF0FC"/>
            </w:tcBorders>
            <w:shd w:val="clear" w:color="auto" w:fill="CEF0FC"/>
          </w:tcPr>
          <w:p>
            <w:pPr>
              <w:spacing w:after="0"/>
              <w:rPr>
                <w:sz w:val="14"/>
                <w:szCs w:val="14"/>
                <w:color w:val="auto"/>
              </w:rPr>
            </w:pPr>
          </w:p>
        </w:tc>
        <w:tc>
          <w:tcPr>
            <w:tcW w:w="2260" w:type="dxa"/>
            <w:vAlign w:val="bottom"/>
            <w:tcBorders>
              <w:bottom w:val="single" w:sz="8" w:color="CEF0FC"/>
            </w:tcBorders>
            <w:shd w:val="clear" w:color="auto" w:fill="CEF0FC"/>
          </w:tcPr>
          <w:p>
            <w:pPr>
              <w:spacing w:after="0"/>
              <w:rPr>
                <w:sz w:val="14"/>
                <w:szCs w:val="14"/>
                <w:color w:val="auto"/>
              </w:rPr>
            </w:pPr>
          </w:p>
        </w:tc>
        <w:tc>
          <w:tcPr>
            <w:tcW w:w="120" w:type="dxa"/>
            <w:vAlign w:val="bottom"/>
            <w:tcBorders>
              <w:bottom w:val="single" w:sz="8" w:color="CEF0FC"/>
            </w:tcBorders>
            <w:shd w:val="clear" w:color="auto" w:fill="CEF0FC"/>
          </w:tcPr>
          <w:p>
            <w:pPr>
              <w:spacing w:after="0"/>
              <w:rPr>
                <w:sz w:val="14"/>
                <w:szCs w:val="14"/>
                <w:color w:val="auto"/>
              </w:rPr>
            </w:pPr>
          </w:p>
        </w:tc>
        <w:tc>
          <w:tcPr>
            <w:tcW w:w="80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108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920" w:type="dxa"/>
            <w:vAlign w:val="bottom"/>
            <w:tcBorders>
              <w:bottom w:val="single" w:sz="8" w:color="CEF0FC"/>
            </w:tcBorders>
            <w:shd w:val="clear" w:color="auto" w:fill="CEF0FC"/>
          </w:tcPr>
          <w:p>
            <w:pPr>
              <w:spacing w:after="0"/>
              <w:rPr>
                <w:sz w:val="14"/>
                <w:szCs w:val="14"/>
                <w:color w:val="auto"/>
              </w:rPr>
            </w:pPr>
          </w:p>
        </w:tc>
        <w:tc>
          <w:tcPr>
            <w:tcW w:w="240" w:type="dxa"/>
            <w:vAlign w:val="bottom"/>
            <w:tcBorders>
              <w:bottom w:val="single" w:sz="8" w:color="CEF0FC"/>
            </w:tcBorders>
            <w:shd w:val="clear" w:color="auto" w:fill="CEF0FC"/>
          </w:tcPr>
          <w:p>
            <w:pPr>
              <w:spacing w:after="0"/>
              <w:rPr>
                <w:sz w:val="14"/>
                <w:szCs w:val="14"/>
                <w:color w:val="auto"/>
              </w:rPr>
            </w:pPr>
          </w:p>
        </w:tc>
        <w:tc>
          <w:tcPr>
            <w:tcW w:w="240" w:type="dxa"/>
            <w:vAlign w:val="bottom"/>
            <w:tcBorders>
              <w:bottom w:val="single" w:sz="8" w:color="auto"/>
            </w:tcBorders>
            <w:shd w:val="clear" w:color="auto" w:fill="CEF0FC"/>
          </w:tcPr>
          <w:p>
            <w:pPr>
              <w:spacing w:after="0"/>
              <w:rPr>
                <w:sz w:val="14"/>
                <w:szCs w:val="14"/>
                <w:color w:val="auto"/>
              </w:rPr>
            </w:pPr>
          </w:p>
        </w:tc>
        <w:tc>
          <w:tcPr>
            <w:tcW w:w="80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4"/>
                <w:szCs w:val="14"/>
                <w:color w:val="auto"/>
              </w:rPr>
              <w:t>538,315</w:t>
            </w:r>
          </w:p>
        </w:tc>
        <w:tc>
          <w:tcPr>
            <w:tcW w:w="240" w:type="dxa"/>
            <w:vAlign w:val="bottom"/>
            <w:tcBorders>
              <w:bottom w:val="single" w:sz="8" w:color="CEF0FC"/>
            </w:tcBorders>
            <w:shd w:val="clear" w:color="auto" w:fill="CEF0FC"/>
          </w:tcPr>
          <w:p>
            <w:pPr>
              <w:spacing w:after="0"/>
              <w:rPr>
                <w:sz w:val="14"/>
                <w:szCs w:val="14"/>
                <w:color w:val="auto"/>
              </w:rPr>
            </w:pPr>
          </w:p>
        </w:tc>
        <w:tc>
          <w:tcPr>
            <w:tcW w:w="80" w:type="dxa"/>
            <w:vAlign w:val="bottom"/>
            <w:tcBorders>
              <w:bottom w:val="single" w:sz="8" w:color="auto"/>
            </w:tcBorders>
            <w:shd w:val="clear" w:color="auto" w:fill="CEF0FC"/>
          </w:tcPr>
          <w:p>
            <w:pPr>
              <w:spacing w:after="0"/>
              <w:rPr>
                <w:sz w:val="14"/>
                <w:szCs w:val="14"/>
                <w:color w:val="auto"/>
              </w:rPr>
            </w:pPr>
          </w:p>
        </w:tc>
        <w:tc>
          <w:tcPr>
            <w:tcW w:w="100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4"/>
                <w:szCs w:val="14"/>
                <w:color w:val="auto"/>
              </w:rPr>
              <w:t>250,519</w:t>
            </w:r>
          </w:p>
        </w:tc>
        <w:tc>
          <w:tcPr>
            <w:tcW w:w="220" w:type="dxa"/>
            <w:vAlign w:val="bottom"/>
            <w:tcBorders>
              <w:bottom w:val="single" w:sz="8" w:color="CEF0FC"/>
            </w:tcBorders>
            <w:shd w:val="clear" w:color="auto" w:fill="CEF0FC"/>
          </w:tcPr>
          <w:p>
            <w:pPr>
              <w:spacing w:after="0"/>
              <w:rPr>
                <w:sz w:val="14"/>
                <w:szCs w:val="14"/>
                <w:color w:val="auto"/>
              </w:rPr>
            </w:pPr>
          </w:p>
        </w:tc>
        <w:tc>
          <w:tcPr>
            <w:tcW w:w="560" w:type="dxa"/>
            <w:vAlign w:val="bottom"/>
            <w:tcBorders>
              <w:bottom w:val="single" w:sz="8" w:color="CEF0FC"/>
            </w:tcBorders>
            <w:shd w:val="clear" w:color="auto" w:fill="CE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EF0FC"/>
          </w:tcPr>
          <w:p>
            <w:pPr>
              <w:spacing w:after="0"/>
              <w:rPr>
                <w:sz w:val="12"/>
                <w:szCs w:val="12"/>
                <w:color w:val="auto"/>
              </w:rPr>
            </w:pPr>
          </w:p>
        </w:tc>
        <w:tc>
          <w:tcPr>
            <w:tcW w:w="2240" w:type="dxa"/>
            <w:vAlign w:val="bottom"/>
            <w:gridSpan w:val="3"/>
            <w:shd w:val="clear" w:color="auto" w:fill="CEF0FC"/>
          </w:tcPr>
          <w:p>
            <w:pPr>
              <w:spacing w:after="0" w:line="139" w:lineRule="exact"/>
              <w:rPr>
                <w:sz w:val="20"/>
                <w:szCs w:val="20"/>
                <w:color w:val="auto"/>
              </w:rPr>
            </w:pPr>
            <w:r>
              <w:rPr>
                <w:rFonts w:ascii="Arial" w:cs="Arial" w:eastAsia="Arial" w:hAnsi="Arial"/>
                <w:sz w:val="14"/>
                <w:szCs w:val="14"/>
                <w:b w:val="1"/>
                <w:bCs w:val="1"/>
                <w:color w:val="auto"/>
              </w:rPr>
              <w:t>Technology Hardware, Storage &amp;</w:t>
            </w:r>
          </w:p>
        </w:tc>
        <w:tc>
          <w:tcPr>
            <w:tcW w:w="140" w:type="dxa"/>
            <w:vAlign w:val="bottom"/>
            <w:shd w:val="clear" w:color="auto" w:fill="CEF0FC"/>
          </w:tcPr>
          <w:p>
            <w:pPr>
              <w:spacing w:after="0"/>
              <w:rPr>
                <w:sz w:val="12"/>
                <w:szCs w:val="12"/>
                <w:color w:val="auto"/>
              </w:rPr>
            </w:pPr>
          </w:p>
        </w:tc>
        <w:tc>
          <w:tcPr>
            <w:tcW w:w="2260" w:type="dxa"/>
            <w:vAlign w:val="bottom"/>
            <w:shd w:val="clear" w:color="auto" w:fill="CEF0FC"/>
          </w:tcPr>
          <w:p>
            <w:pPr>
              <w:spacing w:after="0"/>
              <w:rPr>
                <w:sz w:val="12"/>
                <w:szCs w:val="12"/>
                <w:color w:val="auto"/>
              </w:rPr>
            </w:pPr>
          </w:p>
        </w:tc>
        <w:tc>
          <w:tcPr>
            <w:tcW w:w="120" w:type="dxa"/>
            <w:vAlign w:val="bottom"/>
            <w:shd w:val="clear" w:color="auto" w:fill="CE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108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92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80" w:type="dxa"/>
            <w:vAlign w:val="bottom"/>
            <w:shd w:val="clear" w:color="auto" w:fill="CEF0FC"/>
          </w:tcPr>
          <w:p>
            <w:pPr>
              <w:spacing w:after="0"/>
              <w:rPr>
                <w:sz w:val="12"/>
                <w:szCs w:val="12"/>
                <w:color w:val="auto"/>
              </w:rPr>
            </w:pPr>
          </w:p>
        </w:tc>
        <w:tc>
          <w:tcPr>
            <w:tcW w:w="1000" w:type="dxa"/>
            <w:vAlign w:val="bottom"/>
            <w:shd w:val="clear" w:color="auto" w:fill="CEF0FC"/>
          </w:tcPr>
          <w:p>
            <w:pPr>
              <w:spacing w:after="0"/>
              <w:rPr>
                <w:sz w:val="12"/>
                <w:szCs w:val="12"/>
                <w:color w:val="auto"/>
              </w:rPr>
            </w:pPr>
          </w:p>
        </w:tc>
        <w:tc>
          <w:tcPr>
            <w:tcW w:w="220" w:type="dxa"/>
            <w:vAlign w:val="bottom"/>
            <w:shd w:val="clear" w:color="auto" w:fill="CEF0FC"/>
          </w:tcPr>
          <w:p>
            <w:pPr>
              <w:spacing w:after="0"/>
              <w:rPr>
                <w:sz w:val="12"/>
                <w:szCs w:val="12"/>
                <w:color w:val="auto"/>
              </w:rPr>
            </w:pPr>
          </w:p>
        </w:tc>
        <w:tc>
          <w:tcPr>
            <w:tcW w:w="560" w:type="dxa"/>
            <w:vAlign w:val="bottom"/>
            <w:shd w:val="clear" w:color="auto" w:fill="CE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EF0FC"/>
          </w:tcPr>
          <w:p>
            <w:pPr>
              <w:spacing w:after="0"/>
              <w:rPr>
                <w:sz w:val="16"/>
                <w:szCs w:val="16"/>
                <w:color w:val="auto"/>
              </w:rPr>
            </w:pPr>
          </w:p>
        </w:tc>
        <w:tc>
          <w:tcPr>
            <w:tcW w:w="2240" w:type="dxa"/>
            <w:vAlign w:val="bottom"/>
            <w:gridSpan w:val="3"/>
            <w:shd w:val="clear" w:color="auto" w:fill="CEF0FC"/>
          </w:tcPr>
          <w:p>
            <w:pPr>
              <w:spacing w:after="0"/>
              <w:rPr>
                <w:sz w:val="20"/>
                <w:szCs w:val="20"/>
                <w:color w:val="auto"/>
              </w:rPr>
            </w:pPr>
            <w:r>
              <w:rPr>
                <w:rFonts w:ascii="Arial" w:cs="Arial" w:eastAsia="Arial" w:hAnsi="Arial"/>
                <w:sz w:val="14"/>
                <w:szCs w:val="14"/>
                <w:b w:val="1"/>
                <w:bCs w:val="1"/>
                <w:color w:val="auto"/>
              </w:rPr>
              <w:t>Peripherals</w:t>
            </w:r>
          </w:p>
        </w:tc>
        <w:tc>
          <w:tcPr>
            <w:tcW w:w="140" w:type="dxa"/>
            <w:vAlign w:val="bottom"/>
            <w:shd w:val="clear" w:color="auto" w:fill="CEF0FC"/>
          </w:tcPr>
          <w:p>
            <w:pPr>
              <w:spacing w:after="0"/>
              <w:rPr>
                <w:sz w:val="16"/>
                <w:szCs w:val="16"/>
                <w:color w:val="auto"/>
              </w:rPr>
            </w:pPr>
          </w:p>
        </w:tc>
        <w:tc>
          <w:tcPr>
            <w:tcW w:w="226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8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10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920" w:type="dxa"/>
            <w:vAlign w:val="bottom"/>
            <w:shd w:val="clear" w:color="auto" w:fill="CEF0FC"/>
          </w:tcPr>
          <w:p>
            <w:pPr>
              <w:spacing w:after="0"/>
              <w:rPr>
                <w:sz w:val="16"/>
                <w:szCs w:val="16"/>
                <w:color w:val="auto"/>
              </w:rPr>
            </w:pPr>
          </w:p>
        </w:tc>
        <w:tc>
          <w:tcPr>
            <w:tcW w:w="240" w:type="dxa"/>
            <w:vAlign w:val="bottom"/>
            <w:shd w:val="clear" w:color="auto" w:fill="CEF0FC"/>
          </w:tcPr>
          <w:p>
            <w:pPr>
              <w:spacing w:after="0"/>
              <w:rPr>
                <w:sz w:val="16"/>
                <w:szCs w:val="16"/>
                <w:color w:val="auto"/>
              </w:rPr>
            </w:pPr>
          </w:p>
        </w:tc>
        <w:tc>
          <w:tcPr>
            <w:tcW w:w="240" w:type="dxa"/>
            <w:vAlign w:val="bottom"/>
            <w:shd w:val="clear" w:color="auto" w:fill="CEF0FC"/>
          </w:tcPr>
          <w:p>
            <w:pPr>
              <w:spacing w:after="0"/>
              <w:rPr>
                <w:sz w:val="16"/>
                <w:szCs w:val="16"/>
                <w:color w:val="auto"/>
              </w:rPr>
            </w:pPr>
          </w:p>
        </w:tc>
        <w:tc>
          <w:tcPr>
            <w:tcW w:w="800" w:type="dxa"/>
            <w:vAlign w:val="bottom"/>
            <w:shd w:val="clear" w:color="auto" w:fill="CEF0FC"/>
          </w:tcPr>
          <w:p>
            <w:pPr>
              <w:spacing w:after="0"/>
              <w:rPr>
                <w:sz w:val="16"/>
                <w:szCs w:val="16"/>
                <w:color w:val="auto"/>
              </w:rPr>
            </w:pPr>
          </w:p>
        </w:tc>
        <w:tc>
          <w:tcPr>
            <w:tcW w:w="240" w:type="dxa"/>
            <w:vAlign w:val="bottom"/>
            <w:shd w:val="clear" w:color="auto" w:fill="CEF0FC"/>
          </w:tcPr>
          <w:p>
            <w:pPr>
              <w:spacing w:after="0"/>
              <w:rPr>
                <w:sz w:val="16"/>
                <w:szCs w:val="16"/>
                <w:color w:val="auto"/>
              </w:rPr>
            </w:pPr>
          </w:p>
        </w:tc>
        <w:tc>
          <w:tcPr>
            <w:tcW w:w="80" w:type="dxa"/>
            <w:vAlign w:val="bottom"/>
            <w:shd w:val="clear" w:color="auto" w:fill="CEF0FC"/>
          </w:tcPr>
          <w:p>
            <w:pPr>
              <w:spacing w:after="0"/>
              <w:rPr>
                <w:sz w:val="16"/>
                <w:szCs w:val="16"/>
                <w:color w:val="auto"/>
              </w:rPr>
            </w:pPr>
          </w:p>
        </w:tc>
        <w:tc>
          <w:tcPr>
            <w:tcW w:w="1000" w:type="dxa"/>
            <w:vAlign w:val="bottom"/>
            <w:shd w:val="clear" w:color="auto" w:fill="CEF0FC"/>
          </w:tcPr>
          <w:p>
            <w:pPr>
              <w:spacing w:after="0"/>
              <w:rPr>
                <w:sz w:val="16"/>
                <w:szCs w:val="16"/>
                <w:color w:val="auto"/>
              </w:rPr>
            </w:pPr>
          </w:p>
        </w:tc>
        <w:tc>
          <w:tcPr>
            <w:tcW w:w="220" w:type="dxa"/>
            <w:vAlign w:val="bottom"/>
            <w:shd w:val="clear" w:color="auto" w:fill="CEF0FC"/>
          </w:tcPr>
          <w:p>
            <w:pPr>
              <w:spacing w:after="0"/>
              <w:rPr>
                <w:sz w:val="16"/>
                <w:szCs w:val="16"/>
                <w:color w:val="auto"/>
              </w:rPr>
            </w:pPr>
          </w:p>
        </w:tc>
        <w:tc>
          <w:tcPr>
            <w:tcW w:w="5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40" w:type="dxa"/>
            <w:vAlign w:val="bottom"/>
            <w:gridSpan w:val="3"/>
          </w:tcPr>
          <w:p>
            <w:pPr>
              <w:spacing w:after="0"/>
              <w:rPr>
                <w:sz w:val="20"/>
                <w:szCs w:val="20"/>
                <w:color w:val="auto"/>
              </w:rPr>
            </w:pPr>
            <w:r>
              <w:rPr>
                <w:rFonts w:ascii="Arial" w:cs="Arial" w:eastAsia="Arial" w:hAnsi="Arial"/>
                <w:sz w:val="14"/>
                <w:szCs w:val="14"/>
                <w:color w:val="auto"/>
              </w:rPr>
              <w:t>RealWear, Inc.</w:t>
            </w:r>
          </w:p>
        </w:tc>
        <w:tc>
          <w:tcPr>
            <w:tcW w:w="14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Arial" w:cs="Arial" w:eastAsia="Arial" w:hAnsi="Arial"/>
                <w:sz w:val="14"/>
                <w:szCs w:val="14"/>
                <w:color w:val="auto"/>
              </w:rPr>
              <w:t>Series A Preferred Stock</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10/5/2018</w:t>
            </w:r>
          </w:p>
        </w:tc>
        <w:tc>
          <w:tcPr>
            <w:tcW w:w="122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10/5/2028</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112,451</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135,841</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359,874</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shd w:val="clear" w:color="auto" w:fill="CEF0FC"/>
          </w:tcPr>
          <w:p>
            <w:pPr>
              <w:spacing w:after="0"/>
              <w:rPr>
                <w:sz w:val="15"/>
                <w:szCs w:val="15"/>
                <w:color w:val="auto"/>
              </w:rPr>
            </w:pPr>
          </w:p>
        </w:tc>
        <w:tc>
          <w:tcPr>
            <w:tcW w:w="740" w:type="dxa"/>
            <w:vAlign w:val="bottom"/>
            <w:shd w:val="clear" w:color="auto" w:fill="CEF0FC"/>
          </w:tcPr>
          <w:p>
            <w:pPr>
              <w:spacing w:after="0"/>
              <w:rPr>
                <w:sz w:val="15"/>
                <w:szCs w:val="15"/>
                <w:color w:val="auto"/>
              </w:rPr>
            </w:pPr>
          </w:p>
        </w:tc>
        <w:tc>
          <w:tcPr>
            <w:tcW w:w="920" w:type="dxa"/>
            <w:vAlign w:val="bottom"/>
            <w:shd w:val="clear" w:color="auto" w:fill="CEF0FC"/>
          </w:tcPr>
          <w:p>
            <w:pPr>
              <w:spacing w:after="0"/>
              <w:rPr>
                <w:sz w:val="15"/>
                <w:szCs w:val="15"/>
                <w:color w:val="auto"/>
              </w:rPr>
            </w:pPr>
          </w:p>
        </w:tc>
        <w:tc>
          <w:tcPr>
            <w:tcW w:w="58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2260" w:type="dxa"/>
            <w:vAlign w:val="bottom"/>
            <w:shd w:val="clear" w:color="auto" w:fill="CEF0FC"/>
          </w:tcPr>
          <w:p>
            <w:pPr>
              <w:ind w:left="20"/>
              <w:spacing w:after="0"/>
              <w:rPr>
                <w:sz w:val="20"/>
                <w:szCs w:val="20"/>
                <w:color w:val="auto"/>
              </w:rPr>
            </w:pPr>
            <w:r>
              <w:rPr>
                <w:rFonts w:ascii="Arial" w:cs="Arial" w:eastAsia="Arial" w:hAnsi="Arial"/>
                <w:sz w:val="14"/>
                <w:szCs w:val="14"/>
                <w:color w:val="auto"/>
              </w:rPr>
              <w:t>Series A Preferred Stock</w:t>
            </w:r>
          </w:p>
        </w:tc>
        <w:tc>
          <w:tcPr>
            <w:tcW w:w="920" w:type="dxa"/>
            <w:vAlign w:val="bottom"/>
            <w:gridSpan w:val="2"/>
            <w:shd w:val="clear" w:color="auto" w:fill="CEF0FC"/>
          </w:tcPr>
          <w:p>
            <w:pPr>
              <w:jc w:val="center"/>
              <w:ind w:left="68"/>
              <w:spacing w:after="0"/>
              <w:rPr>
                <w:sz w:val="20"/>
                <w:szCs w:val="20"/>
                <w:color w:val="auto"/>
              </w:rPr>
            </w:pPr>
            <w:r>
              <w:rPr>
                <w:rFonts w:ascii="Arial" w:cs="Arial" w:eastAsia="Arial" w:hAnsi="Arial"/>
                <w:sz w:val="14"/>
                <w:szCs w:val="14"/>
                <w:color w:val="auto"/>
                <w:w w:val="94"/>
              </w:rPr>
              <w:t>12/28/2018</w:t>
            </w:r>
          </w:p>
        </w:tc>
        <w:tc>
          <w:tcPr>
            <w:tcW w:w="1220" w:type="dxa"/>
            <w:vAlign w:val="bottom"/>
            <w:gridSpan w:val="2"/>
            <w:shd w:val="clear" w:color="auto" w:fill="CEF0FC"/>
          </w:tcPr>
          <w:p>
            <w:pPr>
              <w:jc w:val="center"/>
              <w:ind w:left="68"/>
              <w:spacing w:after="0"/>
              <w:rPr>
                <w:sz w:val="20"/>
                <w:szCs w:val="20"/>
                <w:color w:val="auto"/>
              </w:rPr>
            </w:pPr>
            <w:r>
              <w:rPr>
                <w:rFonts w:ascii="Arial" w:cs="Arial" w:eastAsia="Arial" w:hAnsi="Arial"/>
                <w:sz w:val="14"/>
                <w:szCs w:val="14"/>
                <w:color w:val="auto"/>
                <w:w w:val="91"/>
              </w:rPr>
              <w:t>12/28/2028</w:t>
            </w:r>
          </w:p>
        </w:tc>
        <w:tc>
          <w:tcPr>
            <w:tcW w:w="1060" w:type="dxa"/>
            <w:vAlign w:val="bottom"/>
            <w:gridSpan w:val="2"/>
            <w:shd w:val="clear" w:color="auto" w:fill="CEF0FC"/>
          </w:tcPr>
          <w:p>
            <w:pPr>
              <w:jc w:val="right"/>
              <w:spacing w:after="0"/>
              <w:rPr>
                <w:sz w:val="20"/>
                <w:szCs w:val="20"/>
                <w:color w:val="auto"/>
              </w:rPr>
            </w:pPr>
            <w:r>
              <w:rPr>
                <w:rFonts w:ascii="Arial" w:cs="Arial" w:eastAsia="Arial" w:hAnsi="Arial"/>
                <w:sz w:val="14"/>
                <w:szCs w:val="14"/>
                <w:color w:val="auto"/>
              </w:rPr>
              <w:t>22,491</w:t>
            </w:r>
          </w:p>
        </w:tc>
        <w:tc>
          <w:tcPr>
            <w:tcW w:w="240" w:type="dxa"/>
            <w:vAlign w:val="bottom"/>
            <w:shd w:val="clear" w:color="auto" w:fill="CEF0FC"/>
          </w:tcPr>
          <w:p>
            <w:pPr>
              <w:spacing w:after="0"/>
              <w:rPr>
                <w:sz w:val="15"/>
                <w:szCs w:val="15"/>
                <w:color w:val="auto"/>
              </w:rPr>
            </w:pPr>
          </w:p>
        </w:tc>
        <w:tc>
          <w:tcPr>
            <w:tcW w:w="240" w:type="dxa"/>
            <w:vAlign w:val="bottom"/>
            <w:shd w:val="clear" w:color="auto" w:fill="CEF0FC"/>
          </w:tcPr>
          <w:p>
            <w:pPr>
              <w:spacing w:after="0"/>
              <w:rPr>
                <w:sz w:val="15"/>
                <w:szCs w:val="15"/>
                <w:color w:val="auto"/>
              </w:rPr>
            </w:pPr>
          </w:p>
        </w:tc>
        <w:tc>
          <w:tcPr>
            <w:tcW w:w="8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25,248</w:t>
            </w:r>
          </w:p>
        </w:tc>
        <w:tc>
          <w:tcPr>
            <w:tcW w:w="240" w:type="dxa"/>
            <w:vAlign w:val="bottom"/>
            <w:shd w:val="clear" w:color="auto" w:fill="CEF0FC"/>
          </w:tcPr>
          <w:p>
            <w:pPr>
              <w:spacing w:after="0"/>
              <w:rPr>
                <w:sz w:val="15"/>
                <w:szCs w:val="15"/>
                <w:color w:val="auto"/>
              </w:rPr>
            </w:pPr>
          </w:p>
        </w:tc>
        <w:tc>
          <w:tcPr>
            <w:tcW w:w="80" w:type="dxa"/>
            <w:vAlign w:val="bottom"/>
            <w:shd w:val="clear" w:color="auto" w:fill="CEF0FC"/>
          </w:tcPr>
          <w:p>
            <w:pPr>
              <w:spacing w:after="0"/>
              <w:rPr>
                <w:sz w:val="15"/>
                <w:szCs w:val="15"/>
                <w:color w:val="auto"/>
              </w:rPr>
            </w:pPr>
          </w:p>
        </w:tc>
        <w:tc>
          <w:tcPr>
            <w:tcW w:w="1000" w:type="dxa"/>
            <w:vAlign w:val="bottom"/>
            <w:shd w:val="clear" w:color="auto" w:fill="CEF0FC"/>
          </w:tcPr>
          <w:p>
            <w:pPr>
              <w:jc w:val="right"/>
              <w:spacing w:after="0"/>
              <w:rPr>
                <w:sz w:val="20"/>
                <w:szCs w:val="20"/>
                <w:color w:val="auto"/>
              </w:rPr>
            </w:pPr>
            <w:r>
              <w:rPr>
                <w:rFonts w:ascii="Arial" w:cs="Arial" w:eastAsia="Arial" w:hAnsi="Arial"/>
                <w:sz w:val="14"/>
                <w:szCs w:val="14"/>
                <w:color w:val="auto"/>
              </w:rPr>
              <w:t>71,977</w:t>
            </w:r>
          </w:p>
        </w:tc>
        <w:tc>
          <w:tcPr>
            <w:tcW w:w="780" w:type="dxa"/>
            <w:vAlign w:val="bottom"/>
            <w:gridSpan w:val="2"/>
            <w:shd w:val="clear" w:color="auto" w:fill="CE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tcPr>
          <w:p>
            <w:pPr>
              <w:ind w:left="20"/>
              <w:spacing w:after="0"/>
              <w:rPr>
                <w:sz w:val="20"/>
                <w:szCs w:val="20"/>
                <w:color w:val="auto"/>
              </w:rPr>
            </w:pPr>
            <w:r>
              <w:rPr>
                <w:rFonts w:ascii="Arial" w:cs="Arial" w:eastAsia="Arial" w:hAnsi="Arial"/>
                <w:sz w:val="14"/>
                <w:szCs w:val="14"/>
                <w:color w:val="auto"/>
              </w:rPr>
              <w:t>Series A Preferred Stock</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6/27/2019</w:t>
            </w:r>
          </w:p>
        </w:tc>
        <w:tc>
          <w:tcPr>
            <w:tcW w:w="1220" w:type="dxa"/>
            <w:vAlign w:val="bottom"/>
            <w:gridSpan w:val="2"/>
          </w:tcPr>
          <w:p>
            <w:pPr>
              <w:jc w:val="center"/>
              <w:ind w:left="68"/>
              <w:spacing w:after="0"/>
              <w:rPr>
                <w:sz w:val="20"/>
                <w:szCs w:val="20"/>
                <w:color w:val="auto"/>
              </w:rPr>
            </w:pPr>
            <w:r>
              <w:rPr>
                <w:rFonts w:ascii="Arial" w:cs="Arial" w:eastAsia="Arial" w:hAnsi="Arial"/>
                <w:sz w:val="14"/>
                <w:szCs w:val="14"/>
                <w:color w:val="auto"/>
                <w:w w:val="96"/>
              </w:rPr>
              <w:t>6/27/2029</w:t>
            </w:r>
          </w:p>
        </w:tc>
        <w:tc>
          <w:tcPr>
            <w:tcW w:w="1060" w:type="dxa"/>
            <w:vAlign w:val="bottom"/>
            <w:gridSpan w:val="2"/>
          </w:tcPr>
          <w:p>
            <w:pPr>
              <w:jc w:val="right"/>
              <w:spacing w:after="0"/>
              <w:rPr>
                <w:sz w:val="20"/>
                <w:szCs w:val="20"/>
                <w:color w:val="auto"/>
              </w:rPr>
            </w:pPr>
            <w:r>
              <w:rPr>
                <w:rFonts w:ascii="Arial" w:cs="Arial" w:eastAsia="Arial" w:hAnsi="Arial"/>
                <w:sz w:val="14"/>
                <w:szCs w:val="14"/>
                <w:color w:val="auto"/>
              </w:rPr>
              <w:t>123,894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380,850</w:t>
            </w:r>
          </w:p>
        </w:tc>
        <w:tc>
          <w:tcPr>
            <w:tcW w:w="2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396,495</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3"/>
        </w:trPr>
        <w:tc>
          <w:tcPr>
            <w:tcW w:w="20" w:type="dxa"/>
            <w:vAlign w:val="bottom"/>
            <w:shd w:val="clear" w:color="auto" w:fill="CEF0FC"/>
          </w:tcPr>
          <w:p>
            <w:pPr>
              <w:spacing w:after="0"/>
              <w:rPr>
                <w:sz w:val="11"/>
                <w:szCs w:val="11"/>
                <w:color w:val="auto"/>
              </w:rPr>
            </w:pPr>
          </w:p>
        </w:tc>
        <w:tc>
          <w:tcPr>
            <w:tcW w:w="2240" w:type="dxa"/>
            <w:vAlign w:val="bottom"/>
            <w:gridSpan w:val="3"/>
            <w:shd w:val="clear" w:color="auto" w:fill="CEF0FC"/>
          </w:tcPr>
          <w:p>
            <w:pPr>
              <w:spacing w:after="0" w:line="133" w:lineRule="exact"/>
              <w:rPr>
                <w:sz w:val="20"/>
                <w:szCs w:val="20"/>
                <w:color w:val="auto"/>
              </w:rPr>
            </w:pPr>
            <w:r>
              <w:rPr>
                <w:rFonts w:ascii="Arial" w:cs="Arial" w:eastAsia="Arial" w:hAnsi="Arial"/>
                <w:sz w:val="14"/>
                <w:szCs w:val="14"/>
                <w:b w:val="1"/>
                <w:bCs w:val="1"/>
                <w:color w:val="auto"/>
              </w:rPr>
              <w:t>Total Technology Hardware,</w:t>
            </w:r>
          </w:p>
        </w:tc>
        <w:tc>
          <w:tcPr>
            <w:tcW w:w="140" w:type="dxa"/>
            <w:vAlign w:val="bottom"/>
            <w:shd w:val="clear" w:color="auto" w:fill="CEF0FC"/>
          </w:tcPr>
          <w:p>
            <w:pPr>
              <w:spacing w:after="0"/>
              <w:rPr>
                <w:sz w:val="11"/>
                <w:szCs w:val="11"/>
                <w:color w:val="auto"/>
              </w:rPr>
            </w:pPr>
          </w:p>
        </w:tc>
        <w:tc>
          <w:tcPr>
            <w:tcW w:w="2260" w:type="dxa"/>
            <w:vAlign w:val="bottom"/>
            <w:shd w:val="clear" w:color="auto" w:fill="CEF0FC"/>
          </w:tcPr>
          <w:p>
            <w:pPr>
              <w:spacing w:after="0"/>
              <w:rPr>
                <w:sz w:val="11"/>
                <w:szCs w:val="11"/>
                <w:color w:val="auto"/>
              </w:rPr>
            </w:pPr>
          </w:p>
        </w:tc>
        <w:tc>
          <w:tcPr>
            <w:tcW w:w="120" w:type="dxa"/>
            <w:vAlign w:val="bottom"/>
            <w:shd w:val="clear" w:color="auto" w:fill="CEF0FC"/>
          </w:tcPr>
          <w:p>
            <w:pPr>
              <w:spacing w:after="0"/>
              <w:rPr>
                <w:sz w:val="11"/>
                <w:szCs w:val="11"/>
                <w:color w:val="auto"/>
              </w:rPr>
            </w:pPr>
          </w:p>
        </w:tc>
        <w:tc>
          <w:tcPr>
            <w:tcW w:w="800" w:type="dxa"/>
            <w:vAlign w:val="bottom"/>
            <w:shd w:val="clear" w:color="auto" w:fill="CEF0FC"/>
          </w:tcPr>
          <w:p>
            <w:pPr>
              <w:spacing w:after="0"/>
              <w:rPr>
                <w:sz w:val="11"/>
                <w:szCs w:val="11"/>
                <w:color w:val="auto"/>
              </w:rPr>
            </w:pPr>
          </w:p>
        </w:tc>
        <w:tc>
          <w:tcPr>
            <w:tcW w:w="140" w:type="dxa"/>
            <w:vAlign w:val="bottom"/>
            <w:shd w:val="clear" w:color="auto" w:fill="CEF0FC"/>
          </w:tcPr>
          <w:p>
            <w:pPr>
              <w:spacing w:after="0"/>
              <w:rPr>
                <w:sz w:val="11"/>
                <w:szCs w:val="11"/>
                <w:color w:val="auto"/>
              </w:rPr>
            </w:pPr>
          </w:p>
        </w:tc>
        <w:tc>
          <w:tcPr>
            <w:tcW w:w="1080" w:type="dxa"/>
            <w:vAlign w:val="bottom"/>
            <w:shd w:val="clear" w:color="auto" w:fill="CEF0FC"/>
          </w:tcPr>
          <w:p>
            <w:pPr>
              <w:spacing w:after="0"/>
              <w:rPr>
                <w:sz w:val="11"/>
                <w:szCs w:val="11"/>
                <w:color w:val="auto"/>
              </w:rPr>
            </w:pPr>
          </w:p>
        </w:tc>
        <w:tc>
          <w:tcPr>
            <w:tcW w:w="140" w:type="dxa"/>
            <w:vAlign w:val="bottom"/>
            <w:shd w:val="clear" w:color="auto" w:fill="CEF0FC"/>
          </w:tcPr>
          <w:p>
            <w:pPr>
              <w:spacing w:after="0"/>
              <w:rPr>
                <w:sz w:val="11"/>
                <w:szCs w:val="11"/>
                <w:color w:val="auto"/>
              </w:rPr>
            </w:pPr>
          </w:p>
        </w:tc>
        <w:tc>
          <w:tcPr>
            <w:tcW w:w="920" w:type="dxa"/>
            <w:vAlign w:val="bottom"/>
            <w:shd w:val="clear" w:color="auto" w:fill="CEF0FC"/>
          </w:tcPr>
          <w:p>
            <w:pPr>
              <w:spacing w:after="0"/>
              <w:rPr>
                <w:sz w:val="11"/>
                <w:szCs w:val="11"/>
                <w:color w:val="auto"/>
              </w:rPr>
            </w:pPr>
          </w:p>
        </w:tc>
        <w:tc>
          <w:tcPr>
            <w:tcW w:w="240" w:type="dxa"/>
            <w:vAlign w:val="bottom"/>
            <w:shd w:val="clear" w:color="auto" w:fill="CEF0FC"/>
          </w:tcPr>
          <w:p>
            <w:pPr>
              <w:spacing w:after="0"/>
              <w:rPr>
                <w:sz w:val="11"/>
                <w:szCs w:val="11"/>
                <w:color w:val="auto"/>
              </w:rPr>
            </w:pPr>
          </w:p>
        </w:tc>
        <w:tc>
          <w:tcPr>
            <w:tcW w:w="240" w:type="dxa"/>
            <w:vAlign w:val="bottom"/>
            <w:shd w:val="clear" w:color="auto" w:fill="CEF0FC"/>
          </w:tcPr>
          <w:p>
            <w:pPr>
              <w:spacing w:after="0"/>
              <w:rPr>
                <w:sz w:val="11"/>
                <w:szCs w:val="11"/>
                <w:color w:val="auto"/>
              </w:rPr>
            </w:pPr>
          </w:p>
        </w:tc>
        <w:tc>
          <w:tcPr>
            <w:tcW w:w="800" w:type="dxa"/>
            <w:vAlign w:val="bottom"/>
            <w:vMerge w:val="restart"/>
            <w:shd w:val="clear" w:color="auto" w:fill="CEF0FC"/>
          </w:tcPr>
          <w:p>
            <w:pPr>
              <w:jc w:val="right"/>
              <w:spacing w:after="0"/>
              <w:rPr>
                <w:sz w:val="20"/>
                <w:szCs w:val="20"/>
                <w:color w:val="auto"/>
              </w:rPr>
            </w:pPr>
            <w:r>
              <w:rPr>
                <w:rFonts w:ascii="Arial" w:cs="Arial" w:eastAsia="Arial" w:hAnsi="Arial"/>
                <w:sz w:val="14"/>
                <w:szCs w:val="14"/>
                <w:color w:val="auto"/>
              </w:rPr>
              <w:t>541,939</w:t>
            </w:r>
          </w:p>
        </w:tc>
        <w:tc>
          <w:tcPr>
            <w:tcW w:w="240" w:type="dxa"/>
            <w:vAlign w:val="bottom"/>
            <w:shd w:val="clear" w:color="auto" w:fill="CEF0FC"/>
          </w:tcPr>
          <w:p>
            <w:pPr>
              <w:spacing w:after="0"/>
              <w:rPr>
                <w:sz w:val="11"/>
                <w:szCs w:val="11"/>
                <w:color w:val="auto"/>
              </w:rPr>
            </w:pPr>
          </w:p>
        </w:tc>
        <w:tc>
          <w:tcPr>
            <w:tcW w:w="80" w:type="dxa"/>
            <w:vAlign w:val="bottom"/>
            <w:shd w:val="clear" w:color="auto" w:fill="CEF0FC"/>
          </w:tcPr>
          <w:p>
            <w:pPr>
              <w:spacing w:after="0"/>
              <w:rPr>
                <w:sz w:val="11"/>
                <w:szCs w:val="11"/>
                <w:color w:val="auto"/>
              </w:rPr>
            </w:pPr>
          </w:p>
        </w:tc>
        <w:tc>
          <w:tcPr>
            <w:tcW w:w="1000" w:type="dxa"/>
            <w:vAlign w:val="bottom"/>
            <w:vMerge w:val="restart"/>
            <w:shd w:val="clear" w:color="auto" w:fill="CEF0FC"/>
          </w:tcPr>
          <w:p>
            <w:pPr>
              <w:jc w:val="right"/>
              <w:spacing w:after="0"/>
              <w:rPr>
                <w:sz w:val="20"/>
                <w:szCs w:val="20"/>
                <w:color w:val="auto"/>
              </w:rPr>
            </w:pPr>
            <w:r>
              <w:rPr>
                <w:rFonts w:ascii="Arial" w:cs="Arial" w:eastAsia="Arial" w:hAnsi="Arial"/>
                <w:sz w:val="14"/>
                <w:szCs w:val="14"/>
                <w:color w:val="auto"/>
              </w:rPr>
              <w:t>828,346</w:t>
            </w:r>
          </w:p>
        </w:tc>
        <w:tc>
          <w:tcPr>
            <w:tcW w:w="220" w:type="dxa"/>
            <w:vAlign w:val="bottom"/>
            <w:shd w:val="clear" w:color="auto" w:fill="CEF0FC"/>
          </w:tcPr>
          <w:p>
            <w:pPr>
              <w:spacing w:after="0"/>
              <w:rPr>
                <w:sz w:val="11"/>
                <w:szCs w:val="11"/>
                <w:color w:val="auto"/>
              </w:rPr>
            </w:pPr>
          </w:p>
        </w:tc>
        <w:tc>
          <w:tcPr>
            <w:tcW w:w="560" w:type="dxa"/>
            <w:vAlign w:val="bottom"/>
            <w:shd w:val="clear" w:color="auto" w:fill="CE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EF0FC"/>
            </w:tcBorders>
            <w:shd w:val="clear" w:color="auto" w:fill="CEF0FC"/>
          </w:tcPr>
          <w:p>
            <w:pPr>
              <w:spacing w:after="0"/>
              <w:rPr>
                <w:sz w:val="14"/>
                <w:szCs w:val="14"/>
                <w:color w:val="auto"/>
              </w:rPr>
            </w:pPr>
          </w:p>
        </w:tc>
        <w:tc>
          <w:tcPr>
            <w:tcW w:w="2240" w:type="dxa"/>
            <w:vAlign w:val="bottom"/>
            <w:tcBorders>
              <w:bottom w:val="single" w:sz="8" w:color="CEF0FC"/>
            </w:tcBorders>
            <w:gridSpan w:val="3"/>
            <w:shd w:val="clear" w:color="auto" w:fill="CEF0FC"/>
          </w:tcPr>
          <w:p>
            <w:pPr>
              <w:spacing w:after="0"/>
              <w:rPr>
                <w:sz w:val="20"/>
                <w:szCs w:val="20"/>
                <w:color w:val="auto"/>
              </w:rPr>
            </w:pPr>
            <w:r>
              <w:rPr>
                <w:rFonts w:ascii="Arial" w:cs="Arial" w:eastAsia="Arial" w:hAnsi="Arial"/>
                <w:sz w:val="14"/>
                <w:szCs w:val="14"/>
                <w:b w:val="1"/>
                <w:bCs w:val="1"/>
                <w:color w:val="auto"/>
              </w:rPr>
              <w:t>Storage &amp; Peripherals - 0.14%*</w:t>
            </w:r>
          </w:p>
        </w:tc>
        <w:tc>
          <w:tcPr>
            <w:tcW w:w="140" w:type="dxa"/>
            <w:vAlign w:val="bottom"/>
            <w:tcBorders>
              <w:bottom w:val="single" w:sz="8" w:color="CEF0FC"/>
            </w:tcBorders>
            <w:shd w:val="clear" w:color="auto" w:fill="CEF0FC"/>
          </w:tcPr>
          <w:p>
            <w:pPr>
              <w:spacing w:after="0"/>
              <w:rPr>
                <w:sz w:val="14"/>
                <w:szCs w:val="14"/>
                <w:color w:val="auto"/>
              </w:rPr>
            </w:pPr>
          </w:p>
        </w:tc>
        <w:tc>
          <w:tcPr>
            <w:tcW w:w="2260" w:type="dxa"/>
            <w:vAlign w:val="bottom"/>
            <w:tcBorders>
              <w:bottom w:val="single" w:sz="8" w:color="CEF0FC"/>
            </w:tcBorders>
            <w:shd w:val="clear" w:color="auto" w:fill="CEF0FC"/>
          </w:tcPr>
          <w:p>
            <w:pPr>
              <w:spacing w:after="0"/>
              <w:rPr>
                <w:sz w:val="14"/>
                <w:szCs w:val="14"/>
                <w:color w:val="auto"/>
              </w:rPr>
            </w:pPr>
          </w:p>
        </w:tc>
        <w:tc>
          <w:tcPr>
            <w:tcW w:w="120" w:type="dxa"/>
            <w:vAlign w:val="bottom"/>
            <w:tcBorders>
              <w:bottom w:val="single" w:sz="8" w:color="CEF0FC"/>
            </w:tcBorders>
            <w:shd w:val="clear" w:color="auto" w:fill="CEF0FC"/>
          </w:tcPr>
          <w:p>
            <w:pPr>
              <w:spacing w:after="0"/>
              <w:rPr>
                <w:sz w:val="14"/>
                <w:szCs w:val="14"/>
                <w:color w:val="auto"/>
              </w:rPr>
            </w:pPr>
          </w:p>
        </w:tc>
        <w:tc>
          <w:tcPr>
            <w:tcW w:w="80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108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920" w:type="dxa"/>
            <w:vAlign w:val="bottom"/>
            <w:tcBorders>
              <w:bottom w:val="single" w:sz="8" w:color="CEF0FC"/>
            </w:tcBorders>
            <w:shd w:val="clear" w:color="auto" w:fill="CEF0FC"/>
          </w:tcPr>
          <w:p>
            <w:pPr>
              <w:spacing w:after="0"/>
              <w:rPr>
                <w:sz w:val="14"/>
                <w:szCs w:val="14"/>
                <w:color w:val="auto"/>
              </w:rPr>
            </w:pPr>
          </w:p>
        </w:tc>
        <w:tc>
          <w:tcPr>
            <w:tcW w:w="240" w:type="dxa"/>
            <w:vAlign w:val="bottom"/>
            <w:tcBorders>
              <w:bottom w:val="single" w:sz="8" w:color="CEF0FC"/>
            </w:tcBorders>
            <w:shd w:val="clear" w:color="auto" w:fill="CEF0FC"/>
          </w:tcPr>
          <w:p>
            <w:pPr>
              <w:spacing w:after="0"/>
              <w:rPr>
                <w:sz w:val="14"/>
                <w:szCs w:val="14"/>
                <w:color w:val="auto"/>
              </w:rPr>
            </w:pPr>
          </w:p>
        </w:tc>
        <w:tc>
          <w:tcPr>
            <w:tcW w:w="240" w:type="dxa"/>
            <w:vAlign w:val="bottom"/>
            <w:tcBorders>
              <w:bottom w:val="single" w:sz="8" w:color="auto"/>
            </w:tcBorders>
            <w:shd w:val="clear" w:color="auto" w:fill="CEF0FC"/>
          </w:tcPr>
          <w:p>
            <w:pPr>
              <w:spacing w:after="0"/>
              <w:rPr>
                <w:sz w:val="14"/>
                <w:szCs w:val="14"/>
                <w:color w:val="auto"/>
              </w:rPr>
            </w:pPr>
          </w:p>
        </w:tc>
        <w:tc>
          <w:tcPr>
            <w:tcW w:w="800" w:type="dxa"/>
            <w:vAlign w:val="bottom"/>
            <w:tcBorders>
              <w:bottom w:val="single" w:sz="8" w:color="auto"/>
            </w:tcBorders>
            <w:vMerge w:val="continue"/>
            <w:shd w:val="clear" w:color="auto" w:fill="CEF0FC"/>
          </w:tcPr>
          <w:p>
            <w:pPr>
              <w:spacing w:after="0"/>
              <w:rPr>
                <w:sz w:val="14"/>
                <w:szCs w:val="14"/>
                <w:color w:val="auto"/>
              </w:rPr>
            </w:pPr>
          </w:p>
        </w:tc>
        <w:tc>
          <w:tcPr>
            <w:tcW w:w="240" w:type="dxa"/>
            <w:vAlign w:val="bottom"/>
            <w:tcBorders>
              <w:bottom w:val="single" w:sz="8" w:color="CEF0FC"/>
            </w:tcBorders>
            <w:shd w:val="clear" w:color="auto" w:fill="CEF0FC"/>
          </w:tcPr>
          <w:p>
            <w:pPr>
              <w:spacing w:after="0"/>
              <w:rPr>
                <w:sz w:val="14"/>
                <w:szCs w:val="14"/>
                <w:color w:val="auto"/>
              </w:rPr>
            </w:pPr>
          </w:p>
        </w:tc>
        <w:tc>
          <w:tcPr>
            <w:tcW w:w="80" w:type="dxa"/>
            <w:vAlign w:val="bottom"/>
            <w:tcBorders>
              <w:bottom w:val="single" w:sz="8" w:color="auto"/>
            </w:tcBorders>
            <w:shd w:val="clear" w:color="auto" w:fill="CEF0FC"/>
          </w:tcPr>
          <w:p>
            <w:pPr>
              <w:spacing w:after="0"/>
              <w:rPr>
                <w:sz w:val="14"/>
                <w:szCs w:val="14"/>
                <w:color w:val="auto"/>
              </w:rPr>
            </w:pPr>
          </w:p>
        </w:tc>
        <w:tc>
          <w:tcPr>
            <w:tcW w:w="1000" w:type="dxa"/>
            <w:vAlign w:val="bottom"/>
            <w:tcBorders>
              <w:bottom w:val="single" w:sz="8" w:color="auto"/>
            </w:tcBorders>
            <w:vMerge w:val="continue"/>
            <w:shd w:val="clear" w:color="auto" w:fill="CEF0FC"/>
          </w:tcPr>
          <w:p>
            <w:pPr>
              <w:spacing w:after="0"/>
              <w:rPr>
                <w:sz w:val="14"/>
                <w:szCs w:val="14"/>
                <w:color w:val="auto"/>
              </w:rPr>
            </w:pPr>
          </w:p>
        </w:tc>
        <w:tc>
          <w:tcPr>
            <w:tcW w:w="220" w:type="dxa"/>
            <w:vAlign w:val="bottom"/>
            <w:tcBorders>
              <w:bottom w:val="single" w:sz="8" w:color="CEF0FC"/>
            </w:tcBorders>
            <w:shd w:val="clear" w:color="auto" w:fill="CEF0FC"/>
          </w:tcPr>
          <w:p>
            <w:pPr>
              <w:spacing w:after="0"/>
              <w:rPr>
                <w:sz w:val="14"/>
                <w:szCs w:val="14"/>
                <w:color w:val="auto"/>
              </w:rPr>
            </w:pPr>
          </w:p>
        </w:tc>
        <w:tc>
          <w:tcPr>
            <w:tcW w:w="560" w:type="dxa"/>
            <w:vAlign w:val="bottom"/>
            <w:tcBorders>
              <w:bottom w:val="single" w:sz="8" w:color="CEF0FC"/>
            </w:tcBorders>
            <w:shd w:val="clear" w:color="auto" w:fill="CE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EF0FC"/>
            </w:tcBorders>
            <w:shd w:val="clear" w:color="auto" w:fill="CEF0FC"/>
          </w:tcPr>
          <w:p>
            <w:pPr>
              <w:spacing w:after="0"/>
              <w:rPr>
                <w:sz w:val="15"/>
                <w:szCs w:val="15"/>
                <w:color w:val="auto"/>
              </w:rPr>
            </w:pPr>
          </w:p>
        </w:tc>
        <w:tc>
          <w:tcPr>
            <w:tcW w:w="2240" w:type="dxa"/>
            <w:vAlign w:val="bottom"/>
            <w:tcBorders>
              <w:bottom w:val="single" w:sz="8" w:color="CEF0FC"/>
            </w:tcBorders>
            <w:gridSpan w:val="3"/>
            <w:shd w:val="clear" w:color="auto" w:fill="CEF0FC"/>
          </w:tcPr>
          <w:p>
            <w:pPr>
              <w:spacing w:after="0"/>
              <w:rPr>
                <w:sz w:val="20"/>
                <w:szCs w:val="20"/>
                <w:color w:val="auto"/>
              </w:rPr>
            </w:pPr>
            <w:r>
              <w:rPr>
                <w:rFonts w:ascii="Arial" w:cs="Arial" w:eastAsia="Arial" w:hAnsi="Arial"/>
                <w:sz w:val="14"/>
                <w:szCs w:val="14"/>
                <w:b w:val="1"/>
                <w:bCs w:val="1"/>
                <w:color w:val="auto"/>
              </w:rPr>
              <w:t>Total Warrants - 3.27%*</w:t>
            </w:r>
          </w:p>
        </w:tc>
        <w:tc>
          <w:tcPr>
            <w:tcW w:w="140" w:type="dxa"/>
            <w:vAlign w:val="bottom"/>
            <w:tcBorders>
              <w:bottom w:val="single" w:sz="8" w:color="CEF0FC"/>
            </w:tcBorders>
            <w:shd w:val="clear" w:color="auto" w:fill="CEF0FC"/>
          </w:tcPr>
          <w:p>
            <w:pPr>
              <w:spacing w:after="0"/>
              <w:rPr>
                <w:sz w:val="15"/>
                <w:szCs w:val="15"/>
                <w:color w:val="auto"/>
              </w:rPr>
            </w:pPr>
          </w:p>
        </w:tc>
        <w:tc>
          <w:tcPr>
            <w:tcW w:w="2260" w:type="dxa"/>
            <w:vAlign w:val="bottom"/>
            <w:tcBorders>
              <w:bottom w:val="single" w:sz="8" w:color="CEF0FC"/>
            </w:tcBorders>
            <w:shd w:val="clear" w:color="auto" w:fill="CEF0FC"/>
          </w:tcPr>
          <w:p>
            <w:pPr>
              <w:spacing w:after="0"/>
              <w:rPr>
                <w:sz w:val="15"/>
                <w:szCs w:val="15"/>
                <w:color w:val="auto"/>
              </w:rPr>
            </w:pPr>
          </w:p>
        </w:tc>
        <w:tc>
          <w:tcPr>
            <w:tcW w:w="120" w:type="dxa"/>
            <w:vAlign w:val="bottom"/>
            <w:tcBorders>
              <w:bottom w:val="single" w:sz="8" w:color="CEF0FC"/>
            </w:tcBorders>
            <w:shd w:val="clear" w:color="auto" w:fill="CEF0FC"/>
          </w:tcPr>
          <w:p>
            <w:pPr>
              <w:spacing w:after="0"/>
              <w:rPr>
                <w:sz w:val="15"/>
                <w:szCs w:val="15"/>
                <w:color w:val="auto"/>
              </w:rPr>
            </w:pPr>
          </w:p>
        </w:tc>
        <w:tc>
          <w:tcPr>
            <w:tcW w:w="800" w:type="dxa"/>
            <w:vAlign w:val="bottom"/>
            <w:tcBorders>
              <w:bottom w:val="single" w:sz="8" w:color="CEF0FC"/>
            </w:tcBorders>
            <w:shd w:val="clear" w:color="auto" w:fill="CEF0FC"/>
          </w:tcPr>
          <w:p>
            <w:pPr>
              <w:spacing w:after="0"/>
              <w:rPr>
                <w:sz w:val="15"/>
                <w:szCs w:val="15"/>
                <w:color w:val="auto"/>
              </w:rPr>
            </w:pPr>
          </w:p>
        </w:tc>
        <w:tc>
          <w:tcPr>
            <w:tcW w:w="140" w:type="dxa"/>
            <w:vAlign w:val="bottom"/>
            <w:tcBorders>
              <w:bottom w:val="single" w:sz="8" w:color="CEF0FC"/>
            </w:tcBorders>
            <w:shd w:val="clear" w:color="auto" w:fill="CEF0FC"/>
          </w:tcPr>
          <w:p>
            <w:pPr>
              <w:spacing w:after="0"/>
              <w:rPr>
                <w:sz w:val="15"/>
                <w:szCs w:val="15"/>
                <w:color w:val="auto"/>
              </w:rPr>
            </w:pPr>
          </w:p>
        </w:tc>
        <w:tc>
          <w:tcPr>
            <w:tcW w:w="1080" w:type="dxa"/>
            <w:vAlign w:val="bottom"/>
            <w:tcBorders>
              <w:bottom w:val="single" w:sz="8" w:color="CEF0FC"/>
            </w:tcBorders>
            <w:shd w:val="clear" w:color="auto" w:fill="CEF0FC"/>
          </w:tcPr>
          <w:p>
            <w:pPr>
              <w:spacing w:after="0"/>
              <w:rPr>
                <w:sz w:val="15"/>
                <w:szCs w:val="15"/>
                <w:color w:val="auto"/>
              </w:rPr>
            </w:pPr>
          </w:p>
        </w:tc>
        <w:tc>
          <w:tcPr>
            <w:tcW w:w="140" w:type="dxa"/>
            <w:vAlign w:val="bottom"/>
            <w:tcBorders>
              <w:bottom w:val="single" w:sz="8" w:color="CEF0FC"/>
            </w:tcBorders>
            <w:shd w:val="clear" w:color="auto" w:fill="CEF0FC"/>
          </w:tcPr>
          <w:p>
            <w:pPr>
              <w:spacing w:after="0"/>
              <w:rPr>
                <w:sz w:val="15"/>
                <w:szCs w:val="15"/>
                <w:color w:val="auto"/>
              </w:rPr>
            </w:pPr>
          </w:p>
        </w:tc>
        <w:tc>
          <w:tcPr>
            <w:tcW w:w="920" w:type="dxa"/>
            <w:vAlign w:val="bottom"/>
            <w:tcBorders>
              <w:bottom w:val="single" w:sz="8" w:color="CEF0FC"/>
            </w:tcBorders>
            <w:shd w:val="clear" w:color="auto" w:fill="CEF0FC"/>
          </w:tcPr>
          <w:p>
            <w:pPr>
              <w:spacing w:after="0"/>
              <w:rPr>
                <w:sz w:val="15"/>
                <w:szCs w:val="15"/>
                <w:color w:val="auto"/>
              </w:rPr>
            </w:pPr>
          </w:p>
        </w:tc>
        <w:tc>
          <w:tcPr>
            <w:tcW w:w="240" w:type="dxa"/>
            <w:vAlign w:val="bottom"/>
            <w:tcBorders>
              <w:bottom w:val="single" w:sz="8" w:color="CEF0FC"/>
            </w:tcBorders>
            <w:shd w:val="clear" w:color="auto" w:fill="CEF0FC"/>
          </w:tcPr>
          <w:p>
            <w:pPr>
              <w:spacing w:after="0"/>
              <w:rPr>
                <w:sz w:val="15"/>
                <w:szCs w:val="15"/>
                <w:color w:val="auto"/>
              </w:rPr>
            </w:pPr>
          </w:p>
        </w:tc>
        <w:tc>
          <w:tcPr>
            <w:tcW w:w="240" w:type="dxa"/>
            <w:vAlign w:val="bottom"/>
            <w:tcBorders>
              <w:bottom w:val="single" w:sz="8" w:color="auto"/>
            </w:tcBorders>
            <w:shd w:val="clear" w:color="auto" w:fill="CEF0FC"/>
          </w:tcPr>
          <w:p>
            <w:pPr>
              <w:spacing w:after="0"/>
              <w:rPr>
                <w:sz w:val="15"/>
                <w:szCs w:val="15"/>
                <w:color w:val="auto"/>
              </w:rPr>
            </w:pPr>
          </w:p>
        </w:tc>
        <w:tc>
          <w:tcPr>
            <w:tcW w:w="80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4"/>
                <w:szCs w:val="14"/>
                <w:color w:val="auto"/>
              </w:rPr>
              <w:t>18,095,314</w:t>
            </w:r>
          </w:p>
        </w:tc>
        <w:tc>
          <w:tcPr>
            <w:tcW w:w="240" w:type="dxa"/>
            <w:vAlign w:val="bottom"/>
            <w:tcBorders>
              <w:bottom w:val="single" w:sz="8" w:color="CEF0FC"/>
            </w:tcBorders>
            <w:shd w:val="clear" w:color="auto" w:fill="CEF0FC"/>
          </w:tcPr>
          <w:p>
            <w:pPr>
              <w:spacing w:after="0"/>
              <w:rPr>
                <w:sz w:val="15"/>
                <w:szCs w:val="15"/>
                <w:color w:val="auto"/>
              </w:rPr>
            </w:pPr>
          </w:p>
        </w:tc>
        <w:tc>
          <w:tcPr>
            <w:tcW w:w="80" w:type="dxa"/>
            <w:vAlign w:val="bottom"/>
            <w:tcBorders>
              <w:bottom w:val="single" w:sz="8" w:color="auto"/>
            </w:tcBorders>
            <w:shd w:val="clear" w:color="auto" w:fill="CEF0FC"/>
          </w:tcPr>
          <w:p>
            <w:pPr>
              <w:spacing w:after="0"/>
              <w:rPr>
                <w:sz w:val="15"/>
                <w:szCs w:val="15"/>
                <w:color w:val="auto"/>
              </w:rPr>
            </w:pPr>
          </w:p>
        </w:tc>
        <w:tc>
          <w:tcPr>
            <w:tcW w:w="100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4"/>
                <w:szCs w:val="14"/>
                <w:color w:val="auto"/>
              </w:rPr>
              <w:t>18,921,507</w:t>
            </w:r>
          </w:p>
        </w:tc>
        <w:tc>
          <w:tcPr>
            <w:tcW w:w="220" w:type="dxa"/>
            <w:vAlign w:val="bottom"/>
            <w:tcBorders>
              <w:bottom w:val="single" w:sz="8" w:color="CEF0FC"/>
            </w:tcBorders>
            <w:shd w:val="clear" w:color="auto" w:fill="CEF0FC"/>
          </w:tcPr>
          <w:p>
            <w:pPr>
              <w:spacing w:after="0"/>
              <w:rPr>
                <w:sz w:val="15"/>
                <w:szCs w:val="15"/>
                <w:color w:val="auto"/>
              </w:rPr>
            </w:pPr>
          </w:p>
        </w:tc>
        <w:tc>
          <w:tcPr>
            <w:tcW w:w="560" w:type="dxa"/>
            <w:vAlign w:val="bottom"/>
            <w:tcBorders>
              <w:bottom w:val="single" w:sz="8" w:color="CEF0FC"/>
            </w:tcBorders>
            <w:shd w:val="clear" w:color="auto" w:fill="CE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-3519805</wp:posOffset>
            </wp:positionV>
            <wp:extent cx="6858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-3519805</wp:posOffset>
            </wp:positionV>
            <wp:extent cx="6858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-2430780</wp:posOffset>
            </wp:positionV>
            <wp:extent cx="6858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-2430780</wp:posOffset>
            </wp:positionV>
            <wp:extent cx="6858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-1976755</wp:posOffset>
            </wp:positionV>
            <wp:extent cx="6858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-1976755</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-1102360</wp:posOffset>
            </wp:positionV>
            <wp:extent cx="6858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-1102360</wp:posOffset>
            </wp:positionV>
            <wp:extent cx="685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-236220</wp:posOffset>
            </wp:positionV>
            <wp:extent cx="685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-236220</wp:posOffset>
            </wp:positionV>
            <wp:extent cx="6858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-5080</wp:posOffset>
            </wp:positionV>
            <wp:extent cx="685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-5080</wp:posOffset>
            </wp:positionV>
            <wp:extent cx="6858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10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b w:val="1"/>
                <w:bCs w:val="1"/>
                <w:color w:val="auto"/>
                <w:w w:val="98"/>
              </w:rPr>
              <w:t>Principal/</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Footnot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20" w:type="dxa"/>
            <w:vAlign w:val="bottom"/>
            <w:gridSpan w:val="7"/>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tcPr>
          <w:p>
            <w:pPr>
              <w:spacing w:after="0"/>
              <w:rPr>
                <w:sz w:val="11"/>
                <w:szCs w:val="11"/>
                <w:color w:val="auto"/>
              </w:rPr>
            </w:pPr>
          </w:p>
        </w:tc>
        <w:tc>
          <w:tcPr>
            <w:tcW w:w="260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Investment Description</w:t>
            </w:r>
            <w:r>
              <w:rPr>
                <w:rFonts w:ascii="Arial" w:cs="Arial" w:eastAsia="Arial" w:hAnsi="Arial"/>
                <w:sz w:val="19"/>
                <w:szCs w:val="19"/>
                <w:b w:val="1"/>
                <w:bCs w:val="1"/>
                <w:color w:val="auto"/>
                <w:vertAlign w:val="superscript"/>
              </w:rPr>
              <w:t>(1),(5),(9)</w:t>
            </w:r>
          </w:p>
        </w:tc>
        <w:tc>
          <w:tcPr>
            <w:tcW w:w="14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82"/>
              </w:rPr>
              <w:t>Fair Value</w:t>
            </w:r>
            <w:r>
              <w:rPr>
                <w:rFonts w:ascii="Arial" w:cs="Arial" w:eastAsia="Arial" w:hAnsi="Arial"/>
                <w:sz w:val="19"/>
                <w:szCs w:val="19"/>
                <w:b w:val="1"/>
                <w:bCs w:val="1"/>
                <w:color w:val="auto"/>
                <w:w w:val="82"/>
                <w:vertAlign w:val="superscript"/>
              </w:rPr>
              <w:t>(2),(6)</w:t>
            </w: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7"/>
            <w:vMerge w:val="continue"/>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es</w:t>
            </w:r>
          </w:p>
        </w:tc>
        <w:tc>
          <w:tcPr>
            <w:tcW w:w="0" w:type="dxa"/>
            <w:vAlign w:val="bottom"/>
          </w:tcPr>
          <w:p>
            <w:pPr>
              <w:spacing w:after="0"/>
              <w:rPr>
                <w:sz w:val="1"/>
                <w:szCs w:val="1"/>
                <w:color w:val="auto"/>
              </w:rPr>
            </w:pPr>
          </w:p>
        </w:tc>
      </w:tr>
      <w:tr>
        <w:trPr>
          <w:trHeight w:val="142"/>
        </w:trPr>
        <w:tc>
          <w:tcPr>
            <w:tcW w:w="20" w:type="dxa"/>
            <w:vAlign w:val="bottom"/>
            <w:shd w:val="clear" w:color="auto" w:fill="CEF0FC"/>
          </w:tcPr>
          <w:p>
            <w:pPr>
              <w:spacing w:after="0"/>
              <w:rPr>
                <w:sz w:val="12"/>
                <w:szCs w:val="12"/>
                <w:color w:val="auto"/>
              </w:rPr>
            </w:pPr>
          </w:p>
        </w:tc>
        <w:tc>
          <w:tcPr>
            <w:tcW w:w="2220" w:type="dxa"/>
            <w:vAlign w:val="bottom"/>
            <w:gridSpan w:val="7"/>
            <w:shd w:val="clear" w:color="auto" w:fill="CEF0FC"/>
          </w:tcPr>
          <w:p>
            <w:pPr>
              <w:spacing w:after="0" w:line="142" w:lineRule="exact"/>
              <w:rPr>
                <w:sz w:val="20"/>
                <w:szCs w:val="20"/>
                <w:color w:val="auto"/>
              </w:rPr>
            </w:pPr>
            <w:r>
              <w:rPr>
                <w:rFonts w:ascii="Arial" w:cs="Arial" w:eastAsia="Arial" w:hAnsi="Arial"/>
                <w:sz w:val="14"/>
                <w:szCs w:val="14"/>
                <w:b w:val="1"/>
                <w:bCs w:val="1"/>
                <w:color w:val="auto"/>
              </w:rPr>
              <w:t>Total Non-Control/Non-Affiliate</w:t>
            </w:r>
          </w:p>
        </w:tc>
        <w:tc>
          <w:tcPr>
            <w:tcW w:w="140" w:type="dxa"/>
            <w:vAlign w:val="bottom"/>
            <w:shd w:val="clear" w:color="auto" w:fill="CEF0FC"/>
          </w:tcPr>
          <w:p>
            <w:pPr>
              <w:spacing w:after="0"/>
              <w:rPr>
                <w:sz w:val="12"/>
                <w:szCs w:val="12"/>
                <w:color w:val="auto"/>
              </w:rPr>
            </w:pPr>
          </w:p>
        </w:tc>
        <w:tc>
          <w:tcPr>
            <w:tcW w:w="260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78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78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220" w:type="dxa"/>
            <w:vAlign w:val="bottom"/>
            <w:shd w:val="clear" w:color="auto" w:fill="CE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EF0FC"/>
          </w:tcPr>
          <w:p>
            <w:pPr>
              <w:jc w:val="right"/>
              <w:spacing w:after="0"/>
              <w:rPr>
                <w:sz w:val="20"/>
                <w:szCs w:val="20"/>
                <w:color w:val="auto"/>
              </w:rPr>
            </w:pPr>
            <w:r>
              <w:rPr>
                <w:rFonts w:ascii="Arial" w:cs="Arial" w:eastAsia="Arial" w:hAnsi="Arial"/>
                <w:sz w:val="14"/>
                <w:szCs w:val="14"/>
                <w:color w:val="auto"/>
              </w:rPr>
              <w:t>805,247,907</w:t>
            </w:r>
          </w:p>
        </w:tc>
        <w:tc>
          <w:tcPr>
            <w:tcW w:w="240" w:type="dxa"/>
            <w:vAlign w:val="bottom"/>
            <w:shd w:val="clear" w:color="auto" w:fill="CEF0FC"/>
          </w:tcPr>
          <w:p>
            <w:pPr>
              <w:spacing w:after="0"/>
              <w:rPr>
                <w:sz w:val="12"/>
                <w:szCs w:val="12"/>
                <w:color w:val="auto"/>
              </w:rPr>
            </w:pPr>
          </w:p>
        </w:tc>
        <w:tc>
          <w:tcPr>
            <w:tcW w:w="1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EF0FC"/>
          </w:tcPr>
          <w:p>
            <w:pPr>
              <w:jc w:val="right"/>
              <w:spacing w:after="0"/>
              <w:rPr>
                <w:sz w:val="20"/>
                <w:szCs w:val="20"/>
                <w:color w:val="auto"/>
              </w:rPr>
            </w:pPr>
            <w:r>
              <w:rPr>
                <w:rFonts w:ascii="Arial" w:cs="Arial" w:eastAsia="Arial" w:hAnsi="Arial"/>
                <w:sz w:val="14"/>
                <w:szCs w:val="14"/>
                <w:color w:val="auto"/>
              </w:rPr>
              <w:t>799,855,284</w:t>
            </w:r>
          </w:p>
        </w:tc>
        <w:tc>
          <w:tcPr>
            <w:tcW w:w="220" w:type="dxa"/>
            <w:vAlign w:val="bottom"/>
            <w:shd w:val="clear" w:color="auto" w:fill="CEF0FC"/>
          </w:tcPr>
          <w:p>
            <w:pPr>
              <w:spacing w:after="0"/>
              <w:rPr>
                <w:sz w:val="12"/>
                <w:szCs w:val="12"/>
                <w:color w:val="auto"/>
              </w:rPr>
            </w:pPr>
          </w:p>
        </w:tc>
        <w:tc>
          <w:tcPr>
            <w:tcW w:w="560" w:type="dxa"/>
            <w:vAlign w:val="bottom"/>
            <w:shd w:val="clear" w:color="auto" w:fill="CEF0FC"/>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Borders>
              <w:top w:val="single" w:sz="8" w:color="CEF0FC"/>
            </w:tcBorders>
            <w:shd w:val="clear" w:color="auto" w:fill="CEF0FC"/>
          </w:tcPr>
          <w:p>
            <w:pPr>
              <w:spacing w:after="0"/>
              <w:rPr>
                <w:sz w:val="11"/>
                <w:szCs w:val="11"/>
                <w:color w:val="auto"/>
              </w:rPr>
            </w:pPr>
          </w:p>
        </w:tc>
        <w:tc>
          <w:tcPr>
            <w:tcW w:w="2020" w:type="dxa"/>
            <w:vAlign w:val="bottom"/>
            <w:tcBorders>
              <w:top w:val="single" w:sz="8" w:color="auto"/>
            </w:tcBorders>
            <w:gridSpan w:val="4"/>
            <w:shd w:val="clear" w:color="auto" w:fill="CEF0FC"/>
          </w:tcPr>
          <w:p>
            <w:pPr>
              <w:spacing w:after="0" w:line="129" w:lineRule="exact"/>
              <w:rPr>
                <w:sz w:val="20"/>
                <w:szCs w:val="20"/>
                <w:color w:val="auto"/>
              </w:rPr>
            </w:pPr>
            <w:r>
              <w:rPr>
                <w:rFonts w:ascii="Arial" w:cs="Arial" w:eastAsia="Arial" w:hAnsi="Arial"/>
                <w:sz w:val="14"/>
                <w:szCs w:val="14"/>
                <w:b w:val="1"/>
                <w:bCs w:val="1"/>
                <w:color w:val="auto"/>
              </w:rPr>
              <w:t>Investments (138.05%)</w:t>
            </w:r>
          </w:p>
        </w:tc>
        <w:tc>
          <w:tcPr>
            <w:tcW w:w="120" w:type="dxa"/>
            <w:vAlign w:val="bottom"/>
            <w:tcBorders>
              <w:top w:val="single" w:sz="8" w:color="CEF0FC"/>
            </w:tcBorders>
            <w:shd w:val="clear" w:color="auto" w:fill="CEF0FC"/>
          </w:tcPr>
          <w:p>
            <w:pPr>
              <w:spacing w:after="0"/>
              <w:rPr>
                <w:sz w:val="11"/>
                <w:szCs w:val="11"/>
                <w:color w:val="auto"/>
              </w:rPr>
            </w:pPr>
          </w:p>
        </w:tc>
        <w:tc>
          <w:tcPr>
            <w:tcW w:w="20" w:type="dxa"/>
            <w:vAlign w:val="bottom"/>
            <w:tcBorders>
              <w:top w:val="single" w:sz="8" w:color="CEF0FC"/>
            </w:tcBorders>
            <w:shd w:val="clear" w:color="auto" w:fill="CEF0FC"/>
          </w:tcPr>
          <w:p>
            <w:pPr>
              <w:spacing w:after="0"/>
              <w:rPr>
                <w:sz w:val="11"/>
                <w:szCs w:val="11"/>
                <w:color w:val="auto"/>
              </w:rPr>
            </w:pPr>
          </w:p>
        </w:tc>
        <w:tc>
          <w:tcPr>
            <w:tcW w:w="60" w:type="dxa"/>
            <w:vAlign w:val="bottom"/>
            <w:tcBorders>
              <w:top w:val="single" w:sz="8" w:color="CEF0FC"/>
            </w:tcBorders>
            <w:shd w:val="clear" w:color="auto" w:fill="CEF0FC"/>
          </w:tcPr>
          <w:p>
            <w:pPr>
              <w:spacing w:after="0"/>
              <w:rPr>
                <w:sz w:val="11"/>
                <w:szCs w:val="11"/>
                <w:color w:val="auto"/>
              </w:rPr>
            </w:pPr>
          </w:p>
        </w:tc>
        <w:tc>
          <w:tcPr>
            <w:tcW w:w="140" w:type="dxa"/>
            <w:vAlign w:val="bottom"/>
            <w:tcBorders>
              <w:top w:val="single" w:sz="8" w:color="CEF0FC"/>
            </w:tcBorders>
            <w:shd w:val="clear" w:color="auto" w:fill="CEF0FC"/>
          </w:tcPr>
          <w:p>
            <w:pPr>
              <w:spacing w:after="0"/>
              <w:rPr>
                <w:sz w:val="11"/>
                <w:szCs w:val="11"/>
                <w:color w:val="auto"/>
              </w:rPr>
            </w:pPr>
          </w:p>
        </w:tc>
        <w:tc>
          <w:tcPr>
            <w:tcW w:w="2600" w:type="dxa"/>
            <w:vAlign w:val="bottom"/>
            <w:tcBorders>
              <w:top w:val="single" w:sz="8" w:color="CEF0FC"/>
            </w:tcBorders>
            <w:shd w:val="clear" w:color="auto" w:fill="CEF0FC"/>
          </w:tcPr>
          <w:p>
            <w:pPr>
              <w:spacing w:after="0"/>
              <w:rPr>
                <w:sz w:val="11"/>
                <w:szCs w:val="11"/>
                <w:color w:val="auto"/>
              </w:rPr>
            </w:pPr>
          </w:p>
        </w:tc>
        <w:tc>
          <w:tcPr>
            <w:tcW w:w="140" w:type="dxa"/>
            <w:vAlign w:val="bottom"/>
            <w:tcBorders>
              <w:top w:val="single" w:sz="8" w:color="CEF0FC"/>
            </w:tcBorders>
            <w:shd w:val="clear" w:color="auto" w:fill="CEF0FC"/>
          </w:tcPr>
          <w:p>
            <w:pPr>
              <w:spacing w:after="0"/>
              <w:rPr>
                <w:sz w:val="11"/>
                <w:szCs w:val="11"/>
                <w:color w:val="auto"/>
              </w:rPr>
            </w:pPr>
          </w:p>
        </w:tc>
        <w:tc>
          <w:tcPr>
            <w:tcW w:w="780" w:type="dxa"/>
            <w:vAlign w:val="bottom"/>
            <w:tcBorders>
              <w:top w:val="single" w:sz="8" w:color="CEF0FC"/>
            </w:tcBorders>
            <w:shd w:val="clear" w:color="auto" w:fill="CEF0FC"/>
          </w:tcPr>
          <w:p>
            <w:pPr>
              <w:spacing w:after="0"/>
              <w:rPr>
                <w:sz w:val="11"/>
                <w:szCs w:val="11"/>
                <w:color w:val="auto"/>
              </w:rPr>
            </w:pPr>
          </w:p>
        </w:tc>
        <w:tc>
          <w:tcPr>
            <w:tcW w:w="140" w:type="dxa"/>
            <w:vAlign w:val="bottom"/>
            <w:tcBorders>
              <w:top w:val="single" w:sz="8" w:color="CEF0FC"/>
            </w:tcBorders>
            <w:shd w:val="clear" w:color="auto" w:fill="CEF0FC"/>
          </w:tcPr>
          <w:p>
            <w:pPr>
              <w:spacing w:after="0"/>
              <w:rPr>
                <w:sz w:val="11"/>
                <w:szCs w:val="11"/>
                <w:color w:val="auto"/>
              </w:rPr>
            </w:pPr>
          </w:p>
        </w:tc>
        <w:tc>
          <w:tcPr>
            <w:tcW w:w="780" w:type="dxa"/>
            <w:vAlign w:val="bottom"/>
            <w:tcBorders>
              <w:top w:val="single" w:sz="8" w:color="CEF0FC"/>
            </w:tcBorders>
            <w:shd w:val="clear" w:color="auto" w:fill="CEF0FC"/>
          </w:tcPr>
          <w:p>
            <w:pPr>
              <w:spacing w:after="0"/>
              <w:rPr>
                <w:sz w:val="11"/>
                <w:szCs w:val="11"/>
                <w:color w:val="auto"/>
              </w:rPr>
            </w:pPr>
          </w:p>
        </w:tc>
        <w:tc>
          <w:tcPr>
            <w:tcW w:w="140" w:type="dxa"/>
            <w:vAlign w:val="bottom"/>
            <w:tcBorders>
              <w:top w:val="single" w:sz="8" w:color="CEF0FC"/>
            </w:tcBorders>
            <w:shd w:val="clear" w:color="auto" w:fill="CEF0FC"/>
          </w:tcPr>
          <w:p>
            <w:pPr>
              <w:spacing w:after="0"/>
              <w:rPr>
                <w:sz w:val="11"/>
                <w:szCs w:val="11"/>
                <w:color w:val="auto"/>
              </w:rPr>
            </w:pPr>
          </w:p>
        </w:tc>
        <w:tc>
          <w:tcPr>
            <w:tcW w:w="140" w:type="dxa"/>
            <w:vAlign w:val="bottom"/>
            <w:tcBorders>
              <w:top w:val="single" w:sz="8" w:color="CEF0FC"/>
            </w:tcBorders>
            <w:shd w:val="clear" w:color="auto" w:fill="CEF0FC"/>
          </w:tcPr>
          <w:p>
            <w:pPr>
              <w:spacing w:after="0"/>
              <w:rPr>
                <w:sz w:val="11"/>
                <w:szCs w:val="11"/>
                <w:color w:val="auto"/>
              </w:rPr>
            </w:pPr>
          </w:p>
        </w:tc>
        <w:tc>
          <w:tcPr>
            <w:tcW w:w="800" w:type="dxa"/>
            <w:vAlign w:val="bottom"/>
            <w:tcBorders>
              <w:top w:val="single" w:sz="8" w:color="CEF0FC"/>
            </w:tcBorders>
            <w:shd w:val="clear" w:color="auto" w:fill="CEF0FC"/>
          </w:tcPr>
          <w:p>
            <w:pPr>
              <w:spacing w:after="0"/>
              <w:rPr>
                <w:sz w:val="11"/>
                <w:szCs w:val="11"/>
                <w:color w:val="auto"/>
              </w:rPr>
            </w:pPr>
          </w:p>
        </w:tc>
        <w:tc>
          <w:tcPr>
            <w:tcW w:w="220" w:type="dxa"/>
            <w:vAlign w:val="bottom"/>
            <w:tcBorders>
              <w:top w:val="single" w:sz="8" w:color="CEF0FC"/>
            </w:tcBorders>
            <w:shd w:val="clear" w:color="auto" w:fill="CEF0FC"/>
          </w:tcPr>
          <w:p>
            <w:pPr>
              <w:spacing w:after="0"/>
              <w:rPr>
                <w:sz w:val="11"/>
                <w:szCs w:val="11"/>
                <w:color w:val="auto"/>
              </w:rPr>
            </w:pPr>
          </w:p>
        </w:tc>
        <w:tc>
          <w:tcPr>
            <w:tcW w:w="120" w:type="dxa"/>
            <w:vAlign w:val="bottom"/>
            <w:tcBorders>
              <w:top w:val="single" w:sz="8" w:color="CFF0FC"/>
            </w:tcBorders>
            <w:vMerge w:val="continue"/>
            <w:shd w:val="clear" w:color="auto" w:fill="CFF0FC"/>
          </w:tcPr>
          <w:p>
            <w:pPr>
              <w:spacing w:after="0"/>
              <w:rPr>
                <w:sz w:val="11"/>
                <w:szCs w:val="11"/>
                <w:color w:val="auto"/>
              </w:rPr>
            </w:pPr>
          </w:p>
        </w:tc>
        <w:tc>
          <w:tcPr>
            <w:tcW w:w="920" w:type="dxa"/>
            <w:vAlign w:val="bottom"/>
            <w:tcBorders>
              <w:top w:val="single" w:sz="8" w:color="CEF0FC"/>
            </w:tcBorders>
            <w:vMerge w:val="continue"/>
            <w:shd w:val="clear" w:color="auto" w:fill="CEF0FC"/>
          </w:tcPr>
          <w:p>
            <w:pPr>
              <w:spacing w:after="0"/>
              <w:rPr>
                <w:sz w:val="11"/>
                <w:szCs w:val="11"/>
                <w:color w:val="auto"/>
              </w:rPr>
            </w:pPr>
          </w:p>
        </w:tc>
        <w:tc>
          <w:tcPr>
            <w:tcW w:w="240" w:type="dxa"/>
            <w:vAlign w:val="bottom"/>
            <w:tcBorders>
              <w:top w:val="single" w:sz="8" w:color="CEF0FC"/>
            </w:tcBorders>
            <w:shd w:val="clear" w:color="auto" w:fill="CEF0FC"/>
          </w:tcPr>
          <w:p>
            <w:pPr>
              <w:spacing w:after="0"/>
              <w:rPr>
                <w:sz w:val="11"/>
                <w:szCs w:val="11"/>
                <w:color w:val="auto"/>
              </w:rPr>
            </w:pPr>
          </w:p>
        </w:tc>
        <w:tc>
          <w:tcPr>
            <w:tcW w:w="120" w:type="dxa"/>
            <w:vAlign w:val="bottom"/>
            <w:tcBorders>
              <w:top w:val="single" w:sz="8" w:color="CFF0FC"/>
              <w:right w:val="single" w:sz="8" w:color="CFF0FC"/>
            </w:tcBorders>
            <w:vMerge w:val="continue"/>
            <w:shd w:val="clear" w:color="auto" w:fill="CFF0FC"/>
          </w:tcPr>
          <w:p>
            <w:pPr>
              <w:spacing w:after="0"/>
              <w:rPr>
                <w:sz w:val="11"/>
                <w:szCs w:val="11"/>
                <w:color w:val="auto"/>
              </w:rPr>
            </w:pPr>
          </w:p>
        </w:tc>
        <w:tc>
          <w:tcPr>
            <w:tcW w:w="940" w:type="dxa"/>
            <w:vAlign w:val="bottom"/>
            <w:tcBorders>
              <w:top w:val="single" w:sz="8" w:color="CEF0FC"/>
            </w:tcBorders>
            <w:vMerge w:val="continue"/>
            <w:shd w:val="clear" w:color="auto" w:fill="CEF0FC"/>
          </w:tcPr>
          <w:p>
            <w:pPr>
              <w:spacing w:after="0"/>
              <w:rPr>
                <w:sz w:val="11"/>
                <w:szCs w:val="11"/>
                <w:color w:val="auto"/>
              </w:rPr>
            </w:pPr>
          </w:p>
        </w:tc>
        <w:tc>
          <w:tcPr>
            <w:tcW w:w="220" w:type="dxa"/>
            <w:vAlign w:val="bottom"/>
            <w:tcBorders>
              <w:top w:val="single" w:sz="8" w:color="CEF0FC"/>
            </w:tcBorders>
            <w:shd w:val="clear" w:color="auto" w:fill="CEF0FC"/>
          </w:tcPr>
          <w:p>
            <w:pPr>
              <w:spacing w:after="0"/>
              <w:rPr>
                <w:sz w:val="11"/>
                <w:szCs w:val="11"/>
                <w:color w:val="auto"/>
              </w:rPr>
            </w:pPr>
          </w:p>
        </w:tc>
        <w:tc>
          <w:tcPr>
            <w:tcW w:w="560" w:type="dxa"/>
            <w:vAlign w:val="bottom"/>
            <w:tcBorders>
              <w:top w:val="single" w:sz="8" w:color="CEF0FC"/>
            </w:tcBorders>
            <w:shd w:val="clear" w:color="auto" w:fill="CEF0FC"/>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Borders>
              <w:top w:val="single" w:sz="8" w:color="CEF0FC"/>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00" w:type="dxa"/>
            <w:vAlign w:val="bottom"/>
            <w:tcBorders>
              <w:top w:val="single" w:sz="8" w:color="CEF0FC"/>
            </w:tcBorders>
          </w:tcPr>
          <w:p>
            <w:pPr>
              <w:spacing w:after="0"/>
              <w:rPr>
                <w:sz w:val="15"/>
                <w:szCs w:val="15"/>
                <w:color w:val="auto"/>
              </w:rPr>
            </w:pPr>
          </w:p>
        </w:tc>
        <w:tc>
          <w:tcPr>
            <w:tcW w:w="120" w:type="dxa"/>
            <w:vAlign w:val="bottom"/>
            <w:tcBorders>
              <w:top w:val="single" w:sz="8" w:color="CEF0FC"/>
            </w:tcBorders>
          </w:tcPr>
          <w:p>
            <w:pPr>
              <w:spacing w:after="0"/>
              <w:rPr>
                <w:sz w:val="15"/>
                <w:szCs w:val="15"/>
                <w:color w:val="auto"/>
              </w:rPr>
            </w:pPr>
          </w:p>
        </w:tc>
        <w:tc>
          <w:tcPr>
            <w:tcW w:w="20" w:type="dxa"/>
            <w:vAlign w:val="bottom"/>
            <w:tcBorders>
              <w:top w:val="single" w:sz="8" w:color="CEF0FC"/>
            </w:tcBorders>
          </w:tcPr>
          <w:p>
            <w:pPr>
              <w:spacing w:after="0"/>
              <w:rPr>
                <w:sz w:val="15"/>
                <w:szCs w:val="15"/>
                <w:color w:val="auto"/>
              </w:rPr>
            </w:pPr>
          </w:p>
        </w:tc>
        <w:tc>
          <w:tcPr>
            <w:tcW w:w="60" w:type="dxa"/>
            <w:vAlign w:val="bottom"/>
            <w:tcBorders>
              <w:top w:val="single" w:sz="8" w:color="CEF0FC"/>
            </w:tcBorders>
          </w:tcPr>
          <w:p>
            <w:pPr>
              <w:spacing w:after="0"/>
              <w:rPr>
                <w:sz w:val="15"/>
                <w:szCs w:val="15"/>
                <w:color w:val="auto"/>
              </w:rPr>
            </w:pPr>
          </w:p>
        </w:tc>
        <w:tc>
          <w:tcPr>
            <w:tcW w:w="140" w:type="dxa"/>
            <w:vAlign w:val="bottom"/>
            <w:tcBorders>
              <w:top w:val="single" w:sz="8" w:color="CEF0FC"/>
            </w:tcBorders>
          </w:tcPr>
          <w:p>
            <w:pPr>
              <w:spacing w:after="0"/>
              <w:rPr>
                <w:sz w:val="15"/>
                <w:szCs w:val="15"/>
                <w:color w:val="auto"/>
              </w:rPr>
            </w:pPr>
          </w:p>
        </w:tc>
        <w:tc>
          <w:tcPr>
            <w:tcW w:w="2600" w:type="dxa"/>
            <w:vAlign w:val="bottom"/>
            <w:tcBorders>
              <w:top w:val="single" w:sz="8" w:color="CEF0FC"/>
            </w:tcBorders>
          </w:tcPr>
          <w:p>
            <w:pPr>
              <w:spacing w:after="0"/>
              <w:rPr>
                <w:sz w:val="15"/>
                <w:szCs w:val="15"/>
                <w:color w:val="auto"/>
              </w:rPr>
            </w:pPr>
          </w:p>
        </w:tc>
        <w:tc>
          <w:tcPr>
            <w:tcW w:w="140" w:type="dxa"/>
            <w:vAlign w:val="bottom"/>
            <w:tcBorders>
              <w:top w:val="single" w:sz="8" w:color="CEF0FC"/>
            </w:tcBorders>
          </w:tcPr>
          <w:p>
            <w:pPr>
              <w:spacing w:after="0"/>
              <w:rPr>
                <w:sz w:val="15"/>
                <w:szCs w:val="15"/>
                <w:color w:val="auto"/>
              </w:rPr>
            </w:pPr>
          </w:p>
        </w:tc>
        <w:tc>
          <w:tcPr>
            <w:tcW w:w="780" w:type="dxa"/>
            <w:vAlign w:val="bottom"/>
            <w:tcBorders>
              <w:top w:val="single" w:sz="8" w:color="CEF0FC"/>
            </w:tcBorders>
          </w:tcPr>
          <w:p>
            <w:pPr>
              <w:spacing w:after="0"/>
              <w:rPr>
                <w:sz w:val="15"/>
                <w:szCs w:val="15"/>
                <w:color w:val="auto"/>
              </w:rPr>
            </w:pPr>
          </w:p>
        </w:tc>
        <w:tc>
          <w:tcPr>
            <w:tcW w:w="140" w:type="dxa"/>
            <w:vAlign w:val="bottom"/>
            <w:tcBorders>
              <w:top w:val="single" w:sz="8" w:color="CEF0FC"/>
            </w:tcBorders>
          </w:tcPr>
          <w:p>
            <w:pPr>
              <w:spacing w:after="0"/>
              <w:rPr>
                <w:sz w:val="15"/>
                <w:szCs w:val="15"/>
                <w:color w:val="auto"/>
              </w:rPr>
            </w:pPr>
          </w:p>
        </w:tc>
        <w:tc>
          <w:tcPr>
            <w:tcW w:w="780" w:type="dxa"/>
            <w:vAlign w:val="bottom"/>
            <w:tcBorders>
              <w:top w:val="single" w:sz="8" w:color="CEF0FC"/>
            </w:tcBorders>
          </w:tcPr>
          <w:p>
            <w:pPr>
              <w:spacing w:after="0"/>
              <w:rPr>
                <w:sz w:val="15"/>
                <w:szCs w:val="15"/>
                <w:color w:val="auto"/>
              </w:rPr>
            </w:pPr>
          </w:p>
        </w:tc>
        <w:tc>
          <w:tcPr>
            <w:tcW w:w="140" w:type="dxa"/>
            <w:vAlign w:val="bottom"/>
            <w:tcBorders>
              <w:top w:val="single" w:sz="8" w:color="CEF0FC"/>
            </w:tcBorders>
          </w:tcPr>
          <w:p>
            <w:pPr>
              <w:spacing w:after="0"/>
              <w:rPr>
                <w:sz w:val="15"/>
                <w:szCs w:val="15"/>
                <w:color w:val="auto"/>
              </w:rPr>
            </w:pPr>
          </w:p>
        </w:tc>
        <w:tc>
          <w:tcPr>
            <w:tcW w:w="140" w:type="dxa"/>
            <w:vAlign w:val="bottom"/>
            <w:tcBorders>
              <w:top w:val="single" w:sz="8" w:color="CEF0FC"/>
            </w:tcBorders>
          </w:tcPr>
          <w:p>
            <w:pPr>
              <w:spacing w:after="0"/>
              <w:rPr>
                <w:sz w:val="15"/>
                <w:szCs w:val="15"/>
                <w:color w:val="auto"/>
              </w:rPr>
            </w:pPr>
          </w:p>
        </w:tc>
        <w:tc>
          <w:tcPr>
            <w:tcW w:w="800" w:type="dxa"/>
            <w:vAlign w:val="bottom"/>
            <w:tcBorders>
              <w:top w:val="single" w:sz="8" w:color="CEF0FC"/>
            </w:tcBorders>
          </w:tcPr>
          <w:p>
            <w:pPr>
              <w:spacing w:after="0"/>
              <w:rPr>
                <w:sz w:val="15"/>
                <w:szCs w:val="15"/>
                <w:color w:val="auto"/>
              </w:rPr>
            </w:pPr>
          </w:p>
        </w:tc>
        <w:tc>
          <w:tcPr>
            <w:tcW w:w="220" w:type="dxa"/>
            <w:vAlign w:val="bottom"/>
            <w:tcBorders>
              <w:top w:val="single" w:sz="8" w:color="CE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40" w:type="dxa"/>
            <w:vAlign w:val="bottom"/>
            <w:tcBorders>
              <w:top w:val="single" w:sz="8" w:color="CE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780" w:type="dxa"/>
            <w:vAlign w:val="bottom"/>
            <w:tcBorders>
              <w:top w:val="single" w:sz="8" w:color="CEF0F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EF0FC"/>
          </w:tcPr>
          <w:p>
            <w:pPr>
              <w:spacing w:after="0"/>
              <w:rPr>
                <w:sz w:val="13"/>
                <w:szCs w:val="13"/>
                <w:color w:val="auto"/>
              </w:rPr>
            </w:pPr>
          </w:p>
        </w:tc>
        <w:tc>
          <w:tcPr>
            <w:tcW w:w="2220" w:type="dxa"/>
            <w:vAlign w:val="bottom"/>
            <w:gridSpan w:val="7"/>
            <w:shd w:val="clear" w:color="auto" w:fill="CEF0FC"/>
          </w:tcPr>
          <w:p>
            <w:pPr>
              <w:spacing w:after="0" w:line="149" w:lineRule="exact"/>
              <w:rPr>
                <w:sz w:val="20"/>
                <w:szCs w:val="20"/>
                <w:color w:val="auto"/>
              </w:rPr>
            </w:pPr>
            <w:r>
              <w:rPr>
                <w:rFonts w:ascii="Arial" w:cs="Arial" w:eastAsia="Arial" w:hAnsi="Arial"/>
                <w:sz w:val="14"/>
                <w:szCs w:val="14"/>
                <w:b w:val="1"/>
                <w:bCs w:val="1"/>
                <w:color w:val="auto"/>
              </w:rPr>
              <w:t>Affiliate Investments</w:t>
            </w:r>
          </w:p>
        </w:tc>
        <w:tc>
          <w:tcPr>
            <w:tcW w:w="140" w:type="dxa"/>
            <w:vAlign w:val="bottom"/>
            <w:shd w:val="clear" w:color="auto" w:fill="CEF0FC"/>
          </w:tcPr>
          <w:p>
            <w:pPr>
              <w:spacing w:after="0"/>
              <w:rPr>
                <w:sz w:val="13"/>
                <w:szCs w:val="13"/>
                <w:color w:val="auto"/>
              </w:rPr>
            </w:pPr>
          </w:p>
        </w:tc>
        <w:tc>
          <w:tcPr>
            <w:tcW w:w="2600" w:type="dxa"/>
            <w:vAlign w:val="bottom"/>
            <w:shd w:val="clear" w:color="auto" w:fill="CEF0FC"/>
          </w:tcPr>
          <w:p>
            <w:pPr>
              <w:spacing w:after="0"/>
              <w:rPr>
                <w:sz w:val="13"/>
                <w:szCs w:val="13"/>
                <w:color w:val="auto"/>
              </w:rPr>
            </w:pPr>
          </w:p>
        </w:tc>
        <w:tc>
          <w:tcPr>
            <w:tcW w:w="140" w:type="dxa"/>
            <w:vAlign w:val="bottom"/>
            <w:shd w:val="clear" w:color="auto" w:fill="CEF0FC"/>
          </w:tcPr>
          <w:p>
            <w:pPr>
              <w:spacing w:after="0"/>
              <w:rPr>
                <w:sz w:val="13"/>
                <w:szCs w:val="13"/>
                <w:color w:val="auto"/>
              </w:rPr>
            </w:pPr>
          </w:p>
        </w:tc>
        <w:tc>
          <w:tcPr>
            <w:tcW w:w="780" w:type="dxa"/>
            <w:vAlign w:val="bottom"/>
            <w:shd w:val="clear" w:color="auto" w:fill="CEF0FC"/>
          </w:tcPr>
          <w:p>
            <w:pPr>
              <w:spacing w:after="0"/>
              <w:rPr>
                <w:sz w:val="13"/>
                <w:szCs w:val="13"/>
                <w:color w:val="auto"/>
              </w:rPr>
            </w:pPr>
          </w:p>
        </w:tc>
        <w:tc>
          <w:tcPr>
            <w:tcW w:w="140" w:type="dxa"/>
            <w:vAlign w:val="bottom"/>
            <w:shd w:val="clear" w:color="auto" w:fill="CEF0FC"/>
          </w:tcPr>
          <w:p>
            <w:pPr>
              <w:spacing w:after="0"/>
              <w:rPr>
                <w:sz w:val="13"/>
                <w:szCs w:val="13"/>
                <w:color w:val="auto"/>
              </w:rPr>
            </w:pPr>
          </w:p>
        </w:tc>
        <w:tc>
          <w:tcPr>
            <w:tcW w:w="780" w:type="dxa"/>
            <w:vAlign w:val="bottom"/>
            <w:shd w:val="clear" w:color="auto" w:fill="CEF0FC"/>
          </w:tcPr>
          <w:p>
            <w:pPr>
              <w:spacing w:after="0"/>
              <w:rPr>
                <w:sz w:val="13"/>
                <w:szCs w:val="13"/>
                <w:color w:val="auto"/>
              </w:rPr>
            </w:pPr>
          </w:p>
        </w:tc>
        <w:tc>
          <w:tcPr>
            <w:tcW w:w="140" w:type="dxa"/>
            <w:vAlign w:val="bottom"/>
            <w:shd w:val="clear" w:color="auto" w:fill="CEF0FC"/>
          </w:tcPr>
          <w:p>
            <w:pPr>
              <w:spacing w:after="0"/>
              <w:rPr>
                <w:sz w:val="13"/>
                <w:szCs w:val="13"/>
                <w:color w:val="auto"/>
              </w:rPr>
            </w:pPr>
          </w:p>
        </w:tc>
        <w:tc>
          <w:tcPr>
            <w:tcW w:w="140" w:type="dxa"/>
            <w:vAlign w:val="bottom"/>
            <w:shd w:val="clear" w:color="auto" w:fill="CEF0FC"/>
          </w:tcPr>
          <w:p>
            <w:pPr>
              <w:spacing w:after="0"/>
              <w:rPr>
                <w:sz w:val="13"/>
                <w:szCs w:val="13"/>
                <w:color w:val="auto"/>
              </w:rPr>
            </w:pPr>
          </w:p>
        </w:tc>
        <w:tc>
          <w:tcPr>
            <w:tcW w:w="800" w:type="dxa"/>
            <w:vAlign w:val="bottom"/>
            <w:shd w:val="clear" w:color="auto" w:fill="CEF0FC"/>
          </w:tcPr>
          <w:p>
            <w:pPr>
              <w:spacing w:after="0"/>
              <w:rPr>
                <w:sz w:val="13"/>
                <w:szCs w:val="13"/>
                <w:color w:val="auto"/>
              </w:rPr>
            </w:pPr>
          </w:p>
        </w:tc>
        <w:tc>
          <w:tcPr>
            <w:tcW w:w="220" w:type="dxa"/>
            <w:vAlign w:val="bottom"/>
            <w:shd w:val="clear" w:color="auto" w:fill="CEF0FC"/>
          </w:tcPr>
          <w:p>
            <w:pPr>
              <w:spacing w:after="0"/>
              <w:rPr>
                <w:sz w:val="13"/>
                <w:szCs w:val="13"/>
                <w:color w:val="auto"/>
              </w:rPr>
            </w:pPr>
          </w:p>
        </w:tc>
        <w:tc>
          <w:tcPr>
            <w:tcW w:w="120" w:type="dxa"/>
            <w:vAlign w:val="bottom"/>
            <w:shd w:val="clear" w:color="auto" w:fill="CEF0FC"/>
          </w:tcPr>
          <w:p>
            <w:pPr>
              <w:spacing w:after="0"/>
              <w:rPr>
                <w:sz w:val="13"/>
                <w:szCs w:val="13"/>
                <w:color w:val="auto"/>
              </w:rPr>
            </w:pPr>
          </w:p>
        </w:tc>
        <w:tc>
          <w:tcPr>
            <w:tcW w:w="920" w:type="dxa"/>
            <w:vAlign w:val="bottom"/>
            <w:shd w:val="clear" w:color="auto" w:fill="CEF0FC"/>
          </w:tcPr>
          <w:p>
            <w:pPr>
              <w:spacing w:after="0"/>
              <w:rPr>
                <w:sz w:val="13"/>
                <w:szCs w:val="13"/>
                <w:color w:val="auto"/>
              </w:rPr>
            </w:pPr>
          </w:p>
        </w:tc>
        <w:tc>
          <w:tcPr>
            <w:tcW w:w="240" w:type="dxa"/>
            <w:vAlign w:val="bottom"/>
            <w:shd w:val="clear" w:color="auto" w:fill="CEF0FC"/>
          </w:tcPr>
          <w:p>
            <w:pPr>
              <w:spacing w:after="0"/>
              <w:rPr>
                <w:sz w:val="13"/>
                <w:szCs w:val="13"/>
                <w:color w:val="auto"/>
              </w:rPr>
            </w:pPr>
          </w:p>
        </w:tc>
        <w:tc>
          <w:tcPr>
            <w:tcW w:w="120" w:type="dxa"/>
            <w:vAlign w:val="bottom"/>
            <w:tcBorders>
              <w:right w:val="single" w:sz="8" w:color="CEF0FC"/>
            </w:tcBorders>
            <w:shd w:val="clear" w:color="auto" w:fill="CEF0FC"/>
          </w:tcPr>
          <w:p>
            <w:pPr>
              <w:spacing w:after="0"/>
              <w:rPr>
                <w:sz w:val="13"/>
                <w:szCs w:val="13"/>
                <w:color w:val="auto"/>
              </w:rPr>
            </w:pPr>
          </w:p>
        </w:tc>
        <w:tc>
          <w:tcPr>
            <w:tcW w:w="940" w:type="dxa"/>
            <w:vAlign w:val="bottom"/>
            <w:shd w:val="clear" w:color="auto" w:fill="CEF0FC"/>
          </w:tcPr>
          <w:p>
            <w:pPr>
              <w:spacing w:after="0"/>
              <w:rPr>
                <w:sz w:val="13"/>
                <w:szCs w:val="13"/>
                <w:color w:val="auto"/>
              </w:rPr>
            </w:pPr>
          </w:p>
        </w:tc>
        <w:tc>
          <w:tcPr>
            <w:tcW w:w="780" w:type="dxa"/>
            <w:vAlign w:val="bottom"/>
            <w:gridSpan w:val="2"/>
            <w:shd w:val="clear" w:color="auto" w:fill="CEF0FC"/>
          </w:tcPr>
          <w:p>
            <w:pPr>
              <w:jc w:val="right"/>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76"/>
        </w:trPr>
        <w:tc>
          <w:tcPr>
            <w:tcW w:w="20" w:type="dxa"/>
            <w:vAlign w:val="bottom"/>
            <w:tcBorders>
              <w:top w:val="single" w:sz="8" w:color="CEF0FC"/>
            </w:tcBorders>
          </w:tcPr>
          <w:p>
            <w:pPr>
              <w:spacing w:after="0"/>
              <w:rPr>
                <w:sz w:val="15"/>
                <w:szCs w:val="15"/>
                <w:color w:val="auto"/>
              </w:rPr>
            </w:pPr>
          </w:p>
        </w:tc>
        <w:tc>
          <w:tcPr>
            <w:tcW w:w="12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Common Stocks</w:t>
            </w:r>
          </w:p>
        </w:tc>
        <w:tc>
          <w:tcPr>
            <w:tcW w:w="940" w:type="dxa"/>
            <w:vAlign w:val="bottom"/>
            <w:tcBorders>
              <w:top w:val="single" w:sz="8" w:color="CEF0FC"/>
            </w:tcBorders>
            <w:gridSpan w:val="5"/>
          </w:tcPr>
          <w:p>
            <w:pPr>
              <w:spacing w:after="0"/>
              <w:rPr>
                <w:sz w:val="15"/>
                <w:szCs w:val="15"/>
                <w:color w:val="auto"/>
              </w:rPr>
            </w:pPr>
          </w:p>
        </w:tc>
        <w:tc>
          <w:tcPr>
            <w:tcW w:w="140" w:type="dxa"/>
            <w:vAlign w:val="bottom"/>
            <w:tcBorders>
              <w:top w:val="single" w:sz="8" w:color="CEF0FC"/>
            </w:tcBorders>
          </w:tcPr>
          <w:p>
            <w:pPr>
              <w:spacing w:after="0"/>
              <w:rPr>
                <w:sz w:val="15"/>
                <w:szCs w:val="15"/>
                <w:color w:val="auto"/>
              </w:rPr>
            </w:pPr>
          </w:p>
        </w:tc>
        <w:tc>
          <w:tcPr>
            <w:tcW w:w="2600" w:type="dxa"/>
            <w:vAlign w:val="bottom"/>
            <w:tcBorders>
              <w:top w:val="single" w:sz="8" w:color="CEF0FC"/>
            </w:tcBorders>
          </w:tcPr>
          <w:p>
            <w:pPr>
              <w:spacing w:after="0"/>
              <w:rPr>
                <w:sz w:val="15"/>
                <w:szCs w:val="15"/>
                <w:color w:val="auto"/>
              </w:rPr>
            </w:pPr>
          </w:p>
        </w:tc>
        <w:tc>
          <w:tcPr>
            <w:tcW w:w="140" w:type="dxa"/>
            <w:vAlign w:val="bottom"/>
            <w:tcBorders>
              <w:top w:val="single" w:sz="8" w:color="CEF0FC"/>
            </w:tcBorders>
          </w:tcPr>
          <w:p>
            <w:pPr>
              <w:spacing w:after="0"/>
              <w:rPr>
                <w:sz w:val="15"/>
                <w:szCs w:val="15"/>
                <w:color w:val="auto"/>
              </w:rPr>
            </w:pPr>
          </w:p>
        </w:tc>
        <w:tc>
          <w:tcPr>
            <w:tcW w:w="780" w:type="dxa"/>
            <w:vAlign w:val="bottom"/>
            <w:tcBorders>
              <w:top w:val="single" w:sz="8" w:color="CEF0FC"/>
            </w:tcBorders>
          </w:tcPr>
          <w:p>
            <w:pPr>
              <w:spacing w:after="0"/>
              <w:rPr>
                <w:sz w:val="15"/>
                <w:szCs w:val="15"/>
                <w:color w:val="auto"/>
              </w:rPr>
            </w:pPr>
          </w:p>
        </w:tc>
        <w:tc>
          <w:tcPr>
            <w:tcW w:w="140" w:type="dxa"/>
            <w:vAlign w:val="bottom"/>
            <w:tcBorders>
              <w:top w:val="single" w:sz="8" w:color="CEF0FC"/>
            </w:tcBorders>
          </w:tcPr>
          <w:p>
            <w:pPr>
              <w:spacing w:after="0"/>
              <w:rPr>
                <w:sz w:val="15"/>
                <w:szCs w:val="15"/>
                <w:color w:val="auto"/>
              </w:rPr>
            </w:pPr>
          </w:p>
        </w:tc>
        <w:tc>
          <w:tcPr>
            <w:tcW w:w="780" w:type="dxa"/>
            <w:vAlign w:val="bottom"/>
            <w:tcBorders>
              <w:top w:val="single" w:sz="8" w:color="CEF0FC"/>
            </w:tcBorders>
          </w:tcPr>
          <w:p>
            <w:pPr>
              <w:spacing w:after="0"/>
              <w:rPr>
                <w:sz w:val="15"/>
                <w:szCs w:val="15"/>
                <w:color w:val="auto"/>
              </w:rPr>
            </w:pPr>
          </w:p>
        </w:tc>
        <w:tc>
          <w:tcPr>
            <w:tcW w:w="140" w:type="dxa"/>
            <w:vAlign w:val="bottom"/>
            <w:tcBorders>
              <w:top w:val="single" w:sz="8" w:color="CEF0FC"/>
            </w:tcBorders>
          </w:tcPr>
          <w:p>
            <w:pPr>
              <w:spacing w:after="0"/>
              <w:rPr>
                <w:sz w:val="15"/>
                <w:szCs w:val="15"/>
                <w:color w:val="auto"/>
              </w:rPr>
            </w:pPr>
          </w:p>
        </w:tc>
        <w:tc>
          <w:tcPr>
            <w:tcW w:w="140" w:type="dxa"/>
            <w:vAlign w:val="bottom"/>
            <w:tcBorders>
              <w:top w:val="single" w:sz="8" w:color="CEF0FC"/>
            </w:tcBorders>
          </w:tcPr>
          <w:p>
            <w:pPr>
              <w:spacing w:after="0"/>
              <w:rPr>
                <w:sz w:val="15"/>
                <w:szCs w:val="15"/>
                <w:color w:val="auto"/>
              </w:rPr>
            </w:pPr>
          </w:p>
        </w:tc>
        <w:tc>
          <w:tcPr>
            <w:tcW w:w="800" w:type="dxa"/>
            <w:vAlign w:val="bottom"/>
            <w:tcBorders>
              <w:top w:val="single" w:sz="8" w:color="CEF0FC"/>
            </w:tcBorders>
          </w:tcPr>
          <w:p>
            <w:pPr>
              <w:spacing w:after="0"/>
              <w:rPr>
                <w:sz w:val="15"/>
                <w:szCs w:val="15"/>
                <w:color w:val="auto"/>
              </w:rPr>
            </w:pPr>
          </w:p>
        </w:tc>
        <w:tc>
          <w:tcPr>
            <w:tcW w:w="220" w:type="dxa"/>
            <w:vAlign w:val="bottom"/>
            <w:tcBorders>
              <w:top w:val="single" w:sz="8" w:color="CEF0FC"/>
            </w:tcBorders>
          </w:tcPr>
          <w:p>
            <w:pPr>
              <w:spacing w:after="0"/>
              <w:rPr>
                <w:sz w:val="15"/>
                <w:szCs w:val="15"/>
                <w:color w:val="auto"/>
              </w:rPr>
            </w:pPr>
          </w:p>
        </w:tc>
        <w:tc>
          <w:tcPr>
            <w:tcW w:w="120" w:type="dxa"/>
            <w:vAlign w:val="bottom"/>
            <w:tcBorders>
              <w:top w:val="single" w:sz="8" w:color="CEF0FC"/>
            </w:tcBorders>
          </w:tcPr>
          <w:p>
            <w:pPr>
              <w:spacing w:after="0"/>
              <w:rPr>
                <w:sz w:val="15"/>
                <w:szCs w:val="15"/>
                <w:color w:val="auto"/>
              </w:rPr>
            </w:pPr>
          </w:p>
        </w:tc>
        <w:tc>
          <w:tcPr>
            <w:tcW w:w="920" w:type="dxa"/>
            <w:vAlign w:val="bottom"/>
            <w:tcBorders>
              <w:top w:val="single" w:sz="8" w:color="CEF0FC"/>
            </w:tcBorders>
          </w:tcPr>
          <w:p>
            <w:pPr>
              <w:spacing w:after="0"/>
              <w:rPr>
                <w:sz w:val="15"/>
                <w:szCs w:val="15"/>
                <w:color w:val="auto"/>
              </w:rPr>
            </w:pPr>
          </w:p>
        </w:tc>
        <w:tc>
          <w:tcPr>
            <w:tcW w:w="240" w:type="dxa"/>
            <w:vAlign w:val="bottom"/>
            <w:tcBorders>
              <w:top w:val="single" w:sz="8" w:color="CEF0FC"/>
            </w:tcBorders>
          </w:tcPr>
          <w:p>
            <w:pPr>
              <w:spacing w:after="0"/>
              <w:rPr>
                <w:sz w:val="15"/>
                <w:szCs w:val="15"/>
                <w:color w:val="auto"/>
              </w:rPr>
            </w:pPr>
          </w:p>
        </w:tc>
        <w:tc>
          <w:tcPr>
            <w:tcW w:w="120" w:type="dxa"/>
            <w:vAlign w:val="bottom"/>
            <w:tcBorders>
              <w:top w:val="single" w:sz="8" w:color="CEF0FC"/>
            </w:tcBorders>
          </w:tcPr>
          <w:p>
            <w:pPr>
              <w:spacing w:after="0"/>
              <w:rPr>
                <w:sz w:val="15"/>
                <w:szCs w:val="15"/>
                <w:color w:val="auto"/>
              </w:rPr>
            </w:pPr>
          </w:p>
        </w:tc>
        <w:tc>
          <w:tcPr>
            <w:tcW w:w="940" w:type="dxa"/>
            <w:vAlign w:val="bottom"/>
            <w:tcBorders>
              <w:top w:val="single" w:sz="8" w:color="CEF0FC"/>
            </w:tcBorders>
          </w:tcPr>
          <w:p>
            <w:pPr>
              <w:spacing w:after="0"/>
              <w:rPr>
                <w:sz w:val="15"/>
                <w:szCs w:val="15"/>
                <w:color w:val="auto"/>
              </w:rPr>
            </w:pPr>
          </w:p>
        </w:tc>
        <w:tc>
          <w:tcPr>
            <w:tcW w:w="220" w:type="dxa"/>
            <w:vAlign w:val="bottom"/>
            <w:tcBorders>
              <w:top w:val="single" w:sz="8" w:color="CEF0FC"/>
            </w:tcBorders>
          </w:tcPr>
          <w:p>
            <w:pPr>
              <w:spacing w:after="0"/>
              <w:rPr>
                <w:sz w:val="15"/>
                <w:szCs w:val="15"/>
                <w:color w:val="auto"/>
              </w:rPr>
            </w:pPr>
          </w:p>
        </w:tc>
        <w:tc>
          <w:tcPr>
            <w:tcW w:w="560" w:type="dxa"/>
            <w:vAlign w:val="bottom"/>
            <w:tcBorders>
              <w:top w:val="single" w:sz="8" w:color="CEF0FC"/>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EF0FC"/>
          </w:tcPr>
          <w:p>
            <w:pPr>
              <w:spacing w:after="0"/>
              <w:rPr>
                <w:sz w:val="15"/>
                <w:szCs w:val="15"/>
                <w:color w:val="auto"/>
              </w:rPr>
            </w:pPr>
          </w:p>
        </w:tc>
        <w:tc>
          <w:tcPr>
            <w:tcW w:w="2220" w:type="dxa"/>
            <w:vAlign w:val="bottom"/>
            <w:gridSpan w:val="7"/>
            <w:shd w:val="clear" w:color="auto" w:fill="CEF0FC"/>
          </w:tcPr>
          <w:p>
            <w:pPr>
              <w:spacing w:after="0"/>
              <w:rPr>
                <w:sz w:val="20"/>
                <w:szCs w:val="20"/>
                <w:color w:val="auto"/>
              </w:rPr>
            </w:pPr>
            <w:r>
              <w:rPr>
                <w:rFonts w:ascii="Arial" w:cs="Arial" w:eastAsia="Arial" w:hAnsi="Arial"/>
                <w:sz w:val="14"/>
                <w:szCs w:val="14"/>
                <w:b w:val="1"/>
                <w:bCs w:val="1"/>
                <w:color w:val="auto"/>
              </w:rPr>
              <w:t>Application Software</w:t>
            </w:r>
          </w:p>
        </w:tc>
        <w:tc>
          <w:tcPr>
            <w:tcW w:w="140" w:type="dxa"/>
            <w:vAlign w:val="bottom"/>
            <w:shd w:val="clear" w:color="auto" w:fill="CEF0FC"/>
          </w:tcPr>
          <w:p>
            <w:pPr>
              <w:spacing w:after="0"/>
              <w:rPr>
                <w:sz w:val="15"/>
                <w:szCs w:val="15"/>
                <w:color w:val="auto"/>
              </w:rPr>
            </w:pPr>
          </w:p>
        </w:tc>
        <w:tc>
          <w:tcPr>
            <w:tcW w:w="260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78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78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800" w:type="dxa"/>
            <w:vAlign w:val="bottom"/>
            <w:shd w:val="clear" w:color="auto" w:fill="CEF0FC"/>
          </w:tcPr>
          <w:p>
            <w:pPr>
              <w:spacing w:after="0"/>
              <w:rPr>
                <w:sz w:val="15"/>
                <w:szCs w:val="15"/>
                <w:color w:val="auto"/>
              </w:rPr>
            </w:pPr>
          </w:p>
        </w:tc>
        <w:tc>
          <w:tcPr>
            <w:tcW w:w="220" w:type="dxa"/>
            <w:vAlign w:val="bottom"/>
            <w:shd w:val="clear" w:color="auto" w:fill="CEF0FC"/>
          </w:tcPr>
          <w:p>
            <w:pPr>
              <w:spacing w:after="0"/>
              <w:rPr>
                <w:sz w:val="15"/>
                <w:szCs w:val="15"/>
                <w:color w:val="auto"/>
              </w:rPr>
            </w:pPr>
          </w:p>
        </w:tc>
        <w:tc>
          <w:tcPr>
            <w:tcW w:w="120" w:type="dxa"/>
            <w:vAlign w:val="bottom"/>
            <w:shd w:val="clear" w:color="auto" w:fill="CEF0FC"/>
          </w:tcPr>
          <w:p>
            <w:pPr>
              <w:spacing w:after="0"/>
              <w:rPr>
                <w:sz w:val="15"/>
                <w:szCs w:val="15"/>
                <w:color w:val="auto"/>
              </w:rPr>
            </w:pPr>
          </w:p>
        </w:tc>
        <w:tc>
          <w:tcPr>
            <w:tcW w:w="920" w:type="dxa"/>
            <w:vAlign w:val="bottom"/>
            <w:shd w:val="clear" w:color="auto" w:fill="CEF0FC"/>
          </w:tcPr>
          <w:p>
            <w:pPr>
              <w:spacing w:after="0"/>
              <w:rPr>
                <w:sz w:val="15"/>
                <w:szCs w:val="15"/>
                <w:color w:val="auto"/>
              </w:rPr>
            </w:pPr>
          </w:p>
        </w:tc>
        <w:tc>
          <w:tcPr>
            <w:tcW w:w="240" w:type="dxa"/>
            <w:vAlign w:val="bottom"/>
            <w:shd w:val="clear" w:color="auto" w:fill="CEF0FC"/>
          </w:tcPr>
          <w:p>
            <w:pPr>
              <w:spacing w:after="0"/>
              <w:rPr>
                <w:sz w:val="15"/>
                <w:szCs w:val="15"/>
                <w:color w:val="auto"/>
              </w:rPr>
            </w:pPr>
          </w:p>
        </w:tc>
        <w:tc>
          <w:tcPr>
            <w:tcW w:w="120" w:type="dxa"/>
            <w:vAlign w:val="bottom"/>
            <w:tcBorders>
              <w:right w:val="single" w:sz="8" w:color="CEF0FC"/>
            </w:tcBorders>
            <w:shd w:val="clear" w:color="auto" w:fill="CEF0FC"/>
          </w:tcPr>
          <w:p>
            <w:pPr>
              <w:spacing w:after="0"/>
              <w:rPr>
                <w:sz w:val="15"/>
                <w:szCs w:val="15"/>
                <w:color w:val="auto"/>
              </w:rPr>
            </w:pPr>
          </w:p>
        </w:tc>
        <w:tc>
          <w:tcPr>
            <w:tcW w:w="940" w:type="dxa"/>
            <w:vAlign w:val="bottom"/>
            <w:shd w:val="clear" w:color="auto" w:fill="CEF0FC"/>
          </w:tcPr>
          <w:p>
            <w:pPr>
              <w:spacing w:after="0"/>
              <w:rPr>
                <w:sz w:val="15"/>
                <w:szCs w:val="15"/>
                <w:color w:val="auto"/>
              </w:rPr>
            </w:pPr>
          </w:p>
        </w:tc>
        <w:tc>
          <w:tcPr>
            <w:tcW w:w="220" w:type="dxa"/>
            <w:vAlign w:val="bottom"/>
            <w:shd w:val="clear" w:color="auto" w:fill="CEF0FC"/>
          </w:tcPr>
          <w:p>
            <w:pPr>
              <w:spacing w:after="0"/>
              <w:rPr>
                <w:sz w:val="15"/>
                <w:szCs w:val="15"/>
                <w:color w:val="auto"/>
              </w:rPr>
            </w:pPr>
          </w:p>
        </w:tc>
        <w:tc>
          <w:tcPr>
            <w:tcW w:w="560" w:type="dxa"/>
            <w:vAlign w:val="bottom"/>
            <w:shd w:val="clear" w:color="auto" w:fill="CE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gridSpan w:val="7"/>
          </w:tcPr>
          <w:p>
            <w:pPr>
              <w:spacing w:after="0"/>
              <w:rPr>
                <w:sz w:val="20"/>
                <w:szCs w:val="20"/>
                <w:color w:val="auto"/>
              </w:rPr>
            </w:pPr>
            <w:r>
              <w:rPr>
                <w:rFonts w:ascii="Arial" w:cs="Arial" w:eastAsia="Arial" w:hAnsi="Arial"/>
                <w:sz w:val="14"/>
                <w:szCs w:val="14"/>
                <w:color w:val="auto"/>
              </w:rPr>
              <w:t>Coginiti Corp</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920" w:type="dxa"/>
            <w:vAlign w:val="bottom"/>
            <w:gridSpan w:val="2"/>
          </w:tcPr>
          <w:p>
            <w:pPr>
              <w:jc w:val="center"/>
              <w:ind w:left="88"/>
              <w:spacing w:after="0"/>
              <w:rPr>
                <w:sz w:val="20"/>
                <w:szCs w:val="20"/>
                <w:color w:val="auto"/>
              </w:rPr>
            </w:pPr>
            <w:r>
              <w:rPr>
                <w:rFonts w:ascii="Arial" w:cs="Arial" w:eastAsia="Arial" w:hAnsi="Arial"/>
                <w:sz w:val="14"/>
                <w:szCs w:val="14"/>
                <w:color w:val="auto"/>
                <w:w w:val="95"/>
              </w:rPr>
              <w:t>3/9/2020</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1,040,160</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4,551,235</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1,324,707</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3"/>
        </w:trPr>
        <w:tc>
          <w:tcPr>
            <w:tcW w:w="20" w:type="dxa"/>
            <w:vAlign w:val="bottom"/>
            <w:shd w:val="clear" w:color="auto" w:fill="CEF0FC"/>
          </w:tcPr>
          <w:p>
            <w:pPr>
              <w:spacing w:after="0"/>
              <w:rPr>
                <w:sz w:val="11"/>
                <w:szCs w:val="11"/>
                <w:color w:val="auto"/>
              </w:rPr>
            </w:pPr>
          </w:p>
        </w:tc>
        <w:tc>
          <w:tcPr>
            <w:tcW w:w="2220" w:type="dxa"/>
            <w:vAlign w:val="bottom"/>
            <w:gridSpan w:val="7"/>
            <w:shd w:val="clear" w:color="auto" w:fill="CEF0FC"/>
          </w:tcPr>
          <w:p>
            <w:pPr>
              <w:spacing w:after="0" w:line="133" w:lineRule="exact"/>
              <w:rPr>
                <w:sz w:val="20"/>
                <w:szCs w:val="20"/>
                <w:color w:val="auto"/>
              </w:rPr>
            </w:pPr>
            <w:r>
              <w:rPr>
                <w:rFonts w:ascii="Arial" w:cs="Arial" w:eastAsia="Arial" w:hAnsi="Arial"/>
                <w:sz w:val="14"/>
                <w:szCs w:val="14"/>
                <w:b w:val="1"/>
                <w:bCs w:val="1"/>
                <w:color w:val="auto"/>
              </w:rPr>
              <w:t>Total Application Software -</w:t>
            </w:r>
          </w:p>
        </w:tc>
        <w:tc>
          <w:tcPr>
            <w:tcW w:w="140" w:type="dxa"/>
            <w:vAlign w:val="bottom"/>
            <w:shd w:val="clear" w:color="auto" w:fill="CEF0FC"/>
          </w:tcPr>
          <w:p>
            <w:pPr>
              <w:spacing w:after="0"/>
              <w:rPr>
                <w:sz w:val="11"/>
                <w:szCs w:val="11"/>
                <w:color w:val="auto"/>
              </w:rPr>
            </w:pPr>
          </w:p>
        </w:tc>
        <w:tc>
          <w:tcPr>
            <w:tcW w:w="2600" w:type="dxa"/>
            <w:vAlign w:val="bottom"/>
            <w:shd w:val="clear" w:color="auto" w:fill="CEF0FC"/>
          </w:tcPr>
          <w:p>
            <w:pPr>
              <w:spacing w:after="0"/>
              <w:rPr>
                <w:sz w:val="11"/>
                <w:szCs w:val="11"/>
                <w:color w:val="auto"/>
              </w:rPr>
            </w:pPr>
          </w:p>
        </w:tc>
        <w:tc>
          <w:tcPr>
            <w:tcW w:w="140" w:type="dxa"/>
            <w:vAlign w:val="bottom"/>
            <w:shd w:val="clear" w:color="auto" w:fill="CEF0FC"/>
          </w:tcPr>
          <w:p>
            <w:pPr>
              <w:spacing w:after="0"/>
              <w:rPr>
                <w:sz w:val="11"/>
                <w:szCs w:val="11"/>
                <w:color w:val="auto"/>
              </w:rPr>
            </w:pPr>
          </w:p>
        </w:tc>
        <w:tc>
          <w:tcPr>
            <w:tcW w:w="780" w:type="dxa"/>
            <w:vAlign w:val="bottom"/>
            <w:shd w:val="clear" w:color="auto" w:fill="CEF0FC"/>
          </w:tcPr>
          <w:p>
            <w:pPr>
              <w:spacing w:after="0"/>
              <w:rPr>
                <w:sz w:val="11"/>
                <w:szCs w:val="11"/>
                <w:color w:val="auto"/>
              </w:rPr>
            </w:pPr>
          </w:p>
        </w:tc>
        <w:tc>
          <w:tcPr>
            <w:tcW w:w="140" w:type="dxa"/>
            <w:vAlign w:val="bottom"/>
            <w:shd w:val="clear" w:color="auto" w:fill="CEF0FC"/>
          </w:tcPr>
          <w:p>
            <w:pPr>
              <w:spacing w:after="0"/>
              <w:rPr>
                <w:sz w:val="11"/>
                <w:szCs w:val="11"/>
                <w:color w:val="auto"/>
              </w:rPr>
            </w:pPr>
          </w:p>
        </w:tc>
        <w:tc>
          <w:tcPr>
            <w:tcW w:w="780" w:type="dxa"/>
            <w:vAlign w:val="bottom"/>
            <w:shd w:val="clear" w:color="auto" w:fill="CEF0FC"/>
          </w:tcPr>
          <w:p>
            <w:pPr>
              <w:spacing w:after="0"/>
              <w:rPr>
                <w:sz w:val="11"/>
                <w:szCs w:val="11"/>
                <w:color w:val="auto"/>
              </w:rPr>
            </w:pPr>
          </w:p>
        </w:tc>
        <w:tc>
          <w:tcPr>
            <w:tcW w:w="140" w:type="dxa"/>
            <w:vAlign w:val="bottom"/>
            <w:shd w:val="clear" w:color="auto" w:fill="CEF0FC"/>
          </w:tcPr>
          <w:p>
            <w:pPr>
              <w:spacing w:after="0"/>
              <w:rPr>
                <w:sz w:val="11"/>
                <w:szCs w:val="11"/>
                <w:color w:val="auto"/>
              </w:rPr>
            </w:pPr>
          </w:p>
        </w:tc>
        <w:tc>
          <w:tcPr>
            <w:tcW w:w="140" w:type="dxa"/>
            <w:vAlign w:val="bottom"/>
            <w:shd w:val="clear" w:color="auto" w:fill="CEF0FC"/>
          </w:tcPr>
          <w:p>
            <w:pPr>
              <w:spacing w:after="0"/>
              <w:rPr>
                <w:sz w:val="11"/>
                <w:szCs w:val="11"/>
                <w:color w:val="auto"/>
              </w:rPr>
            </w:pPr>
          </w:p>
        </w:tc>
        <w:tc>
          <w:tcPr>
            <w:tcW w:w="800" w:type="dxa"/>
            <w:vAlign w:val="bottom"/>
            <w:shd w:val="clear" w:color="auto" w:fill="CEF0FC"/>
          </w:tcPr>
          <w:p>
            <w:pPr>
              <w:spacing w:after="0"/>
              <w:rPr>
                <w:sz w:val="11"/>
                <w:szCs w:val="11"/>
                <w:color w:val="auto"/>
              </w:rPr>
            </w:pPr>
          </w:p>
        </w:tc>
        <w:tc>
          <w:tcPr>
            <w:tcW w:w="220" w:type="dxa"/>
            <w:vAlign w:val="bottom"/>
            <w:shd w:val="clear" w:color="auto" w:fill="CEF0FC"/>
          </w:tcPr>
          <w:p>
            <w:pPr>
              <w:spacing w:after="0"/>
              <w:rPr>
                <w:sz w:val="11"/>
                <w:szCs w:val="11"/>
                <w:color w:val="auto"/>
              </w:rPr>
            </w:pPr>
          </w:p>
        </w:tc>
        <w:tc>
          <w:tcPr>
            <w:tcW w:w="120" w:type="dxa"/>
            <w:vAlign w:val="bottom"/>
            <w:shd w:val="clear" w:color="auto" w:fill="CEF0FC"/>
          </w:tcPr>
          <w:p>
            <w:pPr>
              <w:spacing w:after="0"/>
              <w:rPr>
                <w:sz w:val="11"/>
                <w:szCs w:val="11"/>
                <w:color w:val="auto"/>
              </w:rPr>
            </w:pPr>
          </w:p>
        </w:tc>
        <w:tc>
          <w:tcPr>
            <w:tcW w:w="920" w:type="dxa"/>
            <w:vAlign w:val="bottom"/>
            <w:vMerge w:val="restart"/>
            <w:shd w:val="clear" w:color="auto" w:fill="CEF0FC"/>
          </w:tcPr>
          <w:p>
            <w:pPr>
              <w:jc w:val="right"/>
              <w:spacing w:after="0"/>
              <w:rPr>
                <w:sz w:val="20"/>
                <w:szCs w:val="20"/>
                <w:color w:val="auto"/>
              </w:rPr>
            </w:pPr>
            <w:r>
              <w:rPr>
                <w:rFonts w:ascii="Arial" w:cs="Arial" w:eastAsia="Arial" w:hAnsi="Arial"/>
                <w:sz w:val="14"/>
                <w:szCs w:val="14"/>
                <w:color w:val="auto"/>
              </w:rPr>
              <w:t>4,551,235</w:t>
            </w:r>
          </w:p>
        </w:tc>
        <w:tc>
          <w:tcPr>
            <w:tcW w:w="240" w:type="dxa"/>
            <w:vAlign w:val="bottom"/>
            <w:shd w:val="clear" w:color="auto" w:fill="CEF0FC"/>
          </w:tcPr>
          <w:p>
            <w:pPr>
              <w:spacing w:after="0"/>
              <w:rPr>
                <w:sz w:val="11"/>
                <w:szCs w:val="11"/>
                <w:color w:val="auto"/>
              </w:rPr>
            </w:pPr>
          </w:p>
        </w:tc>
        <w:tc>
          <w:tcPr>
            <w:tcW w:w="120" w:type="dxa"/>
            <w:vAlign w:val="bottom"/>
            <w:tcBorders>
              <w:right w:val="single" w:sz="8" w:color="CEF0FC"/>
            </w:tcBorders>
            <w:shd w:val="clear" w:color="auto" w:fill="CEF0FC"/>
          </w:tcPr>
          <w:p>
            <w:pPr>
              <w:spacing w:after="0"/>
              <w:rPr>
                <w:sz w:val="11"/>
                <w:szCs w:val="11"/>
                <w:color w:val="auto"/>
              </w:rPr>
            </w:pPr>
          </w:p>
        </w:tc>
        <w:tc>
          <w:tcPr>
            <w:tcW w:w="940" w:type="dxa"/>
            <w:vAlign w:val="bottom"/>
            <w:vMerge w:val="restart"/>
            <w:shd w:val="clear" w:color="auto" w:fill="CEF0FC"/>
          </w:tcPr>
          <w:p>
            <w:pPr>
              <w:jc w:val="right"/>
              <w:spacing w:after="0"/>
              <w:rPr>
                <w:sz w:val="20"/>
                <w:szCs w:val="20"/>
                <w:color w:val="auto"/>
              </w:rPr>
            </w:pPr>
            <w:r>
              <w:rPr>
                <w:rFonts w:ascii="Arial" w:cs="Arial" w:eastAsia="Arial" w:hAnsi="Arial"/>
                <w:sz w:val="14"/>
                <w:szCs w:val="14"/>
                <w:color w:val="auto"/>
              </w:rPr>
              <w:t>1,324,707</w:t>
            </w:r>
          </w:p>
        </w:tc>
        <w:tc>
          <w:tcPr>
            <w:tcW w:w="220" w:type="dxa"/>
            <w:vAlign w:val="bottom"/>
            <w:shd w:val="clear" w:color="auto" w:fill="CEF0FC"/>
          </w:tcPr>
          <w:p>
            <w:pPr>
              <w:spacing w:after="0"/>
              <w:rPr>
                <w:sz w:val="11"/>
                <w:szCs w:val="11"/>
                <w:color w:val="auto"/>
              </w:rPr>
            </w:pPr>
          </w:p>
        </w:tc>
        <w:tc>
          <w:tcPr>
            <w:tcW w:w="560" w:type="dxa"/>
            <w:vAlign w:val="bottom"/>
            <w:shd w:val="clear" w:color="auto" w:fill="CE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280" w:type="dxa"/>
            <w:vAlign w:val="bottom"/>
            <w:tcBorders>
              <w:bottom w:val="single" w:sz="8" w:color="CEF0FC"/>
            </w:tcBorders>
            <w:gridSpan w:val="2"/>
            <w:shd w:val="clear" w:color="auto" w:fill="CEF0FC"/>
          </w:tcPr>
          <w:p>
            <w:pPr>
              <w:ind w:left="20"/>
              <w:spacing w:after="0"/>
              <w:rPr>
                <w:sz w:val="20"/>
                <w:szCs w:val="20"/>
                <w:color w:val="auto"/>
              </w:rPr>
            </w:pPr>
            <w:r>
              <w:rPr>
                <w:rFonts w:ascii="Arial" w:cs="Arial" w:eastAsia="Arial" w:hAnsi="Arial"/>
                <w:sz w:val="14"/>
                <w:szCs w:val="14"/>
                <w:b w:val="1"/>
                <w:bCs w:val="1"/>
                <w:color w:val="auto"/>
              </w:rPr>
              <w:t>0.23%*</w:t>
            </w:r>
          </w:p>
        </w:tc>
        <w:tc>
          <w:tcPr>
            <w:tcW w:w="2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600" w:type="dxa"/>
            <w:vAlign w:val="bottom"/>
            <w:tcBorders>
              <w:bottom w:val="single" w:sz="8" w:color="CEF0FC"/>
            </w:tcBorders>
            <w:shd w:val="clear" w:color="auto" w:fill="CEF0FC"/>
          </w:tcPr>
          <w:p>
            <w:pPr>
              <w:spacing w:after="0"/>
              <w:rPr>
                <w:sz w:val="14"/>
                <w:szCs w:val="14"/>
                <w:color w:val="auto"/>
              </w:rPr>
            </w:pPr>
          </w:p>
        </w:tc>
        <w:tc>
          <w:tcPr>
            <w:tcW w:w="120" w:type="dxa"/>
            <w:vAlign w:val="bottom"/>
            <w:tcBorders>
              <w:bottom w:val="single" w:sz="8" w:color="CEF0FC"/>
            </w:tcBorders>
            <w:shd w:val="clear" w:color="auto" w:fill="CEF0FC"/>
          </w:tcPr>
          <w:p>
            <w:pPr>
              <w:spacing w:after="0"/>
              <w:rPr>
                <w:sz w:val="14"/>
                <w:szCs w:val="14"/>
                <w:color w:val="auto"/>
              </w:rPr>
            </w:pPr>
          </w:p>
        </w:tc>
        <w:tc>
          <w:tcPr>
            <w:tcW w:w="20" w:type="dxa"/>
            <w:vAlign w:val="bottom"/>
            <w:tcBorders>
              <w:bottom w:val="single" w:sz="8" w:color="CEF0FC"/>
            </w:tcBorders>
            <w:shd w:val="clear" w:color="auto" w:fill="CEF0FC"/>
          </w:tcPr>
          <w:p>
            <w:pPr>
              <w:spacing w:after="0"/>
              <w:rPr>
                <w:sz w:val="14"/>
                <w:szCs w:val="14"/>
                <w:color w:val="auto"/>
              </w:rPr>
            </w:pPr>
          </w:p>
        </w:tc>
        <w:tc>
          <w:tcPr>
            <w:tcW w:w="6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260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78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78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800" w:type="dxa"/>
            <w:vAlign w:val="bottom"/>
            <w:tcBorders>
              <w:bottom w:val="single" w:sz="8" w:color="CEF0FC"/>
            </w:tcBorders>
            <w:shd w:val="clear" w:color="auto" w:fill="CEF0FC"/>
          </w:tcPr>
          <w:p>
            <w:pPr>
              <w:spacing w:after="0"/>
              <w:rPr>
                <w:sz w:val="14"/>
                <w:szCs w:val="14"/>
                <w:color w:val="auto"/>
              </w:rPr>
            </w:pPr>
          </w:p>
        </w:tc>
        <w:tc>
          <w:tcPr>
            <w:tcW w:w="220" w:type="dxa"/>
            <w:vAlign w:val="bottom"/>
            <w:tcBorders>
              <w:bottom w:val="single" w:sz="8" w:color="CEF0FC"/>
            </w:tcBorders>
            <w:shd w:val="clear" w:color="auto" w:fill="CEF0FC"/>
          </w:tcPr>
          <w:p>
            <w:pPr>
              <w:spacing w:after="0"/>
              <w:rPr>
                <w:sz w:val="14"/>
                <w:szCs w:val="14"/>
                <w:color w:val="auto"/>
              </w:rPr>
            </w:pPr>
          </w:p>
        </w:tc>
        <w:tc>
          <w:tcPr>
            <w:tcW w:w="120" w:type="dxa"/>
            <w:vAlign w:val="bottom"/>
            <w:tcBorders>
              <w:bottom w:val="single" w:sz="8" w:color="auto"/>
            </w:tcBorders>
            <w:shd w:val="clear" w:color="auto" w:fill="CEF0FC"/>
          </w:tcPr>
          <w:p>
            <w:pPr>
              <w:spacing w:after="0"/>
              <w:rPr>
                <w:sz w:val="14"/>
                <w:szCs w:val="14"/>
                <w:color w:val="auto"/>
              </w:rPr>
            </w:pPr>
          </w:p>
        </w:tc>
        <w:tc>
          <w:tcPr>
            <w:tcW w:w="920" w:type="dxa"/>
            <w:vAlign w:val="bottom"/>
            <w:tcBorders>
              <w:bottom w:val="single" w:sz="8" w:color="auto"/>
            </w:tcBorders>
            <w:vMerge w:val="continue"/>
            <w:shd w:val="clear" w:color="auto" w:fill="CEF0FC"/>
          </w:tcPr>
          <w:p>
            <w:pPr>
              <w:spacing w:after="0"/>
              <w:rPr>
                <w:sz w:val="14"/>
                <w:szCs w:val="14"/>
                <w:color w:val="auto"/>
              </w:rPr>
            </w:pPr>
          </w:p>
        </w:tc>
        <w:tc>
          <w:tcPr>
            <w:tcW w:w="240" w:type="dxa"/>
            <w:vAlign w:val="bottom"/>
            <w:tcBorders>
              <w:bottom w:val="single" w:sz="8" w:color="CEF0FC"/>
            </w:tcBorders>
            <w:shd w:val="clear" w:color="auto" w:fill="CEF0FC"/>
          </w:tcPr>
          <w:p>
            <w:pPr>
              <w:spacing w:after="0"/>
              <w:rPr>
                <w:sz w:val="14"/>
                <w:szCs w:val="14"/>
                <w:color w:val="auto"/>
              </w:rPr>
            </w:pPr>
          </w:p>
        </w:tc>
        <w:tc>
          <w:tcPr>
            <w:tcW w:w="120" w:type="dxa"/>
            <w:vAlign w:val="bottom"/>
            <w:tcBorders>
              <w:bottom w:val="single" w:sz="8" w:color="auto"/>
              <w:right w:val="single" w:sz="8" w:color="CEF0FC"/>
            </w:tcBorders>
            <w:shd w:val="clear" w:color="auto" w:fill="CEF0FC"/>
          </w:tcPr>
          <w:p>
            <w:pPr>
              <w:spacing w:after="0"/>
              <w:rPr>
                <w:sz w:val="14"/>
                <w:szCs w:val="14"/>
                <w:color w:val="auto"/>
              </w:rPr>
            </w:pPr>
          </w:p>
        </w:tc>
        <w:tc>
          <w:tcPr>
            <w:tcW w:w="940" w:type="dxa"/>
            <w:vAlign w:val="bottom"/>
            <w:tcBorders>
              <w:bottom w:val="single" w:sz="8" w:color="auto"/>
            </w:tcBorders>
            <w:vMerge w:val="continue"/>
            <w:shd w:val="clear" w:color="auto" w:fill="CEF0FC"/>
          </w:tcPr>
          <w:p>
            <w:pPr>
              <w:spacing w:after="0"/>
              <w:rPr>
                <w:sz w:val="14"/>
                <w:szCs w:val="14"/>
                <w:color w:val="auto"/>
              </w:rPr>
            </w:pPr>
          </w:p>
        </w:tc>
        <w:tc>
          <w:tcPr>
            <w:tcW w:w="220" w:type="dxa"/>
            <w:vAlign w:val="bottom"/>
            <w:tcBorders>
              <w:bottom w:val="single" w:sz="8" w:color="CEF0FC"/>
            </w:tcBorders>
            <w:shd w:val="clear" w:color="auto" w:fill="CEF0FC"/>
          </w:tcPr>
          <w:p>
            <w:pPr>
              <w:spacing w:after="0"/>
              <w:rPr>
                <w:sz w:val="14"/>
                <w:szCs w:val="14"/>
                <w:color w:val="auto"/>
              </w:rPr>
            </w:pPr>
          </w:p>
        </w:tc>
        <w:tc>
          <w:tcPr>
            <w:tcW w:w="560" w:type="dxa"/>
            <w:vAlign w:val="bottom"/>
            <w:tcBorders>
              <w:bottom w:val="single" w:sz="8" w:color="CEF0FC"/>
            </w:tcBorders>
            <w:shd w:val="clear" w:color="auto" w:fill="CE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EF0FC"/>
            </w:tcBorders>
            <w:shd w:val="clear" w:color="auto" w:fill="CEF0FC"/>
          </w:tcPr>
          <w:p>
            <w:pPr>
              <w:spacing w:after="0"/>
              <w:rPr>
                <w:sz w:val="15"/>
                <w:szCs w:val="15"/>
                <w:color w:val="auto"/>
              </w:rPr>
            </w:pPr>
          </w:p>
        </w:tc>
        <w:tc>
          <w:tcPr>
            <w:tcW w:w="2220" w:type="dxa"/>
            <w:vAlign w:val="bottom"/>
            <w:tcBorders>
              <w:bottom w:val="single" w:sz="8" w:color="CEF0FC"/>
            </w:tcBorders>
            <w:gridSpan w:val="7"/>
            <w:shd w:val="clear" w:color="auto" w:fill="CEF0FC"/>
          </w:tcPr>
          <w:p>
            <w:pPr>
              <w:spacing w:after="0"/>
              <w:rPr>
                <w:sz w:val="20"/>
                <w:szCs w:val="20"/>
                <w:color w:val="auto"/>
              </w:rPr>
            </w:pPr>
            <w:r>
              <w:rPr>
                <w:rFonts w:ascii="Arial" w:cs="Arial" w:eastAsia="Arial" w:hAnsi="Arial"/>
                <w:sz w:val="14"/>
                <w:szCs w:val="14"/>
                <w:b w:val="1"/>
                <w:bCs w:val="1"/>
                <w:color w:val="auto"/>
              </w:rPr>
              <w:t>Total Common Stocks - 0.23%*</w:t>
            </w:r>
          </w:p>
        </w:tc>
        <w:tc>
          <w:tcPr>
            <w:tcW w:w="140" w:type="dxa"/>
            <w:vAlign w:val="bottom"/>
            <w:tcBorders>
              <w:bottom w:val="single" w:sz="8" w:color="CEF0FC"/>
            </w:tcBorders>
            <w:shd w:val="clear" w:color="auto" w:fill="CEF0FC"/>
          </w:tcPr>
          <w:p>
            <w:pPr>
              <w:spacing w:after="0"/>
              <w:rPr>
                <w:sz w:val="15"/>
                <w:szCs w:val="15"/>
                <w:color w:val="auto"/>
              </w:rPr>
            </w:pPr>
          </w:p>
        </w:tc>
        <w:tc>
          <w:tcPr>
            <w:tcW w:w="2600" w:type="dxa"/>
            <w:vAlign w:val="bottom"/>
            <w:tcBorders>
              <w:bottom w:val="single" w:sz="8" w:color="CEF0FC"/>
            </w:tcBorders>
            <w:shd w:val="clear" w:color="auto" w:fill="CEF0FC"/>
          </w:tcPr>
          <w:p>
            <w:pPr>
              <w:spacing w:after="0"/>
              <w:rPr>
                <w:sz w:val="15"/>
                <w:szCs w:val="15"/>
                <w:color w:val="auto"/>
              </w:rPr>
            </w:pPr>
          </w:p>
        </w:tc>
        <w:tc>
          <w:tcPr>
            <w:tcW w:w="140" w:type="dxa"/>
            <w:vAlign w:val="bottom"/>
            <w:tcBorders>
              <w:bottom w:val="single" w:sz="8" w:color="CEF0FC"/>
            </w:tcBorders>
            <w:shd w:val="clear" w:color="auto" w:fill="CEF0FC"/>
          </w:tcPr>
          <w:p>
            <w:pPr>
              <w:spacing w:after="0"/>
              <w:rPr>
                <w:sz w:val="15"/>
                <w:szCs w:val="15"/>
                <w:color w:val="auto"/>
              </w:rPr>
            </w:pPr>
          </w:p>
        </w:tc>
        <w:tc>
          <w:tcPr>
            <w:tcW w:w="780" w:type="dxa"/>
            <w:vAlign w:val="bottom"/>
            <w:tcBorders>
              <w:bottom w:val="single" w:sz="8" w:color="CEF0FC"/>
            </w:tcBorders>
            <w:shd w:val="clear" w:color="auto" w:fill="CEF0FC"/>
          </w:tcPr>
          <w:p>
            <w:pPr>
              <w:spacing w:after="0"/>
              <w:rPr>
                <w:sz w:val="15"/>
                <w:szCs w:val="15"/>
                <w:color w:val="auto"/>
              </w:rPr>
            </w:pPr>
          </w:p>
        </w:tc>
        <w:tc>
          <w:tcPr>
            <w:tcW w:w="140" w:type="dxa"/>
            <w:vAlign w:val="bottom"/>
            <w:tcBorders>
              <w:bottom w:val="single" w:sz="8" w:color="CEF0FC"/>
            </w:tcBorders>
            <w:shd w:val="clear" w:color="auto" w:fill="CEF0FC"/>
          </w:tcPr>
          <w:p>
            <w:pPr>
              <w:spacing w:after="0"/>
              <w:rPr>
                <w:sz w:val="15"/>
                <w:szCs w:val="15"/>
                <w:color w:val="auto"/>
              </w:rPr>
            </w:pPr>
          </w:p>
        </w:tc>
        <w:tc>
          <w:tcPr>
            <w:tcW w:w="780" w:type="dxa"/>
            <w:vAlign w:val="bottom"/>
            <w:tcBorders>
              <w:bottom w:val="single" w:sz="8" w:color="CEF0FC"/>
            </w:tcBorders>
            <w:shd w:val="clear" w:color="auto" w:fill="CEF0FC"/>
          </w:tcPr>
          <w:p>
            <w:pPr>
              <w:spacing w:after="0"/>
              <w:rPr>
                <w:sz w:val="15"/>
                <w:szCs w:val="15"/>
                <w:color w:val="auto"/>
              </w:rPr>
            </w:pPr>
          </w:p>
        </w:tc>
        <w:tc>
          <w:tcPr>
            <w:tcW w:w="140" w:type="dxa"/>
            <w:vAlign w:val="bottom"/>
            <w:tcBorders>
              <w:bottom w:val="single" w:sz="8" w:color="CEF0FC"/>
            </w:tcBorders>
            <w:shd w:val="clear" w:color="auto" w:fill="CEF0FC"/>
          </w:tcPr>
          <w:p>
            <w:pPr>
              <w:spacing w:after="0"/>
              <w:rPr>
                <w:sz w:val="15"/>
                <w:szCs w:val="15"/>
                <w:color w:val="auto"/>
              </w:rPr>
            </w:pPr>
          </w:p>
        </w:tc>
        <w:tc>
          <w:tcPr>
            <w:tcW w:w="140" w:type="dxa"/>
            <w:vAlign w:val="bottom"/>
            <w:tcBorders>
              <w:bottom w:val="single" w:sz="8" w:color="CEF0FC"/>
            </w:tcBorders>
            <w:shd w:val="clear" w:color="auto" w:fill="CEF0FC"/>
          </w:tcPr>
          <w:p>
            <w:pPr>
              <w:spacing w:after="0"/>
              <w:rPr>
                <w:sz w:val="15"/>
                <w:szCs w:val="15"/>
                <w:color w:val="auto"/>
              </w:rPr>
            </w:pPr>
          </w:p>
        </w:tc>
        <w:tc>
          <w:tcPr>
            <w:tcW w:w="800" w:type="dxa"/>
            <w:vAlign w:val="bottom"/>
            <w:tcBorders>
              <w:bottom w:val="single" w:sz="8" w:color="CEF0FC"/>
            </w:tcBorders>
            <w:shd w:val="clear" w:color="auto" w:fill="CEF0FC"/>
          </w:tcPr>
          <w:p>
            <w:pPr>
              <w:spacing w:after="0"/>
              <w:rPr>
                <w:sz w:val="15"/>
                <w:szCs w:val="15"/>
                <w:color w:val="auto"/>
              </w:rPr>
            </w:pPr>
          </w:p>
        </w:tc>
        <w:tc>
          <w:tcPr>
            <w:tcW w:w="220" w:type="dxa"/>
            <w:vAlign w:val="bottom"/>
            <w:tcBorders>
              <w:bottom w:val="single" w:sz="8" w:color="CEF0FC"/>
            </w:tcBorders>
            <w:shd w:val="clear" w:color="auto" w:fill="CEF0FC"/>
          </w:tcPr>
          <w:p>
            <w:pPr>
              <w:spacing w:after="0"/>
              <w:rPr>
                <w:sz w:val="15"/>
                <w:szCs w:val="15"/>
                <w:color w:val="auto"/>
              </w:rPr>
            </w:pPr>
          </w:p>
        </w:tc>
        <w:tc>
          <w:tcPr>
            <w:tcW w:w="120" w:type="dxa"/>
            <w:vAlign w:val="bottom"/>
            <w:tcBorders>
              <w:bottom w:val="single" w:sz="8" w:color="auto"/>
            </w:tcBorders>
            <w:shd w:val="clear" w:color="auto" w:fill="CEF0FC"/>
          </w:tcPr>
          <w:p>
            <w:pPr>
              <w:spacing w:after="0"/>
              <w:rPr>
                <w:sz w:val="15"/>
                <w:szCs w:val="15"/>
                <w:color w:val="auto"/>
              </w:rPr>
            </w:pPr>
          </w:p>
        </w:tc>
        <w:tc>
          <w:tcPr>
            <w:tcW w:w="92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4"/>
                <w:szCs w:val="14"/>
                <w:color w:val="auto"/>
              </w:rPr>
              <w:t>4,551,235</w:t>
            </w:r>
          </w:p>
        </w:tc>
        <w:tc>
          <w:tcPr>
            <w:tcW w:w="240" w:type="dxa"/>
            <w:vAlign w:val="bottom"/>
            <w:tcBorders>
              <w:bottom w:val="single" w:sz="8" w:color="CEF0FC"/>
            </w:tcBorders>
            <w:shd w:val="clear" w:color="auto" w:fill="CEF0FC"/>
          </w:tcPr>
          <w:p>
            <w:pPr>
              <w:spacing w:after="0"/>
              <w:rPr>
                <w:sz w:val="15"/>
                <w:szCs w:val="15"/>
                <w:color w:val="auto"/>
              </w:rPr>
            </w:pPr>
          </w:p>
        </w:tc>
        <w:tc>
          <w:tcPr>
            <w:tcW w:w="120" w:type="dxa"/>
            <w:vAlign w:val="bottom"/>
            <w:tcBorders>
              <w:bottom w:val="single" w:sz="8" w:color="auto"/>
              <w:right w:val="single" w:sz="8" w:color="CEF0FC"/>
            </w:tcBorders>
            <w:shd w:val="clear" w:color="auto" w:fill="CEF0FC"/>
          </w:tcPr>
          <w:p>
            <w:pPr>
              <w:spacing w:after="0"/>
              <w:rPr>
                <w:sz w:val="15"/>
                <w:szCs w:val="15"/>
                <w:color w:val="auto"/>
              </w:rPr>
            </w:pPr>
          </w:p>
        </w:tc>
        <w:tc>
          <w:tcPr>
            <w:tcW w:w="94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4"/>
                <w:szCs w:val="14"/>
                <w:color w:val="auto"/>
              </w:rPr>
              <w:t>1,324,707</w:t>
            </w:r>
          </w:p>
        </w:tc>
        <w:tc>
          <w:tcPr>
            <w:tcW w:w="220" w:type="dxa"/>
            <w:vAlign w:val="bottom"/>
            <w:tcBorders>
              <w:bottom w:val="single" w:sz="8" w:color="CEF0FC"/>
            </w:tcBorders>
            <w:shd w:val="clear" w:color="auto" w:fill="CEF0FC"/>
          </w:tcPr>
          <w:p>
            <w:pPr>
              <w:spacing w:after="0"/>
              <w:rPr>
                <w:sz w:val="15"/>
                <w:szCs w:val="15"/>
                <w:color w:val="auto"/>
              </w:rPr>
            </w:pPr>
          </w:p>
        </w:tc>
        <w:tc>
          <w:tcPr>
            <w:tcW w:w="560" w:type="dxa"/>
            <w:vAlign w:val="bottom"/>
            <w:tcBorders>
              <w:bottom w:val="single" w:sz="8" w:color="CEF0FC"/>
            </w:tcBorders>
            <w:shd w:val="clear" w:color="auto" w:fill="CE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EF0FC"/>
          </w:tcPr>
          <w:p>
            <w:pPr>
              <w:spacing w:after="0"/>
              <w:rPr>
                <w:sz w:val="15"/>
                <w:szCs w:val="15"/>
                <w:color w:val="auto"/>
              </w:rPr>
            </w:pPr>
          </w:p>
        </w:tc>
        <w:tc>
          <w:tcPr>
            <w:tcW w:w="2220" w:type="dxa"/>
            <w:vAlign w:val="bottom"/>
            <w:gridSpan w:val="7"/>
            <w:shd w:val="clear" w:color="auto" w:fill="CEF0FC"/>
          </w:tcPr>
          <w:p>
            <w:pPr>
              <w:spacing w:after="0"/>
              <w:rPr>
                <w:sz w:val="20"/>
                <w:szCs w:val="20"/>
                <w:color w:val="auto"/>
              </w:rPr>
            </w:pPr>
            <w:r>
              <w:rPr>
                <w:rFonts w:ascii="Arial" w:cs="Arial" w:eastAsia="Arial" w:hAnsi="Arial"/>
                <w:sz w:val="14"/>
                <w:szCs w:val="14"/>
                <w:b w:val="1"/>
                <w:bCs w:val="1"/>
                <w:color w:val="auto"/>
              </w:rPr>
              <w:t>Warrants</w:t>
            </w:r>
          </w:p>
        </w:tc>
        <w:tc>
          <w:tcPr>
            <w:tcW w:w="140" w:type="dxa"/>
            <w:vAlign w:val="bottom"/>
            <w:shd w:val="clear" w:color="auto" w:fill="CEF0FC"/>
          </w:tcPr>
          <w:p>
            <w:pPr>
              <w:spacing w:after="0"/>
              <w:rPr>
                <w:sz w:val="15"/>
                <w:szCs w:val="15"/>
                <w:color w:val="auto"/>
              </w:rPr>
            </w:pPr>
          </w:p>
        </w:tc>
        <w:tc>
          <w:tcPr>
            <w:tcW w:w="260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78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78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800" w:type="dxa"/>
            <w:vAlign w:val="bottom"/>
            <w:shd w:val="clear" w:color="auto" w:fill="CEF0FC"/>
          </w:tcPr>
          <w:p>
            <w:pPr>
              <w:spacing w:after="0"/>
              <w:rPr>
                <w:sz w:val="15"/>
                <w:szCs w:val="15"/>
                <w:color w:val="auto"/>
              </w:rPr>
            </w:pPr>
          </w:p>
        </w:tc>
        <w:tc>
          <w:tcPr>
            <w:tcW w:w="220" w:type="dxa"/>
            <w:vAlign w:val="bottom"/>
            <w:shd w:val="clear" w:color="auto" w:fill="CEF0FC"/>
          </w:tcPr>
          <w:p>
            <w:pPr>
              <w:spacing w:after="0"/>
              <w:rPr>
                <w:sz w:val="15"/>
                <w:szCs w:val="15"/>
                <w:color w:val="auto"/>
              </w:rPr>
            </w:pPr>
          </w:p>
        </w:tc>
        <w:tc>
          <w:tcPr>
            <w:tcW w:w="120" w:type="dxa"/>
            <w:vAlign w:val="bottom"/>
            <w:shd w:val="clear" w:color="auto" w:fill="CEF0FC"/>
          </w:tcPr>
          <w:p>
            <w:pPr>
              <w:spacing w:after="0"/>
              <w:rPr>
                <w:sz w:val="15"/>
                <w:szCs w:val="15"/>
                <w:color w:val="auto"/>
              </w:rPr>
            </w:pPr>
          </w:p>
        </w:tc>
        <w:tc>
          <w:tcPr>
            <w:tcW w:w="920" w:type="dxa"/>
            <w:vAlign w:val="bottom"/>
            <w:shd w:val="clear" w:color="auto" w:fill="CEF0FC"/>
          </w:tcPr>
          <w:p>
            <w:pPr>
              <w:spacing w:after="0"/>
              <w:rPr>
                <w:sz w:val="15"/>
                <w:szCs w:val="15"/>
                <w:color w:val="auto"/>
              </w:rPr>
            </w:pPr>
          </w:p>
        </w:tc>
        <w:tc>
          <w:tcPr>
            <w:tcW w:w="240" w:type="dxa"/>
            <w:vAlign w:val="bottom"/>
            <w:shd w:val="clear" w:color="auto" w:fill="CEF0FC"/>
          </w:tcPr>
          <w:p>
            <w:pPr>
              <w:spacing w:after="0"/>
              <w:rPr>
                <w:sz w:val="15"/>
                <w:szCs w:val="15"/>
                <w:color w:val="auto"/>
              </w:rPr>
            </w:pPr>
          </w:p>
        </w:tc>
        <w:tc>
          <w:tcPr>
            <w:tcW w:w="120" w:type="dxa"/>
            <w:vAlign w:val="bottom"/>
            <w:tcBorders>
              <w:right w:val="single" w:sz="8" w:color="CEF0FC"/>
            </w:tcBorders>
            <w:shd w:val="clear" w:color="auto" w:fill="CEF0FC"/>
          </w:tcPr>
          <w:p>
            <w:pPr>
              <w:spacing w:after="0"/>
              <w:rPr>
                <w:sz w:val="15"/>
                <w:szCs w:val="15"/>
                <w:color w:val="auto"/>
              </w:rPr>
            </w:pPr>
          </w:p>
        </w:tc>
        <w:tc>
          <w:tcPr>
            <w:tcW w:w="940" w:type="dxa"/>
            <w:vAlign w:val="bottom"/>
            <w:shd w:val="clear" w:color="auto" w:fill="CEF0FC"/>
          </w:tcPr>
          <w:p>
            <w:pPr>
              <w:spacing w:after="0"/>
              <w:rPr>
                <w:sz w:val="15"/>
                <w:szCs w:val="15"/>
                <w:color w:val="auto"/>
              </w:rPr>
            </w:pPr>
          </w:p>
        </w:tc>
        <w:tc>
          <w:tcPr>
            <w:tcW w:w="220" w:type="dxa"/>
            <w:vAlign w:val="bottom"/>
            <w:shd w:val="clear" w:color="auto" w:fill="CEF0FC"/>
          </w:tcPr>
          <w:p>
            <w:pPr>
              <w:spacing w:after="0"/>
              <w:rPr>
                <w:sz w:val="15"/>
                <w:szCs w:val="15"/>
                <w:color w:val="auto"/>
              </w:rPr>
            </w:pPr>
          </w:p>
        </w:tc>
        <w:tc>
          <w:tcPr>
            <w:tcW w:w="560" w:type="dxa"/>
            <w:vAlign w:val="bottom"/>
            <w:shd w:val="clear" w:color="auto" w:fill="CE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rPr>
              <w:t>Application Software</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EF0FC"/>
            </w:tcBorders>
            <w:shd w:val="clear" w:color="auto" w:fill="CEF0FC"/>
          </w:tcPr>
          <w:p>
            <w:pPr>
              <w:spacing w:after="0"/>
              <w:rPr>
                <w:sz w:val="15"/>
                <w:szCs w:val="15"/>
                <w:color w:val="auto"/>
              </w:rPr>
            </w:pPr>
          </w:p>
        </w:tc>
        <w:tc>
          <w:tcPr>
            <w:tcW w:w="2220" w:type="dxa"/>
            <w:vAlign w:val="bottom"/>
            <w:tcBorders>
              <w:bottom w:val="single" w:sz="8" w:color="CEF0FC"/>
            </w:tcBorders>
            <w:gridSpan w:val="7"/>
            <w:shd w:val="clear" w:color="auto" w:fill="CEF0FC"/>
          </w:tcPr>
          <w:p>
            <w:pPr>
              <w:spacing w:after="0"/>
              <w:rPr>
                <w:sz w:val="20"/>
                <w:szCs w:val="20"/>
                <w:color w:val="auto"/>
              </w:rPr>
            </w:pPr>
            <w:r>
              <w:rPr>
                <w:rFonts w:ascii="Arial" w:cs="Arial" w:eastAsia="Arial" w:hAnsi="Arial"/>
                <w:sz w:val="14"/>
                <w:szCs w:val="14"/>
                <w:color w:val="auto"/>
              </w:rPr>
              <w:t>Coginiti Corp</w:t>
            </w:r>
          </w:p>
        </w:tc>
        <w:tc>
          <w:tcPr>
            <w:tcW w:w="140" w:type="dxa"/>
            <w:vAlign w:val="bottom"/>
            <w:tcBorders>
              <w:bottom w:val="single" w:sz="8" w:color="CEF0FC"/>
            </w:tcBorders>
            <w:shd w:val="clear" w:color="auto" w:fill="CEF0FC"/>
          </w:tcPr>
          <w:p>
            <w:pPr>
              <w:spacing w:after="0"/>
              <w:rPr>
                <w:sz w:val="15"/>
                <w:szCs w:val="15"/>
                <w:color w:val="auto"/>
              </w:rPr>
            </w:pPr>
          </w:p>
        </w:tc>
        <w:tc>
          <w:tcPr>
            <w:tcW w:w="2600" w:type="dxa"/>
            <w:vAlign w:val="bottom"/>
            <w:tcBorders>
              <w:bottom w:val="single" w:sz="8" w:color="CEF0FC"/>
            </w:tcBorders>
            <w:shd w:val="clear" w:color="auto" w:fill="CEF0FC"/>
          </w:tcPr>
          <w:p>
            <w:pPr>
              <w:ind w:left="20"/>
              <w:spacing w:after="0"/>
              <w:rPr>
                <w:sz w:val="20"/>
                <w:szCs w:val="20"/>
                <w:color w:val="auto"/>
              </w:rPr>
            </w:pPr>
            <w:r>
              <w:rPr>
                <w:rFonts w:ascii="Arial" w:cs="Arial" w:eastAsia="Arial" w:hAnsi="Arial"/>
                <w:sz w:val="14"/>
                <w:szCs w:val="14"/>
                <w:color w:val="auto"/>
              </w:rPr>
              <w:t>Common Stock</w:t>
            </w:r>
          </w:p>
        </w:tc>
        <w:tc>
          <w:tcPr>
            <w:tcW w:w="920" w:type="dxa"/>
            <w:vAlign w:val="bottom"/>
            <w:tcBorders>
              <w:bottom w:val="single" w:sz="8" w:color="CEF0FC"/>
            </w:tcBorders>
            <w:gridSpan w:val="2"/>
            <w:shd w:val="clear" w:color="auto" w:fill="CEF0FC"/>
          </w:tcPr>
          <w:p>
            <w:pPr>
              <w:jc w:val="center"/>
              <w:ind w:left="88"/>
              <w:spacing w:after="0"/>
              <w:rPr>
                <w:sz w:val="20"/>
                <w:szCs w:val="20"/>
                <w:color w:val="auto"/>
              </w:rPr>
            </w:pPr>
            <w:r>
              <w:rPr>
                <w:rFonts w:ascii="Arial" w:cs="Arial" w:eastAsia="Arial" w:hAnsi="Arial"/>
                <w:sz w:val="14"/>
                <w:szCs w:val="14"/>
                <w:color w:val="auto"/>
                <w:w w:val="95"/>
              </w:rPr>
              <w:t>3/9/2020</w:t>
            </w:r>
          </w:p>
        </w:tc>
        <w:tc>
          <w:tcPr>
            <w:tcW w:w="920" w:type="dxa"/>
            <w:vAlign w:val="bottom"/>
            <w:tcBorders>
              <w:bottom w:val="single" w:sz="8" w:color="CEF0FC"/>
            </w:tcBorders>
            <w:gridSpan w:val="2"/>
            <w:shd w:val="clear" w:color="auto" w:fill="CEF0FC"/>
          </w:tcPr>
          <w:p>
            <w:pPr>
              <w:jc w:val="right"/>
              <w:ind w:right="68"/>
              <w:spacing w:after="0"/>
              <w:rPr>
                <w:sz w:val="20"/>
                <w:szCs w:val="20"/>
                <w:color w:val="auto"/>
              </w:rPr>
            </w:pPr>
            <w:r>
              <w:rPr>
                <w:rFonts w:ascii="Arial" w:cs="Arial" w:eastAsia="Arial" w:hAnsi="Arial"/>
                <w:sz w:val="14"/>
                <w:szCs w:val="14"/>
                <w:color w:val="auto"/>
              </w:rPr>
              <w:t>3/9/2030</w:t>
            </w:r>
          </w:p>
        </w:tc>
        <w:tc>
          <w:tcPr>
            <w:tcW w:w="140" w:type="dxa"/>
            <w:vAlign w:val="bottom"/>
            <w:tcBorders>
              <w:bottom w:val="single" w:sz="8" w:color="CEF0FC"/>
            </w:tcBorders>
            <w:shd w:val="clear" w:color="auto" w:fill="CEF0FC"/>
          </w:tcPr>
          <w:p>
            <w:pPr>
              <w:spacing w:after="0"/>
              <w:rPr>
                <w:sz w:val="15"/>
                <w:szCs w:val="15"/>
                <w:color w:val="auto"/>
              </w:rPr>
            </w:pPr>
          </w:p>
        </w:tc>
        <w:tc>
          <w:tcPr>
            <w:tcW w:w="140" w:type="dxa"/>
            <w:vAlign w:val="bottom"/>
            <w:tcBorders>
              <w:bottom w:val="single" w:sz="8" w:color="CEF0FC"/>
            </w:tcBorders>
            <w:shd w:val="clear" w:color="auto" w:fill="CEF0FC"/>
          </w:tcPr>
          <w:p>
            <w:pPr>
              <w:spacing w:after="0"/>
              <w:rPr>
                <w:sz w:val="15"/>
                <w:szCs w:val="15"/>
                <w:color w:val="auto"/>
              </w:rPr>
            </w:pPr>
          </w:p>
        </w:tc>
        <w:tc>
          <w:tcPr>
            <w:tcW w:w="800" w:type="dxa"/>
            <w:vAlign w:val="bottom"/>
            <w:tcBorders>
              <w:bottom w:val="single" w:sz="8" w:color="CEF0FC"/>
            </w:tcBorders>
            <w:shd w:val="clear" w:color="auto" w:fill="CEF0FC"/>
          </w:tcPr>
          <w:p>
            <w:pPr>
              <w:jc w:val="right"/>
              <w:spacing w:after="0"/>
              <w:rPr>
                <w:sz w:val="20"/>
                <w:szCs w:val="20"/>
                <w:color w:val="auto"/>
              </w:rPr>
            </w:pPr>
            <w:r>
              <w:rPr>
                <w:rFonts w:ascii="Arial" w:cs="Arial" w:eastAsia="Arial" w:hAnsi="Arial"/>
                <w:sz w:val="14"/>
                <w:szCs w:val="14"/>
                <w:color w:val="auto"/>
              </w:rPr>
              <w:t>811,770</w:t>
            </w:r>
          </w:p>
        </w:tc>
        <w:tc>
          <w:tcPr>
            <w:tcW w:w="220" w:type="dxa"/>
            <w:vAlign w:val="bottom"/>
            <w:tcBorders>
              <w:bottom w:val="single" w:sz="8" w:color="CEF0FC"/>
            </w:tcBorders>
            <w:shd w:val="clear" w:color="auto" w:fill="CEF0FC"/>
          </w:tcPr>
          <w:p>
            <w:pPr>
              <w:spacing w:after="0"/>
              <w:rPr>
                <w:sz w:val="15"/>
                <w:szCs w:val="15"/>
                <w:color w:val="auto"/>
              </w:rPr>
            </w:pPr>
          </w:p>
        </w:tc>
        <w:tc>
          <w:tcPr>
            <w:tcW w:w="120" w:type="dxa"/>
            <w:vAlign w:val="bottom"/>
            <w:tcBorders>
              <w:bottom w:val="single" w:sz="8" w:color="auto"/>
            </w:tcBorders>
            <w:shd w:val="clear" w:color="auto" w:fill="CEF0FC"/>
          </w:tcPr>
          <w:p>
            <w:pPr>
              <w:spacing w:after="0"/>
              <w:rPr>
                <w:sz w:val="15"/>
                <w:szCs w:val="15"/>
                <w:color w:val="auto"/>
              </w:rPr>
            </w:pPr>
          </w:p>
        </w:tc>
        <w:tc>
          <w:tcPr>
            <w:tcW w:w="92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EF0FC"/>
            </w:tcBorders>
            <w:shd w:val="clear" w:color="auto" w:fill="CEF0FC"/>
          </w:tcPr>
          <w:p>
            <w:pPr>
              <w:spacing w:after="0"/>
              <w:rPr>
                <w:sz w:val="15"/>
                <w:szCs w:val="15"/>
                <w:color w:val="auto"/>
              </w:rPr>
            </w:pPr>
          </w:p>
        </w:tc>
        <w:tc>
          <w:tcPr>
            <w:tcW w:w="120" w:type="dxa"/>
            <w:vAlign w:val="bottom"/>
            <w:tcBorders>
              <w:bottom w:val="single" w:sz="8" w:color="auto"/>
              <w:right w:val="single" w:sz="8" w:color="CEF0FC"/>
            </w:tcBorders>
            <w:shd w:val="clear" w:color="auto" w:fill="CEF0FC"/>
          </w:tcPr>
          <w:p>
            <w:pPr>
              <w:spacing w:after="0"/>
              <w:rPr>
                <w:sz w:val="15"/>
                <w:szCs w:val="15"/>
                <w:color w:val="auto"/>
              </w:rPr>
            </w:pPr>
          </w:p>
        </w:tc>
        <w:tc>
          <w:tcPr>
            <w:tcW w:w="94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4"/>
                <w:szCs w:val="14"/>
                <w:color w:val="auto"/>
              </w:rPr>
              <w:t>1,027,312</w:t>
            </w:r>
          </w:p>
        </w:tc>
        <w:tc>
          <w:tcPr>
            <w:tcW w:w="780" w:type="dxa"/>
            <w:vAlign w:val="bottom"/>
            <w:tcBorders>
              <w:bottom w:val="single" w:sz="8" w:color="CEF0FC"/>
            </w:tcBorders>
            <w:gridSpan w:val="2"/>
            <w:shd w:val="clear" w:color="auto" w:fill="CEF0FC"/>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gridSpan w:val="7"/>
          </w:tcPr>
          <w:p>
            <w:pPr>
              <w:spacing w:after="0" w:line="133" w:lineRule="exact"/>
              <w:rPr>
                <w:sz w:val="20"/>
                <w:szCs w:val="20"/>
                <w:color w:val="auto"/>
              </w:rPr>
            </w:pPr>
            <w:r>
              <w:rPr>
                <w:rFonts w:ascii="Arial" w:cs="Arial" w:eastAsia="Arial" w:hAnsi="Arial"/>
                <w:sz w:val="14"/>
                <w:szCs w:val="14"/>
                <w:b w:val="1"/>
                <w:bCs w:val="1"/>
                <w:color w:val="auto"/>
              </w:rPr>
              <w:t>Total Application Software -</w:t>
            </w: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1,027,312</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0.18%*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EF0FC"/>
          </w:tcPr>
          <w:p>
            <w:pPr>
              <w:spacing w:after="0"/>
              <w:rPr>
                <w:sz w:val="14"/>
                <w:szCs w:val="14"/>
                <w:color w:val="auto"/>
              </w:rPr>
            </w:pPr>
          </w:p>
        </w:tc>
        <w:tc>
          <w:tcPr>
            <w:tcW w:w="1260" w:type="dxa"/>
            <w:vAlign w:val="bottom"/>
            <w:shd w:val="clear" w:color="auto" w:fill="CEF0FC"/>
          </w:tcPr>
          <w:p>
            <w:pPr>
              <w:spacing w:after="0"/>
              <w:rPr>
                <w:sz w:val="14"/>
                <w:szCs w:val="14"/>
                <w:color w:val="auto"/>
              </w:rPr>
            </w:pPr>
          </w:p>
        </w:tc>
        <w:tc>
          <w:tcPr>
            <w:tcW w:w="2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600" w:type="dxa"/>
            <w:vAlign w:val="bottom"/>
            <w:shd w:val="clear" w:color="auto" w:fill="CEF0FC"/>
          </w:tcPr>
          <w:p>
            <w:pPr>
              <w:spacing w:after="0"/>
              <w:rPr>
                <w:sz w:val="14"/>
                <w:szCs w:val="14"/>
                <w:color w:val="auto"/>
              </w:rPr>
            </w:pPr>
          </w:p>
        </w:tc>
        <w:tc>
          <w:tcPr>
            <w:tcW w:w="120" w:type="dxa"/>
            <w:vAlign w:val="bottom"/>
            <w:shd w:val="clear" w:color="auto" w:fill="CEF0FC"/>
          </w:tcPr>
          <w:p>
            <w:pPr>
              <w:spacing w:after="0"/>
              <w:rPr>
                <w:sz w:val="14"/>
                <w:szCs w:val="14"/>
                <w:color w:val="auto"/>
              </w:rPr>
            </w:pPr>
          </w:p>
        </w:tc>
        <w:tc>
          <w:tcPr>
            <w:tcW w:w="20" w:type="dxa"/>
            <w:vAlign w:val="bottom"/>
            <w:shd w:val="clear" w:color="auto" w:fill="CEF0FC"/>
          </w:tcPr>
          <w:p>
            <w:pPr>
              <w:spacing w:after="0"/>
              <w:rPr>
                <w:sz w:val="14"/>
                <w:szCs w:val="14"/>
                <w:color w:val="auto"/>
              </w:rPr>
            </w:pPr>
          </w:p>
        </w:tc>
        <w:tc>
          <w:tcPr>
            <w:tcW w:w="6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260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78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78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800" w:type="dxa"/>
            <w:vAlign w:val="bottom"/>
            <w:shd w:val="clear" w:color="auto" w:fill="CEF0FC"/>
          </w:tcPr>
          <w:p>
            <w:pPr>
              <w:spacing w:after="0"/>
              <w:rPr>
                <w:sz w:val="14"/>
                <w:szCs w:val="14"/>
                <w:color w:val="auto"/>
              </w:rPr>
            </w:pPr>
          </w:p>
        </w:tc>
        <w:tc>
          <w:tcPr>
            <w:tcW w:w="220" w:type="dxa"/>
            <w:vAlign w:val="bottom"/>
            <w:shd w:val="clear" w:color="auto" w:fill="CEF0FC"/>
          </w:tcPr>
          <w:p>
            <w:pPr>
              <w:spacing w:after="0"/>
              <w:rPr>
                <w:sz w:val="14"/>
                <w:szCs w:val="14"/>
                <w:color w:val="auto"/>
              </w:rPr>
            </w:pPr>
          </w:p>
        </w:tc>
        <w:tc>
          <w:tcPr>
            <w:tcW w:w="120" w:type="dxa"/>
            <w:vAlign w:val="bottom"/>
            <w:shd w:val="clear" w:color="auto" w:fill="CEF0FC"/>
          </w:tcPr>
          <w:p>
            <w:pPr>
              <w:spacing w:after="0"/>
              <w:rPr>
                <w:sz w:val="14"/>
                <w:szCs w:val="14"/>
                <w:color w:val="auto"/>
              </w:rPr>
            </w:pPr>
          </w:p>
        </w:tc>
        <w:tc>
          <w:tcPr>
            <w:tcW w:w="920" w:type="dxa"/>
            <w:vAlign w:val="bottom"/>
            <w:shd w:val="clear" w:color="auto" w:fill="CEF0FC"/>
          </w:tcPr>
          <w:p>
            <w:pPr>
              <w:spacing w:after="0"/>
              <w:rPr>
                <w:sz w:val="14"/>
                <w:szCs w:val="14"/>
                <w:color w:val="auto"/>
              </w:rPr>
            </w:pPr>
          </w:p>
        </w:tc>
        <w:tc>
          <w:tcPr>
            <w:tcW w:w="240" w:type="dxa"/>
            <w:vAlign w:val="bottom"/>
            <w:shd w:val="clear" w:color="auto" w:fill="CEF0FC"/>
          </w:tcPr>
          <w:p>
            <w:pPr>
              <w:spacing w:after="0"/>
              <w:rPr>
                <w:sz w:val="14"/>
                <w:szCs w:val="14"/>
                <w:color w:val="auto"/>
              </w:rPr>
            </w:pPr>
          </w:p>
        </w:tc>
        <w:tc>
          <w:tcPr>
            <w:tcW w:w="120" w:type="dxa"/>
            <w:vAlign w:val="bottom"/>
            <w:tcBorders>
              <w:right w:val="single" w:sz="8" w:color="CEF0FC"/>
            </w:tcBorders>
            <w:shd w:val="clear" w:color="auto" w:fill="CEF0FC"/>
          </w:tcPr>
          <w:p>
            <w:pPr>
              <w:spacing w:after="0"/>
              <w:rPr>
                <w:sz w:val="14"/>
                <w:szCs w:val="14"/>
                <w:color w:val="auto"/>
              </w:rPr>
            </w:pPr>
          </w:p>
        </w:tc>
        <w:tc>
          <w:tcPr>
            <w:tcW w:w="940" w:type="dxa"/>
            <w:vAlign w:val="bottom"/>
            <w:shd w:val="clear" w:color="auto" w:fill="CEF0FC"/>
          </w:tcPr>
          <w:p>
            <w:pPr>
              <w:spacing w:after="0"/>
              <w:rPr>
                <w:sz w:val="14"/>
                <w:szCs w:val="14"/>
                <w:color w:val="auto"/>
              </w:rPr>
            </w:pPr>
          </w:p>
        </w:tc>
        <w:tc>
          <w:tcPr>
            <w:tcW w:w="220" w:type="dxa"/>
            <w:vAlign w:val="bottom"/>
            <w:shd w:val="clear" w:color="auto" w:fill="CEF0FC"/>
          </w:tcPr>
          <w:p>
            <w:pPr>
              <w:spacing w:after="0"/>
              <w:rPr>
                <w:sz w:val="14"/>
                <w:szCs w:val="14"/>
                <w:color w:val="auto"/>
              </w:rPr>
            </w:pPr>
          </w:p>
        </w:tc>
        <w:tc>
          <w:tcPr>
            <w:tcW w:w="560" w:type="dxa"/>
            <w:vAlign w:val="bottom"/>
            <w:shd w:val="clear" w:color="auto" w:fill="CE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rPr>
              <w:t>Total Warrants - 0.18%*</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1,027,312</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20" w:type="dxa"/>
            <w:vAlign w:val="bottom"/>
            <w:shd w:val="clear" w:color="auto" w:fill="CEF0FC"/>
          </w:tcPr>
          <w:p>
            <w:pPr>
              <w:spacing w:after="0"/>
              <w:rPr>
                <w:sz w:val="14"/>
                <w:szCs w:val="14"/>
                <w:color w:val="auto"/>
              </w:rPr>
            </w:pPr>
          </w:p>
        </w:tc>
        <w:tc>
          <w:tcPr>
            <w:tcW w:w="2220" w:type="dxa"/>
            <w:vAlign w:val="bottom"/>
            <w:gridSpan w:val="7"/>
            <w:shd w:val="clear" w:color="auto" w:fill="CEF0FC"/>
          </w:tcPr>
          <w:p>
            <w:pPr>
              <w:spacing w:after="0" w:line="155" w:lineRule="exact"/>
              <w:rPr>
                <w:sz w:val="20"/>
                <w:szCs w:val="20"/>
                <w:color w:val="auto"/>
              </w:rPr>
            </w:pPr>
            <w:r>
              <w:rPr>
                <w:rFonts w:ascii="Arial" w:cs="Arial" w:eastAsia="Arial" w:hAnsi="Arial"/>
                <w:sz w:val="14"/>
                <w:szCs w:val="14"/>
                <w:b w:val="1"/>
                <w:bCs w:val="1"/>
                <w:color w:val="auto"/>
                <w:w w:val="96"/>
              </w:rPr>
              <w:t>Total Affiliate Investments (0.41%)</w:t>
            </w:r>
          </w:p>
        </w:tc>
        <w:tc>
          <w:tcPr>
            <w:tcW w:w="140" w:type="dxa"/>
            <w:vAlign w:val="bottom"/>
            <w:shd w:val="clear" w:color="auto" w:fill="CEF0FC"/>
          </w:tcPr>
          <w:p>
            <w:pPr>
              <w:spacing w:after="0"/>
              <w:rPr>
                <w:sz w:val="14"/>
                <w:szCs w:val="14"/>
                <w:color w:val="auto"/>
              </w:rPr>
            </w:pPr>
          </w:p>
        </w:tc>
        <w:tc>
          <w:tcPr>
            <w:tcW w:w="260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78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78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800" w:type="dxa"/>
            <w:vAlign w:val="bottom"/>
            <w:shd w:val="clear" w:color="auto" w:fill="CEF0FC"/>
          </w:tcPr>
          <w:p>
            <w:pPr>
              <w:spacing w:after="0"/>
              <w:rPr>
                <w:sz w:val="14"/>
                <w:szCs w:val="14"/>
                <w:color w:val="auto"/>
              </w:rPr>
            </w:pPr>
          </w:p>
        </w:tc>
        <w:tc>
          <w:tcPr>
            <w:tcW w:w="220" w:type="dxa"/>
            <w:vAlign w:val="bottom"/>
            <w:shd w:val="clear" w:color="auto" w:fill="CEF0FC"/>
          </w:tcPr>
          <w:p>
            <w:pPr>
              <w:spacing w:after="0"/>
              <w:rPr>
                <w:sz w:val="14"/>
                <w:szCs w:val="14"/>
                <w:color w:val="auto"/>
              </w:rPr>
            </w:pPr>
          </w:p>
        </w:tc>
        <w:tc>
          <w:tcPr>
            <w:tcW w:w="120" w:type="dxa"/>
            <w:vAlign w:val="bottom"/>
            <w:shd w:val="clear" w:color="auto" w:fill="CEF0FC"/>
          </w:tcPr>
          <w:p>
            <w:pPr>
              <w:spacing w:after="0"/>
              <w:rPr>
                <w:sz w:val="14"/>
                <w:szCs w:val="14"/>
                <w:color w:val="auto"/>
              </w:rPr>
            </w:pPr>
          </w:p>
        </w:tc>
        <w:tc>
          <w:tcPr>
            <w:tcW w:w="920" w:type="dxa"/>
            <w:vAlign w:val="bottom"/>
            <w:shd w:val="clear" w:color="auto" w:fill="CEF0FC"/>
          </w:tcPr>
          <w:p>
            <w:pPr>
              <w:jc w:val="right"/>
              <w:spacing w:after="0" w:line="155" w:lineRule="exact"/>
              <w:rPr>
                <w:sz w:val="20"/>
                <w:szCs w:val="20"/>
                <w:color w:val="auto"/>
              </w:rPr>
            </w:pPr>
            <w:r>
              <w:rPr>
                <w:rFonts w:ascii="Arial" w:cs="Arial" w:eastAsia="Arial" w:hAnsi="Arial"/>
                <w:sz w:val="14"/>
                <w:szCs w:val="14"/>
                <w:color w:val="auto"/>
              </w:rPr>
              <w:t>4,551,235</w:t>
            </w:r>
          </w:p>
        </w:tc>
        <w:tc>
          <w:tcPr>
            <w:tcW w:w="240" w:type="dxa"/>
            <w:vAlign w:val="bottom"/>
            <w:shd w:val="clear" w:color="auto" w:fill="CEF0FC"/>
          </w:tcPr>
          <w:p>
            <w:pPr>
              <w:spacing w:after="0"/>
              <w:rPr>
                <w:sz w:val="14"/>
                <w:szCs w:val="14"/>
                <w:color w:val="auto"/>
              </w:rPr>
            </w:pPr>
          </w:p>
        </w:tc>
        <w:tc>
          <w:tcPr>
            <w:tcW w:w="120" w:type="dxa"/>
            <w:vAlign w:val="bottom"/>
            <w:tcBorders>
              <w:right w:val="single" w:sz="8" w:color="CEF0FC"/>
            </w:tcBorders>
            <w:shd w:val="clear" w:color="auto" w:fill="CEF0FC"/>
          </w:tcPr>
          <w:p>
            <w:pPr>
              <w:spacing w:after="0"/>
              <w:rPr>
                <w:sz w:val="14"/>
                <w:szCs w:val="14"/>
                <w:color w:val="auto"/>
              </w:rPr>
            </w:pPr>
          </w:p>
        </w:tc>
        <w:tc>
          <w:tcPr>
            <w:tcW w:w="940" w:type="dxa"/>
            <w:vAlign w:val="bottom"/>
            <w:shd w:val="clear" w:color="auto" w:fill="CEF0FC"/>
          </w:tcPr>
          <w:p>
            <w:pPr>
              <w:jc w:val="right"/>
              <w:spacing w:after="0" w:line="155" w:lineRule="exact"/>
              <w:rPr>
                <w:sz w:val="20"/>
                <w:szCs w:val="20"/>
                <w:color w:val="auto"/>
              </w:rPr>
            </w:pPr>
            <w:r>
              <w:rPr>
                <w:rFonts w:ascii="Arial" w:cs="Arial" w:eastAsia="Arial" w:hAnsi="Arial"/>
                <w:sz w:val="14"/>
                <w:szCs w:val="14"/>
                <w:color w:val="auto"/>
              </w:rPr>
              <w:t>2,352,019</w:t>
            </w:r>
          </w:p>
        </w:tc>
        <w:tc>
          <w:tcPr>
            <w:tcW w:w="220" w:type="dxa"/>
            <w:vAlign w:val="bottom"/>
            <w:shd w:val="clear" w:color="auto" w:fill="CEF0FC"/>
          </w:tcPr>
          <w:p>
            <w:pPr>
              <w:spacing w:after="0"/>
              <w:rPr>
                <w:sz w:val="14"/>
                <w:szCs w:val="14"/>
                <w:color w:val="auto"/>
              </w:rPr>
            </w:pPr>
          </w:p>
        </w:tc>
        <w:tc>
          <w:tcPr>
            <w:tcW w:w="560" w:type="dxa"/>
            <w:vAlign w:val="bottom"/>
            <w:shd w:val="clear" w:color="auto" w:fill="CE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Borders>
              <w:top w:val="single" w:sz="8" w:color="CEF0FC"/>
            </w:tcBorders>
          </w:tcPr>
          <w:p>
            <w:pPr>
              <w:spacing w:after="0"/>
              <w:rPr>
                <w:sz w:val="13"/>
                <w:szCs w:val="13"/>
                <w:color w:val="auto"/>
              </w:rPr>
            </w:pPr>
          </w:p>
        </w:tc>
        <w:tc>
          <w:tcPr>
            <w:tcW w:w="126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1"/>
              </w:rPr>
              <w:t>Control Investments</w:t>
            </w:r>
          </w:p>
        </w:tc>
        <w:tc>
          <w:tcPr>
            <w:tcW w:w="900" w:type="dxa"/>
            <w:vAlign w:val="bottom"/>
            <w:tcBorders>
              <w:top w:val="single" w:sz="8" w:color="auto"/>
            </w:tcBorders>
            <w:gridSpan w:val="5"/>
          </w:tcPr>
          <w:p>
            <w:pPr>
              <w:spacing w:after="0"/>
              <w:rPr>
                <w:sz w:val="13"/>
                <w:szCs w:val="13"/>
                <w:color w:val="auto"/>
              </w:rPr>
            </w:pPr>
          </w:p>
        </w:tc>
        <w:tc>
          <w:tcPr>
            <w:tcW w:w="60" w:type="dxa"/>
            <w:vAlign w:val="bottom"/>
            <w:tcBorders>
              <w:top w:val="single" w:sz="8" w:color="CEF0FC"/>
            </w:tcBorders>
          </w:tcPr>
          <w:p>
            <w:pPr>
              <w:spacing w:after="0"/>
              <w:rPr>
                <w:sz w:val="13"/>
                <w:szCs w:val="13"/>
                <w:color w:val="auto"/>
              </w:rPr>
            </w:pPr>
          </w:p>
        </w:tc>
        <w:tc>
          <w:tcPr>
            <w:tcW w:w="140" w:type="dxa"/>
            <w:vAlign w:val="bottom"/>
            <w:tcBorders>
              <w:top w:val="single" w:sz="8" w:color="CEF0FC"/>
            </w:tcBorders>
          </w:tcPr>
          <w:p>
            <w:pPr>
              <w:spacing w:after="0"/>
              <w:rPr>
                <w:sz w:val="13"/>
                <w:szCs w:val="13"/>
                <w:color w:val="auto"/>
              </w:rPr>
            </w:pPr>
          </w:p>
        </w:tc>
        <w:tc>
          <w:tcPr>
            <w:tcW w:w="2600" w:type="dxa"/>
            <w:vAlign w:val="bottom"/>
            <w:tcBorders>
              <w:top w:val="single" w:sz="8" w:color="CEF0FC"/>
            </w:tcBorders>
          </w:tcPr>
          <w:p>
            <w:pPr>
              <w:spacing w:after="0"/>
              <w:rPr>
                <w:sz w:val="13"/>
                <w:szCs w:val="13"/>
                <w:color w:val="auto"/>
              </w:rPr>
            </w:pPr>
          </w:p>
        </w:tc>
        <w:tc>
          <w:tcPr>
            <w:tcW w:w="140" w:type="dxa"/>
            <w:vAlign w:val="bottom"/>
            <w:tcBorders>
              <w:top w:val="single" w:sz="8" w:color="CEF0FC"/>
            </w:tcBorders>
          </w:tcPr>
          <w:p>
            <w:pPr>
              <w:spacing w:after="0"/>
              <w:rPr>
                <w:sz w:val="13"/>
                <w:szCs w:val="13"/>
                <w:color w:val="auto"/>
              </w:rPr>
            </w:pPr>
          </w:p>
        </w:tc>
        <w:tc>
          <w:tcPr>
            <w:tcW w:w="780" w:type="dxa"/>
            <w:vAlign w:val="bottom"/>
            <w:tcBorders>
              <w:top w:val="single" w:sz="8" w:color="CEF0FC"/>
            </w:tcBorders>
          </w:tcPr>
          <w:p>
            <w:pPr>
              <w:spacing w:after="0"/>
              <w:rPr>
                <w:sz w:val="13"/>
                <w:szCs w:val="13"/>
                <w:color w:val="auto"/>
              </w:rPr>
            </w:pPr>
          </w:p>
        </w:tc>
        <w:tc>
          <w:tcPr>
            <w:tcW w:w="140" w:type="dxa"/>
            <w:vAlign w:val="bottom"/>
            <w:tcBorders>
              <w:top w:val="single" w:sz="8" w:color="CEF0FC"/>
            </w:tcBorders>
          </w:tcPr>
          <w:p>
            <w:pPr>
              <w:spacing w:after="0"/>
              <w:rPr>
                <w:sz w:val="13"/>
                <w:szCs w:val="13"/>
                <w:color w:val="auto"/>
              </w:rPr>
            </w:pPr>
          </w:p>
        </w:tc>
        <w:tc>
          <w:tcPr>
            <w:tcW w:w="780" w:type="dxa"/>
            <w:vAlign w:val="bottom"/>
            <w:tcBorders>
              <w:top w:val="single" w:sz="8" w:color="CEF0FC"/>
            </w:tcBorders>
          </w:tcPr>
          <w:p>
            <w:pPr>
              <w:spacing w:after="0"/>
              <w:rPr>
                <w:sz w:val="13"/>
                <w:szCs w:val="13"/>
                <w:color w:val="auto"/>
              </w:rPr>
            </w:pPr>
          </w:p>
        </w:tc>
        <w:tc>
          <w:tcPr>
            <w:tcW w:w="140" w:type="dxa"/>
            <w:vAlign w:val="bottom"/>
            <w:tcBorders>
              <w:top w:val="single" w:sz="8" w:color="CEF0FC"/>
            </w:tcBorders>
          </w:tcPr>
          <w:p>
            <w:pPr>
              <w:spacing w:after="0"/>
              <w:rPr>
                <w:sz w:val="13"/>
                <w:szCs w:val="13"/>
                <w:color w:val="auto"/>
              </w:rPr>
            </w:pPr>
          </w:p>
        </w:tc>
        <w:tc>
          <w:tcPr>
            <w:tcW w:w="140" w:type="dxa"/>
            <w:vAlign w:val="bottom"/>
            <w:tcBorders>
              <w:top w:val="single" w:sz="8" w:color="CEF0FC"/>
            </w:tcBorders>
          </w:tcPr>
          <w:p>
            <w:pPr>
              <w:spacing w:after="0"/>
              <w:rPr>
                <w:sz w:val="13"/>
                <w:szCs w:val="13"/>
                <w:color w:val="auto"/>
              </w:rPr>
            </w:pPr>
          </w:p>
        </w:tc>
        <w:tc>
          <w:tcPr>
            <w:tcW w:w="800" w:type="dxa"/>
            <w:vAlign w:val="bottom"/>
            <w:tcBorders>
              <w:top w:val="single" w:sz="8" w:color="CEF0FC"/>
            </w:tcBorders>
          </w:tcPr>
          <w:p>
            <w:pPr>
              <w:spacing w:after="0"/>
              <w:rPr>
                <w:sz w:val="13"/>
                <w:szCs w:val="13"/>
                <w:color w:val="auto"/>
              </w:rPr>
            </w:pPr>
          </w:p>
        </w:tc>
        <w:tc>
          <w:tcPr>
            <w:tcW w:w="220" w:type="dxa"/>
            <w:vAlign w:val="bottom"/>
            <w:tcBorders>
              <w:top w:val="single" w:sz="8" w:color="CE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CE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780" w:type="dxa"/>
            <w:vAlign w:val="bottom"/>
            <w:tcBorders>
              <w:top w:val="single" w:sz="8" w:color="CEF0FC"/>
            </w:tcBorders>
            <w:gridSpan w:val="2"/>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76"/>
        </w:trPr>
        <w:tc>
          <w:tcPr>
            <w:tcW w:w="20" w:type="dxa"/>
            <w:vAlign w:val="bottom"/>
            <w:shd w:val="clear" w:color="auto" w:fill="CEF0FC"/>
          </w:tcPr>
          <w:p>
            <w:pPr>
              <w:spacing w:after="0"/>
              <w:rPr>
                <w:sz w:val="15"/>
                <w:szCs w:val="15"/>
                <w:color w:val="auto"/>
              </w:rPr>
            </w:pPr>
          </w:p>
        </w:tc>
        <w:tc>
          <w:tcPr>
            <w:tcW w:w="2220" w:type="dxa"/>
            <w:vAlign w:val="bottom"/>
            <w:gridSpan w:val="7"/>
            <w:shd w:val="clear" w:color="auto" w:fill="CEF0FC"/>
          </w:tcPr>
          <w:p>
            <w:pPr>
              <w:spacing w:after="0"/>
              <w:rPr>
                <w:sz w:val="20"/>
                <w:szCs w:val="20"/>
                <w:color w:val="auto"/>
              </w:rPr>
            </w:pPr>
            <w:r>
              <w:rPr>
                <w:rFonts w:ascii="Arial" w:cs="Arial" w:eastAsia="Arial" w:hAnsi="Arial"/>
                <w:sz w:val="14"/>
                <w:szCs w:val="14"/>
                <w:b w:val="1"/>
                <w:bCs w:val="1"/>
                <w:color w:val="auto"/>
              </w:rPr>
              <w:t>Senior Secured Term Loans</w:t>
            </w:r>
          </w:p>
        </w:tc>
        <w:tc>
          <w:tcPr>
            <w:tcW w:w="140" w:type="dxa"/>
            <w:vAlign w:val="bottom"/>
            <w:shd w:val="clear" w:color="auto" w:fill="CEF0FC"/>
          </w:tcPr>
          <w:p>
            <w:pPr>
              <w:spacing w:after="0"/>
              <w:rPr>
                <w:sz w:val="15"/>
                <w:szCs w:val="15"/>
                <w:color w:val="auto"/>
              </w:rPr>
            </w:pPr>
          </w:p>
        </w:tc>
        <w:tc>
          <w:tcPr>
            <w:tcW w:w="260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78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78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140" w:type="dxa"/>
            <w:vAlign w:val="bottom"/>
            <w:shd w:val="clear" w:color="auto" w:fill="CEF0FC"/>
          </w:tcPr>
          <w:p>
            <w:pPr>
              <w:spacing w:after="0"/>
              <w:rPr>
                <w:sz w:val="15"/>
                <w:szCs w:val="15"/>
                <w:color w:val="auto"/>
              </w:rPr>
            </w:pPr>
          </w:p>
        </w:tc>
        <w:tc>
          <w:tcPr>
            <w:tcW w:w="800" w:type="dxa"/>
            <w:vAlign w:val="bottom"/>
            <w:shd w:val="clear" w:color="auto" w:fill="CEF0FC"/>
          </w:tcPr>
          <w:p>
            <w:pPr>
              <w:spacing w:after="0"/>
              <w:rPr>
                <w:sz w:val="15"/>
                <w:szCs w:val="15"/>
                <w:color w:val="auto"/>
              </w:rPr>
            </w:pPr>
          </w:p>
        </w:tc>
        <w:tc>
          <w:tcPr>
            <w:tcW w:w="220" w:type="dxa"/>
            <w:vAlign w:val="bottom"/>
            <w:shd w:val="clear" w:color="auto" w:fill="CEF0FC"/>
          </w:tcPr>
          <w:p>
            <w:pPr>
              <w:spacing w:after="0"/>
              <w:rPr>
                <w:sz w:val="15"/>
                <w:szCs w:val="15"/>
                <w:color w:val="auto"/>
              </w:rPr>
            </w:pPr>
          </w:p>
        </w:tc>
        <w:tc>
          <w:tcPr>
            <w:tcW w:w="120" w:type="dxa"/>
            <w:vAlign w:val="bottom"/>
            <w:shd w:val="clear" w:color="auto" w:fill="CEF0FC"/>
          </w:tcPr>
          <w:p>
            <w:pPr>
              <w:spacing w:after="0"/>
              <w:rPr>
                <w:sz w:val="15"/>
                <w:szCs w:val="15"/>
                <w:color w:val="auto"/>
              </w:rPr>
            </w:pPr>
          </w:p>
        </w:tc>
        <w:tc>
          <w:tcPr>
            <w:tcW w:w="920" w:type="dxa"/>
            <w:vAlign w:val="bottom"/>
            <w:shd w:val="clear" w:color="auto" w:fill="CEF0FC"/>
          </w:tcPr>
          <w:p>
            <w:pPr>
              <w:spacing w:after="0"/>
              <w:rPr>
                <w:sz w:val="15"/>
                <w:szCs w:val="15"/>
                <w:color w:val="auto"/>
              </w:rPr>
            </w:pPr>
          </w:p>
        </w:tc>
        <w:tc>
          <w:tcPr>
            <w:tcW w:w="240" w:type="dxa"/>
            <w:vAlign w:val="bottom"/>
            <w:shd w:val="clear" w:color="auto" w:fill="CEF0FC"/>
          </w:tcPr>
          <w:p>
            <w:pPr>
              <w:spacing w:after="0"/>
              <w:rPr>
                <w:sz w:val="15"/>
                <w:szCs w:val="15"/>
                <w:color w:val="auto"/>
              </w:rPr>
            </w:pPr>
          </w:p>
        </w:tc>
        <w:tc>
          <w:tcPr>
            <w:tcW w:w="120" w:type="dxa"/>
            <w:vAlign w:val="bottom"/>
            <w:tcBorders>
              <w:right w:val="single" w:sz="8" w:color="CEF0FC"/>
            </w:tcBorders>
            <w:shd w:val="clear" w:color="auto" w:fill="CEF0FC"/>
          </w:tcPr>
          <w:p>
            <w:pPr>
              <w:spacing w:after="0"/>
              <w:rPr>
                <w:sz w:val="15"/>
                <w:szCs w:val="15"/>
                <w:color w:val="auto"/>
              </w:rPr>
            </w:pPr>
          </w:p>
        </w:tc>
        <w:tc>
          <w:tcPr>
            <w:tcW w:w="940" w:type="dxa"/>
            <w:vAlign w:val="bottom"/>
            <w:shd w:val="clear" w:color="auto" w:fill="CEF0FC"/>
          </w:tcPr>
          <w:p>
            <w:pPr>
              <w:spacing w:after="0"/>
              <w:rPr>
                <w:sz w:val="15"/>
                <w:szCs w:val="15"/>
                <w:color w:val="auto"/>
              </w:rPr>
            </w:pPr>
          </w:p>
        </w:tc>
        <w:tc>
          <w:tcPr>
            <w:tcW w:w="220" w:type="dxa"/>
            <w:vAlign w:val="bottom"/>
            <w:shd w:val="clear" w:color="auto" w:fill="CEF0FC"/>
          </w:tcPr>
          <w:p>
            <w:pPr>
              <w:spacing w:after="0"/>
              <w:rPr>
                <w:sz w:val="15"/>
                <w:szCs w:val="15"/>
                <w:color w:val="auto"/>
              </w:rPr>
            </w:pPr>
          </w:p>
        </w:tc>
        <w:tc>
          <w:tcPr>
            <w:tcW w:w="560" w:type="dxa"/>
            <w:vAlign w:val="bottom"/>
            <w:shd w:val="clear" w:color="auto" w:fill="CE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20" w:type="dxa"/>
            <w:vAlign w:val="bottom"/>
            <w:gridSpan w:val="7"/>
          </w:tcPr>
          <w:p>
            <w:pPr>
              <w:spacing w:after="0" w:line="139" w:lineRule="exact"/>
              <w:rPr>
                <w:sz w:val="20"/>
                <w:szCs w:val="20"/>
                <w:color w:val="auto"/>
              </w:rPr>
            </w:pPr>
            <w:r>
              <w:rPr>
                <w:rFonts w:ascii="Arial" w:cs="Arial" w:eastAsia="Arial" w:hAnsi="Arial"/>
                <w:sz w:val="14"/>
                <w:szCs w:val="14"/>
                <w:b w:val="1"/>
                <w:bCs w:val="1"/>
                <w:color w:val="auto"/>
              </w:rPr>
              <w:t>Data Processing &amp; Outsourced</w:t>
            </w: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rPr>
              <w:t>Services</w:t>
            </w:r>
          </w:p>
        </w:tc>
        <w:tc>
          <w:tcPr>
            <w:tcW w:w="1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shd w:val="clear" w:color="auto" w:fill="CEF0FC"/>
          </w:tcPr>
          <w:p>
            <w:pPr>
              <w:spacing w:after="0"/>
              <w:rPr>
                <w:sz w:val="12"/>
                <w:szCs w:val="12"/>
                <w:color w:val="auto"/>
              </w:rPr>
            </w:pPr>
          </w:p>
        </w:tc>
        <w:tc>
          <w:tcPr>
            <w:tcW w:w="1260" w:type="dxa"/>
            <w:vAlign w:val="bottom"/>
            <w:shd w:val="clear" w:color="auto" w:fill="CEF0FC"/>
          </w:tcPr>
          <w:p>
            <w:pPr>
              <w:spacing w:after="0"/>
              <w:rPr>
                <w:sz w:val="12"/>
                <w:szCs w:val="12"/>
                <w:color w:val="auto"/>
              </w:rPr>
            </w:pPr>
          </w:p>
        </w:tc>
        <w:tc>
          <w:tcPr>
            <w:tcW w:w="2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600" w:type="dxa"/>
            <w:vAlign w:val="bottom"/>
            <w:shd w:val="clear" w:color="auto" w:fill="CEF0FC"/>
          </w:tcPr>
          <w:p>
            <w:pPr>
              <w:spacing w:after="0"/>
              <w:rPr>
                <w:sz w:val="12"/>
                <w:szCs w:val="12"/>
                <w:color w:val="auto"/>
              </w:rPr>
            </w:pPr>
          </w:p>
        </w:tc>
        <w:tc>
          <w:tcPr>
            <w:tcW w:w="120" w:type="dxa"/>
            <w:vAlign w:val="bottom"/>
            <w:shd w:val="clear" w:color="auto" w:fill="CEF0FC"/>
          </w:tcPr>
          <w:p>
            <w:pPr>
              <w:spacing w:after="0"/>
              <w:rPr>
                <w:sz w:val="12"/>
                <w:szCs w:val="12"/>
                <w:color w:val="auto"/>
              </w:rPr>
            </w:pPr>
          </w:p>
        </w:tc>
        <w:tc>
          <w:tcPr>
            <w:tcW w:w="20" w:type="dxa"/>
            <w:vAlign w:val="bottom"/>
            <w:shd w:val="clear" w:color="auto" w:fill="CEF0FC"/>
          </w:tcPr>
          <w:p>
            <w:pPr>
              <w:spacing w:after="0"/>
              <w:rPr>
                <w:sz w:val="12"/>
                <w:szCs w:val="12"/>
                <w:color w:val="auto"/>
              </w:rPr>
            </w:pPr>
          </w:p>
        </w:tc>
        <w:tc>
          <w:tcPr>
            <w:tcW w:w="6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2600" w:type="dxa"/>
            <w:vAlign w:val="bottom"/>
            <w:shd w:val="clear" w:color="auto" w:fill="CEF0FC"/>
          </w:tcPr>
          <w:p>
            <w:pPr>
              <w:ind w:left="20"/>
              <w:spacing w:after="0" w:line="143" w:lineRule="exact"/>
              <w:rPr>
                <w:sz w:val="20"/>
                <w:szCs w:val="20"/>
                <w:color w:val="auto"/>
              </w:rPr>
            </w:pPr>
            <w:r>
              <w:rPr>
                <w:rFonts w:ascii="Arial" w:cs="Arial" w:eastAsia="Arial" w:hAnsi="Arial"/>
                <w:sz w:val="14"/>
                <w:szCs w:val="14"/>
                <w:color w:val="auto"/>
              </w:rPr>
              <w:t>LIBOR+8.50% PIK, 11.00% floor, 4.00%</w:t>
            </w:r>
          </w:p>
        </w:tc>
        <w:tc>
          <w:tcPr>
            <w:tcW w:w="140" w:type="dxa"/>
            <w:vAlign w:val="bottom"/>
            <w:shd w:val="clear" w:color="auto" w:fill="CEF0FC"/>
          </w:tcPr>
          <w:p>
            <w:pPr>
              <w:spacing w:after="0"/>
              <w:rPr>
                <w:sz w:val="12"/>
                <w:szCs w:val="12"/>
                <w:color w:val="auto"/>
              </w:rPr>
            </w:pPr>
          </w:p>
        </w:tc>
        <w:tc>
          <w:tcPr>
            <w:tcW w:w="78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78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220" w:type="dxa"/>
            <w:vAlign w:val="bottom"/>
            <w:shd w:val="clear" w:color="auto" w:fill="CE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EF0FC"/>
          </w:tcPr>
          <w:p>
            <w:pPr>
              <w:jc w:val="right"/>
              <w:spacing w:after="0"/>
              <w:rPr>
                <w:sz w:val="20"/>
                <w:szCs w:val="20"/>
                <w:color w:val="auto"/>
              </w:rPr>
            </w:pPr>
            <w:r>
              <w:rPr>
                <w:rFonts w:ascii="Arial" w:cs="Arial" w:eastAsia="Arial" w:hAnsi="Arial"/>
                <w:sz w:val="14"/>
                <w:szCs w:val="14"/>
                <w:color w:val="auto"/>
              </w:rPr>
              <w:t>19,172,353</w:t>
            </w:r>
          </w:p>
        </w:tc>
        <w:tc>
          <w:tcPr>
            <w:tcW w:w="240" w:type="dxa"/>
            <w:vAlign w:val="bottom"/>
            <w:shd w:val="clear" w:color="auto" w:fill="CEF0FC"/>
          </w:tcPr>
          <w:p>
            <w:pPr>
              <w:spacing w:after="0"/>
              <w:rPr>
                <w:sz w:val="12"/>
                <w:szCs w:val="12"/>
                <w:color w:val="auto"/>
              </w:rPr>
            </w:pPr>
          </w:p>
        </w:tc>
        <w:tc>
          <w:tcPr>
            <w:tcW w:w="1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vMerge w:val="restart"/>
            <w:shd w:val="clear" w:color="auto" w:fill="CEF0FC"/>
          </w:tcPr>
          <w:p>
            <w:pPr>
              <w:jc w:val="right"/>
              <w:spacing w:after="0"/>
              <w:rPr>
                <w:sz w:val="20"/>
                <w:szCs w:val="20"/>
                <w:color w:val="auto"/>
              </w:rPr>
            </w:pPr>
            <w:r>
              <w:rPr>
                <w:rFonts w:ascii="Arial" w:cs="Arial" w:eastAsia="Arial" w:hAnsi="Arial"/>
                <w:sz w:val="14"/>
                <w:szCs w:val="14"/>
                <w:color w:val="auto"/>
              </w:rPr>
              <w:t>5,521,301</w:t>
            </w:r>
          </w:p>
        </w:tc>
        <w:tc>
          <w:tcPr>
            <w:tcW w:w="220" w:type="dxa"/>
            <w:vAlign w:val="bottom"/>
            <w:shd w:val="clear" w:color="auto" w:fill="CEF0FC"/>
          </w:tcPr>
          <w:p>
            <w:pPr>
              <w:spacing w:after="0"/>
              <w:rPr>
                <w:sz w:val="12"/>
                <w:szCs w:val="12"/>
                <w:color w:val="auto"/>
              </w:rPr>
            </w:pPr>
          </w:p>
        </w:tc>
        <w:tc>
          <w:tcPr>
            <w:tcW w:w="560" w:type="dxa"/>
            <w:vAlign w:val="bottom"/>
            <w:shd w:val="clear" w:color="auto" w:fill="CE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Borders>
              <w:bottom w:val="single" w:sz="8" w:color="CEF0FC"/>
            </w:tcBorders>
            <w:shd w:val="clear" w:color="auto" w:fill="CEF0FC"/>
          </w:tcPr>
          <w:p>
            <w:pPr>
              <w:spacing w:after="0"/>
              <w:rPr>
                <w:sz w:val="14"/>
                <w:szCs w:val="14"/>
                <w:color w:val="auto"/>
              </w:rPr>
            </w:pPr>
          </w:p>
        </w:tc>
        <w:tc>
          <w:tcPr>
            <w:tcW w:w="2220" w:type="dxa"/>
            <w:vAlign w:val="bottom"/>
            <w:tcBorders>
              <w:bottom w:val="single" w:sz="8" w:color="CEF0FC"/>
            </w:tcBorders>
            <w:gridSpan w:val="7"/>
            <w:shd w:val="clear" w:color="auto" w:fill="CEF0FC"/>
          </w:tcPr>
          <w:p>
            <w:pPr>
              <w:spacing w:after="0"/>
              <w:rPr>
                <w:sz w:val="20"/>
                <w:szCs w:val="20"/>
                <w:color w:val="auto"/>
              </w:rPr>
            </w:pPr>
            <w:r>
              <w:rPr>
                <w:rFonts w:ascii="Arial" w:cs="Arial" w:eastAsia="Arial" w:hAnsi="Arial"/>
                <w:sz w:val="14"/>
                <w:szCs w:val="14"/>
                <w:color w:val="auto"/>
              </w:rPr>
              <w:t>Pivot3 Holdings, Inc.</w:t>
            </w:r>
          </w:p>
        </w:tc>
        <w:tc>
          <w:tcPr>
            <w:tcW w:w="140" w:type="dxa"/>
            <w:vAlign w:val="bottom"/>
            <w:tcBorders>
              <w:bottom w:val="single" w:sz="8" w:color="CEF0FC"/>
            </w:tcBorders>
            <w:shd w:val="clear" w:color="auto" w:fill="CEF0FC"/>
          </w:tcPr>
          <w:p>
            <w:pPr>
              <w:spacing w:after="0"/>
              <w:rPr>
                <w:sz w:val="14"/>
                <w:szCs w:val="14"/>
                <w:color w:val="auto"/>
              </w:rPr>
            </w:pPr>
          </w:p>
        </w:tc>
        <w:tc>
          <w:tcPr>
            <w:tcW w:w="2600" w:type="dxa"/>
            <w:vAlign w:val="bottom"/>
            <w:tcBorders>
              <w:bottom w:val="single" w:sz="8" w:color="CEF0FC"/>
            </w:tcBorders>
            <w:shd w:val="clear" w:color="auto" w:fill="CEF0FC"/>
          </w:tcPr>
          <w:p>
            <w:pPr>
              <w:ind w:left="20"/>
              <w:spacing w:after="0"/>
              <w:rPr>
                <w:sz w:val="20"/>
                <w:szCs w:val="20"/>
                <w:color w:val="auto"/>
              </w:rPr>
            </w:pPr>
            <w:r>
              <w:rPr>
                <w:rFonts w:ascii="Arial" w:cs="Arial" w:eastAsia="Arial" w:hAnsi="Arial"/>
                <w:sz w:val="14"/>
                <w:szCs w:val="14"/>
                <w:color w:val="auto"/>
              </w:rPr>
              <w:t>ETP</w:t>
            </w:r>
          </w:p>
        </w:tc>
        <w:tc>
          <w:tcPr>
            <w:tcW w:w="920" w:type="dxa"/>
            <w:vAlign w:val="bottom"/>
            <w:tcBorders>
              <w:bottom w:val="single" w:sz="8" w:color="CEF0FC"/>
            </w:tcBorders>
            <w:gridSpan w:val="2"/>
            <w:shd w:val="clear" w:color="auto" w:fill="CEF0FC"/>
          </w:tcPr>
          <w:p>
            <w:pPr>
              <w:jc w:val="center"/>
              <w:ind w:left="68"/>
              <w:spacing w:after="0"/>
              <w:rPr>
                <w:sz w:val="20"/>
                <w:szCs w:val="20"/>
                <w:color w:val="auto"/>
              </w:rPr>
            </w:pPr>
            <w:r>
              <w:rPr>
                <w:rFonts w:ascii="Arial" w:cs="Arial" w:eastAsia="Arial" w:hAnsi="Arial"/>
                <w:sz w:val="14"/>
                <w:szCs w:val="14"/>
                <w:color w:val="auto"/>
                <w:w w:val="93"/>
              </w:rPr>
              <w:t>5/13/2019</w:t>
            </w:r>
          </w:p>
        </w:tc>
        <w:tc>
          <w:tcPr>
            <w:tcW w:w="920" w:type="dxa"/>
            <w:vAlign w:val="bottom"/>
            <w:tcBorders>
              <w:bottom w:val="single" w:sz="8" w:color="CEF0FC"/>
            </w:tcBorders>
            <w:gridSpan w:val="2"/>
            <w:shd w:val="clear" w:color="auto" w:fill="CEF0FC"/>
          </w:tcPr>
          <w:p>
            <w:pPr>
              <w:jc w:val="right"/>
              <w:spacing w:after="0"/>
              <w:rPr>
                <w:sz w:val="20"/>
                <w:szCs w:val="20"/>
                <w:color w:val="auto"/>
              </w:rPr>
            </w:pPr>
            <w:r>
              <w:rPr>
                <w:rFonts w:ascii="Arial" w:cs="Arial" w:eastAsia="Arial" w:hAnsi="Arial"/>
                <w:sz w:val="14"/>
                <w:szCs w:val="14"/>
                <w:color w:val="auto"/>
              </w:rPr>
              <w:t>11/15/2022</w:t>
            </w:r>
          </w:p>
        </w:tc>
        <w:tc>
          <w:tcPr>
            <w:tcW w:w="14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EF0FC"/>
            </w:tcBorders>
            <w:shd w:val="clear" w:color="auto" w:fill="CEF0FC"/>
          </w:tcPr>
          <w:p>
            <w:pPr>
              <w:jc w:val="right"/>
              <w:spacing w:after="0"/>
              <w:rPr>
                <w:sz w:val="20"/>
                <w:szCs w:val="20"/>
                <w:color w:val="auto"/>
              </w:rPr>
            </w:pPr>
            <w:r>
              <w:rPr>
                <w:rFonts w:ascii="Arial" w:cs="Arial" w:eastAsia="Arial" w:hAnsi="Arial"/>
                <w:sz w:val="14"/>
                <w:szCs w:val="14"/>
                <w:color w:val="auto"/>
              </w:rPr>
              <w:t>18,598,265</w:t>
            </w:r>
          </w:p>
        </w:tc>
        <w:tc>
          <w:tcPr>
            <w:tcW w:w="220" w:type="dxa"/>
            <w:vAlign w:val="bottom"/>
            <w:tcBorders>
              <w:bottom w:val="single" w:sz="8" w:color="CEF0FC"/>
            </w:tcBorders>
            <w:shd w:val="clear" w:color="auto" w:fill="CE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920" w:type="dxa"/>
            <w:vAlign w:val="bottom"/>
            <w:tcBorders>
              <w:bottom w:val="single" w:sz="8" w:color="auto"/>
            </w:tcBorders>
            <w:vMerge w:val="continue"/>
            <w:shd w:val="clear" w:color="auto" w:fill="CEF0FC"/>
          </w:tcPr>
          <w:p>
            <w:pPr>
              <w:spacing w:after="0"/>
              <w:rPr>
                <w:sz w:val="14"/>
                <w:szCs w:val="14"/>
                <w:color w:val="auto"/>
              </w:rPr>
            </w:pPr>
          </w:p>
        </w:tc>
        <w:tc>
          <w:tcPr>
            <w:tcW w:w="240" w:type="dxa"/>
            <w:vAlign w:val="bottom"/>
            <w:tcBorders>
              <w:bottom w:val="single" w:sz="8" w:color="CEF0FC"/>
            </w:tcBorders>
            <w:shd w:val="clear" w:color="auto" w:fill="CEF0FC"/>
          </w:tcPr>
          <w:p>
            <w:pPr>
              <w:spacing w:after="0"/>
              <w:rPr>
                <w:sz w:val="14"/>
                <w:szCs w:val="14"/>
                <w:color w:val="auto"/>
              </w:rPr>
            </w:pPr>
          </w:p>
        </w:tc>
        <w:tc>
          <w:tcPr>
            <w:tcW w:w="120" w:type="dxa"/>
            <w:vAlign w:val="bottom"/>
            <w:tcBorders>
              <w:bottom w:val="single" w:sz="8" w:color="auto"/>
              <w:right w:val="single" w:sz="8" w:color="CFF0FC"/>
            </w:tcBorders>
            <w:vMerge w:val="continue"/>
            <w:shd w:val="clear" w:color="auto" w:fill="CFF0FC"/>
          </w:tcPr>
          <w:p>
            <w:pPr>
              <w:spacing w:after="0"/>
              <w:rPr>
                <w:sz w:val="14"/>
                <w:szCs w:val="14"/>
                <w:color w:val="auto"/>
              </w:rPr>
            </w:pPr>
          </w:p>
        </w:tc>
        <w:tc>
          <w:tcPr>
            <w:tcW w:w="940" w:type="dxa"/>
            <w:vAlign w:val="bottom"/>
            <w:tcBorders>
              <w:bottom w:val="single" w:sz="8" w:color="auto"/>
            </w:tcBorders>
            <w:vMerge w:val="continue"/>
            <w:shd w:val="clear" w:color="auto" w:fill="CEF0FC"/>
          </w:tcPr>
          <w:p>
            <w:pPr>
              <w:spacing w:after="0"/>
              <w:rPr>
                <w:sz w:val="14"/>
                <w:szCs w:val="14"/>
                <w:color w:val="auto"/>
              </w:rPr>
            </w:pPr>
          </w:p>
        </w:tc>
        <w:tc>
          <w:tcPr>
            <w:tcW w:w="780" w:type="dxa"/>
            <w:vAlign w:val="bottom"/>
            <w:tcBorders>
              <w:bottom w:val="single" w:sz="8" w:color="CEF0FC"/>
            </w:tcBorders>
            <w:gridSpan w:val="2"/>
            <w:shd w:val="clear" w:color="auto" w:fill="CEF0FC"/>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gridSpan w:val="7"/>
          </w:tcPr>
          <w:p>
            <w:pPr>
              <w:spacing w:after="0" w:line="133" w:lineRule="exact"/>
              <w:rPr>
                <w:sz w:val="20"/>
                <w:szCs w:val="20"/>
                <w:color w:val="auto"/>
              </w:rPr>
            </w:pPr>
            <w:r>
              <w:rPr>
                <w:rFonts w:ascii="Arial" w:cs="Arial" w:eastAsia="Arial" w:hAnsi="Arial"/>
                <w:sz w:val="14"/>
                <w:szCs w:val="14"/>
                <w:b w:val="1"/>
                <w:bCs w:val="1"/>
                <w:color w:val="auto"/>
              </w:rPr>
              <w:t>Total Data Processing &amp;</w:t>
            </w:r>
          </w:p>
        </w:tc>
        <w:tc>
          <w:tcPr>
            <w:tcW w:w="1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19,172,353</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5,521,301</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rPr>
              <w:t>Outsourced Services - 0.95%*</w:t>
            </w: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EF0FC"/>
          </w:tcPr>
          <w:p>
            <w:pPr>
              <w:spacing w:after="0"/>
              <w:rPr>
                <w:sz w:val="14"/>
                <w:szCs w:val="14"/>
                <w:color w:val="auto"/>
              </w:rPr>
            </w:pPr>
          </w:p>
        </w:tc>
        <w:tc>
          <w:tcPr>
            <w:tcW w:w="1260" w:type="dxa"/>
            <w:vAlign w:val="bottom"/>
            <w:shd w:val="clear" w:color="auto" w:fill="CEF0FC"/>
          </w:tcPr>
          <w:p>
            <w:pPr>
              <w:spacing w:after="0"/>
              <w:rPr>
                <w:sz w:val="14"/>
                <w:szCs w:val="14"/>
                <w:color w:val="auto"/>
              </w:rPr>
            </w:pPr>
          </w:p>
        </w:tc>
        <w:tc>
          <w:tcPr>
            <w:tcW w:w="2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600" w:type="dxa"/>
            <w:vAlign w:val="bottom"/>
            <w:shd w:val="clear" w:color="auto" w:fill="CEF0FC"/>
          </w:tcPr>
          <w:p>
            <w:pPr>
              <w:spacing w:after="0"/>
              <w:rPr>
                <w:sz w:val="14"/>
                <w:szCs w:val="14"/>
                <w:color w:val="auto"/>
              </w:rPr>
            </w:pPr>
          </w:p>
        </w:tc>
        <w:tc>
          <w:tcPr>
            <w:tcW w:w="120" w:type="dxa"/>
            <w:vAlign w:val="bottom"/>
            <w:shd w:val="clear" w:color="auto" w:fill="CEF0FC"/>
          </w:tcPr>
          <w:p>
            <w:pPr>
              <w:spacing w:after="0"/>
              <w:rPr>
                <w:sz w:val="14"/>
                <w:szCs w:val="14"/>
                <w:color w:val="auto"/>
              </w:rPr>
            </w:pPr>
          </w:p>
        </w:tc>
        <w:tc>
          <w:tcPr>
            <w:tcW w:w="20" w:type="dxa"/>
            <w:vAlign w:val="bottom"/>
            <w:shd w:val="clear" w:color="auto" w:fill="CEF0FC"/>
          </w:tcPr>
          <w:p>
            <w:pPr>
              <w:spacing w:after="0"/>
              <w:rPr>
                <w:sz w:val="14"/>
                <w:szCs w:val="14"/>
                <w:color w:val="auto"/>
              </w:rPr>
            </w:pPr>
          </w:p>
        </w:tc>
        <w:tc>
          <w:tcPr>
            <w:tcW w:w="6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260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78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78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800" w:type="dxa"/>
            <w:vAlign w:val="bottom"/>
            <w:shd w:val="clear" w:color="auto" w:fill="CEF0FC"/>
          </w:tcPr>
          <w:p>
            <w:pPr>
              <w:spacing w:after="0"/>
              <w:rPr>
                <w:sz w:val="14"/>
                <w:szCs w:val="14"/>
                <w:color w:val="auto"/>
              </w:rPr>
            </w:pPr>
          </w:p>
        </w:tc>
        <w:tc>
          <w:tcPr>
            <w:tcW w:w="220" w:type="dxa"/>
            <w:vAlign w:val="bottom"/>
            <w:shd w:val="clear" w:color="auto" w:fill="CEF0FC"/>
          </w:tcPr>
          <w:p>
            <w:pPr>
              <w:spacing w:after="0"/>
              <w:rPr>
                <w:sz w:val="14"/>
                <w:szCs w:val="14"/>
                <w:color w:val="auto"/>
              </w:rPr>
            </w:pPr>
          </w:p>
        </w:tc>
        <w:tc>
          <w:tcPr>
            <w:tcW w:w="120" w:type="dxa"/>
            <w:vAlign w:val="bottom"/>
            <w:shd w:val="clear" w:color="auto" w:fill="CEF0FC"/>
          </w:tcPr>
          <w:p>
            <w:pPr>
              <w:spacing w:after="0"/>
              <w:rPr>
                <w:sz w:val="14"/>
                <w:szCs w:val="14"/>
                <w:color w:val="auto"/>
              </w:rPr>
            </w:pPr>
          </w:p>
        </w:tc>
        <w:tc>
          <w:tcPr>
            <w:tcW w:w="920" w:type="dxa"/>
            <w:vAlign w:val="bottom"/>
            <w:shd w:val="clear" w:color="auto" w:fill="CEF0FC"/>
          </w:tcPr>
          <w:p>
            <w:pPr>
              <w:spacing w:after="0"/>
              <w:rPr>
                <w:sz w:val="14"/>
                <w:szCs w:val="14"/>
                <w:color w:val="auto"/>
              </w:rPr>
            </w:pPr>
          </w:p>
        </w:tc>
        <w:tc>
          <w:tcPr>
            <w:tcW w:w="240" w:type="dxa"/>
            <w:vAlign w:val="bottom"/>
            <w:shd w:val="clear" w:color="auto" w:fill="CEF0FC"/>
          </w:tcPr>
          <w:p>
            <w:pPr>
              <w:spacing w:after="0"/>
              <w:rPr>
                <w:sz w:val="14"/>
                <w:szCs w:val="14"/>
                <w:color w:val="auto"/>
              </w:rPr>
            </w:pPr>
          </w:p>
        </w:tc>
        <w:tc>
          <w:tcPr>
            <w:tcW w:w="120" w:type="dxa"/>
            <w:vAlign w:val="bottom"/>
            <w:tcBorders>
              <w:right w:val="single" w:sz="8" w:color="CEF0FC"/>
            </w:tcBorders>
            <w:shd w:val="clear" w:color="auto" w:fill="CEF0FC"/>
          </w:tcPr>
          <w:p>
            <w:pPr>
              <w:spacing w:after="0"/>
              <w:rPr>
                <w:sz w:val="14"/>
                <w:szCs w:val="14"/>
                <w:color w:val="auto"/>
              </w:rPr>
            </w:pPr>
          </w:p>
        </w:tc>
        <w:tc>
          <w:tcPr>
            <w:tcW w:w="940" w:type="dxa"/>
            <w:vAlign w:val="bottom"/>
            <w:shd w:val="clear" w:color="auto" w:fill="CEF0FC"/>
          </w:tcPr>
          <w:p>
            <w:pPr>
              <w:spacing w:after="0"/>
              <w:rPr>
                <w:sz w:val="14"/>
                <w:szCs w:val="14"/>
                <w:color w:val="auto"/>
              </w:rPr>
            </w:pPr>
          </w:p>
        </w:tc>
        <w:tc>
          <w:tcPr>
            <w:tcW w:w="220" w:type="dxa"/>
            <w:vAlign w:val="bottom"/>
            <w:shd w:val="clear" w:color="auto" w:fill="CEF0FC"/>
          </w:tcPr>
          <w:p>
            <w:pPr>
              <w:spacing w:after="0"/>
              <w:rPr>
                <w:sz w:val="14"/>
                <w:szCs w:val="14"/>
                <w:color w:val="auto"/>
              </w:rPr>
            </w:pPr>
          </w:p>
        </w:tc>
        <w:tc>
          <w:tcPr>
            <w:tcW w:w="560" w:type="dxa"/>
            <w:vAlign w:val="bottom"/>
            <w:shd w:val="clear" w:color="auto" w:fill="CEF0FC"/>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220" w:type="dxa"/>
            <w:vAlign w:val="bottom"/>
            <w:gridSpan w:val="7"/>
          </w:tcPr>
          <w:p>
            <w:pPr>
              <w:spacing w:after="0" w:line="139" w:lineRule="exact"/>
              <w:rPr>
                <w:sz w:val="20"/>
                <w:szCs w:val="20"/>
                <w:color w:val="auto"/>
              </w:rPr>
            </w:pPr>
            <w:r>
              <w:rPr>
                <w:rFonts w:ascii="Arial" w:cs="Arial" w:eastAsia="Arial" w:hAnsi="Arial"/>
                <w:sz w:val="14"/>
                <w:szCs w:val="14"/>
                <w:b w:val="1"/>
                <w:bCs w:val="1"/>
                <w:color w:val="auto"/>
                <w:w w:val="94"/>
              </w:rPr>
              <w:t>Total Senior Secured Term Loans -</w:t>
            </w:r>
          </w:p>
        </w:tc>
        <w:tc>
          <w:tcPr>
            <w:tcW w:w="1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19,172,353</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5,521,301</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0.95%*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shd w:val="clear" w:color="auto" w:fill="CEF0FC"/>
          </w:tcPr>
          <w:p>
            <w:pPr>
              <w:spacing w:after="0"/>
              <w:rPr>
                <w:sz w:val="14"/>
                <w:szCs w:val="14"/>
                <w:color w:val="auto"/>
              </w:rPr>
            </w:pPr>
          </w:p>
        </w:tc>
        <w:tc>
          <w:tcPr>
            <w:tcW w:w="1260" w:type="dxa"/>
            <w:vAlign w:val="bottom"/>
            <w:shd w:val="clear" w:color="auto" w:fill="CEF0FC"/>
          </w:tcPr>
          <w:p>
            <w:pPr>
              <w:spacing w:after="0"/>
              <w:rPr>
                <w:sz w:val="14"/>
                <w:szCs w:val="14"/>
                <w:color w:val="auto"/>
              </w:rPr>
            </w:pPr>
          </w:p>
        </w:tc>
        <w:tc>
          <w:tcPr>
            <w:tcW w:w="2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600" w:type="dxa"/>
            <w:vAlign w:val="bottom"/>
            <w:shd w:val="clear" w:color="auto" w:fill="CEF0FC"/>
          </w:tcPr>
          <w:p>
            <w:pPr>
              <w:spacing w:after="0"/>
              <w:rPr>
                <w:sz w:val="14"/>
                <w:szCs w:val="14"/>
                <w:color w:val="auto"/>
              </w:rPr>
            </w:pPr>
          </w:p>
        </w:tc>
        <w:tc>
          <w:tcPr>
            <w:tcW w:w="120" w:type="dxa"/>
            <w:vAlign w:val="bottom"/>
            <w:shd w:val="clear" w:color="auto" w:fill="CEF0FC"/>
          </w:tcPr>
          <w:p>
            <w:pPr>
              <w:spacing w:after="0"/>
              <w:rPr>
                <w:sz w:val="14"/>
                <w:szCs w:val="14"/>
                <w:color w:val="auto"/>
              </w:rPr>
            </w:pPr>
          </w:p>
        </w:tc>
        <w:tc>
          <w:tcPr>
            <w:tcW w:w="20" w:type="dxa"/>
            <w:vAlign w:val="bottom"/>
            <w:shd w:val="clear" w:color="auto" w:fill="CEF0FC"/>
          </w:tcPr>
          <w:p>
            <w:pPr>
              <w:spacing w:after="0"/>
              <w:rPr>
                <w:sz w:val="14"/>
                <w:szCs w:val="14"/>
                <w:color w:val="auto"/>
              </w:rPr>
            </w:pPr>
          </w:p>
        </w:tc>
        <w:tc>
          <w:tcPr>
            <w:tcW w:w="6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260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78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78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140" w:type="dxa"/>
            <w:vAlign w:val="bottom"/>
            <w:shd w:val="clear" w:color="auto" w:fill="CEF0FC"/>
          </w:tcPr>
          <w:p>
            <w:pPr>
              <w:spacing w:after="0"/>
              <w:rPr>
                <w:sz w:val="14"/>
                <w:szCs w:val="14"/>
                <w:color w:val="auto"/>
              </w:rPr>
            </w:pPr>
          </w:p>
        </w:tc>
        <w:tc>
          <w:tcPr>
            <w:tcW w:w="800" w:type="dxa"/>
            <w:vAlign w:val="bottom"/>
            <w:shd w:val="clear" w:color="auto" w:fill="CEF0FC"/>
          </w:tcPr>
          <w:p>
            <w:pPr>
              <w:spacing w:after="0"/>
              <w:rPr>
                <w:sz w:val="14"/>
                <w:szCs w:val="14"/>
                <w:color w:val="auto"/>
              </w:rPr>
            </w:pPr>
          </w:p>
        </w:tc>
        <w:tc>
          <w:tcPr>
            <w:tcW w:w="220" w:type="dxa"/>
            <w:vAlign w:val="bottom"/>
            <w:shd w:val="clear" w:color="auto" w:fill="CEF0FC"/>
          </w:tcPr>
          <w:p>
            <w:pPr>
              <w:spacing w:after="0"/>
              <w:rPr>
                <w:sz w:val="14"/>
                <w:szCs w:val="14"/>
                <w:color w:val="auto"/>
              </w:rPr>
            </w:pPr>
          </w:p>
        </w:tc>
        <w:tc>
          <w:tcPr>
            <w:tcW w:w="120" w:type="dxa"/>
            <w:vAlign w:val="bottom"/>
            <w:shd w:val="clear" w:color="auto" w:fill="CEF0FC"/>
          </w:tcPr>
          <w:p>
            <w:pPr>
              <w:spacing w:after="0"/>
              <w:rPr>
                <w:sz w:val="14"/>
                <w:szCs w:val="14"/>
                <w:color w:val="auto"/>
              </w:rPr>
            </w:pPr>
          </w:p>
        </w:tc>
        <w:tc>
          <w:tcPr>
            <w:tcW w:w="920" w:type="dxa"/>
            <w:vAlign w:val="bottom"/>
            <w:shd w:val="clear" w:color="auto" w:fill="CEF0FC"/>
          </w:tcPr>
          <w:p>
            <w:pPr>
              <w:spacing w:after="0"/>
              <w:rPr>
                <w:sz w:val="14"/>
                <w:szCs w:val="14"/>
                <w:color w:val="auto"/>
              </w:rPr>
            </w:pPr>
          </w:p>
        </w:tc>
        <w:tc>
          <w:tcPr>
            <w:tcW w:w="240" w:type="dxa"/>
            <w:vAlign w:val="bottom"/>
            <w:shd w:val="clear" w:color="auto" w:fill="CEF0FC"/>
          </w:tcPr>
          <w:p>
            <w:pPr>
              <w:spacing w:after="0"/>
              <w:rPr>
                <w:sz w:val="14"/>
                <w:szCs w:val="14"/>
                <w:color w:val="auto"/>
              </w:rPr>
            </w:pPr>
          </w:p>
        </w:tc>
        <w:tc>
          <w:tcPr>
            <w:tcW w:w="120" w:type="dxa"/>
            <w:vAlign w:val="bottom"/>
            <w:tcBorders>
              <w:right w:val="single" w:sz="8" w:color="CEF0FC"/>
            </w:tcBorders>
            <w:shd w:val="clear" w:color="auto" w:fill="CEF0FC"/>
          </w:tcPr>
          <w:p>
            <w:pPr>
              <w:spacing w:after="0"/>
              <w:rPr>
                <w:sz w:val="14"/>
                <w:szCs w:val="14"/>
                <w:color w:val="auto"/>
              </w:rPr>
            </w:pPr>
          </w:p>
        </w:tc>
        <w:tc>
          <w:tcPr>
            <w:tcW w:w="940" w:type="dxa"/>
            <w:vAlign w:val="bottom"/>
            <w:shd w:val="clear" w:color="auto" w:fill="CEF0FC"/>
          </w:tcPr>
          <w:p>
            <w:pPr>
              <w:spacing w:after="0"/>
              <w:rPr>
                <w:sz w:val="14"/>
                <w:szCs w:val="14"/>
                <w:color w:val="auto"/>
              </w:rPr>
            </w:pPr>
          </w:p>
        </w:tc>
        <w:tc>
          <w:tcPr>
            <w:tcW w:w="220" w:type="dxa"/>
            <w:vAlign w:val="bottom"/>
            <w:shd w:val="clear" w:color="auto" w:fill="CEF0FC"/>
          </w:tcPr>
          <w:p>
            <w:pPr>
              <w:spacing w:after="0"/>
              <w:rPr>
                <w:sz w:val="14"/>
                <w:szCs w:val="14"/>
                <w:color w:val="auto"/>
              </w:rPr>
            </w:pPr>
          </w:p>
        </w:tc>
        <w:tc>
          <w:tcPr>
            <w:tcW w:w="560" w:type="dxa"/>
            <w:vAlign w:val="bottom"/>
            <w:shd w:val="clear" w:color="auto" w:fill="CE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rPr>
              <w:t>Preferred Stocks</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EF0FC"/>
          </w:tcPr>
          <w:p>
            <w:pPr>
              <w:spacing w:after="0"/>
              <w:rPr>
                <w:sz w:val="12"/>
                <w:szCs w:val="12"/>
                <w:color w:val="auto"/>
              </w:rPr>
            </w:pPr>
          </w:p>
        </w:tc>
        <w:tc>
          <w:tcPr>
            <w:tcW w:w="2220" w:type="dxa"/>
            <w:vAlign w:val="bottom"/>
            <w:gridSpan w:val="7"/>
            <w:shd w:val="clear" w:color="auto" w:fill="CEF0FC"/>
          </w:tcPr>
          <w:p>
            <w:pPr>
              <w:spacing w:after="0" w:line="139" w:lineRule="exact"/>
              <w:rPr>
                <w:sz w:val="20"/>
                <w:szCs w:val="20"/>
                <w:color w:val="auto"/>
              </w:rPr>
            </w:pPr>
            <w:r>
              <w:rPr>
                <w:rFonts w:ascii="Arial" w:cs="Arial" w:eastAsia="Arial" w:hAnsi="Arial"/>
                <w:sz w:val="14"/>
                <w:szCs w:val="14"/>
                <w:b w:val="1"/>
                <w:bCs w:val="1"/>
                <w:color w:val="auto"/>
              </w:rPr>
              <w:t>Data Processing &amp; Outsourced</w:t>
            </w:r>
          </w:p>
        </w:tc>
        <w:tc>
          <w:tcPr>
            <w:tcW w:w="140" w:type="dxa"/>
            <w:vAlign w:val="bottom"/>
            <w:shd w:val="clear" w:color="auto" w:fill="CEF0FC"/>
          </w:tcPr>
          <w:p>
            <w:pPr>
              <w:spacing w:after="0"/>
              <w:rPr>
                <w:sz w:val="12"/>
                <w:szCs w:val="12"/>
                <w:color w:val="auto"/>
              </w:rPr>
            </w:pPr>
          </w:p>
        </w:tc>
        <w:tc>
          <w:tcPr>
            <w:tcW w:w="260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78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78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140" w:type="dxa"/>
            <w:vAlign w:val="bottom"/>
            <w:shd w:val="clear" w:color="auto" w:fill="CEF0FC"/>
          </w:tcPr>
          <w:p>
            <w:pPr>
              <w:spacing w:after="0"/>
              <w:rPr>
                <w:sz w:val="12"/>
                <w:szCs w:val="12"/>
                <w:color w:val="auto"/>
              </w:rPr>
            </w:pPr>
          </w:p>
        </w:tc>
        <w:tc>
          <w:tcPr>
            <w:tcW w:w="800" w:type="dxa"/>
            <w:vAlign w:val="bottom"/>
            <w:shd w:val="clear" w:color="auto" w:fill="CEF0FC"/>
          </w:tcPr>
          <w:p>
            <w:pPr>
              <w:spacing w:after="0"/>
              <w:rPr>
                <w:sz w:val="12"/>
                <w:szCs w:val="12"/>
                <w:color w:val="auto"/>
              </w:rPr>
            </w:pPr>
          </w:p>
        </w:tc>
        <w:tc>
          <w:tcPr>
            <w:tcW w:w="220" w:type="dxa"/>
            <w:vAlign w:val="bottom"/>
            <w:shd w:val="clear" w:color="auto" w:fill="CEF0FC"/>
          </w:tcPr>
          <w:p>
            <w:pPr>
              <w:spacing w:after="0"/>
              <w:rPr>
                <w:sz w:val="12"/>
                <w:szCs w:val="12"/>
                <w:color w:val="auto"/>
              </w:rPr>
            </w:pPr>
          </w:p>
        </w:tc>
        <w:tc>
          <w:tcPr>
            <w:tcW w:w="120" w:type="dxa"/>
            <w:vAlign w:val="bottom"/>
            <w:shd w:val="clear" w:color="auto" w:fill="CEF0FC"/>
          </w:tcPr>
          <w:p>
            <w:pPr>
              <w:spacing w:after="0"/>
              <w:rPr>
                <w:sz w:val="12"/>
                <w:szCs w:val="12"/>
                <w:color w:val="auto"/>
              </w:rPr>
            </w:pPr>
          </w:p>
        </w:tc>
        <w:tc>
          <w:tcPr>
            <w:tcW w:w="920" w:type="dxa"/>
            <w:vAlign w:val="bottom"/>
            <w:shd w:val="clear" w:color="auto" w:fill="CEF0FC"/>
          </w:tcPr>
          <w:p>
            <w:pPr>
              <w:spacing w:after="0"/>
              <w:rPr>
                <w:sz w:val="12"/>
                <w:szCs w:val="12"/>
                <w:color w:val="auto"/>
              </w:rPr>
            </w:pPr>
          </w:p>
        </w:tc>
        <w:tc>
          <w:tcPr>
            <w:tcW w:w="240" w:type="dxa"/>
            <w:vAlign w:val="bottom"/>
            <w:shd w:val="clear" w:color="auto" w:fill="CEF0FC"/>
          </w:tcPr>
          <w:p>
            <w:pPr>
              <w:spacing w:after="0"/>
              <w:rPr>
                <w:sz w:val="12"/>
                <w:szCs w:val="12"/>
                <w:color w:val="auto"/>
              </w:rPr>
            </w:pPr>
          </w:p>
        </w:tc>
        <w:tc>
          <w:tcPr>
            <w:tcW w:w="120" w:type="dxa"/>
            <w:vAlign w:val="bottom"/>
            <w:tcBorders>
              <w:right w:val="single" w:sz="8" w:color="CEF0FC"/>
            </w:tcBorders>
            <w:shd w:val="clear" w:color="auto" w:fill="CEF0FC"/>
          </w:tcPr>
          <w:p>
            <w:pPr>
              <w:spacing w:after="0"/>
              <w:rPr>
                <w:sz w:val="12"/>
                <w:szCs w:val="12"/>
                <w:color w:val="auto"/>
              </w:rPr>
            </w:pPr>
          </w:p>
        </w:tc>
        <w:tc>
          <w:tcPr>
            <w:tcW w:w="940" w:type="dxa"/>
            <w:vAlign w:val="bottom"/>
            <w:shd w:val="clear" w:color="auto" w:fill="CEF0FC"/>
          </w:tcPr>
          <w:p>
            <w:pPr>
              <w:spacing w:after="0"/>
              <w:rPr>
                <w:sz w:val="12"/>
                <w:szCs w:val="12"/>
                <w:color w:val="auto"/>
              </w:rPr>
            </w:pPr>
          </w:p>
        </w:tc>
        <w:tc>
          <w:tcPr>
            <w:tcW w:w="220" w:type="dxa"/>
            <w:vAlign w:val="bottom"/>
            <w:shd w:val="clear" w:color="auto" w:fill="CEF0FC"/>
          </w:tcPr>
          <w:p>
            <w:pPr>
              <w:spacing w:after="0"/>
              <w:rPr>
                <w:sz w:val="12"/>
                <w:szCs w:val="12"/>
                <w:color w:val="auto"/>
              </w:rPr>
            </w:pPr>
          </w:p>
        </w:tc>
        <w:tc>
          <w:tcPr>
            <w:tcW w:w="560" w:type="dxa"/>
            <w:vAlign w:val="bottom"/>
            <w:shd w:val="clear" w:color="auto" w:fill="CE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EF0FC"/>
          </w:tcPr>
          <w:p>
            <w:pPr>
              <w:spacing w:after="0"/>
              <w:rPr>
                <w:sz w:val="16"/>
                <w:szCs w:val="16"/>
                <w:color w:val="auto"/>
              </w:rPr>
            </w:pPr>
          </w:p>
        </w:tc>
        <w:tc>
          <w:tcPr>
            <w:tcW w:w="2220" w:type="dxa"/>
            <w:vAlign w:val="bottom"/>
            <w:gridSpan w:val="7"/>
            <w:shd w:val="clear" w:color="auto" w:fill="CEF0FC"/>
          </w:tcPr>
          <w:p>
            <w:pPr>
              <w:spacing w:after="0"/>
              <w:rPr>
                <w:sz w:val="20"/>
                <w:szCs w:val="20"/>
                <w:color w:val="auto"/>
              </w:rPr>
            </w:pPr>
            <w:r>
              <w:rPr>
                <w:rFonts w:ascii="Arial" w:cs="Arial" w:eastAsia="Arial" w:hAnsi="Arial"/>
                <w:sz w:val="14"/>
                <w:szCs w:val="14"/>
                <w:b w:val="1"/>
                <w:bCs w:val="1"/>
                <w:color w:val="auto"/>
              </w:rPr>
              <w:t>Services</w:t>
            </w:r>
          </w:p>
        </w:tc>
        <w:tc>
          <w:tcPr>
            <w:tcW w:w="140" w:type="dxa"/>
            <w:vAlign w:val="bottom"/>
            <w:shd w:val="clear" w:color="auto" w:fill="CEF0FC"/>
          </w:tcPr>
          <w:p>
            <w:pPr>
              <w:spacing w:after="0"/>
              <w:rPr>
                <w:sz w:val="16"/>
                <w:szCs w:val="16"/>
                <w:color w:val="auto"/>
              </w:rPr>
            </w:pPr>
          </w:p>
        </w:tc>
        <w:tc>
          <w:tcPr>
            <w:tcW w:w="260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7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78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140" w:type="dxa"/>
            <w:vAlign w:val="bottom"/>
            <w:shd w:val="clear" w:color="auto" w:fill="CEF0FC"/>
          </w:tcPr>
          <w:p>
            <w:pPr>
              <w:spacing w:after="0"/>
              <w:rPr>
                <w:sz w:val="16"/>
                <w:szCs w:val="16"/>
                <w:color w:val="auto"/>
              </w:rPr>
            </w:pPr>
          </w:p>
        </w:tc>
        <w:tc>
          <w:tcPr>
            <w:tcW w:w="800" w:type="dxa"/>
            <w:vAlign w:val="bottom"/>
            <w:shd w:val="clear" w:color="auto" w:fill="CEF0FC"/>
          </w:tcPr>
          <w:p>
            <w:pPr>
              <w:spacing w:after="0"/>
              <w:rPr>
                <w:sz w:val="16"/>
                <w:szCs w:val="16"/>
                <w:color w:val="auto"/>
              </w:rPr>
            </w:pPr>
          </w:p>
        </w:tc>
        <w:tc>
          <w:tcPr>
            <w:tcW w:w="220" w:type="dxa"/>
            <w:vAlign w:val="bottom"/>
            <w:shd w:val="clear" w:color="auto" w:fill="CEF0FC"/>
          </w:tcPr>
          <w:p>
            <w:pPr>
              <w:spacing w:after="0"/>
              <w:rPr>
                <w:sz w:val="16"/>
                <w:szCs w:val="16"/>
                <w:color w:val="auto"/>
              </w:rPr>
            </w:pPr>
          </w:p>
        </w:tc>
        <w:tc>
          <w:tcPr>
            <w:tcW w:w="120" w:type="dxa"/>
            <w:vAlign w:val="bottom"/>
            <w:shd w:val="clear" w:color="auto" w:fill="CEF0FC"/>
          </w:tcPr>
          <w:p>
            <w:pPr>
              <w:spacing w:after="0"/>
              <w:rPr>
                <w:sz w:val="16"/>
                <w:szCs w:val="16"/>
                <w:color w:val="auto"/>
              </w:rPr>
            </w:pPr>
          </w:p>
        </w:tc>
        <w:tc>
          <w:tcPr>
            <w:tcW w:w="920" w:type="dxa"/>
            <w:vAlign w:val="bottom"/>
            <w:shd w:val="clear" w:color="auto" w:fill="CEF0FC"/>
          </w:tcPr>
          <w:p>
            <w:pPr>
              <w:spacing w:after="0"/>
              <w:rPr>
                <w:sz w:val="16"/>
                <w:szCs w:val="16"/>
                <w:color w:val="auto"/>
              </w:rPr>
            </w:pPr>
          </w:p>
        </w:tc>
        <w:tc>
          <w:tcPr>
            <w:tcW w:w="240" w:type="dxa"/>
            <w:vAlign w:val="bottom"/>
            <w:shd w:val="clear" w:color="auto" w:fill="CEF0FC"/>
          </w:tcPr>
          <w:p>
            <w:pPr>
              <w:spacing w:after="0"/>
              <w:rPr>
                <w:sz w:val="16"/>
                <w:szCs w:val="16"/>
                <w:color w:val="auto"/>
              </w:rPr>
            </w:pPr>
          </w:p>
        </w:tc>
        <w:tc>
          <w:tcPr>
            <w:tcW w:w="120" w:type="dxa"/>
            <w:vAlign w:val="bottom"/>
            <w:tcBorders>
              <w:right w:val="single" w:sz="8" w:color="CEF0FC"/>
            </w:tcBorders>
            <w:shd w:val="clear" w:color="auto" w:fill="CEF0FC"/>
          </w:tcPr>
          <w:p>
            <w:pPr>
              <w:spacing w:after="0"/>
              <w:rPr>
                <w:sz w:val="16"/>
                <w:szCs w:val="16"/>
                <w:color w:val="auto"/>
              </w:rPr>
            </w:pPr>
          </w:p>
        </w:tc>
        <w:tc>
          <w:tcPr>
            <w:tcW w:w="940" w:type="dxa"/>
            <w:vAlign w:val="bottom"/>
            <w:shd w:val="clear" w:color="auto" w:fill="CEF0FC"/>
          </w:tcPr>
          <w:p>
            <w:pPr>
              <w:spacing w:after="0"/>
              <w:rPr>
                <w:sz w:val="16"/>
                <w:szCs w:val="16"/>
                <w:color w:val="auto"/>
              </w:rPr>
            </w:pPr>
          </w:p>
        </w:tc>
        <w:tc>
          <w:tcPr>
            <w:tcW w:w="220" w:type="dxa"/>
            <w:vAlign w:val="bottom"/>
            <w:shd w:val="clear" w:color="auto" w:fill="CEF0FC"/>
          </w:tcPr>
          <w:p>
            <w:pPr>
              <w:spacing w:after="0"/>
              <w:rPr>
                <w:sz w:val="16"/>
                <w:szCs w:val="16"/>
                <w:color w:val="auto"/>
              </w:rPr>
            </w:pPr>
          </w:p>
        </w:tc>
        <w:tc>
          <w:tcPr>
            <w:tcW w:w="560" w:type="dxa"/>
            <w:vAlign w:val="bottom"/>
            <w:shd w:val="clear" w:color="auto" w:fill="CE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gridSpan w:val="7"/>
          </w:tcPr>
          <w:p>
            <w:pPr>
              <w:spacing w:after="0"/>
              <w:rPr>
                <w:sz w:val="20"/>
                <w:szCs w:val="20"/>
                <w:color w:val="auto"/>
              </w:rPr>
            </w:pPr>
            <w:r>
              <w:rPr>
                <w:rFonts w:ascii="Arial" w:cs="Arial" w:eastAsia="Arial" w:hAnsi="Arial"/>
                <w:sz w:val="14"/>
                <w:szCs w:val="14"/>
                <w:color w:val="auto"/>
              </w:rPr>
              <w:t>Pivot3 Holdings, Inc.</w:t>
            </w:r>
          </w:p>
        </w:tc>
        <w:tc>
          <w:tcPr>
            <w:tcW w:w="140" w:type="dxa"/>
            <w:vAlign w:val="bottom"/>
          </w:tcPr>
          <w:p>
            <w:pPr>
              <w:spacing w:after="0"/>
              <w:rPr>
                <w:sz w:val="15"/>
                <w:szCs w:val="15"/>
                <w:color w:val="auto"/>
              </w:rPr>
            </w:pPr>
          </w:p>
        </w:tc>
        <w:tc>
          <w:tcPr>
            <w:tcW w:w="2600" w:type="dxa"/>
            <w:vAlign w:val="bottom"/>
          </w:tcPr>
          <w:p>
            <w:pPr>
              <w:ind w:left="20"/>
              <w:spacing w:after="0"/>
              <w:rPr>
                <w:sz w:val="20"/>
                <w:szCs w:val="20"/>
                <w:color w:val="auto"/>
              </w:rPr>
            </w:pPr>
            <w:r>
              <w:rPr>
                <w:rFonts w:ascii="Arial" w:cs="Arial" w:eastAsia="Arial" w:hAnsi="Arial"/>
                <w:sz w:val="14"/>
                <w:szCs w:val="14"/>
                <w:color w:val="auto"/>
              </w:rPr>
              <w:t>Series 1</w:t>
            </w:r>
          </w:p>
        </w:tc>
        <w:tc>
          <w:tcPr>
            <w:tcW w:w="92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1/27/2021</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2,675,585</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2,000,000</w:t>
            </w: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3"/>
        </w:trPr>
        <w:tc>
          <w:tcPr>
            <w:tcW w:w="20" w:type="dxa"/>
            <w:vAlign w:val="bottom"/>
            <w:shd w:val="clear" w:color="auto" w:fill="CEF0FC"/>
          </w:tcPr>
          <w:p>
            <w:pPr>
              <w:spacing w:after="0"/>
              <w:rPr>
                <w:sz w:val="11"/>
                <w:szCs w:val="11"/>
                <w:color w:val="auto"/>
              </w:rPr>
            </w:pPr>
          </w:p>
        </w:tc>
        <w:tc>
          <w:tcPr>
            <w:tcW w:w="2220" w:type="dxa"/>
            <w:vAlign w:val="bottom"/>
            <w:gridSpan w:val="7"/>
            <w:shd w:val="clear" w:color="auto" w:fill="CEF0FC"/>
          </w:tcPr>
          <w:p>
            <w:pPr>
              <w:spacing w:after="0" w:line="133" w:lineRule="exact"/>
              <w:rPr>
                <w:sz w:val="20"/>
                <w:szCs w:val="20"/>
                <w:color w:val="auto"/>
              </w:rPr>
            </w:pPr>
            <w:r>
              <w:rPr>
                <w:rFonts w:ascii="Arial" w:cs="Arial" w:eastAsia="Arial" w:hAnsi="Arial"/>
                <w:sz w:val="14"/>
                <w:szCs w:val="14"/>
                <w:b w:val="1"/>
                <w:bCs w:val="1"/>
                <w:color w:val="auto"/>
              </w:rPr>
              <w:t>Total Data Processing &amp;</w:t>
            </w:r>
          </w:p>
        </w:tc>
        <w:tc>
          <w:tcPr>
            <w:tcW w:w="140" w:type="dxa"/>
            <w:vAlign w:val="bottom"/>
            <w:shd w:val="clear" w:color="auto" w:fill="CEF0FC"/>
          </w:tcPr>
          <w:p>
            <w:pPr>
              <w:spacing w:after="0"/>
              <w:rPr>
                <w:sz w:val="11"/>
                <w:szCs w:val="11"/>
                <w:color w:val="auto"/>
              </w:rPr>
            </w:pPr>
          </w:p>
        </w:tc>
        <w:tc>
          <w:tcPr>
            <w:tcW w:w="2600" w:type="dxa"/>
            <w:vAlign w:val="bottom"/>
            <w:shd w:val="clear" w:color="auto" w:fill="CEF0FC"/>
          </w:tcPr>
          <w:p>
            <w:pPr>
              <w:spacing w:after="0"/>
              <w:rPr>
                <w:sz w:val="11"/>
                <w:szCs w:val="11"/>
                <w:color w:val="auto"/>
              </w:rPr>
            </w:pPr>
          </w:p>
        </w:tc>
        <w:tc>
          <w:tcPr>
            <w:tcW w:w="140" w:type="dxa"/>
            <w:vAlign w:val="bottom"/>
            <w:shd w:val="clear" w:color="auto" w:fill="CEF0FC"/>
          </w:tcPr>
          <w:p>
            <w:pPr>
              <w:spacing w:after="0"/>
              <w:rPr>
                <w:sz w:val="11"/>
                <w:szCs w:val="11"/>
                <w:color w:val="auto"/>
              </w:rPr>
            </w:pPr>
          </w:p>
        </w:tc>
        <w:tc>
          <w:tcPr>
            <w:tcW w:w="780" w:type="dxa"/>
            <w:vAlign w:val="bottom"/>
            <w:shd w:val="clear" w:color="auto" w:fill="CEF0FC"/>
          </w:tcPr>
          <w:p>
            <w:pPr>
              <w:spacing w:after="0"/>
              <w:rPr>
                <w:sz w:val="11"/>
                <w:szCs w:val="11"/>
                <w:color w:val="auto"/>
              </w:rPr>
            </w:pPr>
          </w:p>
        </w:tc>
        <w:tc>
          <w:tcPr>
            <w:tcW w:w="140" w:type="dxa"/>
            <w:vAlign w:val="bottom"/>
            <w:shd w:val="clear" w:color="auto" w:fill="CEF0FC"/>
          </w:tcPr>
          <w:p>
            <w:pPr>
              <w:spacing w:after="0"/>
              <w:rPr>
                <w:sz w:val="11"/>
                <w:szCs w:val="11"/>
                <w:color w:val="auto"/>
              </w:rPr>
            </w:pPr>
          </w:p>
        </w:tc>
        <w:tc>
          <w:tcPr>
            <w:tcW w:w="780" w:type="dxa"/>
            <w:vAlign w:val="bottom"/>
            <w:shd w:val="clear" w:color="auto" w:fill="CEF0FC"/>
          </w:tcPr>
          <w:p>
            <w:pPr>
              <w:spacing w:after="0"/>
              <w:rPr>
                <w:sz w:val="11"/>
                <w:szCs w:val="11"/>
                <w:color w:val="auto"/>
              </w:rPr>
            </w:pPr>
          </w:p>
        </w:tc>
        <w:tc>
          <w:tcPr>
            <w:tcW w:w="140" w:type="dxa"/>
            <w:vAlign w:val="bottom"/>
            <w:shd w:val="clear" w:color="auto" w:fill="CEF0FC"/>
          </w:tcPr>
          <w:p>
            <w:pPr>
              <w:spacing w:after="0"/>
              <w:rPr>
                <w:sz w:val="11"/>
                <w:szCs w:val="11"/>
                <w:color w:val="auto"/>
              </w:rPr>
            </w:pPr>
          </w:p>
        </w:tc>
        <w:tc>
          <w:tcPr>
            <w:tcW w:w="140" w:type="dxa"/>
            <w:vAlign w:val="bottom"/>
            <w:shd w:val="clear" w:color="auto" w:fill="CEF0FC"/>
          </w:tcPr>
          <w:p>
            <w:pPr>
              <w:spacing w:after="0"/>
              <w:rPr>
                <w:sz w:val="11"/>
                <w:szCs w:val="11"/>
                <w:color w:val="auto"/>
              </w:rPr>
            </w:pPr>
          </w:p>
        </w:tc>
        <w:tc>
          <w:tcPr>
            <w:tcW w:w="800" w:type="dxa"/>
            <w:vAlign w:val="bottom"/>
            <w:shd w:val="clear" w:color="auto" w:fill="CEF0FC"/>
          </w:tcPr>
          <w:p>
            <w:pPr>
              <w:spacing w:after="0"/>
              <w:rPr>
                <w:sz w:val="11"/>
                <w:szCs w:val="11"/>
                <w:color w:val="auto"/>
              </w:rPr>
            </w:pPr>
          </w:p>
        </w:tc>
        <w:tc>
          <w:tcPr>
            <w:tcW w:w="220" w:type="dxa"/>
            <w:vAlign w:val="bottom"/>
            <w:shd w:val="clear" w:color="auto" w:fill="CEF0FC"/>
          </w:tcPr>
          <w:p>
            <w:pPr>
              <w:spacing w:after="0"/>
              <w:rPr>
                <w:sz w:val="11"/>
                <w:szCs w:val="11"/>
                <w:color w:val="auto"/>
              </w:rPr>
            </w:pPr>
          </w:p>
        </w:tc>
        <w:tc>
          <w:tcPr>
            <w:tcW w:w="120" w:type="dxa"/>
            <w:vAlign w:val="bottom"/>
            <w:shd w:val="clear" w:color="auto" w:fill="CEF0FC"/>
          </w:tcPr>
          <w:p>
            <w:pPr>
              <w:spacing w:after="0"/>
              <w:rPr>
                <w:sz w:val="11"/>
                <w:szCs w:val="11"/>
                <w:color w:val="auto"/>
              </w:rPr>
            </w:pPr>
          </w:p>
        </w:tc>
        <w:tc>
          <w:tcPr>
            <w:tcW w:w="920" w:type="dxa"/>
            <w:vAlign w:val="bottom"/>
            <w:vMerge w:val="restart"/>
            <w:shd w:val="clear" w:color="auto" w:fill="CEF0FC"/>
          </w:tcPr>
          <w:p>
            <w:pPr>
              <w:jc w:val="right"/>
              <w:spacing w:after="0"/>
              <w:rPr>
                <w:sz w:val="20"/>
                <w:szCs w:val="20"/>
                <w:color w:val="auto"/>
              </w:rPr>
            </w:pPr>
            <w:r>
              <w:rPr>
                <w:rFonts w:ascii="Arial" w:cs="Arial" w:eastAsia="Arial" w:hAnsi="Arial"/>
                <w:sz w:val="14"/>
                <w:szCs w:val="14"/>
                <w:color w:val="auto"/>
              </w:rPr>
              <w:t>2,000,000</w:t>
            </w:r>
          </w:p>
        </w:tc>
        <w:tc>
          <w:tcPr>
            <w:tcW w:w="240" w:type="dxa"/>
            <w:vAlign w:val="bottom"/>
            <w:shd w:val="clear" w:color="auto" w:fill="CEF0FC"/>
          </w:tcPr>
          <w:p>
            <w:pPr>
              <w:spacing w:after="0"/>
              <w:rPr>
                <w:sz w:val="11"/>
                <w:szCs w:val="11"/>
                <w:color w:val="auto"/>
              </w:rPr>
            </w:pPr>
          </w:p>
        </w:tc>
        <w:tc>
          <w:tcPr>
            <w:tcW w:w="120" w:type="dxa"/>
            <w:vAlign w:val="bottom"/>
            <w:tcBorders>
              <w:right w:val="single" w:sz="8" w:color="CEF0FC"/>
            </w:tcBorders>
            <w:shd w:val="clear" w:color="auto" w:fill="CEF0FC"/>
          </w:tcPr>
          <w:p>
            <w:pPr>
              <w:spacing w:after="0"/>
              <w:rPr>
                <w:sz w:val="11"/>
                <w:szCs w:val="11"/>
                <w:color w:val="auto"/>
              </w:rPr>
            </w:pPr>
          </w:p>
        </w:tc>
        <w:tc>
          <w:tcPr>
            <w:tcW w:w="940" w:type="dxa"/>
            <w:vAlign w:val="bottom"/>
            <w:vMerge w:val="restart"/>
            <w:shd w:val="clear" w:color="auto" w:fill="CE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0FC"/>
          </w:tcPr>
          <w:p>
            <w:pPr>
              <w:spacing w:after="0"/>
              <w:rPr>
                <w:sz w:val="11"/>
                <w:szCs w:val="11"/>
                <w:color w:val="auto"/>
              </w:rPr>
            </w:pPr>
          </w:p>
        </w:tc>
        <w:tc>
          <w:tcPr>
            <w:tcW w:w="560" w:type="dxa"/>
            <w:vAlign w:val="bottom"/>
            <w:shd w:val="clear" w:color="auto" w:fill="CE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EF0FC"/>
            </w:tcBorders>
            <w:shd w:val="clear" w:color="auto" w:fill="CEF0FC"/>
          </w:tcPr>
          <w:p>
            <w:pPr>
              <w:spacing w:after="0"/>
              <w:rPr>
                <w:sz w:val="14"/>
                <w:szCs w:val="14"/>
                <w:color w:val="auto"/>
              </w:rPr>
            </w:pPr>
          </w:p>
        </w:tc>
        <w:tc>
          <w:tcPr>
            <w:tcW w:w="2220" w:type="dxa"/>
            <w:vAlign w:val="bottom"/>
            <w:tcBorders>
              <w:bottom w:val="single" w:sz="8" w:color="CEF0FC"/>
            </w:tcBorders>
            <w:gridSpan w:val="7"/>
            <w:shd w:val="clear" w:color="auto" w:fill="CEF0FC"/>
          </w:tcPr>
          <w:p>
            <w:pPr>
              <w:spacing w:after="0"/>
              <w:rPr>
                <w:sz w:val="20"/>
                <w:szCs w:val="20"/>
                <w:color w:val="auto"/>
              </w:rPr>
            </w:pPr>
            <w:r>
              <w:rPr>
                <w:rFonts w:ascii="Arial" w:cs="Arial" w:eastAsia="Arial" w:hAnsi="Arial"/>
                <w:sz w:val="14"/>
                <w:szCs w:val="14"/>
                <w:b w:val="1"/>
                <w:bCs w:val="1"/>
                <w:color w:val="auto"/>
              </w:rPr>
              <w:t>Outsourced Services - 0.00%*</w:t>
            </w:r>
          </w:p>
        </w:tc>
        <w:tc>
          <w:tcPr>
            <w:tcW w:w="140" w:type="dxa"/>
            <w:vAlign w:val="bottom"/>
            <w:tcBorders>
              <w:bottom w:val="single" w:sz="8" w:color="CEF0FC"/>
            </w:tcBorders>
            <w:shd w:val="clear" w:color="auto" w:fill="CEF0FC"/>
          </w:tcPr>
          <w:p>
            <w:pPr>
              <w:spacing w:after="0"/>
              <w:rPr>
                <w:sz w:val="14"/>
                <w:szCs w:val="14"/>
                <w:color w:val="auto"/>
              </w:rPr>
            </w:pPr>
          </w:p>
        </w:tc>
        <w:tc>
          <w:tcPr>
            <w:tcW w:w="260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78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78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800" w:type="dxa"/>
            <w:vAlign w:val="bottom"/>
            <w:tcBorders>
              <w:bottom w:val="single" w:sz="8" w:color="CEF0FC"/>
            </w:tcBorders>
            <w:shd w:val="clear" w:color="auto" w:fill="CEF0FC"/>
          </w:tcPr>
          <w:p>
            <w:pPr>
              <w:spacing w:after="0"/>
              <w:rPr>
                <w:sz w:val="14"/>
                <w:szCs w:val="14"/>
                <w:color w:val="auto"/>
              </w:rPr>
            </w:pPr>
          </w:p>
        </w:tc>
        <w:tc>
          <w:tcPr>
            <w:tcW w:w="220" w:type="dxa"/>
            <w:vAlign w:val="bottom"/>
            <w:tcBorders>
              <w:bottom w:val="single" w:sz="8" w:color="CEF0FC"/>
            </w:tcBorders>
            <w:shd w:val="clear" w:color="auto" w:fill="CEF0FC"/>
          </w:tcPr>
          <w:p>
            <w:pPr>
              <w:spacing w:after="0"/>
              <w:rPr>
                <w:sz w:val="14"/>
                <w:szCs w:val="14"/>
                <w:color w:val="auto"/>
              </w:rPr>
            </w:pPr>
          </w:p>
        </w:tc>
        <w:tc>
          <w:tcPr>
            <w:tcW w:w="120" w:type="dxa"/>
            <w:vAlign w:val="bottom"/>
            <w:tcBorders>
              <w:bottom w:val="single" w:sz="8" w:color="auto"/>
            </w:tcBorders>
            <w:shd w:val="clear" w:color="auto" w:fill="CEF0FC"/>
          </w:tcPr>
          <w:p>
            <w:pPr>
              <w:spacing w:after="0"/>
              <w:rPr>
                <w:sz w:val="14"/>
                <w:szCs w:val="14"/>
                <w:color w:val="auto"/>
              </w:rPr>
            </w:pPr>
          </w:p>
        </w:tc>
        <w:tc>
          <w:tcPr>
            <w:tcW w:w="920" w:type="dxa"/>
            <w:vAlign w:val="bottom"/>
            <w:tcBorders>
              <w:bottom w:val="single" w:sz="8" w:color="auto"/>
            </w:tcBorders>
            <w:vMerge w:val="continue"/>
            <w:shd w:val="clear" w:color="auto" w:fill="CEF0FC"/>
          </w:tcPr>
          <w:p>
            <w:pPr>
              <w:spacing w:after="0"/>
              <w:rPr>
                <w:sz w:val="14"/>
                <w:szCs w:val="14"/>
                <w:color w:val="auto"/>
              </w:rPr>
            </w:pPr>
          </w:p>
        </w:tc>
        <w:tc>
          <w:tcPr>
            <w:tcW w:w="240" w:type="dxa"/>
            <w:vAlign w:val="bottom"/>
            <w:tcBorders>
              <w:bottom w:val="single" w:sz="8" w:color="CEF0FC"/>
            </w:tcBorders>
            <w:shd w:val="clear" w:color="auto" w:fill="CEF0FC"/>
          </w:tcPr>
          <w:p>
            <w:pPr>
              <w:spacing w:after="0"/>
              <w:rPr>
                <w:sz w:val="14"/>
                <w:szCs w:val="14"/>
                <w:color w:val="auto"/>
              </w:rPr>
            </w:pPr>
          </w:p>
        </w:tc>
        <w:tc>
          <w:tcPr>
            <w:tcW w:w="120" w:type="dxa"/>
            <w:vAlign w:val="bottom"/>
            <w:tcBorders>
              <w:bottom w:val="single" w:sz="8" w:color="auto"/>
              <w:right w:val="single" w:sz="8" w:color="CEF0FC"/>
            </w:tcBorders>
            <w:shd w:val="clear" w:color="auto" w:fill="CEF0FC"/>
          </w:tcPr>
          <w:p>
            <w:pPr>
              <w:spacing w:after="0"/>
              <w:rPr>
                <w:sz w:val="14"/>
                <w:szCs w:val="14"/>
                <w:color w:val="auto"/>
              </w:rPr>
            </w:pPr>
          </w:p>
        </w:tc>
        <w:tc>
          <w:tcPr>
            <w:tcW w:w="940" w:type="dxa"/>
            <w:vAlign w:val="bottom"/>
            <w:tcBorders>
              <w:bottom w:val="single" w:sz="8" w:color="auto"/>
            </w:tcBorders>
            <w:vMerge w:val="continue"/>
            <w:shd w:val="clear" w:color="auto" w:fill="CEF0FC"/>
          </w:tcPr>
          <w:p>
            <w:pPr>
              <w:spacing w:after="0"/>
              <w:rPr>
                <w:sz w:val="14"/>
                <w:szCs w:val="14"/>
                <w:color w:val="auto"/>
              </w:rPr>
            </w:pPr>
          </w:p>
        </w:tc>
        <w:tc>
          <w:tcPr>
            <w:tcW w:w="220" w:type="dxa"/>
            <w:vAlign w:val="bottom"/>
            <w:tcBorders>
              <w:bottom w:val="single" w:sz="8" w:color="CEF0FC"/>
            </w:tcBorders>
            <w:shd w:val="clear" w:color="auto" w:fill="CEF0FC"/>
          </w:tcPr>
          <w:p>
            <w:pPr>
              <w:spacing w:after="0"/>
              <w:rPr>
                <w:sz w:val="14"/>
                <w:szCs w:val="14"/>
                <w:color w:val="auto"/>
              </w:rPr>
            </w:pPr>
          </w:p>
        </w:tc>
        <w:tc>
          <w:tcPr>
            <w:tcW w:w="560" w:type="dxa"/>
            <w:vAlign w:val="bottom"/>
            <w:tcBorders>
              <w:bottom w:val="single" w:sz="8" w:color="CEF0FC"/>
            </w:tcBorders>
            <w:shd w:val="clear" w:color="auto" w:fill="CE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CEF0FC"/>
            </w:tcBorders>
            <w:shd w:val="clear" w:color="auto" w:fill="CEF0FC"/>
          </w:tcPr>
          <w:p>
            <w:pPr>
              <w:spacing w:after="0"/>
              <w:rPr>
                <w:sz w:val="15"/>
                <w:szCs w:val="15"/>
                <w:color w:val="auto"/>
              </w:rPr>
            </w:pPr>
          </w:p>
        </w:tc>
        <w:tc>
          <w:tcPr>
            <w:tcW w:w="2220" w:type="dxa"/>
            <w:vAlign w:val="bottom"/>
            <w:tcBorders>
              <w:bottom w:val="single" w:sz="8" w:color="CEF0FC"/>
            </w:tcBorders>
            <w:gridSpan w:val="7"/>
            <w:shd w:val="clear" w:color="auto" w:fill="CEF0FC"/>
          </w:tcPr>
          <w:p>
            <w:pPr>
              <w:spacing w:after="0"/>
              <w:rPr>
                <w:sz w:val="20"/>
                <w:szCs w:val="20"/>
                <w:color w:val="auto"/>
              </w:rPr>
            </w:pPr>
            <w:r>
              <w:rPr>
                <w:rFonts w:ascii="Arial" w:cs="Arial" w:eastAsia="Arial" w:hAnsi="Arial"/>
                <w:sz w:val="14"/>
                <w:szCs w:val="14"/>
                <w:b w:val="1"/>
                <w:bCs w:val="1"/>
                <w:color w:val="auto"/>
              </w:rPr>
              <w:t>Total Preferred Stocks - 0.00%*</w:t>
            </w:r>
          </w:p>
        </w:tc>
        <w:tc>
          <w:tcPr>
            <w:tcW w:w="140" w:type="dxa"/>
            <w:vAlign w:val="bottom"/>
            <w:tcBorders>
              <w:bottom w:val="single" w:sz="8" w:color="CEF0FC"/>
            </w:tcBorders>
            <w:shd w:val="clear" w:color="auto" w:fill="CEF0FC"/>
          </w:tcPr>
          <w:p>
            <w:pPr>
              <w:spacing w:after="0"/>
              <w:rPr>
                <w:sz w:val="15"/>
                <w:szCs w:val="15"/>
                <w:color w:val="auto"/>
              </w:rPr>
            </w:pPr>
          </w:p>
        </w:tc>
        <w:tc>
          <w:tcPr>
            <w:tcW w:w="2600" w:type="dxa"/>
            <w:vAlign w:val="bottom"/>
            <w:tcBorders>
              <w:bottom w:val="single" w:sz="8" w:color="CEF0FC"/>
            </w:tcBorders>
            <w:shd w:val="clear" w:color="auto" w:fill="CEF0FC"/>
          </w:tcPr>
          <w:p>
            <w:pPr>
              <w:spacing w:after="0"/>
              <w:rPr>
                <w:sz w:val="15"/>
                <w:szCs w:val="15"/>
                <w:color w:val="auto"/>
              </w:rPr>
            </w:pPr>
          </w:p>
        </w:tc>
        <w:tc>
          <w:tcPr>
            <w:tcW w:w="140" w:type="dxa"/>
            <w:vAlign w:val="bottom"/>
            <w:tcBorders>
              <w:bottom w:val="single" w:sz="8" w:color="CEF0FC"/>
            </w:tcBorders>
            <w:shd w:val="clear" w:color="auto" w:fill="CEF0FC"/>
          </w:tcPr>
          <w:p>
            <w:pPr>
              <w:spacing w:after="0"/>
              <w:rPr>
                <w:sz w:val="15"/>
                <w:szCs w:val="15"/>
                <w:color w:val="auto"/>
              </w:rPr>
            </w:pPr>
          </w:p>
        </w:tc>
        <w:tc>
          <w:tcPr>
            <w:tcW w:w="780" w:type="dxa"/>
            <w:vAlign w:val="bottom"/>
            <w:tcBorders>
              <w:bottom w:val="single" w:sz="8" w:color="CEF0FC"/>
            </w:tcBorders>
            <w:shd w:val="clear" w:color="auto" w:fill="CEF0FC"/>
          </w:tcPr>
          <w:p>
            <w:pPr>
              <w:spacing w:after="0"/>
              <w:rPr>
                <w:sz w:val="15"/>
                <w:szCs w:val="15"/>
                <w:color w:val="auto"/>
              </w:rPr>
            </w:pPr>
          </w:p>
        </w:tc>
        <w:tc>
          <w:tcPr>
            <w:tcW w:w="140" w:type="dxa"/>
            <w:vAlign w:val="bottom"/>
            <w:tcBorders>
              <w:bottom w:val="single" w:sz="8" w:color="CEF0FC"/>
            </w:tcBorders>
            <w:shd w:val="clear" w:color="auto" w:fill="CEF0FC"/>
          </w:tcPr>
          <w:p>
            <w:pPr>
              <w:spacing w:after="0"/>
              <w:rPr>
                <w:sz w:val="15"/>
                <w:szCs w:val="15"/>
                <w:color w:val="auto"/>
              </w:rPr>
            </w:pPr>
          </w:p>
        </w:tc>
        <w:tc>
          <w:tcPr>
            <w:tcW w:w="780" w:type="dxa"/>
            <w:vAlign w:val="bottom"/>
            <w:tcBorders>
              <w:bottom w:val="single" w:sz="8" w:color="CEF0FC"/>
            </w:tcBorders>
            <w:shd w:val="clear" w:color="auto" w:fill="CEF0FC"/>
          </w:tcPr>
          <w:p>
            <w:pPr>
              <w:spacing w:after="0"/>
              <w:rPr>
                <w:sz w:val="15"/>
                <w:szCs w:val="15"/>
                <w:color w:val="auto"/>
              </w:rPr>
            </w:pPr>
          </w:p>
        </w:tc>
        <w:tc>
          <w:tcPr>
            <w:tcW w:w="140" w:type="dxa"/>
            <w:vAlign w:val="bottom"/>
            <w:tcBorders>
              <w:bottom w:val="single" w:sz="8" w:color="CEF0FC"/>
            </w:tcBorders>
            <w:shd w:val="clear" w:color="auto" w:fill="CEF0FC"/>
          </w:tcPr>
          <w:p>
            <w:pPr>
              <w:spacing w:after="0"/>
              <w:rPr>
                <w:sz w:val="15"/>
                <w:szCs w:val="15"/>
                <w:color w:val="auto"/>
              </w:rPr>
            </w:pPr>
          </w:p>
        </w:tc>
        <w:tc>
          <w:tcPr>
            <w:tcW w:w="140" w:type="dxa"/>
            <w:vAlign w:val="bottom"/>
            <w:tcBorders>
              <w:bottom w:val="single" w:sz="8" w:color="CEF0FC"/>
            </w:tcBorders>
            <w:shd w:val="clear" w:color="auto" w:fill="CEF0FC"/>
          </w:tcPr>
          <w:p>
            <w:pPr>
              <w:spacing w:after="0"/>
              <w:rPr>
                <w:sz w:val="15"/>
                <w:szCs w:val="15"/>
                <w:color w:val="auto"/>
              </w:rPr>
            </w:pPr>
          </w:p>
        </w:tc>
        <w:tc>
          <w:tcPr>
            <w:tcW w:w="800" w:type="dxa"/>
            <w:vAlign w:val="bottom"/>
            <w:tcBorders>
              <w:bottom w:val="single" w:sz="8" w:color="CEF0FC"/>
            </w:tcBorders>
            <w:shd w:val="clear" w:color="auto" w:fill="CEF0FC"/>
          </w:tcPr>
          <w:p>
            <w:pPr>
              <w:spacing w:after="0"/>
              <w:rPr>
                <w:sz w:val="15"/>
                <w:szCs w:val="15"/>
                <w:color w:val="auto"/>
              </w:rPr>
            </w:pPr>
          </w:p>
        </w:tc>
        <w:tc>
          <w:tcPr>
            <w:tcW w:w="220" w:type="dxa"/>
            <w:vAlign w:val="bottom"/>
            <w:tcBorders>
              <w:bottom w:val="single" w:sz="8" w:color="CEF0FC"/>
            </w:tcBorders>
            <w:shd w:val="clear" w:color="auto" w:fill="CEF0FC"/>
          </w:tcPr>
          <w:p>
            <w:pPr>
              <w:spacing w:after="0"/>
              <w:rPr>
                <w:sz w:val="15"/>
                <w:szCs w:val="15"/>
                <w:color w:val="auto"/>
              </w:rPr>
            </w:pPr>
          </w:p>
        </w:tc>
        <w:tc>
          <w:tcPr>
            <w:tcW w:w="120" w:type="dxa"/>
            <w:vAlign w:val="bottom"/>
            <w:tcBorders>
              <w:bottom w:val="single" w:sz="8" w:color="auto"/>
            </w:tcBorders>
            <w:shd w:val="clear" w:color="auto" w:fill="CEF0FC"/>
          </w:tcPr>
          <w:p>
            <w:pPr>
              <w:spacing w:after="0"/>
              <w:rPr>
                <w:sz w:val="15"/>
                <w:szCs w:val="15"/>
                <w:color w:val="auto"/>
              </w:rPr>
            </w:pPr>
          </w:p>
        </w:tc>
        <w:tc>
          <w:tcPr>
            <w:tcW w:w="92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4"/>
                <w:szCs w:val="14"/>
                <w:color w:val="auto"/>
              </w:rPr>
              <w:t>2,000,000</w:t>
            </w:r>
          </w:p>
        </w:tc>
        <w:tc>
          <w:tcPr>
            <w:tcW w:w="240" w:type="dxa"/>
            <w:vAlign w:val="bottom"/>
            <w:tcBorders>
              <w:bottom w:val="single" w:sz="8" w:color="CEF0FC"/>
            </w:tcBorders>
            <w:shd w:val="clear" w:color="auto" w:fill="CEF0FC"/>
          </w:tcPr>
          <w:p>
            <w:pPr>
              <w:spacing w:after="0"/>
              <w:rPr>
                <w:sz w:val="15"/>
                <w:szCs w:val="15"/>
                <w:color w:val="auto"/>
              </w:rPr>
            </w:pPr>
          </w:p>
        </w:tc>
        <w:tc>
          <w:tcPr>
            <w:tcW w:w="120" w:type="dxa"/>
            <w:vAlign w:val="bottom"/>
            <w:tcBorders>
              <w:bottom w:val="single" w:sz="8" w:color="auto"/>
              <w:right w:val="single" w:sz="8" w:color="CEF0FC"/>
            </w:tcBorders>
            <w:shd w:val="clear" w:color="auto" w:fill="CEF0FC"/>
          </w:tcPr>
          <w:p>
            <w:pPr>
              <w:spacing w:after="0"/>
              <w:rPr>
                <w:sz w:val="15"/>
                <w:szCs w:val="15"/>
                <w:color w:val="auto"/>
              </w:rPr>
            </w:pPr>
          </w:p>
        </w:tc>
        <w:tc>
          <w:tcPr>
            <w:tcW w:w="94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EF0FC"/>
            </w:tcBorders>
            <w:shd w:val="clear" w:color="auto" w:fill="CEF0FC"/>
          </w:tcPr>
          <w:p>
            <w:pPr>
              <w:spacing w:after="0"/>
              <w:rPr>
                <w:sz w:val="15"/>
                <w:szCs w:val="15"/>
                <w:color w:val="auto"/>
              </w:rPr>
            </w:pPr>
          </w:p>
        </w:tc>
        <w:tc>
          <w:tcPr>
            <w:tcW w:w="560" w:type="dxa"/>
            <w:vAlign w:val="bottom"/>
            <w:tcBorders>
              <w:bottom w:val="single" w:sz="8" w:color="CEF0FC"/>
            </w:tcBorders>
            <w:shd w:val="clear" w:color="auto" w:fill="CE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CEF0FC"/>
            </w:tcBorders>
            <w:shd w:val="clear" w:color="auto" w:fill="CEF0FC"/>
          </w:tcPr>
          <w:p>
            <w:pPr>
              <w:spacing w:after="0"/>
              <w:rPr>
                <w:sz w:val="14"/>
                <w:szCs w:val="14"/>
                <w:color w:val="auto"/>
              </w:rPr>
            </w:pPr>
          </w:p>
        </w:tc>
        <w:tc>
          <w:tcPr>
            <w:tcW w:w="2140" w:type="dxa"/>
            <w:vAlign w:val="bottom"/>
            <w:tcBorders>
              <w:bottom w:val="single" w:sz="8" w:color="auto"/>
            </w:tcBorders>
            <w:gridSpan w:val="5"/>
            <w:shd w:val="clear" w:color="auto" w:fill="CEF0FC"/>
          </w:tcPr>
          <w:p>
            <w:pPr>
              <w:spacing w:after="0"/>
              <w:rPr>
                <w:sz w:val="20"/>
                <w:szCs w:val="20"/>
                <w:color w:val="auto"/>
              </w:rPr>
            </w:pPr>
            <w:r>
              <w:rPr>
                <w:rFonts w:ascii="Arial" w:cs="Arial" w:eastAsia="Arial" w:hAnsi="Arial"/>
                <w:sz w:val="14"/>
                <w:szCs w:val="14"/>
                <w:b w:val="1"/>
                <w:bCs w:val="1"/>
                <w:color w:val="auto"/>
                <w:w w:val="93"/>
              </w:rPr>
              <w:t>Total Control Investments (0.95%)</w:t>
            </w:r>
          </w:p>
        </w:tc>
        <w:tc>
          <w:tcPr>
            <w:tcW w:w="80" w:type="dxa"/>
            <w:vAlign w:val="bottom"/>
            <w:tcBorders>
              <w:bottom w:val="single" w:sz="8" w:color="CEF0FC"/>
            </w:tcBorders>
            <w:gridSpan w:val="2"/>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260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78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78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140" w:type="dxa"/>
            <w:vAlign w:val="bottom"/>
            <w:tcBorders>
              <w:bottom w:val="single" w:sz="8" w:color="CEF0FC"/>
            </w:tcBorders>
            <w:shd w:val="clear" w:color="auto" w:fill="CEF0FC"/>
          </w:tcPr>
          <w:p>
            <w:pPr>
              <w:spacing w:after="0"/>
              <w:rPr>
                <w:sz w:val="14"/>
                <w:szCs w:val="14"/>
                <w:color w:val="auto"/>
              </w:rPr>
            </w:pPr>
          </w:p>
        </w:tc>
        <w:tc>
          <w:tcPr>
            <w:tcW w:w="800" w:type="dxa"/>
            <w:vAlign w:val="bottom"/>
            <w:tcBorders>
              <w:bottom w:val="single" w:sz="8" w:color="CEF0FC"/>
            </w:tcBorders>
            <w:shd w:val="clear" w:color="auto" w:fill="CEF0FC"/>
          </w:tcPr>
          <w:p>
            <w:pPr>
              <w:spacing w:after="0"/>
              <w:rPr>
                <w:sz w:val="14"/>
                <w:szCs w:val="14"/>
                <w:color w:val="auto"/>
              </w:rPr>
            </w:pPr>
          </w:p>
        </w:tc>
        <w:tc>
          <w:tcPr>
            <w:tcW w:w="220" w:type="dxa"/>
            <w:vAlign w:val="bottom"/>
            <w:tcBorders>
              <w:bottom w:val="single" w:sz="8" w:color="CEF0FC"/>
            </w:tcBorders>
            <w:shd w:val="clear" w:color="auto" w:fill="CEF0FC"/>
          </w:tcPr>
          <w:p>
            <w:pPr>
              <w:spacing w:after="0"/>
              <w:rPr>
                <w:sz w:val="14"/>
                <w:szCs w:val="14"/>
                <w:color w:val="auto"/>
              </w:rPr>
            </w:pPr>
          </w:p>
        </w:tc>
        <w:tc>
          <w:tcPr>
            <w:tcW w:w="120" w:type="dxa"/>
            <w:vAlign w:val="bottom"/>
            <w:tcBorders>
              <w:bottom w:val="single" w:sz="8" w:color="auto"/>
            </w:tcBorders>
            <w:shd w:val="clear" w:color="auto" w:fill="CEF0FC"/>
          </w:tcPr>
          <w:p>
            <w:pPr>
              <w:spacing w:after="0"/>
              <w:rPr>
                <w:sz w:val="14"/>
                <w:szCs w:val="14"/>
                <w:color w:val="auto"/>
              </w:rPr>
            </w:pPr>
          </w:p>
        </w:tc>
        <w:tc>
          <w:tcPr>
            <w:tcW w:w="92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4"/>
                <w:szCs w:val="14"/>
                <w:color w:val="auto"/>
              </w:rPr>
              <w:t>21,172,353</w:t>
            </w:r>
          </w:p>
        </w:tc>
        <w:tc>
          <w:tcPr>
            <w:tcW w:w="240" w:type="dxa"/>
            <w:vAlign w:val="bottom"/>
            <w:tcBorders>
              <w:bottom w:val="single" w:sz="8" w:color="CEF0FC"/>
            </w:tcBorders>
            <w:shd w:val="clear" w:color="auto" w:fill="CEF0FC"/>
          </w:tcPr>
          <w:p>
            <w:pPr>
              <w:spacing w:after="0"/>
              <w:rPr>
                <w:sz w:val="14"/>
                <w:szCs w:val="14"/>
                <w:color w:val="auto"/>
              </w:rPr>
            </w:pPr>
          </w:p>
        </w:tc>
        <w:tc>
          <w:tcPr>
            <w:tcW w:w="120" w:type="dxa"/>
            <w:vAlign w:val="bottom"/>
            <w:tcBorders>
              <w:bottom w:val="single" w:sz="8" w:color="auto"/>
              <w:right w:val="single" w:sz="8" w:color="CEF0FC"/>
            </w:tcBorders>
            <w:shd w:val="clear" w:color="auto" w:fill="CEF0FC"/>
          </w:tcPr>
          <w:p>
            <w:pPr>
              <w:spacing w:after="0"/>
              <w:rPr>
                <w:sz w:val="14"/>
                <w:szCs w:val="14"/>
                <w:color w:val="auto"/>
              </w:rPr>
            </w:pPr>
          </w:p>
        </w:tc>
        <w:tc>
          <w:tcPr>
            <w:tcW w:w="940" w:type="dxa"/>
            <w:vAlign w:val="bottom"/>
            <w:tcBorders>
              <w:bottom w:val="single" w:sz="8" w:color="auto"/>
            </w:tcBorders>
            <w:shd w:val="clear" w:color="auto" w:fill="CEF0FC"/>
          </w:tcPr>
          <w:p>
            <w:pPr>
              <w:jc w:val="right"/>
              <w:spacing w:after="0"/>
              <w:rPr>
                <w:sz w:val="20"/>
                <w:szCs w:val="20"/>
                <w:color w:val="auto"/>
              </w:rPr>
            </w:pPr>
            <w:r>
              <w:rPr>
                <w:rFonts w:ascii="Arial" w:cs="Arial" w:eastAsia="Arial" w:hAnsi="Arial"/>
                <w:sz w:val="14"/>
                <w:szCs w:val="14"/>
                <w:color w:val="auto"/>
              </w:rPr>
              <w:t>5,521,301</w:t>
            </w:r>
          </w:p>
        </w:tc>
        <w:tc>
          <w:tcPr>
            <w:tcW w:w="220" w:type="dxa"/>
            <w:vAlign w:val="bottom"/>
            <w:tcBorders>
              <w:bottom w:val="single" w:sz="8" w:color="CEF0FC"/>
            </w:tcBorders>
            <w:shd w:val="clear" w:color="auto" w:fill="CEF0FC"/>
          </w:tcPr>
          <w:p>
            <w:pPr>
              <w:spacing w:after="0"/>
              <w:rPr>
                <w:sz w:val="14"/>
                <w:szCs w:val="14"/>
                <w:color w:val="auto"/>
              </w:rPr>
            </w:pPr>
          </w:p>
        </w:tc>
        <w:tc>
          <w:tcPr>
            <w:tcW w:w="560" w:type="dxa"/>
            <w:vAlign w:val="bottom"/>
            <w:tcBorders>
              <w:bottom w:val="single" w:sz="8" w:color="CEF0FC"/>
            </w:tcBorders>
            <w:shd w:val="clear" w:color="auto" w:fill="CE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20" w:type="dxa"/>
            <w:vAlign w:val="bottom"/>
            <w:gridSpan w:val="7"/>
          </w:tcPr>
          <w:p>
            <w:pPr>
              <w:spacing w:after="0" w:line="155" w:lineRule="exact"/>
              <w:rPr>
                <w:sz w:val="20"/>
                <w:szCs w:val="20"/>
                <w:color w:val="auto"/>
              </w:rPr>
            </w:pPr>
            <w:r>
              <w:rPr>
                <w:rFonts w:ascii="Arial" w:cs="Arial" w:eastAsia="Arial" w:hAnsi="Arial"/>
                <w:sz w:val="14"/>
                <w:szCs w:val="14"/>
                <w:b w:val="1"/>
                <w:bCs w:val="1"/>
                <w:color w:val="auto"/>
              </w:rPr>
              <w:t>Total Investments (139.40%)</w:t>
            </w: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55" w:lineRule="exact"/>
              <w:rPr>
                <w:sz w:val="20"/>
                <w:szCs w:val="20"/>
                <w:color w:val="auto"/>
              </w:rPr>
            </w:pPr>
            <w:r>
              <w:rPr>
                <w:rFonts w:ascii="Arial" w:cs="Arial" w:eastAsia="Arial" w:hAnsi="Arial"/>
                <w:sz w:val="14"/>
                <w:szCs w:val="14"/>
                <w:color w:val="auto"/>
              </w:rPr>
              <w:t>830,971,495</w:t>
            </w:r>
          </w:p>
        </w:tc>
        <w:tc>
          <w:tcPr>
            <w:tcW w:w="3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940" w:type="dxa"/>
            <w:vAlign w:val="bottom"/>
          </w:tcPr>
          <w:p>
            <w:pPr>
              <w:jc w:val="right"/>
              <w:spacing w:after="0" w:line="155" w:lineRule="exact"/>
              <w:rPr>
                <w:sz w:val="20"/>
                <w:szCs w:val="20"/>
                <w:color w:val="auto"/>
              </w:rPr>
            </w:pPr>
            <w:r>
              <w:rPr>
                <w:rFonts w:ascii="Arial" w:cs="Arial" w:eastAsia="Arial" w:hAnsi="Arial"/>
                <w:sz w:val="14"/>
                <w:szCs w:val="14"/>
                <w:color w:val="auto"/>
              </w:rPr>
              <w:t>807,728,604</w:t>
            </w: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-4531360</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-4531360</wp:posOffset>
            </wp:positionV>
            <wp:extent cx="6858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-3759835</wp:posOffset>
            </wp:positionV>
            <wp:extent cx="6858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-3759835</wp:posOffset>
            </wp:positionV>
            <wp:extent cx="6858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-3528060</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-3528060</wp:posOffset>
            </wp:positionV>
            <wp:extent cx="68580"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-3074035</wp:posOffset>
            </wp:positionV>
            <wp:extent cx="6858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-3074035</wp:posOffset>
            </wp:positionV>
            <wp:extent cx="6858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-2516505</wp:posOffset>
            </wp:positionV>
            <wp:extent cx="6858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-2516505</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-1882140</wp:posOffset>
            </wp:positionV>
            <wp:extent cx="6858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-1882140</wp:posOffset>
            </wp:positionV>
            <wp:extent cx="6858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-605155</wp:posOffset>
            </wp:positionV>
            <wp:extent cx="6858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-605155</wp:posOffset>
            </wp:positionV>
            <wp:extent cx="6858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-373380</wp:posOffset>
            </wp:positionV>
            <wp:extent cx="6858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-373380</wp:posOffset>
            </wp:positionV>
            <wp:extent cx="6858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-142240</wp:posOffset>
            </wp:positionV>
            <wp:extent cx="6858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-142240</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4" w:lineRule="exact"/>
        <w:rPr>
          <w:sz w:val="20"/>
          <w:szCs w:val="20"/>
          <w:color w:val="auto"/>
        </w:rPr>
      </w:pPr>
    </w:p>
    <w:p>
      <w:pPr>
        <w:jc w:val="both"/>
        <w:ind w:left="760" w:hanging="374"/>
        <w:spacing w:after="0" w:line="169" w:lineRule="exact"/>
        <w:tabs>
          <w:tab w:leader="none" w:pos="76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w:t>
      </w:r>
      <w:r>
        <w:rPr>
          <w:rFonts w:ascii="MS PGothic" w:cs="MS PGothic" w:eastAsia="MS PGothic" w:hAnsi="MS PGothic"/>
          <w:sz w:val="14"/>
          <w:szCs w:val="14"/>
          <w:color w:val="auto"/>
        </w:rPr>
        <w:t>‑</w:t>
      </w:r>
      <w:r>
        <w:rPr>
          <w:rFonts w:ascii="Arial" w:cs="Arial" w:eastAsia="Arial" w:hAnsi="Arial"/>
          <w:sz w:val="14"/>
          <w:szCs w:val="14"/>
          <w:color w:val="auto"/>
        </w:rPr>
        <w:t>Month London Interbank Offered Rate (“LIBOR”), the U.S. Prime Rate, or the 3-Month SOFR. At June 30, 2022, the 3</w:t>
      </w:r>
      <w:r>
        <w:rPr>
          <w:rFonts w:ascii="MS PGothic" w:cs="MS PGothic" w:eastAsia="MS PGothic" w:hAnsi="MS PGothic"/>
          <w:sz w:val="14"/>
          <w:szCs w:val="14"/>
          <w:color w:val="auto"/>
        </w:rPr>
        <w:t>‑</w:t>
      </w:r>
      <w:r>
        <w:rPr>
          <w:rFonts w:ascii="Arial" w:cs="Arial" w:eastAsia="Arial" w:hAnsi="Arial"/>
          <w:sz w:val="14"/>
          <w:szCs w:val="14"/>
          <w:color w:val="auto"/>
        </w:rPr>
        <w:t>Month LIBOR was 2.29%, the U.S. Prime Rate was 4.75% and the 3-Month SOFR was 2.12%.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10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326" w:lineRule="exact"/>
        <w:rPr>
          <w:sz w:val="20"/>
          <w:szCs w:val="20"/>
          <w:color w:val="auto"/>
        </w:rPr>
      </w:pPr>
    </w:p>
    <w:p>
      <w:pPr>
        <w:jc w:val="both"/>
        <w:ind w:left="760" w:hanging="374"/>
        <w:spacing w:after="0" w:line="203" w:lineRule="auto"/>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p>
      <w:pPr>
        <w:spacing w:after="0" w:line="196" w:lineRule="exact"/>
        <w:rPr>
          <w:rFonts w:ascii="Arial" w:cs="Arial" w:eastAsia="Arial" w:hAnsi="Arial"/>
          <w:sz w:val="24"/>
          <w:szCs w:val="24"/>
          <w:color w:val="auto"/>
          <w:vertAlign w:val="superscript"/>
        </w:rPr>
      </w:pPr>
    </w:p>
    <w:p>
      <w:pPr>
        <w:jc w:val="both"/>
        <w:ind w:left="760" w:hanging="374"/>
        <w:spacing w:after="0" w:line="211" w:lineRule="auto"/>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Investment is not a qualifying asset as defined under Section 55(a) of the Investment Company Act of 1940, as amended (the “1940 Act”). Non-qualifying assets at fair value represent 13.91% of total assets as of June 30, 2022.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116" w:lineRule="exact"/>
        <w:rPr>
          <w:rFonts w:ascii="Arial" w:cs="Arial" w:eastAsia="Arial" w:hAnsi="Arial"/>
          <w:sz w:val="24"/>
          <w:szCs w:val="24"/>
          <w:color w:val="auto"/>
          <w:vertAlign w:val="superscript"/>
        </w:rPr>
      </w:pPr>
    </w:p>
    <w:p>
      <w:pPr>
        <w:ind w:left="760" w:hanging="374"/>
        <w:spacing w:after="0"/>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Represents a PIK security. PIK interest is accrued and will be paid at maturity.</w:t>
      </w:r>
    </w:p>
    <w:p>
      <w:pPr>
        <w:spacing w:after="0" w:line="102" w:lineRule="exact"/>
        <w:rPr>
          <w:rFonts w:ascii="Arial" w:cs="Arial" w:eastAsia="Arial" w:hAnsi="Arial"/>
          <w:sz w:val="24"/>
          <w:szCs w:val="24"/>
          <w:color w:val="auto"/>
          <w:vertAlign w:val="superscript"/>
        </w:rPr>
      </w:pPr>
    </w:p>
    <w:p>
      <w:pPr>
        <w:ind w:left="760" w:hanging="374"/>
        <w:spacing w:after="0"/>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Disclosures of end-of-term-payments (“ETP”) are one-time payments stated as a percentage of original principal amount.</w:t>
      </w:r>
    </w:p>
    <w:p>
      <w:pPr>
        <w:spacing w:after="0" w:line="102" w:lineRule="exact"/>
        <w:rPr>
          <w:rFonts w:ascii="Arial" w:cs="Arial" w:eastAsia="Arial" w:hAnsi="Arial"/>
          <w:sz w:val="24"/>
          <w:szCs w:val="24"/>
          <w:color w:val="auto"/>
          <w:vertAlign w:val="superscript"/>
        </w:rPr>
      </w:pPr>
    </w:p>
    <w:p>
      <w:pPr>
        <w:ind w:left="760" w:hanging="374"/>
        <w:spacing w:after="0"/>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Investments are held at Fair Value net of the Fair Value of Unfunded Commitments. See Note 3 for additional detail.</w:t>
      </w:r>
    </w:p>
    <w:p>
      <w:pPr>
        <w:spacing w:after="0" w:line="115" w:lineRule="exact"/>
        <w:rPr>
          <w:rFonts w:ascii="Arial" w:cs="Arial" w:eastAsia="Arial" w:hAnsi="Arial"/>
          <w:sz w:val="24"/>
          <w:szCs w:val="24"/>
          <w:color w:val="auto"/>
          <w:vertAlign w:val="superscript"/>
        </w:rPr>
      </w:pPr>
    </w:p>
    <w:p>
      <w:pPr>
        <w:ind w:left="760" w:hanging="374"/>
        <w:spacing w:after="0"/>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Investments are non-income producing.</w:t>
      </w:r>
    </w:p>
    <w:p>
      <w:pPr>
        <w:spacing w:after="0" w:line="102" w:lineRule="exact"/>
        <w:rPr>
          <w:rFonts w:ascii="Arial" w:cs="Arial" w:eastAsia="Arial" w:hAnsi="Arial"/>
          <w:sz w:val="24"/>
          <w:szCs w:val="24"/>
          <w:color w:val="auto"/>
          <w:vertAlign w:val="superscript"/>
        </w:rPr>
      </w:pPr>
    </w:p>
    <w:p>
      <w:pPr>
        <w:ind w:left="760" w:hanging="374"/>
        <w:spacing w:after="0"/>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The investment is an eligible loan investment in the collateral under the Credit Agreement (as defined in Note 10).</w:t>
      </w:r>
    </w:p>
    <w:p>
      <w:pPr>
        <w:spacing w:after="0" w:line="102" w:lineRule="exact"/>
        <w:rPr>
          <w:rFonts w:ascii="Arial" w:cs="Arial" w:eastAsia="Arial" w:hAnsi="Arial"/>
          <w:sz w:val="24"/>
          <w:szCs w:val="24"/>
          <w:color w:val="auto"/>
          <w:vertAlign w:val="superscript"/>
        </w:rPr>
      </w:pPr>
    </w:p>
    <w:p>
      <w:pPr>
        <w:ind w:left="760" w:hanging="374"/>
        <w:spacing w:after="0"/>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All investments are domiciled in the United States, unless otherwise noted.</w:t>
      </w:r>
    </w:p>
    <w:p>
      <w:pPr>
        <w:spacing w:after="0" w:line="115" w:lineRule="exact"/>
        <w:rPr>
          <w:rFonts w:ascii="Arial" w:cs="Arial" w:eastAsia="Arial" w:hAnsi="Arial"/>
          <w:sz w:val="24"/>
          <w:szCs w:val="24"/>
          <w:color w:val="auto"/>
          <w:vertAlign w:val="superscript"/>
        </w:rPr>
      </w:pPr>
    </w:p>
    <w:p>
      <w:pPr>
        <w:ind w:left="760" w:hanging="374"/>
        <w:spacing w:after="0"/>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Investment is domiciled in Canada.</w:t>
      </w:r>
    </w:p>
    <w:p>
      <w:pPr>
        <w:spacing w:after="0" w:line="102" w:lineRule="exact"/>
        <w:rPr>
          <w:rFonts w:ascii="Arial" w:cs="Arial" w:eastAsia="Arial" w:hAnsi="Arial"/>
          <w:sz w:val="24"/>
          <w:szCs w:val="24"/>
          <w:color w:val="auto"/>
          <w:vertAlign w:val="superscript"/>
        </w:rPr>
      </w:pPr>
    </w:p>
    <w:p>
      <w:pPr>
        <w:ind w:left="760" w:hanging="374"/>
        <w:spacing w:after="0"/>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Investment is domiciled in Germany.</w:t>
      </w:r>
    </w:p>
    <w:p>
      <w:pPr>
        <w:spacing w:after="0" w:line="102" w:lineRule="exact"/>
        <w:rPr>
          <w:rFonts w:ascii="Arial" w:cs="Arial" w:eastAsia="Arial" w:hAnsi="Arial"/>
          <w:sz w:val="24"/>
          <w:szCs w:val="24"/>
          <w:color w:val="auto"/>
          <w:vertAlign w:val="superscript"/>
        </w:rPr>
      </w:pPr>
    </w:p>
    <w:p>
      <w:pPr>
        <w:ind w:left="760" w:hanging="374"/>
        <w:spacing w:after="0"/>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Investment is domiciled in the United Kingdom.</w:t>
      </w:r>
    </w:p>
    <w:p>
      <w:pPr>
        <w:spacing w:after="0" w:line="115" w:lineRule="exact"/>
        <w:rPr>
          <w:rFonts w:ascii="Arial" w:cs="Arial" w:eastAsia="Arial" w:hAnsi="Arial"/>
          <w:sz w:val="24"/>
          <w:szCs w:val="24"/>
          <w:color w:val="auto"/>
          <w:vertAlign w:val="superscript"/>
        </w:rPr>
      </w:pPr>
    </w:p>
    <w:p>
      <w:pPr>
        <w:ind w:left="760" w:hanging="374"/>
        <w:spacing w:after="0"/>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195" w:lineRule="exact"/>
        <w:rPr>
          <w:rFonts w:ascii="Arial" w:cs="Arial" w:eastAsia="Arial" w:hAnsi="Arial"/>
          <w:sz w:val="24"/>
          <w:szCs w:val="24"/>
          <w:color w:val="auto"/>
          <w:vertAlign w:val="superscript"/>
        </w:rPr>
      </w:pPr>
    </w:p>
    <w:p>
      <w:pPr>
        <w:ind w:left="760" w:hanging="374"/>
        <w:spacing w:after="0" w:line="189" w:lineRule="auto"/>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Control investment, as defined under the 1940 Act, in which the Company owns more than 25% of the investment’s voting securities or has greater than 50% representation on its board.</w:t>
      </w:r>
    </w:p>
    <w:p>
      <w:pPr>
        <w:spacing w:after="0" w:line="102" w:lineRule="exact"/>
        <w:rPr>
          <w:rFonts w:ascii="Arial" w:cs="Arial" w:eastAsia="Arial" w:hAnsi="Arial"/>
          <w:sz w:val="24"/>
          <w:szCs w:val="24"/>
          <w:color w:val="auto"/>
          <w:vertAlign w:val="superscript"/>
        </w:rPr>
      </w:pPr>
    </w:p>
    <w:p>
      <w:pPr>
        <w:ind w:left="760" w:hanging="374"/>
        <w:spacing w:after="0"/>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Investment is publicly traded and listed on NASDAQ.</w:t>
      </w:r>
    </w:p>
    <w:p>
      <w:pPr>
        <w:spacing w:after="0" w:line="115" w:lineRule="exact"/>
        <w:rPr>
          <w:rFonts w:ascii="Arial" w:cs="Arial" w:eastAsia="Arial" w:hAnsi="Arial"/>
          <w:sz w:val="24"/>
          <w:szCs w:val="24"/>
          <w:color w:val="auto"/>
          <w:vertAlign w:val="superscript"/>
        </w:rPr>
      </w:pPr>
    </w:p>
    <w:p>
      <w:pPr>
        <w:ind w:left="760" w:hanging="374"/>
        <w:spacing w:after="0"/>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The warrant count is based upon a percentage of ownership of Fidelis Cybersecurity, Inc.</w:t>
      </w:r>
    </w:p>
    <w:p>
      <w:pPr>
        <w:spacing w:after="0" w:line="102" w:lineRule="exact"/>
        <w:rPr>
          <w:rFonts w:ascii="Arial" w:cs="Arial" w:eastAsia="Arial" w:hAnsi="Arial"/>
          <w:sz w:val="24"/>
          <w:szCs w:val="24"/>
          <w:color w:val="auto"/>
          <w:vertAlign w:val="superscript"/>
        </w:rPr>
      </w:pPr>
    </w:p>
    <w:p>
      <w:pPr>
        <w:ind w:left="760" w:hanging="374"/>
        <w:spacing w:after="0"/>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Investment is not a “restricted security” under the Securities Act.</w:t>
      </w:r>
    </w:p>
    <w:p>
      <w:pPr>
        <w:spacing w:after="0" w:line="195" w:lineRule="exact"/>
        <w:rPr>
          <w:rFonts w:ascii="Arial" w:cs="Arial" w:eastAsia="Arial" w:hAnsi="Arial"/>
          <w:sz w:val="24"/>
          <w:szCs w:val="24"/>
          <w:color w:val="auto"/>
          <w:vertAlign w:val="superscript"/>
        </w:rPr>
      </w:pPr>
    </w:p>
    <w:p>
      <w:pPr>
        <w:ind w:left="760" w:right="20" w:hanging="374"/>
        <w:spacing w:after="0" w:line="189" w:lineRule="auto"/>
        <w:tabs>
          <w:tab w:leader="none" w:pos="760" w:val="left"/>
        </w:tabs>
        <w:numPr>
          <w:ilvl w:val="0"/>
          <w:numId w:val="4"/>
        </w:numPr>
        <w:rPr>
          <w:rFonts w:ascii="Arial" w:cs="Arial" w:eastAsia="Arial" w:hAnsi="Arial"/>
          <w:sz w:val="24"/>
          <w:szCs w:val="24"/>
          <w:color w:val="auto"/>
          <w:vertAlign w:val="superscript"/>
        </w:rPr>
      </w:pPr>
      <w:r>
        <w:rPr>
          <w:rFonts w:ascii="Arial" w:cs="Arial" w:eastAsia="Arial" w:hAnsi="Arial"/>
          <w:sz w:val="14"/>
          <w:szCs w:val="14"/>
          <w:color w:val="auto"/>
        </w:rPr>
        <w:t>Affiliate investment as defined under the 1940 Act in which the Company owns between 5% and 25% (inclusive) of the voting securities and does not have rights to maintain greater than 50% of the board representation.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10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223"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The Company classifies its investment portfolio in accordance with the requirements of the 1940 Act. Control investments are investments in which the Company owns more than 25% of the voting securities or maintains greater than 50% of the board representation. Affiliate investments are investments in which the Company owns between 5% and 25% (inclusive) of the voting securities and does not have rights to maintain greater than 50% of the board representation. Transactions related to the Company’s affiliate and control investments during the six months ended June 30, 2022 are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gridSpan w:val="14"/>
          </w:tcPr>
          <w:p>
            <w:pPr>
              <w:jc w:val="right"/>
              <w:ind w:right="857"/>
              <w:spacing w:after="0"/>
              <w:rPr>
                <w:sz w:val="20"/>
                <w:szCs w:val="20"/>
                <w:color w:val="auto"/>
              </w:rPr>
            </w:pPr>
            <w:r>
              <w:rPr>
                <w:rFonts w:ascii="Arial" w:cs="Arial" w:eastAsia="Arial" w:hAnsi="Arial"/>
                <w:sz w:val="14"/>
                <w:szCs w:val="14"/>
                <w:b w:val="1"/>
                <w:bCs w:val="1"/>
                <w:color w:val="auto"/>
              </w:rPr>
              <w:t>For the Six Months Ended June 30, 2022 (Unaudited)</w:t>
            </w: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240" w:type="dxa"/>
            <w:vAlign w:val="bottom"/>
          </w:tcPr>
          <w:p>
            <w:pPr>
              <w:spacing w:after="0"/>
              <w:rPr>
                <w:sz w:val="11"/>
                <w:szCs w:val="11"/>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Net</w:t>
            </w:r>
          </w:p>
        </w:tc>
        <w:tc>
          <w:tcPr>
            <w:tcW w:w="1040" w:type="dxa"/>
            <w:vAlign w:val="bottom"/>
            <w:gridSpan w:val="3"/>
          </w:tcPr>
          <w:p>
            <w:pPr>
              <w:jc w:val="right"/>
              <w:ind w:right="217"/>
              <w:spacing w:after="0" w:line="133" w:lineRule="exact"/>
              <w:rPr>
                <w:sz w:val="20"/>
                <w:szCs w:val="20"/>
                <w:color w:val="auto"/>
              </w:rPr>
            </w:pPr>
            <w:r>
              <w:rPr>
                <w:rFonts w:ascii="Arial" w:cs="Arial" w:eastAsia="Arial" w:hAnsi="Arial"/>
                <w:sz w:val="14"/>
                <w:szCs w:val="14"/>
                <w:b w:val="1"/>
                <w:bCs w:val="1"/>
                <w:color w:val="auto"/>
                <w:w w:val="95"/>
              </w:rPr>
              <w:t>Net Change</w:t>
            </w:r>
          </w:p>
        </w:tc>
        <w:tc>
          <w:tcPr>
            <w:tcW w:w="80" w:type="dxa"/>
            <w:vAlign w:val="bottom"/>
          </w:tcPr>
          <w:p>
            <w:pPr>
              <w:spacing w:after="0"/>
              <w:rPr>
                <w:sz w:val="11"/>
                <w:szCs w:val="11"/>
                <w:color w:val="auto"/>
              </w:rPr>
            </w:pPr>
          </w:p>
        </w:tc>
        <w:tc>
          <w:tcPr>
            <w:tcW w:w="74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17"/>
              <w:spacing w:after="0"/>
              <w:rPr>
                <w:sz w:val="20"/>
                <w:szCs w:val="20"/>
                <w:color w:val="auto"/>
              </w:rPr>
            </w:pPr>
            <w:r>
              <w:rPr>
                <w:rFonts w:ascii="Arial" w:cs="Arial" w:eastAsia="Arial" w:hAnsi="Arial"/>
                <w:sz w:val="14"/>
                <w:szCs w:val="14"/>
                <w:b w:val="1"/>
                <w:bCs w:val="1"/>
                <w:color w:val="auto"/>
                <w:w w:val="96"/>
              </w:rPr>
              <w:t>in</w:t>
            </w: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Investment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96"/>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Realized</w:t>
            </w:r>
          </w:p>
        </w:tc>
        <w:tc>
          <w:tcPr>
            <w:tcW w:w="80" w:type="dxa"/>
            <w:vAlign w:val="bottom"/>
          </w:tcPr>
          <w:p>
            <w:pPr>
              <w:spacing w:after="0"/>
              <w:rPr>
                <w:sz w:val="15"/>
                <w:szCs w:val="15"/>
                <w:color w:val="auto"/>
              </w:rPr>
            </w:pPr>
          </w:p>
        </w:tc>
        <w:tc>
          <w:tcPr>
            <w:tcW w:w="960" w:type="dxa"/>
            <w:vAlign w:val="bottom"/>
            <w:gridSpan w:val="2"/>
          </w:tcPr>
          <w:p>
            <w:pPr>
              <w:jc w:val="center"/>
              <w:ind w:right="237"/>
              <w:spacing w:after="0"/>
              <w:rPr>
                <w:sz w:val="20"/>
                <w:szCs w:val="20"/>
                <w:color w:val="auto"/>
              </w:rPr>
            </w:pPr>
            <w:r>
              <w:rPr>
                <w:rFonts w:ascii="Arial" w:cs="Arial" w:eastAsia="Arial" w:hAnsi="Arial"/>
                <w:sz w:val="14"/>
                <w:szCs w:val="14"/>
                <w:b w:val="1"/>
                <w:bCs w:val="1"/>
                <w:color w:val="auto"/>
                <w:w w:val="93"/>
              </w:rPr>
              <w:t>Unrealized</w:t>
            </w:r>
          </w:p>
        </w:tc>
        <w:tc>
          <w:tcPr>
            <w:tcW w:w="8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85"/>
              </w:rPr>
              <w:t>as of</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2"/>
                <w:szCs w:val="12"/>
                <w:color w:val="auto"/>
              </w:rPr>
            </w:pP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December</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8"/>
              </w:rPr>
              <w:t>Gross</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right"/>
              <w:ind w:right="337"/>
              <w:spacing w:after="0"/>
              <w:rPr>
                <w:sz w:val="20"/>
                <w:szCs w:val="20"/>
                <w:color w:val="auto"/>
              </w:rPr>
            </w:pPr>
            <w:r>
              <w:rPr>
                <w:rFonts w:ascii="Arial" w:cs="Arial" w:eastAsia="Arial" w:hAnsi="Arial"/>
                <w:sz w:val="14"/>
                <w:szCs w:val="14"/>
                <w:b w:val="1"/>
                <w:bCs w:val="1"/>
                <w:color w:val="auto"/>
                <w:w w:val="98"/>
              </w:rPr>
              <w:t>Gross</w:t>
            </w:r>
          </w:p>
        </w:tc>
        <w:tc>
          <w:tcPr>
            <w:tcW w:w="80" w:type="dxa"/>
            <w:vAlign w:val="bottom"/>
          </w:tcPr>
          <w:p>
            <w:pPr>
              <w:spacing w:after="0"/>
              <w:rPr>
                <w:sz w:val="12"/>
                <w:szCs w:val="12"/>
                <w:color w:val="auto"/>
              </w:rPr>
            </w:pPr>
          </w:p>
        </w:tc>
        <w:tc>
          <w:tcPr>
            <w:tcW w:w="8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Gains</w:t>
            </w:r>
          </w:p>
        </w:tc>
        <w:tc>
          <w:tcPr>
            <w:tcW w:w="1040" w:type="dxa"/>
            <w:vAlign w:val="bottom"/>
            <w:gridSpan w:val="3"/>
          </w:tcPr>
          <w:p>
            <w:pPr>
              <w:jc w:val="center"/>
              <w:ind w:right="157"/>
              <w:spacing w:after="0" w:line="149" w:lineRule="exact"/>
              <w:rPr>
                <w:sz w:val="20"/>
                <w:szCs w:val="20"/>
                <w:color w:val="auto"/>
              </w:rPr>
            </w:pPr>
            <w:r>
              <w:rPr>
                <w:rFonts w:ascii="Arial" w:cs="Arial" w:eastAsia="Arial" w:hAnsi="Arial"/>
                <w:sz w:val="14"/>
                <w:szCs w:val="14"/>
                <w:b w:val="1"/>
                <w:bCs w:val="1"/>
                <w:color w:val="auto"/>
                <w:w w:val="96"/>
              </w:rPr>
              <w:t>Appreciatio</w:t>
            </w:r>
          </w:p>
        </w:tc>
        <w:tc>
          <w:tcPr>
            <w:tcW w:w="80" w:type="dxa"/>
            <w:vAlign w:val="bottom"/>
          </w:tcPr>
          <w:p>
            <w:pPr>
              <w:spacing w:after="0"/>
              <w:rPr>
                <w:sz w:val="12"/>
                <w:szCs w:val="12"/>
                <w:color w:val="auto"/>
              </w:rPr>
            </w:pPr>
          </w:p>
        </w:tc>
        <w:tc>
          <w:tcPr>
            <w:tcW w:w="74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Earned</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236"/>
              <w:spacing w:after="0"/>
              <w:rPr>
                <w:sz w:val="20"/>
                <w:szCs w:val="20"/>
                <w:color w:val="auto"/>
              </w:rPr>
            </w:pPr>
            <w:r>
              <w:rPr>
                <w:rFonts w:ascii="Arial" w:cs="Arial" w:eastAsia="Arial" w:hAnsi="Arial"/>
                <w:sz w:val="14"/>
                <w:szCs w:val="14"/>
                <w:b w:val="1"/>
                <w:bCs w:val="1"/>
                <w:color w:val="auto"/>
              </w:rPr>
              <w:t>31,</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217"/>
              <w:spacing w:after="0"/>
              <w:rPr>
                <w:sz w:val="20"/>
                <w:szCs w:val="20"/>
                <w:color w:val="auto"/>
              </w:rPr>
            </w:pPr>
            <w:r>
              <w:rPr>
                <w:rFonts w:ascii="Arial" w:cs="Arial" w:eastAsia="Arial" w:hAnsi="Arial"/>
                <w:sz w:val="14"/>
                <w:szCs w:val="14"/>
                <w:b w:val="1"/>
                <w:bCs w:val="1"/>
                <w:color w:val="auto"/>
                <w:w w:val="92"/>
              </w:rPr>
              <w:t>n</w:t>
            </w: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Portfolio Company</w:t>
            </w:r>
          </w:p>
        </w:tc>
        <w:tc>
          <w:tcPr>
            <w:tcW w:w="120" w:type="dxa"/>
            <w:vAlign w:val="bottom"/>
          </w:tcPr>
          <w:p>
            <w:pPr>
              <w:spacing w:after="0"/>
              <w:rPr>
                <w:sz w:val="12"/>
                <w:szCs w:val="12"/>
                <w:color w:val="auto"/>
              </w:rPr>
            </w:pPr>
          </w:p>
        </w:tc>
        <w:tc>
          <w:tcPr>
            <w:tcW w:w="2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Investment Description</w:t>
            </w:r>
          </w:p>
        </w:tc>
        <w:tc>
          <w:tcPr>
            <w:tcW w:w="80" w:type="dxa"/>
            <w:vAlign w:val="bottom"/>
          </w:tcPr>
          <w:p>
            <w:pPr>
              <w:spacing w:after="0"/>
              <w:rPr>
                <w:sz w:val="12"/>
                <w:szCs w:val="12"/>
                <w:color w:val="auto"/>
              </w:rPr>
            </w:pPr>
          </w:p>
        </w:tc>
        <w:tc>
          <w:tcPr>
            <w:tcW w:w="720" w:type="dxa"/>
            <w:vAlign w:val="bottom"/>
            <w:vMerge w:val="restart"/>
          </w:tcPr>
          <w:p>
            <w:pPr>
              <w:jc w:val="center"/>
              <w:ind w:right="16"/>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0"/>
                <w:szCs w:val="10"/>
                <w:b w:val="1"/>
                <w:bCs w:val="1"/>
                <w:color w:val="auto"/>
              </w:rPr>
              <w:t>(1</w:t>
            </w:r>
          </w:p>
        </w:tc>
        <w:tc>
          <w:tcPr>
            <w:tcW w:w="260" w:type="dxa"/>
            <w:vAlign w:val="bottom"/>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Reductions</w:t>
            </w:r>
            <w:r>
              <w:rPr>
                <w:rFonts w:ascii="Arial" w:cs="Arial" w:eastAsia="Arial" w:hAnsi="Arial"/>
                <w:sz w:val="19"/>
                <w:szCs w:val="19"/>
                <w:b w:val="1"/>
                <w:bCs w:val="1"/>
                <w:color w:val="auto"/>
                <w:w w:val="98"/>
                <w:vertAlign w:val="subscript"/>
              </w:rPr>
              <w:t>(2)</w:t>
            </w:r>
          </w:p>
        </w:tc>
        <w:tc>
          <w:tcPr>
            <w:tcW w:w="80" w:type="dxa"/>
            <w:vAlign w:val="bottom"/>
          </w:tcPr>
          <w:p>
            <w:pPr>
              <w:spacing w:after="0"/>
              <w:rPr>
                <w:sz w:val="12"/>
                <w:szCs w:val="12"/>
                <w:color w:val="auto"/>
              </w:rPr>
            </w:pPr>
          </w:p>
        </w:tc>
        <w:tc>
          <w:tcPr>
            <w:tcW w:w="8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6"/>
              </w:rPr>
              <w:t>(Losses)</w:t>
            </w:r>
          </w:p>
        </w:tc>
        <w:tc>
          <w:tcPr>
            <w:tcW w:w="1040" w:type="dxa"/>
            <w:vAlign w:val="bottom"/>
            <w:gridSpan w:val="3"/>
          </w:tcPr>
          <w:p>
            <w:pPr>
              <w:jc w:val="center"/>
              <w:ind w:right="137"/>
              <w:spacing w:after="0" w:line="145" w:lineRule="exact"/>
              <w:rPr>
                <w:sz w:val="20"/>
                <w:szCs w:val="20"/>
                <w:color w:val="auto"/>
              </w:rPr>
            </w:pPr>
            <w:r>
              <w:rPr>
                <w:rFonts w:ascii="Arial" w:cs="Arial" w:eastAsia="Arial" w:hAnsi="Arial"/>
                <w:sz w:val="14"/>
                <w:szCs w:val="14"/>
                <w:b w:val="1"/>
                <w:bCs w:val="1"/>
                <w:color w:val="auto"/>
                <w:w w:val="93"/>
              </w:rPr>
              <w:t>(Depreciatio</w:t>
            </w:r>
          </w:p>
        </w:tc>
        <w:tc>
          <w:tcPr>
            <w:tcW w:w="80" w:type="dxa"/>
            <w:vAlign w:val="bottom"/>
          </w:tcPr>
          <w:p>
            <w:pPr>
              <w:spacing w:after="0"/>
              <w:rPr>
                <w:sz w:val="12"/>
                <w:szCs w:val="12"/>
                <w:color w:val="auto"/>
              </w:rPr>
            </w:pPr>
          </w:p>
        </w:tc>
        <w:tc>
          <w:tcPr>
            <w:tcW w:w="74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5"/>
              </w:rPr>
              <w:t>2022</w:t>
            </w:r>
            <w:r>
              <w:rPr>
                <w:rFonts w:ascii="Arial" w:cs="Arial" w:eastAsia="Arial" w:hAnsi="Arial"/>
                <w:sz w:val="19"/>
                <w:szCs w:val="19"/>
                <w:b w:val="1"/>
                <w:bCs w:val="1"/>
                <w:color w:val="auto"/>
                <w:w w:val="85"/>
                <w:vertAlign w:val="superscript"/>
              </w:rPr>
              <w:t>(3)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1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ind w:left="20"/>
              <w:spacing w:after="0" w:line="189" w:lineRule="exact"/>
              <w:rPr>
                <w:sz w:val="20"/>
                <w:szCs w:val="20"/>
                <w:color w:val="auto"/>
              </w:rPr>
            </w:pPr>
            <w:r>
              <w:rPr>
                <w:rFonts w:ascii="Arial" w:cs="Arial" w:eastAsia="Arial" w:hAnsi="Arial"/>
                <w:sz w:val="14"/>
                <w:szCs w:val="14"/>
                <w:b w:val="1"/>
                <w:bCs w:val="1"/>
                <w:color w:val="auto"/>
                <w:w w:val="95"/>
              </w:rPr>
              <w:t>Additions</w:t>
            </w:r>
            <w:r>
              <w:rPr>
                <w:rFonts w:ascii="Arial" w:cs="Arial" w:eastAsia="Arial" w:hAnsi="Arial"/>
                <w:sz w:val="19"/>
                <w:szCs w:val="19"/>
                <w:b w:val="1"/>
                <w:bCs w:val="1"/>
                <w:color w:val="auto"/>
                <w:w w:val="95"/>
                <w:vertAlign w:val="subscript"/>
              </w:rPr>
              <w:t>)</w:t>
            </w:r>
          </w:p>
        </w:tc>
        <w:tc>
          <w:tcPr>
            <w:tcW w:w="26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217"/>
              <w:spacing w:after="0"/>
              <w:rPr>
                <w:sz w:val="20"/>
                <w:szCs w:val="20"/>
                <w:color w:val="auto"/>
              </w:rPr>
            </w:pPr>
            <w:r>
              <w:rPr>
                <w:rFonts w:ascii="Arial" w:cs="Arial" w:eastAsia="Arial" w:hAnsi="Arial"/>
                <w:sz w:val="14"/>
                <w:szCs w:val="14"/>
                <w:b w:val="1"/>
                <w:bCs w:val="1"/>
                <w:color w:val="auto"/>
                <w:w w:val="90"/>
              </w:rPr>
              <w:t>n)</w:t>
            </w:r>
          </w:p>
        </w:tc>
        <w:tc>
          <w:tcPr>
            <w:tcW w:w="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Borders>
              <w:top w:val="single" w:sz="8" w:color="auto"/>
            </w:tcBorders>
            <w:shd w:val="clear" w:color="auto" w:fill="CFF0FC"/>
          </w:tcPr>
          <w:p>
            <w:pPr>
              <w:spacing w:after="0"/>
              <w:rPr>
                <w:sz w:val="10"/>
                <w:szCs w:val="10"/>
                <w:color w:val="auto"/>
              </w:rPr>
            </w:pPr>
          </w:p>
        </w:tc>
        <w:tc>
          <w:tcPr>
            <w:tcW w:w="2120" w:type="dxa"/>
            <w:vAlign w:val="bottom"/>
            <w:tcBorders>
              <w:top w:val="single" w:sz="8" w:color="auto"/>
            </w:tcBorders>
            <w:gridSpan w:val="3"/>
            <w:shd w:val="clear" w:color="auto" w:fill="CFF0FC"/>
          </w:tcPr>
          <w:p>
            <w:pPr>
              <w:spacing w:after="0" w:line="115" w:lineRule="exact"/>
              <w:rPr>
                <w:sz w:val="20"/>
                <w:szCs w:val="20"/>
                <w:color w:val="auto"/>
              </w:rPr>
            </w:pPr>
            <w:r>
              <w:rPr>
                <w:rFonts w:ascii="Arial" w:cs="Arial" w:eastAsia="Arial" w:hAnsi="Arial"/>
                <w:sz w:val="13"/>
                <w:szCs w:val="13"/>
                <w:b w:val="1"/>
                <w:bCs w:val="1"/>
                <w:color w:val="auto"/>
              </w:rPr>
              <w:t>Affiliate Investments</w:t>
            </w:r>
          </w:p>
        </w:tc>
        <w:tc>
          <w:tcPr>
            <w:tcW w:w="120" w:type="dxa"/>
            <w:vAlign w:val="bottom"/>
            <w:shd w:val="clear" w:color="auto" w:fill="CFF0FC"/>
          </w:tcPr>
          <w:p>
            <w:pPr>
              <w:spacing w:after="0"/>
              <w:rPr>
                <w:sz w:val="10"/>
                <w:szCs w:val="10"/>
                <w:color w:val="auto"/>
              </w:rPr>
            </w:pPr>
          </w:p>
        </w:tc>
        <w:tc>
          <w:tcPr>
            <w:tcW w:w="2140" w:type="dxa"/>
            <w:vAlign w:val="bottom"/>
            <w:tcBorders>
              <w:top w:val="single" w:sz="8" w:color="auto"/>
            </w:tcBorders>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580" w:type="dxa"/>
            <w:vAlign w:val="bottom"/>
            <w:tcBorders>
              <w:top w:val="single" w:sz="8" w:color="auto"/>
            </w:tcBorders>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FF0F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CFF0FC"/>
          </w:tcPr>
          <w:p>
            <w:pPr>
              <w:spacing w:after="0"/>
              <w:rPr>
                <w:sz w:val="2"/>
                <w:szCs w:val="2"/>
                <w:color w:val="auto"/>
              </w:rPr>
            </w:pPr>
          </w:p>
        </w:tc>
        <w:tc>
          <w:tcPr>
            <w:tcW w:w="6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14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6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6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7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2120" w:type="dxa"/>
            <w:vAlign w:val="bottom"/>
            <w:gridSpan w:val="3"/>
          </w:tcPr>
          <w:p>
            <w:pPr>
              <w:spacing w:after="0"/>
              <w:rPr>
                <w:sz w:val="20"/>
                <w:szCs w:val="20"/>
                <w:color w:val="auto"/>
              </w:rPr>
            </w:pPr>
            <w:r>
              <w:rPr>
                <w:rFonts w:ascii="Arial" w:cs="Arial" w:eastAsia="Arial" w:hAnsi="Arial"/>
                <w:sz w:val="13"/>
                <w:szCs w:val="13"/>
                <w:b w:val="1"/>
                <w:bCs w:val="1"/>
                <w:color w:val="auto"/>
              </w:rPr>
              <w:t>Senior Secured Term Loans</w:t>
            </w: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40" w:type="dxa"/>
            <w:vAlign w:val="bottom"/>
            <w:gridSpan w:val="4"/>
            <w:shd w:val="clear" w:color="auto" w:fill="CFF0FC"/>
          </w:tcPr>
          <w:p>
            <w:pPr>
              <w:ind w:left="20"/>
              <w:spacing w:after="0" w:line="108" w:lineRule="exact"/>
              <w:rPr>
                <w:sz w:val="20"/>
                <w:szCs w:val="20"/>
                <w:color w:val="auto"/>
              </w:rPr>
            </w:pPr>
            <w:r>
              <w:rPr>
                <w:rFonts w:ascii="Arial" w:cs="Arial" w:eastAsia="Arial" w:hAnsi="Arial"/>
                <w:sz w:val="12"/>
                <w:szCs w:val="12"/>
                <w:color w:val="auto"/>
              </w:rPr>
              <w:t>Coginiti Corp</w:t>
            </w:r>
          </w:p>
        </w:tc>
        <w:tc>
          <w:tcPr>
            <w:tcW w:w="120" w:type="dxa"/>
            <w:vAlign w:val="bottom"/>
            <w:shd w:val="clear" w:color="auto" w:fill="CFF0FC"/>
          </w:tcPr>
          <w:p>
            <w:pPr>
              <w:spacing w:after="0"/>
              <w:rPr>
                <w:sz w:val="9"/>
                <w:szCs w:val="9"/>
                <w:color w:val="auto"/>
              </w:rPr>
            </w:pPr>
          </w:p>
        </w:tc>
        <w:tc>
          <w:tcPr>
            <w:tcW w:w="214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LIBOR+9.50% PIK, 10.81% floor, due</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109,256</w:t>
            </w:r>
          </w:p>
        </w:tc>
        <w:tc>
          <w:tcPr>
            <w:tcW w:w="240" w:type="dxa"/>
            <w:vAlign w:val="bottom"/>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31"/>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9"/>
                <w:szCs w:val="9"/>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930,259</w:t>
            </w:r>
          </w:p>
        </w:tc>
        <w:tc>
          <w:tcPr>
            <w:tcW w:w="260" w:type="dxa"/>
            <w:vAlign w:val="bottom"/>
            <w:vMerge w:val="restart"/>
            <w:shd w:val="clear" w:color="auto" w:fill="CFF0FC"/>
          </w:tcPr>
          <w:p>
            <w:pPr>
              <w:spacing w:after="0"/>
              <w:rPr>
                <w:sz w:val="9"/>
                <w:szCs w:val="9"/>
                <w:color w:val="auto"/>
              </w:rPr>
            </w:pPr>
          </w:p>
        </w:tc>
        <w:tc>
          <w:tcPr>
            <w:tcW w:w="120" w:type="dxa"/>
            <w:vAlign w:val="bottom"/>
            <w:vMerge w:val="restart"/>
            <w:shd w:val="clear" w:color="auto" w:fill="CFF0FC"/>
          </w:tcPr>
          <w:p>
            <w:pPr>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(930,259 )</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shd w:val="clear" w:color="auto" w:fill="CFF0FC"/>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40" w:type="dxa"/>
            <w:vAlign w:val="bottom"/>
            <w:tcBorders>
              <w:left w:val="single" w:sz="8" w:color="CFF0FC"/>
            </w:tcBorders>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6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12/15/2022</w:t>
            </w:r>
          </w:p>
        </w:tc>
        <w:tc>
          <w:tcPr>
            <w:tcW w:w="80" w:type="dxa"/>
            <w:vAlign w:val="bottom"/>
            <w:vMerge w:val="continue"/>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180" w:type="dxa"/>
            <w:vAlign w:val="bottom"/>
            <w:vMerge w:val="continue"/>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40" w:type="dxa"/>
            <w:vAlign w:val="bottom"/>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260" w:type="dxa"/>
            <w:vAlign w:val="bottom"/>
            <w:vMerge w:val="continue"/>
            <w:shd w:val="clear" w:color="auto" w:fill="CFF0FC"/>
          </w:tcPr>
          <w:p>
            <w:pPr>
              <w:spacing w:after="0"/>
              <w:rPr>
                <w:sz w:val="12"/>
                <w:szCs w:val="12"/>
                <w:color w:val="auto"/>
              </w:rPr>
            </w:pPr>
          </w:p>
        </w:tc>
        <w:tc>
          <w:tcPr>
            <w:tcW w:w="120" w:type="dxa"/>
            <w:vAlign w:val="bottom"/>
            <w:vMerge w:val="continue"/>
            <w:shd w:val="clear" w:color="auto" w:fill="CFF0FC"/>
          </w:tcPr>
          <w:p>
            <w:pPr>
              <w:spacing w:after="0"/>
              <w:rPr>
                <w:sz w:val="12"/>
                <w:szCs w:val="12"/>
                <w:color w:val="auto"/>
              </w:rPr>
            </w:pPr>
          </w:p>
        </w:tc>
        <w:tc>
          <w:tcPr>
            <w:tcW w:w="820" w:type="dxa"/>
            <w:vAlign w:val="bottom"/>
            <w:gridSpan w:val="2"/>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820" w:type="dxa"/>
            <w:vAlign w:val="bottom"/>
            <w:gridSpan w:val="2"/>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960" w:type="dxa"/>
            <w:vAlign w:val="bottom"/>
            <w:gridSpan w:val="2"/>
            <w:vMerge w:val="continue"/>
            <w:shd w:val="clear" w:color="auto" w:fill="CFF0FC"/>
          </w:tcPr>
          <w:p>
            <w:pPr>
              <w:spacing w:after="0"/>
              <w:rPr>
                <w:sz w:val="12"/>
                <w:szCs w:val="12"/>
                <w:color w:val="auto"/>
              </w:rPr>
            </w:pPr>
          </w:p>
        </w:tc>
        <w:tc>
          <w:tcPr>
            <w:tcW w:w="80" w:type="dxa"/>
            <w:vAlign w:val="bottom"/>
            <w:vMerge w:val="continue"/>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40" w:type="dxa"/>
            <w:vAlign w:val="bottom"/>
            <w:tcBorders>
              <w:left w:val="single" w:sz="8" w:color="CFF0FC"/>
            </w:tcBorders>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140" w:type="dxa"/>
            <w:vAlign w:val="bottom"/>
            <w:gridSpan w:val="4"/>
          </w:tcPr>
          <w:p>
            <w:pPr>
              <w:ind w:left="20"/>
              <w:spacing w:after="0" w:line="142" w:lineRule="exact"/>
              <w:rPr>
                <w:sz w:val="20"/>
                <w:szCs w:val="20"/>
                <w:color w:val="auto"/>
              </w:rPr>
            </w:pPr>
            <w:r>
              <w:rPr>
                <w:rFonts w:ascii="Arial" w:cs="Arial" w:eastAsia="Arial" w:hAnsi="Arial"/>
                <w:sz w:val="13"/>
                <w:szCs w:val="13"/>
                <w:b w:val="1"/>
                <w:bCs w:val="1"/>
                <w:color w:val="auto"/>
              </w:rPr>
              <w:t>Total Senior Secured Term Loans</w:t>
            </w: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109,256</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930,259</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97"/>
              <w:spacing w:after="0" w:line="142" w:lineRule="exact"/>
              <w:rPr>
                <w:sz w:val="20"/>
                <w:szCs w:val="20"/>
                <w:color w:val="auto"/>
              </w:rPr>
            </w:pPr>
            <w:r>
              <w:rPr>
                <w:rFonts w:ascii="Arial" w:cs="Arial" w:eastAsia="Arial" w:hAnsi="Arial"/>
                <w:sz w:val="13"/>
                <w:szCs w:val="13"/>
                <w:color w:val="auto"/>
              </w:rPr>
              <w:t>(930,259 )</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57"/>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gridSpan w:val="4"/>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Common Stocks</w:t>
            </w:r>
          </w:p>
        </w:tc>
        <w:tc>
          <w:tcPr>
            <w:tcW w:w="12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6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580" w:type="dxa"/>
            <w:vAlign w:val="bottom"/>
            <w:tcBorders>
              <w:top w:val="single" w:sz="8" w:color="auto"/>
            </w:tcBorders>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6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40" w:type="dxa"/>
            <w:vAlign w:val="bottom"/>
            <w:gridSpan w:val="4"/>
          </w:tcPr>
          <w:p>
            <w:pPr>
              <w:ind w:left="20"/>
              <w:spacing w:after="0" w:line="108" w:lineRule="exact"/>
              <w:rPr>
                <w:sz w:val="20"/>
                <w:szCs w:val="20"/>
                <w:color w:val="auto"/>
              </w:rPr>
            </w:pPr>
            <w:r>
              <w:rPr>
                <w:rFonts w:ascii="Arial" w:cs="Arial" w:eastAsia="Arial" w:hAnsi="Arial"/>
                <w:sz w:val="12"/>
                <w:szCs w:val="12"/>
                <w:color w:val="auto"/>
              </w:rPr>
              <w:t>Coginiti Corp</w:t>
            </w:r>
          </w:p>
        </w:tc>
        <w:tc>
          <w:tcPr>
            <w:tcW w:w="1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Arial" w:cs="Arial" w:eastAsia="Arial" w:hAnsi="Arial"/>
                <w:sz w:val="12"/>
                <w:szCs w:val="12"/>
                <w:color w:val="auto"/>
              </w:rPr>
              <w:t>4,551,23</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97"/>
              <w:spacing w:after="0"/>
              <w:rPr>
                <w:sz w:val="20"/>
                <w:szCs w:val="20"/>
                <w:color w:val="auto"/>
              </w:rPr>
            </w:pPr>
            <w:r>
              <w:rPr>
                <w:rFonts w:ascii="Arial" w:cs="Arial" w:eastAsia="Arial" w:hAnsi="Arial"/>
                <w:sz w:val="13"/>
                <w:szCs w:val="13"/>
                <w:color w:val="auto"/>
              </w:rPr>
              <w:t>(3,226,528 )</w:t>
            </w: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1,324,707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140" w:type="dxa"/>
            <w:vAlign w:val="bottom"/>
            <w:gridSpan w:val="4"/>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Common Stocks</w:t>
            </w:r>
          </w:p>
        </w:tc>
        <w:tc>
          <w:tcPr>
            <w:tcW w:w="120" w:type="dxa"/>
            <w:vAlign w:val="bottom"/>
            <w:shd w:val="clear" w:color="auto" w:fill="CFF0FC"/>
          </w:tcPr>
          <w:p>
            <w:pPr>
              <w:spacing w:after="0"/>
              <w:rPr>
                <w:sz w:val="8"/>
                <w:szCs w:val="8"/>
                <w:color w:val="auto"/>
              </w:rPr>
            </w:pPr>
          </w:p>
        </w:tc>
        <w:tc>
          <w:tcPr>
            <w:tcW w:w="21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color w:val="auto"/>
              </w:rPr>
              <w:t>4,551,23</w:t>
            </w:r>
          </w:p>
        </w:tc>
        <w:tc>
          <w:tcPr>
            <w:tcW w:w="2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6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(3,226,528 )</w:t>
            </w:r>
          </w:p>
        </w:tc>
        <w:tc>
          <w:tcPr>
            <w:tcW w:w="80" w:type="dxa"/>
            <w:vAlign w:val="bottom"/>
            <w:shd w:val="clear" w:color="auto" w:fill="CFF0FC"/>
          </w:tcPr>
          <w:p>
            <w:pPr>
              <w:spacing w:after="0"/>
              <w:rPr>
                <w:sz w:val="8"/>
                <w:szCs w:val="8"/>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1,324,707</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340" w:type="dxa"/>
            <w:vAlign w:val="bottom"/>
            <w:tcBorders>
              <w:left w:val="single" w:sz="8" w:color="CFF0FC"/>
            </w:tcBorders>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40" w:type="dxa"/>
            <w:vAlign w:val="bottom"/>
            <w:tcBorders>
              <w:top w:val="single" w:sz="8" w:color="CFF0FC"/>
            </w:tcBorders>
            <w:gridSpan w:val="4"/>
          </w:tcPr>
          <w:p>
            <w:pPr>
              <w:ind w:left="20"/>
              <w:spacing w:after="0" w:line="143" w:lineRule="exact"/>
              <w:rPr>
                <w:sz w:val="20"/>
                <w:szCs w:val="20"/>
                <w:color w:val="auto"/>
              </w:rPr>
            </w:pPr>
            <w:r>
              <w:rPr>
                <w:rFonts w:ascii="Arial" w:cs="Arial" w:eastAsia="Arial" w:hAnsi="Arial"/>
                <w:sz w:val="13"/>
                <w:szCs w:val="13"/>
                <w:b w:val="1"/>
                <w:bCs w:val="1"/>
                <w:color w:val="auto"/>
              </w:rPr>
              <w:t>Warrants</w:t>
            </w:r>
          </w:p>
        </w:tc>
        <w:tc>
          <w:tcPr>
            <w:tcW w:w="120" w:type="dxa"/>
            <w:vAlign w:val="bottom"/>
            <w:tcBorders>
              <w:top w:val="single" w:sz="8" w:color="CFF0FC"/>
            </w:tcBorders>
          </w:tcPr>
          <w:p>
            <w:pPr>
              <w:spacing w:after="0"/>
              <w:rPr>
                <w:sz w:val="12"/>
                <w:szCs w:val="12"/>
                <w:color w:val="auto"/>
              </w:rPr>
            </w:pPr>
          </w:p>
        </w:tc>
        <w:tc>
          <w:tcPr>
            <w:tcW w:w="21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40" w:type="dxa"/>
            <w:vAlign w:val="bottom"/>
            <w:gridSpan w:val="4"/>
            <w:shd w:val="clear" w:color="auto" w:fill="CFF0FC"/>
          </w:tcPr>
          <w:p>
            <w:pPr>
              <w:ind w:left="20"/>
              <w:spacing w:after="0" w:line="108" w:lineRule="exact"/>
              <w:rPr>
                <w:sz w:val="20"/>
                <w:szCs w:val="20"/>
                <w:color w:val="auto"/>
              </w:rPr>
            </w:pPr>
            <w:r>
              <w:rPr>
                <w:rFonts w:ascii="Arial" w:cs="Arial" w:eastAsia="Arial" w:hAnsi="Arial"/>
                <w:sz w:val="12"/>
                <w:szCs w:val="12"/>
                <w:color w:val="auto"/>
              </w:rPr>
              <w:t>Coginiti Corp</w:t>
            </w:r>
          </w:p>
        </w:tc>
        <w:tc>
          <w:tcPr>
            <w:tcW w:w="120" w:type="dxa"/>
            <w:vAlign w:val="bottom"/>
            <w:shd w:val="clear" w:color="auto" w:fill="CFF0FC"/>
          </w:tcPr>
          <w:p>
            <w:pPr>
              <w:spacing w:after="0"/>
              <w:rPr>
                <w:sz w:val="9"/>
                <w:szCs w:val="9"/>
                <w:color w:val="auto"/>
              </w:rPr>
            </w:pPr>
          </w:p>
        </w:tc>
        <w:tc>
          <w:tcPr>
            <w:tcW w:w="214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Warrant for Common Stock, exercise</w:t>
            </w:r>
          </w:p>
        </w:tc>
        <w:tc>
          <w:tcPr>
            <w:tcW w:w="8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1,009,21</w:t>
            </w: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18,096</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1,027,312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left w:val="single" w:sz="8" w:color="CFF0FC"/>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price $0.01/share, expires 3/9/2030</w:t>
            </w:r>
          </w:p>
        </w:tc>
        <w:tc>
          <w:tcPr>
            <w:tcW w:w="80" w:type="dxa"/>
            <w:vAlign w:val="bottom"/>
            <w:tcBorders>
              <w:bottom w:val="single" w:sz="8" w:color="auto"/>
            </w:tcBorders>
            <w:shd w:val="clear" w:color="auto" w:fill="CFF0FC"/>
          </w:tcPr>
          <w:p>
            <w:pPr>
              <w:spacing w:after="0"/>
              <w:rPr>
                <w:sz w:val="14"/>
                <w:szCs w:val="14"/>
                <w:color w:val="auto"/>
              </w:rPr>
            </w:pPr>
          </w:p>
        </w:tc>
        <w:tc>
          <w:tcPr>
            <w:tcW w:w="72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2140" w:type="dxa"/>
            <w:vAlign w:val="bottom"/>
            <w:gridSpan w:val="4"/>
          </w:tcPr>
          <w:p>
            <w:pPr>
              <w:ind w:left="20"/>
              <w:spacing w:after="0" w:line="103" w:lineRule="exact"/>
              <w:rPr>
                <w:sz w:val="20"/>
                <w:szCs w:val="20"/>
                <w:color w:val="auto"/>
              </w:rPr>
            </w:pPr>
            <w:r>
              <w:rPr>
                <w:rFonts w:ascii="Arial" w:cs="Arial" w:eastAsia="Arial" w:hAnsi="Arial"/>
                <w:sz w:val="10"/>
                <w:szCs w:val="10"/>
                <w:b w:val="1"/>
                <w:bCs w:val="1"/>
                <w:color w:val="auto"/>
              </w:rPr>
              <w:t>Total Warrants</w:t>
            </w:r>
          </w:p>
        </w:tc>
        <w:tc>
          <w:tcPr>
            <w:tcW w:w="1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jc w:val="right"/>
              <w:spacing w:after="0" w:line="103" w:lineRule="exact"/>
              <w:rPr>
                <w:sz w:val="20"/>
                <w:szCs w:val="20"/>
                <w:color w:val="auto"/>
              </w:rPr>
            </w:pPr>
            <w:r>
              <w:rPr>
                <w:rFonts w:ascii="Arial" w:cs="Arial" w:eastAsia="Arial" w:hAnsi="Arial"/>
                <w:sz w:val="10"/>
                <w:szCs w:val="10"/>
                <w:color w:val="auto"/>
              </w:rPr>
              <w:t>1,009,21</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gridSpan w:val="2"/>
            <w:vMerge w:val="restart"/>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18,096</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1,027,312</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140" w:type="dxa"/>
            <w:vAlign w:val="bottom"/>
            <w:gridSpan w:val="4"/>
            <w:shd w:val="clear" w:color="auto" w:fill="CFF0FC"/>
          </w:tcPr>
          <w:p>
            <w:pPr>
              <w:ind w:left="20"/>
              <w:spacing w:after="0" w:line="104" w:lineRule="exact"/>
              <w:rPr>
                <w:sz w:val="20"/>
                <w:szCs w:val="20"/>
                <w:color w:val="auto"/>
              </w:rPr>
            </w:pPr>
            <w:r>
              <w:rPr>
                <w:rFonts w:ascii="Arial" w:cs="Arial" w:eastAsia="Arial" w:hAnsi="Arial"/>
                <w:sz w:val="10"/>
                <w:szCs w:val="10"/>
                <w:b w:val="1"/>
                <w:bCs w:val="1"/>
                <w:color w:val="auto"/>
              </w:rPr>
              <w:t>Total Affiliate Investments</w:t>
            </w:r>
          </w:p>
        </w:tc>
        <w:tc>
          <w:tcPr>
            <w:tcW w:w="120" w:type="dxa"/>
            <w:vAlign w:val="bottom"/>
            <w:shd w:val="clear" w:color="auto" w:fill="CFF0FC"/>
          </w:tcPr>
          <w:p>
            <w:pPr>
              <w:spacing w:after="0"/>
              <w:rPr>
                <w:sz w:val="9"/>
                <w:szCs w:val="9"/>
                <w:color w:val="auto"/>
              </w:rPr>
            </w:pPr>
          </w:p>
        </w:tc>
        <w:tc>
          <w:tcPr>
            <w:tcW w:w="214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80" w:type="dxa"/>
            <w:vAlign w:val="bottom"/>
            <w:tcBorders>
              <w:top w:val="single" w:sz="8" w:color="auto"/>
            </w:tcBorders>
            <w:shd w:val="clear" w:color="auto" w:fill="CFF0FC"/>
          </w:tcPr>
          <w:p>
            <w:pPr>
              <w:spacing w:after="0"/>
              <w:rPr>
                <w:sz w:val="9"/>
                <w:szCs w:val="9"/>
                <w:color w:val="auto"/>
              </w:rPr>
            </w:pPr>
          </w:p>
        </w:tc>
        <w:tc>
          <w:tcPr>
            <w:tcW w:w="620" w:type="dxa"/>
            <w:vAlign w:val="bottom"/>
            <w:tcBorders>
              <w:top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580" w:type="dxa"/>
            <w:vAlign w:val="bottom"/>
            <w:tcBorders>
              <w:top w:val="single" w:sz="8" w:color="auto"/>
            </w:tcBorders>
            <w:shd w:val="clear" w:color="auto" w:fill="CFF0FC"/>
          </w:tcPr>
          <w:p>
            <w:pPr>
              <w:jc w:val="right"/>
              <w:spacing w:after="0" w:line="104" w:lineRule="exact"/>
              <w:rPr>
                <w:sz w:val="20"/>
                <w:szCs w:val="20"/>
                <w:color w:val="auto"/>
              </w:rPr>
            </w:pPr>
            <w:r>
              <w:rPr>
                <w:rFonts w:ascii="Arial" w:cs="Arial" w:eastAsia="Arial" w:hAnsi="Arial"/>
                <w:sz w:val="10"/>
                <w:szCs w:val="10"/>
                <w:color w:val="auto"/>
              </w:rPr>
              <w:t>6,490,71</w:t>
            </w:r>
          </w:p>
        </w:tc>
        <w:tc>
          <w:tcPr>
            <w:tcW w:w="260" w:type="dxa"/>
            <w:vAlign w:val="bottom"/>
            <w:shd w:val="clear" w:color="auto" w:fill="CFF0FC"/>
          </w:tcPr>
          <w:p>
            <w:pPr>
              <w:spacing w:after="0"/>
              <w:rPr>
                <w:sz w:val="9"/>
                <w:szCs w:val="9"/>
                <w:color w:val="auto"/>
              </w:rPr>
            </w:pPr>
          </w:p>
        </w:tc>
        <w:tc>
          <w:tcPr>
            <w:tcW w:w="12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60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80" w:type="dxa"/>
            <w:vAlign w:val="bottom"/>
            <w:tcBorders>
              <w:top w:val="single" w:sz="8" w:color="auto"/>
            </w:tcBorders>
            <w:shd w:val="clear" w:color="auto" w:fill="CFF0FC"/>
          </w:tcPr>
          <w:p>
            <w:pPr>
              <w:spacing w:after="0"/>
              <w:rPr>
                <w:sz w:val="9"/>
                <w:szCs w:val="9"/>
                <w:color w:val="auto"/>
              </w:rPr>
            </w:pPr>
          </w:p>
        </w:tc>
        <w:tc>
          <w:tcPr>
            <w:tcW w:w="740" w:type="dxa"/>
            <w:vAlign w:val="bottom"/>
            <w:tcBorders>
              <w:top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0" w:type="dxa"/>
            <w:vAlign w:val="bottom"/>
            <w:tcBorders>
              <w:top w:val="single" w:sz="8" w:color="CFF0FC"/>
            </w:tcBorders>
            <w:shd w:val="clear" w:color="auto" w:fill="CFF0FC"/>
          </w:tcPr>
          <w:p>
            <w:pPr>
              <w:spacing w:after="0"/>
              <w:rPr>
                <w:sz w:val="15"/>
                <w:szCs w:val="15"/>
                <w:color w:val="auto"/>
              </w:rPr>
            </w:pPr>
          </w:p>
        </w:tc>
        <w:tc>
          <w:tcPr>
            <w:tcW w:w="110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left w:val="single" w:sz="8" w:color="CFF0FC"/>
            </w:tcBorders>
            <w:shd w:val="clear" w:color="auto" w:fill="CFF0FC"/>
          </w:tcPr>
          <w:p>
            <w:pPr>
              <w:spacing w:after="0"/>
              <w:rPr>
                <w:sz w:val="15"/>
                <w:szCs w:val="15"/>
                <w:color w:val="auto"/>
              </w:rPr>
            </w:pPr>
          </w:p>
        </w:tc>
        <w:tc>
          <w:tcPr>
            <w:tcW w:w="68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2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jc w:val="right"/>
              <w:spacing w:after="0" w:line="133"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CFF0FC"/>
            </w:tcBorders>
            <w:shd w:val="clear" w:color="auto" w:fill="CFF0FC"/>
          </w:tcPr>
          <w:p>
            <w:pPr>
              <w:jc w:val="right"/>
              <w:spacing w:after="0" w:line="133" w:lineRule="exact"/>
              <w:rPr>
                <w:sz w:val="20"/>
                <w:szCs w:val="20"/>
                <w:color w:val="auto"/>
              </w:rPr>
            </w:pPr>
            <w:r>
              <w:rPr>
                <w:rFonts w:ascii="Arial" w:cs="Arial" w:eastAsia="Arial" w:hAnsi="Arial"/>
                <w:sz w:val="13"/>
                <w:szCs w:val="13"/>
                <w:color w:val="auto"/>
              </w:rPr>
              <w:t>109,256</w:t>
            </w:r>
          </w:p>
        </w:tc>
        <w:tc>
          <w:tcPr>
            <w:tcW w:w="420" w:type="dxa"/>
            <w:vAlign w:val="bottom"/>
            <w:tcBorders>
              <w:top w:val="single" w:sz="8" w:color="CFF0FC"/>
            </w:tcBorders>
            <w:gridSpan w:val="2"/>
            <w:shd w:val="clear" w:color="auto" w:fill="CFF0FC"/>
          </w:tcPr>
          <w:p>
            <w:pPr>
              <w:jc w:val="right"/>
              <w:ind w:right="31"/>
              <w:spacing w:after="0" w:line="133"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CFF0FC"/>
            </w:tcBorders>
            <w:shd w:val="clear" w:color="auto" w:fill="CFF0FC"/>
          </w:tcPr>
          <w:p>
            <w:pPr>
              <w:jc w:val="right"/>
              <w:spacing w:after="0" w:line="133" w:lineRule="exact"/>
              <w:rPr>
                <w:sz w:val="20"/>
                <w:szCs w:val="20"/>
                <w:color w:val="auto"/>
              </w:rPr>
            </w:pPr>
            <w:r>
              <w:rPr>
                <w:rFonts w:ascii="Arial" w:cs="Arial" w:eastAsia="Arial" w:hAnsi="Arial"/>
                <w:sz w:val="13"/>
                <w:szCs w:val="13"/>
                <w:color w:val="auto"/>
              </w:rPr>
              <w:t>—</w:t>
            </w:r>
          </w:p>
        </w:tc>
        <w:tc>
          <w:tcPr>
            <w:tcW w:w="360" w:type="dxa"/>
            <w:vAlign w:val="bottom"/>
            <w:tcBorders>
              <w:top w:val="single" w:sz="8" w:color="CFF0FC"/>
            </w:tcBorders>
            <w:gridSpan w:val="2"/>
            <w:shd w:val="clear" w:color="auto" w:fill="CFF0FC"/>
          </w:tcPr>
          <w:p>
            <w:pPr>
              <w:ind w:left="240"/>
              <w:spacing w:after="0" w:line="133"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CFF0FC"/>
            </w:tcBorders>
            <w:shd w:val="clear" w:color="auto" w:fill="CFF0FC"/>
          </w:tcPr>
          <w:p>
            <w:pPr>
              <w:jc w:val="right"/>
              <w:spacing w:after="0" w:line="133" w:lineRule="exact"/>
              <w:rPr>
                <w:sz w:val="20"/>
                <w:szCs w:val="20"/>
                <w:color w:val="auto"/>
              </w:rPr>
            </w:pPr>
            <w:r>
              <w:rPr>
                <w:rFonts w:ascii="Arial" w:cs="Arial" w:eastAsia="Arial" w:hAnsi="Arial"/>
                <w:sz w:val="13"/>
                <w:szCs w:val="13"/>
                <w:color w:val="auto"/>
              </w:rPr>
              <w:t>0</w:t>
            </w:r>
          </w:p>
        </w:tc>
        <w:tc>
          <w:tcPr>
            <w:tcW w:w="380" w:type="dxa"/>
            <w:vAlign w:val="bottom"/>
            <w:tcBorders>
              <w:top w:val="single" w:sz="8" w:color="CFF0FC"/>
            </w:tcBorders>
            <w:gridSpan w:val="2"/>
            <w:shd w:val="clear" w:color="auto" w:fill="CFF0FC"/>
          </w:tcPr>
          <w:p>
            <w:pPr>
              <w:ind w:left="260"/>
              <w:spacing w:after="0" w:line="133" w:lineRule="exact"/>
              <w:rPr>
                <w:sz w:val="20"/>
                <w:szCs w:val="20"/>
                <w:color w:val="auto"/>
              </w:rPr>
            </w:pPr>
            <w:r>
              <w:rPr>
                <w:rFonts w:ascii="Arial" w:cs="Arial" w:eastAsia="Arial" w:hAnsi="Arial"/>
                <w:sz w:val="13"/>
                <w:szCs w:val="13"/>
                <w:color w:val="auto"/>
              </w:rPr>
              <w:t>$</w:t>
            </w:r>
          </w:p>
        </w:tc>
        <w:tc>
          <w:tcPr>
            <w:tcW w:w="820" w:type="dxa"/>
            <w:vAlign w:val="bottom"/>
            <w:tcBorders>
              <w:top w:val="single" w:sz="8" w:color="CFF0FC"/>
            </w:tcBorders>
            <w:gridSpan w:val="2"/>
            <w:shd w:val="clear" w:color="auto" w:fill="CFF0FC"/>
          </w:tcPr>
          <w:p>
            <w:pPr>
              <w:jc w:val="right"/>
              <w:ind w:right="97"/>
              <w:spacing w:after="0" w:line="133" w:lineRule="exact"/>
              <w:rPr>
                <w:sz w:val="20"/>
                <w:szCs w:val="20"/>
                <w:color w:val="auto"/>
              </w:rPr>
            </w:pPr>
            <w:r>
              <w:rPr>
                <w:rFonts w:ascii="Arial" w:cs="Arial" w:eastAsia="Arial" w:hAnsi="Arial"/>
                <w:sz w:val="13"/>
                <w:szCs w:val="13"/>
                <w:color w:val="auto"/>
              </w:rPr>
              <w:t>(930,259 )</w:t>
            </w:r>
          </w:p>
        </w:tc>
        <w:tc>
          <w:tcPr>
            <w:tcW w:w="80" w:type="dxa"/>
            <w:vAlign w:val="bottom"/>
            <w:tcBorders>
              <w:top w:val="single" w:sz="8" w:color="CFF0FC"/>
            </w:tcBorders>
            <w:shd w:val="clear" w:color="auto" w:fill="CFF0FC"/>
          </w:tcPr>
          <w:p>
            <w:pPr>
              <w:jc w:val="right"/>
              <w:spacing w:after="0" w:line="133"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CFF0FC"/>
            </w:tcBorders>
            <w:gridSpan w:val="2"/>
            <w:shd w:val="clear" w:color="auto" w:fill="CFF0FC"/>
          </w:tcPr>
          <w:p>
            <w:pPr>
              <w:jc w:val="right"/>
              <w:ind w:right="220"/>
              <w:spacing w:after="0" w:line="133"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FF0FC"/>
            </w:tcBorders>
            <w:shd w:val="clear" w:color="auto" w:fill="CFF0FC"/>
          </w:tcPr>
          <w:p>
            <w:pPr>
              <w:jc w:val="right"/>
              <w:spacing w:after="0" w:line="133" w:lineRule="exact"/>
              <w:rPr>
                <w:sz w:val="20"/>
                <w:szCs w:val="20"/>
                <w:color w:val="auto"/>
              </w:rPr>
            </w:pPr>
            <w:r>
              <w:rPr>
                <w:rFonts w:ascii="Arial" w:cs="Arial" w:eastAsia="Arial" w:hAnsi="Arial"/>
                <w:sz w:val="13"/>
                <w:szCs w:val="13"/>
                <w:color w:val="auto"/>
                <w:w w:val="82"/>
              </w:rPr>
              <w:t>$</w:t>
            </w:r>
          </w:p>
        </w:tc>
        <w:tc>
          <w:tcPr>
            <w:tcW w:w="960" w:type="dxa"/>
            <w:vAlign w:val="bottom"/>
            <w:tcBorders>
              <w:top w:val="single" w:sz="8" w:color="CFF0FC"/>
            </w:tcBorders>
            <w:gridSpan w:val="2"/>
            <w:shd w:val="clear" w:color="auto" w:fill="CFF0FC"/>
          </w:tcPr>
          <w:p>
            <w:pPr>
              <w:jc w:val="right"/>
              <w:ind w:right="97"/>
              <w:spacing w:after="0" w:line="133" w:lineRule="exact"/>
              <w:rPr>
                <w:sz w:val="20"/>
                <w:szCs w:val="20"/>
                <w:color w:val="auto"/>
              </w:rPr>
            </w:pPr>
            <w:r>
              <w:rPr>
                <w:rFonts w:ascii="Arial" w:cs="Arial" w:eastAsia="Arial" w:hAnsi="Arial"/>
                <w:sz w:val="13"/>
                <w:szCs w:val="13"/>
                <w:color w:val="auto"/>
              </w:rPr>
              <w:t>(3,208,432 )</w:t>
            </w:r>
          </w:p>
        </w:tc>
        <w:tc>
          <w:tcPr>
            <w:tcW w:w="80" w:type="dxa"/>
            <w:vAlign w:val="bottom"/>
            <w:tcBorders>
              <w:top w:val="single" w:sz="8" w:color="CFF0FC"/>
            </w:tcBorders>
            <w:shd w:val="clear" w:color="auto" w:fill="CFF0FC"/>
          </w:tcPr>
          <w:p>
            <w:pPr>
              <w:jc w:val="right"/>
              <w:spacing w:after="0" w:line="133"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CFF0FC"/>
            </w:tcBorders>
            <w:shd w:val="clear" w:color="auto" w:fill="CFF0FC"/>
          </w:tcPr>
          <w:p>
            <w:pPr>
              <w:jc w:val="right"/>
              <w:spacing w:after="0" w:line="133" w:lineRule="exact"/>
              <w:rPr>
                <w:sz w:val="20"/>
                <w:szCs w:val="20"/>
                <w:color w:val="auto"/>
              </w:rPr>
            </w:pPr>
            <w:r>
              <w:rPr>
                <w:rFonts w:ascii="Arial" w:cs="Arial" w:eastAsia="Arial" w:hAnsi="Arial"/>
                <w:sz w:val="13"/>
                <w:szCs w:val="13"/>
                <w:color w:val="auto"/>
              </w:rPr>
              <w:t>2,352,019</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Borders>
              <w:top w:val="single" w:sz="8" w:color="CFF0FC"/>
            </w:tcBorders>
          </w:tcPr>
          <w:p>
            <w:pPr>
              <w:spacing w:after="0"/>
              <w:rPr>
                <w:sz w:val="8"/>
                <w:szCs w:val="8"/>
                <w:color w:val="auto"/>
              </w:rPr>
            </w:pPr>
          </w:p>
        </w:tc>
        <w:tc>
          <w:tcPr>
            <w:tcW w:w="2120" w:type="dxa"/>
            <w:vAlign w:val="bottom"/>
            <w:tcBorders>
              <w:top w:val="single" w:sz="8" w:color="CFF0FC"/>
            </w:tcBorders>
            <w:gridSpan w:val="3"/>
          </w:tcPr>
          <w:p>
            <w:pPr>
              <w:spacing w:after="0" w:line="103" w:lineRule="exact"/>
              <w:rPr>
                <w:sz w:val="20"/>
                <w:szCs w:val="20"/>
                <w:color w:val="auto"/>
              </w:rPr>
            </w:pPr>
            <w:r>
              <w:rPr>
                <w:rFonts w:ascii="Arial" w:cs="Arial" w:eastAsia="Arial" w:hAnsi="Arial"/>
                <w:sz w:val="10"/>
                <w:szCs w:val="10"/>
                <w:b w:val="1"/>
                <w:bCs w:val="1"/>
                <w:color w:val="auto"/>
              </w:rPr>
              <w:t>Control Investments</w:t>
            </w:r>
          </w:p>
        </w:tc>
        <w:tc>
          <w:tcPr>
            <w:tcW w:w="120" w:type="dxa"/>
            <w:vAlign w:val="bottom"/>
            <w:tcBorders>
              <w:top w:val="single" w:sz="8" w:color="CFF0FC"/>
            </w:tcBorders>
          </w:tcPr>
          <w:p>
            <w:pPr>
              <w:spacing w:after="0"/>
              <w:rPr>
                <w:sz w:val="8"/>
                <w:szCs w:val="8"/>
                <w:color w:val="auto"/>
              </w:rPr>
            </w:pPr>
          </w:p>
        </w:tc>
        <w:tc>
          <w:tcPr>
            <w:tcW w:w="214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26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120" w:type="dxa"/>
            <w:vAlign w:val="bottom"/>
            <w:gridSpan w:val="3"/>
            <w:shd w:val="clear" w:color="auto" w:fill="CFF0FC"/>
          </w:tcPr>
          <w:p>
            <w:pPr>
              <w:spacing w:after="0"/>
              <w:rPr>
                <w:sz w:val="20"/>
                <w:szCs w:val="20"/>
                <w:color w:val="auto"/>
              </w:rPr>
            </w:pPr>
            <w:r>
              <w:rPr>
                <w:rFonts w:ascii="Arial" w:cs="Arial" w:eastAsia="Arial" w:hAnsi="Arial"/>
                <w:sz w:val="13"/>
                <w:szCs w:val="13"/>
                <w:b w:val="1"/>
                <w:bCs w:val="1"/>
                <w:color w:val="auto"/>
              </w:rPr>
              <w:t>Senior Secured Term Loans</w:t>
            </w:r>
          </w:p>
        </w:tc>
        <w:tc>
          <w:tcPr>
            <w:tcW w:w="120" w:type="dxa"/>
            <w:vAlign w:val="bottom"/>
            <w:shd w:val="clear" w:color="auto" w:fill="CFF0FC"/>
          </w:tcPr>
          <w:p>
            <w:pPr>
              <w:spacing w:after="0"/>
              <w:rPr>
                <w:sz w:val="12"/>
                <w:szCs w:val="12"/>
                <w:color w:val="auto"/>
              </w:rPr>
            </w:pPr>
          </w:p>
        </w:tc>
        <w:tc>
          <w:tcPr>
            <w:tcW w:w="2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40" w:type="dxa"/>
            <w:vAlign w:val="bottom"/>
            <w:gridSpan w:val="4"/>
          </w:tcPr>
          <w:p>
            <w:pPr>
              <w:ind w:left="20"/>
              <w:spacing w:after="0" w:line="108" w:lineRule="exact"/>
              <w:rPr>
                <w:sz w:val="20"/>
                <w:szCs w:val="20"/>
                <w:color w:val="auto"/>
              </w:rPr>
            </w:pPr>
            <w:r>
              <w:rPr>
                <w:rFonts w:ascii="Arial" w:cs="Arial" w:eastAsia="Arial" w:hAnsi="Arial"/>
                <w:sz w:val="12"/>
                <w:szCs w:val="12"/>
                <w:color w:val="auto"/>
              </w:rPr>
              <w:t>Mojix, Inc.</w:t>
            </w:r>
          </w:p>
        </w:tc>
        <w:tc>
          <w:tcPr>
            <w:tcW w:w="120" w:type="dxa"/>
            <w:vAlign w:val="bottom"/>
          </w:tcPr>
          <w:p>
            <w:pPr>
              <w:spacing w:after="0"/>
              <w:rPr>
                <w:sz w:val="9"/>
                <w:szCs w:val="9"/>
                <w:color w:val="auto"/>
              </w:rPr>
            </w:pPr>
          </w:p>
        </w:tc>
        <w:tc>
          <w:tcPr>
            <w:tcW w:w="2140" w:type="dxa"/>
            <w:vAlign w:val="bottom"/>
          </w:tcPr>
          <w:p>
            <w:pPr>
              <w:ind w:left="20"/>
              <w:spacing w:after="0" w:line="108" w:lineRule="exact"/>
              <w:rPr>
                <w:sz w:val="20"/>
                <w:szCs w:val="20"/>
                <w:color w:val="auto"/>
              </w:rPr>
            </w:pPr>
            <w:r>
              <w:rPr>
                <w:rFonts w:ascii="Arial" w:cs="Arial" w:eastAsia="Arial" w:hAnsi="Arial"/>
                <w:sz w:val="12"/>
                <w:szCs w:val="12"/>
                <w:color w:val="auto"/>
              </w:rPr>
              <w:t>LIBOR+12.00% , 12.00% cash cap, 5%</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2,286,577</w:t>
            </w:r>
          </w:p>
        </w:tc>
        <w:tc>
          <w:tcPr>
            <w:tcW w:w="420" w:type="dxa"/>
            <w:vAlign w:val="bottom"/>
            <w:gridSpan w:val="2"/>
            <w:vMerge w:val="restart"/>
          </w:tcPr>
          <w:p>
            <w:pPr>
              <w:jc w:val="right"/>
              <w:ind w:right="31"/>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7,567,610</w:t>
            </w:r>
          </w:p>
        </w:tc>
        <w:tc>
          <w:tcPr>
            <w:tcW w:w="360" w:type="dxa"/>
            <w:vAlign w:val="bottom"/>
            <w:gridSpan w:val="2"/>
            <w:vMerge w:val="restart"/>
          </w:tcPr>
          <w:p>
            <w:pPr>
              <w:ind w:left="24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08" w:lineRule="exact"/>
              <w:rPr>
                <w:sz w:val="20"/>
                <w:szCs w:val="20"/>
                <w:color w:val="auto"/>
              </w:rPr>
            </w:pPr>
            <w:r>
              <w:rPr>
                <w:rFonts w:ascii="Arial" w:cs="Arial" w:eastAsia="Arial" w:hAnsi="Arial"/>
                <w:sz w:val="12"/>
                <w:szCs w:val="12"/>
                <w:color w:val="auto"/>
              </w:rPr>
              <w:t>1,987,30</w:t>
            </w:r>
          </w:p>
        </w:tc>
        <w:tc>
          <w:tcPr>
            <w:tcW w:w="380" w:type="dxa"/>
            <w:vAlign w:val="bottom"/>
            <w:gridSpan w:val="2"/>
            <w:vMerge w:val="restart"/>
          </w:tcPr>
          <w:p>
            <w:pPr>
              <w:ind w:left="2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line="108" w:lineRule="exact"/>
              <w:rPr>
                <w:sz w:val="20"/>
                <w:szCs w:val="20"/>
                <w:color w:val="auto"/>
              </w:rPr>
            </w:pPr>
            <w:r>
              <w:rPr>
                <w:rFonts w:ascii="Arial" w:cs="Arial" w:eastAsia="Arial" w:hAnsi="Arial"/>
                <w:sz w:val="12"/>
                <w:szCs w:val="12"/>
                <w:color w:val="auto"/>
              </w:rPr>
              <w:t>(8,489,2</w:t>
            </w:r>
          </w:p>
        </w:tc>
        <w:tc>
          <w:tcPr>
            <w:tcW w:w="22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(1,065,616 )</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ind w:left="20"/>
              <w:spacing w:after="0"/>
              <w:rPr>
                <w:sz w:val="20"/>
                <w:szCs w:val="20"/>
                <w:color w:val="auto"/>
              </w:rPr>
            </w:pPr>
            <w:r>
              <w:rPr>
                <w:rFonts w:ascii="Arial" w:cs="Arial" w:eastAsia="Arial" w:hAnsi="Arial"/>
                <w:sz w:val="13"/>
                <w:szCs w:val="13"/>
                <w:color w:val="auto"/>
              </w:rPr>
              <w:t>ETP, due 1/15/2025</w:t>
            </w:r>
          </w:p>
        </w:tc>
        <w:tc>
          <w:tcPr>
            <w:tcW w:w="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0</w:t>
            </w:r>
          </w:p>
        </w:tc>
        <w:tc>
          <w:tcPr>
            <w:tcW w:w="380" w:type="dxa"/>
            <w:vAlign w:val="bottom"/>
            <w:gridSpan w:val="2"/>
            <w:vMerge w:val="continue"/>
          </w:tcPr>
          <w:p>
            <w:pPr>
              <w:spacing w:after="0"/>
              <w:rPr>
                <w:sz w:val="14"/>
                <w:szCs w:val="14"/>
                <w:color w:val="auto"/>
              </w:rPr>
            </w:pPr>
          </w:p>
        </w:tc>
        <w:tc>
          <w:tcPr>
            <w:tcW w:w="820" w:type="dxa"/>
            <w:vAlign w:val="bottom"/>
            <w:gridSpan w:val="2"/>
          </w:tcPr>
          <w:p>
            <w:pPr>
              <w:jc w:val="right"/>
              <w:ind w:right="97"/>
              <w:spacing w:after="0"/>
              <w:rPr>
                <w:sz w:val="20"/>
                <w:szCs w:val="20"/>
                <w:color w:val="auto"/>
              </w:rPr>
            </w:pPr>
            <w:r>
              <w:rPr>
                <w:rFonts w:ascii="Arial" w:cs="Arial" w:eastAsia="Arial" w:hAnsi="Arial"/>
                <w:sz w:val="13"/>
                <w:szCs w:val="13"/>
                <w:color w:val="auto"/>
              </w:rPr>
              <w:t>94 )</w:t>
            </w:r>
          </w:p>
        </w:tc>
        <w:tc>
          <w:tcPr>
            <w:tcW w:w="8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14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LIBOR+12.00% , 12.00% cash cap, 5%</w:t>
            </w:r>
          </w:p>
        </w:tc>
        <w:tc>
          <w:tcPr>
            <w:tcW w:w="8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743,714</w:t>
            </w: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2,522,537</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647,467</w:t>
            </w: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09" w:lineRule="exact"/>
              <w:rPr>
                <w:sz w:val="20"/>
                <w:szCs w:val="20"/>
                <w:color w:val="auto"/>
              </w:rPr>
            </w:pPr>
            <w:r>
              <w:rPr>
                <w:rFonts w:ascii="Arial" w:cs="Arial" w:eastAsia="Arial" w:hAnsi="Arial"/>
                <w:sz w:val="12"/>
                <w:szCs w:val="12"/>
                <w:color w:val="auto"/>
              </w:rPr>
              <w:t>(2,817,5</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(352,426 )</w:t>
            </w: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340" w:type="dxa"/>
            <w:vAlign w:val="bottom"/>
            <w:tcBorders>
              <w:left w:val="single" w:sz="8" w:color="CFF0FC"/>
            </w:tcBorders>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ETP, due 1/15/2025</w:t>
            </w:r>
          </w:p>
        </w:tc>
        <w:tc>
          <w:tcPr>
            <w:tcW w:w="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78 )</w:t>
            </w: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ind w:left="20"/>
              <w:spacing w:after="0" w:line="108" w:lineRule="exact"/>
              <w:rPr>
                <w:sz w:val="20"/>
                <w:szCs w:val="20"/>
                <w:color w:val="auto"/>
              </w:rPr>
            </w:pPr>
            <w:r>
              <w:rPr>
                <w:rFonts w:ascii="Arial" w:cs="Arial" w:eastAsia="Arial" w:hAnsi="Arial"/>
                <w:sz w:val="12"/>
                <w:szCs w:val="12"/>
                <w:color w:val="auto"/>
              </w:rPr>
              <w:t>LIBOR+12.00% , 12.00% cash cap, 5%</w:t>
            </w: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183,962</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629,997</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159,925</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(703,708 )</w:t>
            </w:r>
          </w:p>
        </w:tc>
        <w:tc>
          <w:tcPr>
            <w:tcW w:w="80" w:type="dxa"/>
            <w:vAlign w:val="bottom"/>
          </w:tcPr>
          <w:p>
            <w:pPr>
              <w:spacing w:after="0"/>
              <w:rPr>
                <w:sz w:val="9"/>
                <w:szCs w:val="9"/>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96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(86,214 )</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ind w:left="20"/>
              <w:spacing w:after="0"/>
              <w:rPr>
                <w:sz w:val="20"/>
                <w:szCs w:val="20"/>
                <w:color w:val="auto"/>
              </w:rPr>
            </w:pPr>
            <w:r>
              <w:rPr>
                <w:rFonts w:ascii="Arial" w:cs="Arial" w:eastAsia="Arial" w:hAnsi="Arial"/>
                <w:sz w:val="13"/>
                <w:szCs w:val="13"/>
                <w:color w:val="auto"/>
              </w:rPr>
              <w:t>ETP, due 1/15/2025</w:t>
            </w: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14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LIBOR+12.00% , 12.00% cash cap, 5%</w:t>
            </w:r>
          </w:p>
        </w:tc>
        <w:tc>
          <w:tcPr>
            <w:tcW w:w="8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184,550</w:t>
            </w: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629,118</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160,546</w:t>
            </w: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(702,761 )</w:t>
            </w:r>
          </w:p>
        </w:tc>
        <w:tc>
          <w:tcPr>
            <w:tcW w:w="8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(86,903 )</w:t>
            </w: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340" w:type="dxa"/>
            <w:vAlign w:val="bottom"/>
            <w:tcBorders>
              <w:left w:val="single" w:sz="8" w:color="CFF0FC"/>
            </w:tcBorders>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ETP, due 1/15/2025</w:t>
            </w:r>
          </w:p>
        </w:tc>
        <w:tc>
          <w:tcPr>
            <w:tcW w:w="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ind w:left="20"/>
              <w:spacing w:after="0" w:line="108" w:lineRule="exact"/>
              <w:rPr>
                <w:sz w:val="20"/>
                <w:szCs w:val="20"/>
                <w:color w:val="auto"/>
              </w:rPr>
            </w:pPr>
            <w:r>
              <w:rPr>
                <w:rFonts w:ascii="Arial" w:cs="Arial" w:eastAsia="Arial" w:hAnsi="Arial"/>
                <w:sz w:val="12"/>
                <w:szCs w:val="12"/>
                <w:color w:val="auto"/>
              </w:rPr>
              <w:t>LIBOR+12.00% , 12.00% cash cap, 5%</w:t>
            </w: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374,422</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1,252,833</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326,620</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jc w:val="right"/>
              <w:spacing w:after="0" w:line="108" w:lineRule="exact"/>
              <w:rPr>
                <w:sz w:val="20"/>
                <w:szCs w:val="20"/>
                <w:color w:val="auto"/>
              </w:rPr>
            </w:pPr>
            <w:r>
              <w:rPr>
                <w:rFonts w:ascii="Arial" w:cs="Arial" w:eastAsia="Arial" w:hAnsi="Arial"/>
                <w:sz w:val="12"/>
                <w:szCs w:val="12"/>
                <w:color w:val="auto"/>
              </w:rPr>
              <w:t>(1,399,7</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96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(179,752 )</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ind w:left="20"/>
              <w:spacing w:after="0"/>
              <w:rPr>
                <w:sz w:val="20"/>
                <w:szCs w:val="20"/>
                <w:color w:val="auto"/>
              </w:rPr>
            </w:pPr>
            <w:r>
              <w:rPr>
                <w:rFonts w:ascii="Arial" w:cs="Arial" w:eastAsia="Arial" w:hAnsi="Arial"/>
                <w:sz w:val="13"/>
                <w:szCs w:val="13"/>
                <w:color w:val="auto"/>
              </w:rPr>
              <w:t>ETP, due 1/15/2025</w:t>
            </w: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97"/>
              <w:spacing w:after="0"/>
              <w:rPr>
                <w:sz w:val="20"/>
                <w:szCs w:val="20"/>
                <w:color w:val="auto"/>
              </w:rPr>
            </w:pPr>
            <w:r>
              <w:rPr>
                <w:rFonts w:ascii="Arial" w:cs="Arial" w:eastAsia="Arial" w:hAnsi="Arial"/>
                <w:sz w:val="13"/>
                <w:szCs w:val="13"/>
                <w:color w:val="auto"/>
              </w:rPr>
              <w:t>01 )</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14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LIBOR+12.00% , 12.00% cash cap, 5%</w:t>
            </w:r>
          </w:p>
        </w:tc>
        <w:tc>
          <w:tcPr>
            <w:tcW w:w="8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291,292</w:t>
            </w: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1,008,093</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265,657</w:t>
            </w: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shd w:val="clear" w:color="auto" w:fill="CFF0FC"/>
          </w:tcPr>
          <w:p>
            <w:pPr>
              <w:jc w:val="right"/>
              <w:spacing w:after="0" w:line="109" w:lineRule="exact"/>
              <w:rPr>
                <w:sz w:val="20"/>
                <w:szCs w:val="20"/>
                <w:color w:val="auto"/>
              </w:rPr>
            </w:pPr>
            <w:r>
              <w:rPr>
                <w:rFonts w:ascii="Arial" w:cs="Arial" w:eastAsia="Arial" w:hAnsi="Arial"/>
                <w:sz w:val="12"/>
                <w:szCs w:val="12"/>
                <w:color w:val="auto"/>
              </w:rPr>
              <w:t>(1,089,8</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96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(183,950 )</w:t>
            </w: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340" w:type="dxa"/>
            <w:vAlign w:val="bottom"/>
            <w:tcBorders>
              <w:left w:val="single" w:sz="8" w:color="CFF0FC"/>
            </w:tcBorders>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ETP, due 1/15/2025</w:t>
            </w:r>
          </w:p>
        </w:tc>
        <w:tc>
          <w:tcPr>
            <w:tcW w:w="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00 )</w:t>
            </w: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140" w:type="dxa"/>
            <w:vAlign w:val="bottom"/>
            <w:gridSpan w:val="4"/>
          </w:tcPr>
          <w:p>
            <w:pPr>
              <w:ind w:left="20"/>
              <w:spacing w:after="0" w:line="108" w:lineRule="exact"/>
              <w:rPr>
                <w:sz w:val="20"/>
                <w:szCs w:val="20"/>
                <w:color w:val="auto"/>
              </w:rPr>
            </w:pPr>
            <w:r>
              <w:rPr>
                <w:rFonts w:ascii="Arial" w:cs="Arial" w:eastAsia="Arial" w:hAnsi="Arial"/>
                <w:sz w:val="12"/>
                <w:szCs w:val="12"/>
                <w:color w:val="auto"/>
              </w:rPr>
              <w:t>Pivot3 Holdings, Inc.</w:t>
            </w:r>
          </w:p>
        </w:tc>
        <w:tc>
          <w:tcPr>
            <w:tcW w:w="120" w:type="dxa"/>
            <w:vAlign w:val="bottom"/>
          </w:tcPr>
          <w:p>
            <w:pPr>
              <w:spacing w:after="0"/>
              <w:rPr>
                <w:sz w:val="9"/>
                <w:szCs w:val="9"/>
                <w:color w:val="auto"/>
              </w:rPr>
            </w:pPr>
          </w:p>
        </w:tc>
        <w:tc>
          <w:tcPr>
            <w:tcW w:w="2140" w:type="dxa"/>
            <w:vAlign w:val="bottom"/>
          </w:tcPr>
          <w:p>
            <w:pPr>
              <w:ind w:left="20"/>
              <w:spacing w:after="0" w:line="108" w:lineRule="exact"/>
              <w:rPr>
                <w:sz w:val="20"/>
                <w:szCs w:val="20"/>
                <w:color w:val="auto"/>
              </w:rPr>
            </w:pPr>
            <w:r>
              <w:rPr>
                <w:rFonts w:ascii="Arial" w:cs="Arial" w:eastAsia="Arial" w:hAnsi="Arial"/>
                <w:sz w:val="12"/>
                <w:szCs w:val="12"/>
                <w:color w:val="auto"/>
              </w:rPr>
              <w:t>LIBOR+8.50% PIK, 11.00% floor, due</w:t>
            </w: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Arial" w:cs="Arial" w:eastAsia="Arial" w:hAnsi="Arial"/>
                <w:sz w:val="12"/>
                <w:szCs w:val="12"/>
                <w:color w:val="auto"/>
              </w:rPr>
              <w:t>14,649,78</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(9,128,487 )</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5,521,301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60" w:type="dxa"/>
            <w:vAlign w:val="bottom"/>
            <w:gridSpan w:val="2"/>
          </w:tcPr>
          <w:p>
            <w:pPr>
              <w:ind w:left="140"/>
              <w:spacing w:after="0"/>
              <w:rPr>
                <w:sz w:val="20"/>
                <w:szCs w:val="20"/>
                <w:color w:val="auto"/>
              </w:rPr>
            </w:pPr>
            <w:r>
              <w:rPr>
                <w:rFonts w:ascii="Arial" w:cs="Arial" w:eastAsia="Arial" w:hAnsi="Arial"/>
                <w:sz w:val="13"/>
                <w:szCs w:val="13"/>
                <w:color w:val="auto"/>
              </w:rPr>
              <w:t>11/15/2022</w:t>
            </w: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140" w:type="dxa"/>
            <w:vAlign w:val="bottom"/>
            <w:gridSpan w:val="4"/>
            <w:shd w:val="clear" w:color="auto" w:fill="CFF0FC"/>
          </w:tcPr>
          <w:p>
            <w:pPr>
              <w:ind w:left="20"/>
              <w:spacing w:after="0" w:line="104" w:lineRule="exact"/>
              <w:rPr>
                <w:sz w:val="20"/>
                <w:szCs w:val="20"/>
                <w:color w:val="auto"/>
              </w:rPr>
            </w:pPr>
            <w:r>
              <w:rPr>
                <w:rFonts w:ascii="Arial" w:cs="Arial" w:eastAsia="Arial" w:hAnsi="Arial"/>
                <w:sz w:val="10"/>
                <w:szCs w:val="10"/>
                <w:b w:val="1"/>
                <w:bCs w:val="1"/>
                <w:color w:val="auto"/>
              </w:rPr>
              <w:t>Total Senior Secured Term Loans</w:t>
            </w:r>
          </w:p>
        </w:tc>
        <w:tc>
          <w:tcPr>
            <w:tcW w:w="120" w:type="dxa"/>
            <w:vAlign w:val="bottom"/>
            <w:shd w:val="clear" w:color="auto" w:fill="CFF0FC"/>
          </w:tcPr>
          <w:p>
            <w:pPr>
              <w:spacing w:after="0"/>
              <w:rPr>
                <w:sz w:val="8"/>
                <w:szCs w:val="8"/>
                <w:color w:val="auto"/>
              </w:rPr>
            </w:pPr>
          </w:p>
        </w:tc>
        <w:tc>
          <w:tcPr>
            <w:tcW w:w="214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4,064,517</w:t>
            </w:r>
          </w:p>
        </w:tc>
        <w:tc>
          <w:tcPr>
            <w:tcW w:w="240" w:type="dxa"/>
            <w:vAlign w:val="bottom"/>
            <w:shd w:val="clear" w:color="auto" w:fill="CFF0FC"/>
          </w:tcPr>
          <w:p>
            <w:pPr>
              <w:spacing w:after="0"/>
              <w:rPr>
                <w:sz w:val="8"/>
                <w:szCs w:val="8"/>
                <w:color w:val="auto"/>
              </w:rPr>
            </w:pPr>
          </w:p>
        </w:tc>
        <w:tc>
          <w:tcPr>
            <w:tcW w:w="18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tcBorders>
            <w:shd w:val="clear" w:color="auto" w:fill="CFF0FC"/>
          </w:tcPr>
          <w:p>
            <w:pPr>
              <w:jc w:val="right"/>
              <w:spacing w:after="0" w:line="104" w:lineRule="exact"/>
              <w:rPr>
                <w:sz w:val="20"/>
                <w:szCs w:val="20"/>
                <w:color w:val="auto"/>
              </w:rPr>
            </w:pPr>
            <w:r>
              <w:rPr>
                <w:rFonts w:ascii="Arial" w:cs="Arial" w:eastAsia="Arial" w:hAnsi="Arial"/>
                <w:sz w:val="10"/>
                <w:szCs w:val="10"/>
                <w:color w:val="auto"/>
              </w:rPr>
              <w:t>28,259,97</w:t>
            </w:r>
          </w:p>
        </w:tc>
        <w:tc>
          <w:tcPr>
            <w:tcW w:w="24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shd w:val="clear" w:color="auto" w:fill="CFF0FC"/>
          </w:tcPr>
          <w:p>
            <w:pPr>
              <w:jc w:val="right"/>
              <w:spacing w:after="0" w:line="104" w:lineRule="exact"/>
              <w:rPr>
                <w:sz w:val="20"/>
                <w:szCs w:val="20"/>
                <w:color w:val="auto"/>
              </w:rPr>
            </w:pPr>
            <w:r>
              <w:rPr>
                <w:rFonts w:ascii="Arial" w:cs="Arial" w:eastAsia="Arial" w:hAnsi="Arial"/>
                <w:sz w:val="10"/>
                <w:szCs w:val="10"/>
                <w:color w:val="auto"/>
              </w:rPr>
              <w:t>3,547,51</w:t>
            </w:r>
          </w:p>
        </w:tc>
        <w:tc>
          <w:tcPr>
            <w:tcW w:w="26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tcBorders>
            <w:shd w:val="clear" w:color="auto" w:fill="CFF0FC"/>
          </w:tcPr>
          <w:p>
            <w:pPr>
              <w:jc w:val="right"/>
              <w:spacing w:after="0" w:line="104" w:lineRule="exact"/>
              <w:rPr>
                <w:sz w:val="20"/>
                <w:szCs w:val="20"/>
                <w:color w:val="auto"/>
              </w:rPr>
            </w:pPr>
            <w:r>
              <w:rPr>
                <w:rFonts w:ascii="Arial" w:cs="Arial" w:eastAsia="Arial" w:hAnsi="Arial"/>
                <w:sz w:val="10"/>
                <w:szCs w:val="10"/>
                <w:color w:val="auto"/>
              </w:rPr>
              <w:t>(15,202,</w:t>
            </w: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6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740" w:type="dxa"/>
            <w:vAlign w:val="bottom"/>
            <w:tcBorders>
              <w:top w:val="single" w:sz="8" w:color="auto"/>
            </w:tcBorders>
            <w:shd w:val="clear" w:color="auto" w:fill="CFF0FC"/>
          </w:tcPr>
          <w:p>
            <w:pPr>
              <w:jc w:val="right"/>
              <w:spacing w:after="0" w:line="104" w:lineRule="exact"/>
              <w:rPr>
                <w:sz w:val="20"/>
                <w:szCs w:val="20"/>
                <w:color w:val="auto"/>
              </w:rPr>
            </w:pPr>
            <w:r>
              <w:rPr>
                <w:rFonts w:ascii="Arial" w:cs="Arial" w:eastAsia="Arial" w:hAnsi="Arial"/>
                <w:sz w:val="10"/>
                <w:szCs w:val="10"/>
                <w:color w:val="auto"/>
              </w:rPr>
              <w:t>(11,083,34</w:t>
            </w: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7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5,521,301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340" w:type="dxa"/>
            <w:vAlign w:val="bottom"/>
            <w:tcBorders>
              <w:left w:val="single" w:sz="8" w:color="CFF0FC"/>
            </w:tcBorders>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842 )</w:t>
            </w:r>
          </w:p>
        </w:tc>
        <w:tc>
          <w:tcPr>
            <w:tcW w:w="80" w:type="dxa"/>
            <w:vAlign w:val="bottom"/>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8 )</w:t>
            </w: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140" w:type="dxa"/>
            <w:vAlign w:val="bottom"/>
            <w:tcBorders>
              <w:top w:val="single" w:sz="8" w:color="CFF0FC"/>
            </w:tcBorders>
            <w:gridSpan w:val="4"/>
          </w:tcPr>
          <w:p>
            <w:pPr>
              <w:ind w:left="20"/>
              <w:spacing w:after="0" w:line="143" w:lineRule="exact"/>
              <w:rPr>
                <w:sz w:val="20"/>
                <w:szCs w:val="20"/>
                <w:color w:val="auto"/>
              </w:rPr>
            </w:pPr>
            <w:r>
              <w:rPr>
                <w:rFonts w:ascii="Arial" w:cs="Arial" w:eastAsia="Arial" w:hAnsi="Arial"/>
                <w:sz w:val="13"/>
                <w:szCs w:val="13"/>
                <w:b w:val="1"/>
                <w:bCs w:val="1"/>
                <w:color w:val="auto"/>
              </w:rPr>
              <w:t>Preferred Stocks</w:t>
            </w:r>
          </w:p>
        </w:tc>
        <w:tc>
          <w:tcPr>
            <w:tcW w:w="120" w:type="dxa"/>
            <w:vAlign w:val="bottom"/>
            <w:tcBorders>
              <w:top w:val="single" w:sz="8" w:color="CFF0FC"/>
            </w:tcBorders>
          </w:tcPr>
          <w:p>
            <w:pPr>
              <w:spacing w:after="0"/>
              <w:rPr>
                <w:sz w:val="12"/>
                <w:szCs w:val="12"/>
                <w:color w:val="auto"/>
              </w:rPr>
            </w:pPr>
          </w:p>
        </w:tc>
        <w:tc>
          <w:tcPr>
            <w:tcW w:w="21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4"/>
            <w:shd w:val="clear" w:color="auto" w:fill="CFF0FC"/>
          </w:tcPr>
          <w:p>
            <w:pPr>
              <w:ind w:left="20"/>
              <w:spacing w:after="0"/>
              <w:rPr>
                <w:sz w:val="20"/>
                <w:szCs w:val="20"/>
                <w:color w:val="auto"/>
              </w:rPr>
            </w:pPr>
            <w:r>
              <w:rPr>
                <w:rFonts w:ascii="Arial" w:cs="Arial" w:eastAsia="Arial" w:hAnsi="Arial"/>
                <w:sz w:val="13"/>
                <w:szCs w:val="13"/>
                <w:color w:val="auto"/>
              </w:rPr>
              <w:t>Mojix, Inc.</w:t>
            </w:r>
          </w:p>
        </w:tc>
        <w:tc>
          <w:tcPr>
            <w:tcW w:w="120" w:type="dxa"/>
            <w:vAlign w:val="bottom"/>
            <w:shd w:val="clear" w:color="auto" w:fill="CFF0FC"/>
          </w:tcPr>
          <w:p>
            <w:pPr>
              <w:spacing w:after="0"/>
              <w:rPr>
                <w:sz w:val="12"/>
                <w:szCs w:val="12"/>
                <w:color w:val="auto"/>
              </w:rPr>
            </w:pPr>
          </w:p>
        </w:tc>
        <w:tc>
          <w:tcPr>
            <w:tcW w:w="2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A-1 Preferred Stock</w:t>
            </w:r>
          </w:p>
        </w:tc>
        <w:tc>
          <w:tcPr>
            <w:tcW w:w="8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32,354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870,395</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(800,000 )</w:t>
            </w:r>
          </w:p>
        </w:tc>
        <w:tc>
          <w:tcPr>
            <w:tcW w:w="80" w:type="dxa"/>
            <w:vAlign w:val="bottom"/>
            <w:shd w:val="clear" w:color="auto" w:fill="CFF0FC"/>
          </w:tcPr>
          <w:p>
            <w:pPr>
              <w:spacing w:after="0"/>
              <w:rPr>
                <w:sz w:val="12"/>
                <w:szCs w:val="12"/>
                <w:color w:val="auto"/>
              </w:rPr>
            </w:pPr>
          </w:p>
        </w:tc>
        <w:tc>
          <w:tcPr>
            <w:tcW w:w="8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(70,395 )</w:t>
            </w:r>
          </w:p>
        </w:tc>
        <w:tc>
          <w:tcPr>
            <w:tcW w:w="8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40" w:type="dxa"/>
            <w:vAlign w:val="bottom"/>
            <w:gridSpan w:val="4"/>
          </w:tcPr>
          <w:p>
            <w:pPr>
              <w:ind w:left="20"/>
              <w:spacing w:after="0"/>
              <w:rPr>
                <w:sz w:val="20"/>
                <w:szCs w:val="20"/>
                <w:color w:val="auto"/>
              </w:rPr>
            </w:pPr>
            <w:r>
              <w:rPr>
                <w:rFonts w:ascii="Arial" w:cs="Arial" w:eastAsia="Arial" w:hAnsi="Arial"/>
                <w:sz w:val="13"/>
                <w:szCs w:val="13"/>
                <w:color w:val="auto"/>
              </w:rPr>
              <w:t>Pivot3 Holdings, Inc.</w:t>
            </w:r>
          </w:p>
        </w:tc>
        <w:tc>
          <w:tcPr>
            <w:tcW w:w="120" w:type="dxa"/>
            <w:vAlign w:val="bottom"/>
          </w:tcPr>
          <w:p>
            <w:pPr>
              <w:spacing w:after="0"/>
              <w:rPr>
                <w:sz w:val="12"/>
                <w:szCs w:val="12"/>
                <w:color w:val="auto"/>
              </w:rPr>
            </w:pPr>
          </w:p>
        </w:tc>
        <w:tc>
          <w:tcPr>
            <w:tcW w:w="2140" w:type="dxa"/>
            <w:vAlign w:val="bottom"/>
          </w:tcPr>
          <w:p>
            <w:pPr>
              <w:ind w:left="20"/>
              <w:spacing w:after="0"/>
              <w:rPr>
                <w:sz w:val="20"/>
                <w:szCs w:val="20"/>
                <w:color w:val="auto"/>
              </w:rPr>
            </w:pPr>
            <w:r>
              <w:rPr>
                <w:rFonts w:ascii="Arial" w:cs="Arial" w:eastAsia="Arial" w:hAnsi="Arial"/>
                <w:sz w:val="13"/>
                <w:szCs w:val="13"/>
                <w:color w:val="auto"/>
              </w:rPr>
              <w:t>Series 1 Preferred Stock</w:t>
            </w: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960" w:type="dxa"/>
            <w:vAlign w:val="bottom"/>
            <w:gridSpan w:val="2"/>
          </w:tcPr>
          <w:p>
            <w:pPr>
              <w:jc w:val="right"/>
              <w:ind w:right="157"/>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tcBorders>
              <w:bottom w:val="single" w:sz="8" w:color="CFF0FC"/>
            </w:tcBorders>
            <w:gridSpan w:val="4"/>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Total Preferred Stocks</w:t>
            </w:r>
          </w:p>
        </w:tc>
        <w:tc>
          <w:tcPr>
            <w:tcW w:w="120" w:type="dxa"/>
            <w:vAlign w:val="bottom"/>
            <w:tcBorders>
              <w:bottom w:val="single" w:sz="8" w:color="CFF0FC"/>
            </w:tcBorders>
            <w:shd w:val="clear" w:color="auto" w:fill="CFF0FC"/>
          </w:tcPr>
          <w:p>
            <w:pPr>
              <w:spacing w:after="0"/>
              <w:rPr>
                <w:sz w:val="12"/>
                <w:szCs w:val="12"/>
                <w:color w:val="auto"/>
              </w:rPr>
            </w:pPr>
          </w:p>
        </w:tc>
        <w:tc>
          <w:tcPr>
            <w:tcW w:w="2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32,354</w:t>
            </w: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870,395</w:t>
            </w:r>
          </w:p>
        </w:tc>
        <w:tc>
          <w:tcPr>
            <w:tcW w:w="2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(800,000</w:t>
            </w:r>
          </w:p>
        </w:tc>
        <w:tc>
          <w:tcPr>
            <w:tcW w:w="220" w:type="dxa"/>
            <w:vAlign w:val="bottom"/>
            <w:tcBorders>
              <w:bottom w:val="single" w:sz="8" w:color="CFF0FC"/>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(70,395</w:t>
            </w:r>
          </w:p>
        </w:tc>
        <w:tc>
          <w:tcPr>
            <w:tcW w:w="220" w:type="dxa"/>
            <w:vAlign w:val="bottom"/>
            <w:tcBorders>
              <w:bottom w:val="single" w:sz="8" w:color="CFF0FC"/>
            </w:tcBorders>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91"/>
              </w:rPr>
              <w:t>)</w:t>
            </w: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40" w:type="dxa"/>
            <w:vAlign w:val="bottom"/>
            <w:gridSpan w:val="4"/>
          </w:tcPr>
          <w:p>
            <w:pPr>
              <w:ind w:left="20"/>
              <w:spacing w:after="0" w:line="142" w:lineRule="exact"/>
              <w:rPr>
                <w:sz w:val="20"/>
                <w:szCs w:val="20"/>
                <w:color w:val="auto"/>
              </w:rPr>
            </w:pPr>
            <w:r>
              <w:rPr>
                <w:rFonts w:ascii="Arial" w:cs="Arial" w:eastAsia="Arial" w:hAnsi="Arial"/>
                <w:sz w:val="13"/>
                <w:szCs w:val="13"/>
                <w:b w:val="1"/>
                <w:bCs w:val="1"/>
                <w:color w:val="auto"/>
              </w:rPr>
              <w:t>Warrants</w:t>
            </w:r>
          </w:p>
        </w:tc>
        <w:tc>
          <w:tcPr>
            <w:tcW w:w="1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140" w:type="dxa"/>
            <w:vAlign w:val="bottom"/>
            <w:gridSpan w:val="4"/>
            <w:shd w:val="clear" w:color="auto" w:fill="CFF0FC"/>
          </w:tcPr>
          <w:p>
            <w:pPr>
              <w:ind w:left="20"/>
              <w:spacing w:after="0" w:line="108" w:lineRule="exact"/>
              <w:rPr>
                <w:sz w:val="20"/>
                <w:szCs w:val="20"/>
                <w:color w:val="auto"/>
              </w:rPr>
            </w:pPr>
            <w:r>
              <w:rPr>
                <w:rFonts w:ascii="Arial" w:cs="Arial" w:eastAsia="Arial" w:hAnsi="Arial"/>
                <w:sz w:val="12"/>
                <w:szCs w:val="12"/>
                <w:color w:val="auto"/>
              </w:rPr>
              <w:t>Mojix, Inc.</w:t>
            </w:r>
          </w:p>
        </w:tc>
        <w:tc>
          <w:tcPr>
            <w:tcW w:w="120" w:type="dxa"/>
            <w:vAlign w:val="bottom"/>
            <w:shd w:val="clear" w:color="auto" w:fill="CFF0FC"/>
          </w:tcPr>
          <w:p>
            <w:pPr>
              <w:spacing w:after="0"/>
              <w:rPr>
                <w:sz w:val="9"/>
                <w:szCs w:val="9"/>
                <w:color w:val="auto"/>
              </w:rPr>
            </w:pPr>
          </w:p>
        </w:tc>
        <w:tc>
          <w:tcPr>
            <w:tcW w:w="214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Warrant for Common Stock, exercise</w:t>
            </w:r>
          </w:p>
        </w:tc>
        <w:tc>
          <w:tcPr>
            <w:tcW w:w="8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(119,255 )</w:t>
            </w:r>
          </w:p>
        </w:tc>
        <w:tc>
          <w:tcPr>
            <w:tcW w:w="8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(65 )</w:t>
            </w: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119,320</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340" w:type="dxa"/>
            <w:vAlign w:val="bottom"/>
            <w:tcBorders>
              <w:left w:val="single" w:sz="8" w:color="CFF0FC"/>
            </w:tcBorders>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140" w:type="dxa"/>
            <w:vAlign w:val="bottom"/>
            <w:shd w:val="clear" w:color="auto" w:fill="CFF0FC"/>
          </w:tcPr>
          <w:p>
            <w:pPr>
              <w:ind w:left="20"/>
              <w:spacing w:after="0"/>
              <w:rPr>
                <w:sz w:val="20"/>
                <w:szCs w:val="20"/>
                <w:color w:val="auto"/>
              </w:rPr>
            </w:pPr>
            <w:r>
              <w:rPr>
                <w:rFonts w:ascii="Arial" w:cs="Arial" w:eastAsia="Arial" w:hAnsi="Arial"/>
                <w:sz w:val="13"/>
                <w:szCs w:val="13"/>
                <w:color w:val="auto"/>
                <w:w w:val="93"/>
              </w:rPr>
              <w:t>price $1.286/share, expires 12/13/2030</w:t>
            </w:r>
          </w:p>
        </w:tc>
        <w:tc>
          <w:tcPr>
            <w:tcW w:w="8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tcPr>
          <w:p>
            <w:pPr>
              <w:ind w:left="20"/>
              <w:spacing w:after="0" w:line="108" w:lineRule="exact"/>
              <w:rPr>
                <w:sz w:val="20"/>
                <w:szCs w:val="20"/>
                <w:color w:val="auto"/>
              </w:rPr>
            </w:pPr>
            <w:r>
              <w:rPr>
                <w:rFonts w:ascii="Arial" w:cs="Arial" w:eastAsia="Arial" w:hAnsi="Arial"/>
                <w:sz w:val="12"/>
                <w:szCs w:val="12"/>
                <w:color w:val="auto"/>
              </w:rPr>
              <w:t>Warrant for Common Stock, exercise</w:t>
            </w: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(298,325 )</w:t>
            </w:r>
          </w:p>
        </w:tc>
        <w:tc>
          <w:tcPr>
            <w:tcW w:w="80" w:type="dxa"/>
            <w:vAlign w:val="bottom"/>
          </w:tcPr>
          <w:p>
            <w:pPr>
              <w:spacing w:after="0"/>
              <w:rPr>
                <w:sz w:val="9"/>
                <w:szCs w:val="9"/>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298,325</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ind w:left="20"/>
              <w:spacing w:after="0"/>
              <w:rPr>
                <w:sz w:val="20"/>
                <w:szCs w:val="20"/>
                <w:color w:val="auto"/>
              </w:rPr>
            </w:pPr>
            <w:r>
              <w:rPr>
                <w:rFonts w:ascii="Arial" w:cs="Arial" w:eastAsia="Arial" w:hAnsi="Arial"/>
                <w:sz w:val="13"/>
                <w:szCs w:val="13"/>
                <w:color w:val="auto"/>
                <w:w w:val="90"/>
              </w:rPr>
              <w:t>price $2.1286/share, expires 12/13/2030</w:t>
            </w: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340" w:type="dxa"/>
            <w:vAlign w:val="bottom"/>
            <w:tcBorders>
              <w:left w:val="single" w:sz="8" w:color="CFF0FC"/>
            </w:tcBorders>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14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Warrant for Common Stock, exercise</w:t>
            </w:r>
          </w:p>
        </w:tc>
        <w:tc>
          <w:tcPr>
            <w:tcW w:w="80" w:type="dxa"/>
            <w:vAlign w:val="bottom"/>
            <w:shd w:val="clear" w:color="auto" w:fill="CFF0FC"/>
          </w:tcPr>
          <w:p>
            <w:pPr>
              <w:spacing w:after="0"/>
              <w:rPr>
                <w:sz w:val="9"/>
                <w:szCs w:val="9"/>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97"/>
              <w:spacing w:after="0"/>
              <w:rPr>
                <w:sz w:val="20"/>
                <w:szCs w:val="20"/>
                <w:color w:val="auto"/>
              </w:rPr>
            </w:pPr>
            <w:r>
              <w:rPr>
                <w:rFonts w:ascii="Arial" w:cs="Arial" w:eastAsia="Arial" w:hAnsi="Arial"/>
                <w:sz w:val="13"/>
                <w:szCs w:val="13"/>
                <w:color w:val="auto"/>
              </w:rPr>
              <w:t>(828,522 )</w:t>
            </w:r>
          </w:p>
        </w:tc>
        <w:tc>
          <w:tcPr>
            <w:tcW w:w="80" w:type="dxa"/>
            <w:vAlign w:val="bottom"/>
            <w:shd w:val="clear" w:color="auto" w:fill="CFF0FC"/>
          </w:tcPr>
          <w:p>
            <w:pPr>
              <w:spacing w:after="0"/>
              <w:rPr>
                <w:sz w:val="9"/>
                <w:szCs w:val="9"/>
                <w:color w:val="auto"/>
              </w:rPr>
            </w:pPr>
          </w:p>
        </w:tc>
        <w:tc>
          <w:tcPr>
            <w:tcW w:w="8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828,522</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340" w:type="dxa"/>
            <w:vAlign w:val="bottom"/>
            <w:tcBorders>
              <w:left w:val="single" w:sz="8" w:color="CFF0FC"/>
            </w:tcBorders>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140" w:type="dxa"/>
            <w:vAlign w:val="bottom"/>
            <w:shd w:val="clear" w:color="auto" w:fill="CFF0FC"/>
          </w:tcPr>
          <w:p>
            <w:pPr>
              <w:ind w:left="20"/>
              <w:spacing w:after="0"/>
              <w:rPr>
                <w:sz w:val="20"/>
                <w:szCs w:val="20"/>
                <w:color w:val="auto"/>
              </w:rPr>
            </w:pPr>
            <w:r>
              <w:rPr>
                <w:rFonts w:ascii="Arial" w:cs="Arial" w:eastAsia="Arial" w:hAnsi="Arial"/>
                <w:sz w:val="13"/>
                <w:szCs w:val="13"/>
                <w:color w:val="auto"/>
                <w:w w:val="87"/>
              </w:rPr>
              <w:t>price $5.57338/share, expires 12/13/2030</w:t>
            </w:r>
          </w:p>
        </w:tc>
        <w:tc>
          <w:tcPr>
            <w:tcW w:w="80" w:type="dxa"/>
            <w:vAlign w:val="bottom"/>
            <w:shd w:val="clear" w:color="auto" w:fill="CFF0FC"/>
          </w:tcPr>
          <w:p>
            <w:pPr>
              <w:spacing w:after="0"/>
              <w:rPr>
                <w:sz w:val="12"/>
                <w:szCs w:val="12"/>
                <w:color w:val="auto"/>
              </w:rPr>
            </w:pPr>
          </w:p>
        </w:tc>
        <w:tc>
          <w:tcPr>
            <w:tcW w:w="7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20" w:type="dxa"/>
            <w:vAlign w:val="bottom"/>
            <w:gridSpan w:val="2"/>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1100" w:type="dxa"/>
            <w:vAlign w:val="bottom"/>
            <w:shd w:val="clear" w:color="auto" w:fill="CFF0FC"/>
          </w:tcPr>
          <w:p>
            <w:pPr>
              <w:spacing w:after="0" w:line="20" w:lineRule="exact"/>
              <w:rPr>
                <w:sz w:val="1"/>
                <w:szCs w:val="1"/>
                <w:color w:val="auto"/>
              </w:rPr>
            </w:pPr>
          </w:p>
        </w:tc>
        <w:tc>
          <w:tcPr>
            <w:tcW w:w="340" w:type="dxa"/>
            <w:vAlign w:val="bottom"/>
            <w:tcBorders>
              <w:left w:val="single" w:sz="8" w:color="CFF0FC"/>
            </w:tcBorders>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1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2140" w:type="dxa"/>
            <w:vAlign w:val="bottom"/>
            <w:gridSpan w:val="4"/>
          </w:tcPr>
          <w:p>
            <w:pPr>
              <w:ind w:left="20"/>
              <w:spacing w:after="0" w:line="102" w:lineRule="exact"/>
              <w:rPr>
                <w:sz w:val="20"/>
                <w:szCs w:val="20"/>
                <w:color w:val="auto"/>
              </w:rPr>
            </w:pPr>
            <w:r>
              <w:rPr>
                <w:rFonts w:ascii="Arial" w:cs="Arial" w:eastAsia="Arial" w:hAnsi="Arial"/>
                <w:sz w:val="10"/>
                <w:szCs w:val="10"/>
                <w:b w:val="1"/>
                <w:bCs w:val="1"/>
                <w:color w:val="auto"/>
              </w:rPr>
              <w:t>Total Warrants</w:t>
            </w:r>
          </w:p>
        </w:tc>
        <w:tc>
          <w:tcPr>
            <w:tcW w:w="120" w:type="dxa"/>
            <w:vAlign w:val="bottom"/>
          </w:tcPr>
          <w:p>
            <w:pPr>
              <w:spacing w:after="0"/>
              <w:rPr>
                <w:sz w:val="8"/>
                <w:szCs w:val="8"/>
                <w:color w:val="auto"/>
              </w:rPr>
            </w:pPr>
          </w:p>
        </w:tc>
        <w:tc>
          <w:tcPr>
            <w:tcW w:w="2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10"/>
                <w:szCs w:val="10"/>
                <w:color w:val="auto"/>
              </w:rPr>
              <w:t>(1,246,1</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(65 )</w:t>
            </w:r>
          </w:p>
        </w:tc>
        <w:tc>
          <w:tcPr>
            <w:tcW w:w="8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1,246,167</w:t>
            </w: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97"/>
              <w:spacing w:after="0"/>
              <w:rPr>
                <w:sz w:val="20"/>
                <w:szCs w:val="20"/>
                <w:color w:val="auto"/>
              </w:rPr>
            </w:pPr>
            <w:r>
              <w:rPr>
                <w:rFonts w:ascii="Arial" w:cs="Arial" w:eastAsia="Arial" w:hAnsi="Arial"/>
                <w:sz w:val="13"/>
                <w:szCs w:val="13"/>
                <w:color w:val="auto"/>
              </w:rPr>
              <w:t>02 )</w:t>
            </w:r>
          </w:p>
        </w:tc>
        <w:tc>
          <w:tcPr>
            <w:tcW w:w="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-3973830</wp:posOffset>
            </wp:positionV>
            <wp:extent cx="7747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-3973830</wp:posOffset>
            </wp:positionV>
            <wp:extent cx="7747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-3973830</wp:posOffset>
            </wp:positionV>
            <wp:extent cx="7683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-3973830</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-3973830</wp:posOffset>
            </wp:positionV>
            <wp:extent cx="6858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-3973830</wp:posOffset>
            </wp:positionV>
            <wp:extent cx="6858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-3973830</wp:posOffset>
            </wp:positionV>
            <wp:extent cx="6858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-3416935</wp:posOffset>
            </wp:positionV>
            <wp:extent cx="7747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-3416935</wp:posOffset>
            </wp:positionV>
            <wp:extent cx="7747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-3416935</wp:posOffset>
            </wp:positionV>
            <wp:extent cx="768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-3416935</wp:posOffset>
            </wp:positionV>
            <wp:extent cx="6858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-3416935</wp:posOffset>
            </wp:positionV>
            <wp:extent cx="6858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-3416935</wp:posOffset>
            </wp:positionV>
            <wp:extent cx="6858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-3416935</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-3142615</wp:posOffset>
            </wp:positionV>
            <wp:extent cx="7747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-3142615</wp:posOffset>
            </wp:positionV>
            <wp:extent cx="7747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-3142615</wp:posOffset>
            </wp:positionV>
            <wp:extent cx="76835"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-3142615</wp:posOffset>
            </wp:positionV>
            <wp:extent cx="6858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-3142615</wp:posOffset>
            </wp:positionV>
            <wp:extent cx="6858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-3142615</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-3142615</wp:posOffset>
            </wp:positionV>
            <wp:extent cx="6858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-2785110</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-2767965</wp:posOffset>
            </wp:positionV>
            <wp:extent cx="774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-2785110</wp:posOffset>
            </wp:positionV>
            <wp:extent cx="7747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-2767965</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-2785110</wp:posOffset>
            </wp:positionV>
            <wp:extent cx="7683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-2767965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-2785110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-2767965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-2785110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-2767965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-2785110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-2767965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-2767965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-1188085</wp:posOffset>
            </wp:positionV>
            <wp:extent cx="7747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-1188085</wp:posOffset>
            </wp:positionV>
            <wp:extent cx="7747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-1188085</wp:posOffset>
            </wp:positionV>
            <wp:extent cx="76835"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-1188085</wp:posOffset>
            </wp:positionV>
            <wp:extent cx="6858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-1188085</wp:posOffset>
            </wp:positionV>
            <wp:extent cx="6858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-1188085</wp:posOffset>
            </wp:positionV>
            <wp:extent cx="6858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-1188085</wp:posOffset>
            </wp:positionV>
            <wp:extent cx="6858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-793750</wp:posOffset>
            </wp:positionV>
            <wp:extent cx="7747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-793750</wp:posOffset>
            </wp:positionV>
            <wp:extent cx="7747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-793750</wp:posOffset>
            </wp:positionV>
            <wp:extent cx="76835"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-793750</wp:posOffset>
            </wp:positionV>
            <wp:extent cx="6858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-793750</wp:posOffset>
            </wp:positionV>
            <wp:extent cx="685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-793750</wp:posOffset>
            </wp:positionV>
            <wp:extent cx="6858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-793750</wp:posOffset>
            </wp:positionV>
            <wp:extent cx="6858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-184785</wp:posOffset>
            </wp:positionV>
            <wp:extent cx="7747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-184785</wp:posOffset>
            </wp:positionV>
            <wp:extent cx="7747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-184785</wp:posOffset>
            </wp:positionV>
            <wp:extent cx="76835"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-184785</wp:posOffset>
            </wp:positionV>
            <wp:extent cx="6858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-184785</wp:posOffset>
            </wp:positionV>
            <wp:extent cx="6858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-184785</wp:posOffset>
            </wp:positionV>
            <wp:extent cx="6858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-184785</wp:posOffset>
            </wp:positionV>
            <wp:extent cx="6858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400" w:type="dxa"/>
            <w:vAlign w:val="bottom"/>
            <w:tcBorders>
              <w:top w:val="single" w:sz="8" w:color="CFF0FC"/>
            </w:tcBorders>
            <w:gridSpan w:val="3"/>
            <w:shd w:val="clear" w:color="auto" w:fill="CFF0FC"/>
          </w:tcPr>
          <w:p>
            <w:pPr>
              <w:ind w:left="20"/>
              <w:spacing w:after="0" w:line="106" w:lineRule="exact"/>
              <w:rPr>
                <w:sz w:val="20"/>
                <w:szCs w:val="20"/>
                <w:color w:val="auto"/>
              </w:rPr>
            </w:pPr>
            <w:r>
              <w:rPr>
                <w:rFonts w:ascii="Arial" w:cs="Arial" w:eastAsia="Arial" w:hAnsi="Arial"/>
                <w:sz w:val="12"/>
                <w:szCs w:val="12"/>
                <w:b w:val="1"/>
                <w:bCs w:val="1"/>
                <w:color w:val="auto"/>
              </w:rPr>
              <w:t>Total Control Investments</w:t>
            </w:r>
          </w:p>
        </w:tc>
        <w:tc>
          <w:tcPr>
            <w:tcW w:w="1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24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jc w:val="right"/>
              <w:spacing w:after="0" w:line="108" w:lineRule="exact"/>
              <w:rPr>
                <w:sz w:val="20"/>
                <w:szCs w:val="20"/>
                <w:color w:val="auto"/>
              </w:rPr>
            </w:pPr>
            <w:r>
              <w:rPr>
                <w:rFonts w:ascii="Arial" w:cs="Arial" w:eastAsia="Arial" w:hAnsi="Arial"/>
                <w:sz w:val="12"/>
                <w:szCs w:val="12"/>
                <w:color w:val="auto"/>
              </w:rPr>
              <w:t>29,130,37</w:t>
            </w:r>
          </w:p>
        </w:tc>
        <w:tc>
          <w:tcPr>
            <w:tcW w:w="240" w:type="dxa"/>
            <w:vAlign w:val="bottom"/>
            <w:tcBorders>
              <w:top w:val="single" w:sz="8" w:color="CFF0FC"/>
            </w:tcBorders>
            <w:shd w:val="clear" w:color="auto" w:fill="CFF0FC"/>
          </w:tcPr>
          <w:p>
            <w:pPr>
              <w:spacing w:after="0"/>
              <w:rPr>
                <w:sz w:val="10"/>
                <w:szCs w:val="10"/>
                <w:color w:val="auto"/>
              </w:rPr>
            </w:pPr>
          </w:p>
        </w:tc>
        <w:tc>
          <w:tcPr>
            <w:tcW w:w="16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jc w:val="right"/>
              <w:spacing w:after="0" w:line="108" w:lineRule="exact"/>
              <w:rPr>
                <w:sz w:val="20"/>
                <w:szCs w:val="20"/>
                <w:color w:val="auto"/>
              </w:rPr>
            </w:pPr>
            <w:r>
              <w:rPr>
                <w:rFonts w:ascii="Arial" w:cs="Arial" w:eastAsia="Arial" w:hAnsi="Arial"/>
                <w:sz w:val="12"/>
                <w:szCs w:val="12"/>
                <w:color w:val="auto"/>
              </w:rPr>
              <w:t>3,547,51</w:t>
            </w:r>
          </w:p>
        </w:tc>
        <w:tc>
          <w:tcPr>
            <w:tcW w:w="260" w:type="dxa"/>
            <w:vAlign w:val="bottom"/>
            <w:tcBorders>
              <w:top w:val="single" w:sz="8" w:color="CFF0FC"/>
            </w:tcBorders>
            <w:shd w:val="clear" w:color="auto" w:fill="CFF0FC"/>
          </w:tcPr>
          <w:p>
            <w:pPr>
              <w:spacing w:after="0"/>
              <w:rPr>
                <w:sz w:val="10"/>
                <w:szCs w:val="10"/>
                <w:color w:val="auto"/>
              </w:rPr>
            </w:pPr>
          </w:p>
        </w:tc>
        <w:tc>
          <w:tcPr>
            <w:tcW w:w="180" w:type="dxa"/>
            <w:vAlign w:val="bottom"/>
            <w:tcBorders>
              <w:top w:val="single" w:sz="8" w:color="auto"/>
            </w:tcBorders>
            <w:shd w:val="clear" w:color="auto" w:fill="CFF0FC"/>
          </w:tcPr>
          <w:p>
            <w:pPr>
              <w:spacing w:after="0"/>
              <w:rPr>
                <w:sz w:val="10"/>
                <w:szCs w:val="10"/>
                <w:color w:val="auto"/>
              </w:rPr>
            </w:pPr>
          </w:p>
        </w:tc>
        <w:tc>
          <w:tcPr>
            <w:tcW w:w="540" w:type="dxa"/>
            <w:vAlign w:val="bottom"/>
            <w:tcBorders>
              <w:top w:val="single" w:sz="8" w:color="auto"/>
            </w:tcBorders>
            <w:shd w:val="clear" w:color="auto" w:fill="CFF0FC"/>
          </w:tcPr>
          <w:p>
            <w:pPr>
              <w:jc w:val="right"/>
              <w:spacing w:after="0" w:line="108" w:lineRule="exact"/>
              <w:rPr>
                <w:sz w:val="20"/>
                <w:szCs w:val="20"/>
                <w:color w:val="auto"/>
              </w:rPr>
            </w:pPr>
            <w:r>
              <w:rPr>
                <w:rFonts w:ascii="Arial" w:cs="Arial" w:eastAsia="Arial" w:hAnsi="Arial"/>
                <w:sz w:val="12"/>
                <w:szCs w:val="12"/>
                <w:color w:val="auto"/>
              </w:rPr>
              <w:t>(17,248,</w:t>
            </w:r>
          </w:p>
        </w:tc>
        <w:tc>
          <w:tcPr>
            <w:tcW w:w="220" w:type="dxa"/>
            <w:vAlign w:val="bottom"/>
            <w:tcBorders>
              <w:top w:val="single" w:sz="8" w:color="CFF0FC"/>
            </w:tcBorders>
            <w:shd w:val="clear" w:color="auto" w:fill="CFF0FC"/>
          </w:tcPr>
          <w:p>
            <w:pPr>
              <w:spacing w:after="0"/>
              <w:rPr>
                <w:sz w:val="10"/>
                <w:szCs w:val="10"/>
                <w:color w:val="auto"/>
              </w:rPr>
            </w:pPr>
          </w:p>
        </w:tc>
        <w:tc>
          <w:tcPr>
            <w:tcW w:w="300" w:type="dxa"/>
            <w:vAlign w:val="bottom"/>
            <w:tcBorders>
              <w:top w:val="single" w:sz="8" w:color="auto"/>
            </w:tcBorders>
            <w:shd w:val="clear" w:color="auto" w:fill="CFF0FC"/>
          </w:tcPr>
          <w:p>
            <w:pPr>
              <w:spacing w:after="0"/>
              <w:rPr>
                <w:sz w:val="10"/>
                <w:szCs w:val="10"/>
                <w:color w:val="auto"/>
              </w:rPr>
            </w:pPr>
          </w:p>
        </w:tc>
        <w:tc>
          <w:tcPr>
            <w:tcW w:w="38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20" w:type="dxa"/>
            <w:vAlign w:val="bottom"/>
            <w:tcBorders>
              <w:top w:val="single" w:sz="8" w:color="CFF0FC"/>
            </w:tcBorders>
            <w:shd w:val="clear" w:color="auto" w:fill="CFF0FC"/>
          </w:tcPr>
          <w:p>
            <w:pPr>
              <w:spacing w:after="0"/>
              <w:rPr>
                <w:sz w:val="10"/>
                <w:szCs w:val="10"/>
                <w:color w:val="auto"/>
              </w:rPr>
            </w:pPr>
          </w:p>
        </w:tc>
        <w:tc>
          <w:tcPr>
            <w:tcW w:w="200" w:type="dxa"/>
            <w:vAlign w:val="bottom"/>
            <w:tcBorders>
              <w:top w:val="single" w:sz="8" w:color="auto"/>
            </w:tcBorders>
            <w:shd w:val="clear" w:color="auto" w:fill="CFF0FC"/>
          </w:tcPr>
          <w:p>
            <w:pPr>
              <w:spacing w:after="0"/>
              <w:rPr>
                <w:sz w:val="10"/>
                <w:szCs w:val="10"/>
                <w:color w:val="auto"/>
              </w:rPr>
            </w:pPr>
          </w:p>
        </w:tc>
        <w:tc>
          <w:tcPr>
            <w:tcW w:w="620" w:type="dxa"/>
            <w:vAlign w:val="bottom"/>
            <w:tcBorders>
              <w:top w:val="single" w:sz="8" w:color="auto"/>
            </w:tcBorders>
            <w:shd w:val="clear" w:color="auto" w:fill="CFF0FC"/>
          </w:tcPr>
          <w:p>
            <w:pPr>
              <w:spacing w:after="0"/>
              <w:rPr>
                <w:sz w:val="10"/>
                <w:szCs w:val="10"/>
                <w:color w:val="auto"/>
              </w:rPr>
            </w:pPr>
          </w:p>
        </w:tc>
        <w:tc>
          <w:tcPr>
            <w:tcW w:w="100" w:type="dxa"/>
            <w:vAlign w:val="bottom"/>
            <w:tcBorders>
              <w:top w:val="single" w:sz="8" w:color="CFF0FC"/>
            </w:tcBorders>
            <w:shd w:val="clear" w:color="auto" w:fill="CFF0FC"/>
          </w:tcPr>
          <w:p>
            <w:pPr>
              <w:spacing w:after="0"/>
              <w:rPr>
                <w:sz w:val="10"/>
                <w:szCs w:val="10"/>
                <w:color w:val="auto"/>
              </w:rPr>
            </w:pPr>
          </w:p>
        </w:tc>
      </w:tr>
      <w:tr>
        <w:trPr>
          <w:trHeight w:val="181"/>
        </w:trPr>
        <w:tc>
          <w:tcPr>
            <w:tcW w:w="20" w:type="dxa"/>
            <w:vAlign w:val="bottom"/>
            <w:tcBorders>
              <w:top w:val="single" w:sz="8" w:color="CFF0FC"/>
              <w:bottom w:val="single" w:sz="8" w:color="auto"/>
            </w:tcBorders>
            <w:shd w:val="clear" w:color="auto" w:fill="CFF0FC"/>
          </w:tcPr>
          <w:p>
            <w:pPr>
              <w:spacing w:after="0"/>
              <w:rPr>
                <w:sz w:val="15"/>
                <w:szCs w:val="15"/>
                <w:color w:val="auto"/>
              </w:rPr>
            </w:pPr>
          </w:p>
        </w:tc>
        <w:tc>
          <w:tcPr>
            <w:tcW w:w="1400" w:type="dxa"/>
            <w:vAlign w:val="bottom"/>
            <w:tcBorders>
              <w:top w:val="single" w:sz="8" w:color="auto"/>
              <w:bottom w:val="single" w:sz="8" w:color="auto"/>
            </w:tcBorders>
            <w:shd w:val="clear" w:color="auto" w:fill="CFF0FC"/>
          </w:tcPr>
          <w:p>
            <w:pPr>
              <w:spacing w:after="0"/>
              <w:rPr>
                <w:sz w:val="15"/>
                <w:szCs w:val="15"/>
                <w:color w:val="auto"/>
              </w:rPr>
            </w:pPr>
          </w:p>
        </w:tc>
        <w:tc>
          <w:tcPr>
            <w:tcW w:w="3160" w:type="dxa"/>
            <w:vAlign w:val="bottom"/>
            <w:tcBorders>
              <w:top w:val="single" w:sz="8" w:color="CFF0FC"/>
              <w:bottom w:val="single" w:sz="8" w:color="auto"/>
            </w:tcBorders>
            <w:gridSpan w:val="2"/>
            <w:shd w:val="clear" w:color="auto" w:fill="CFF0FC"/>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CFF0FC"/>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4,096,871</w:t>
            </w:r>
          </w:p>
        </w:tc>
        <w:tc>
          <w:tcPr>
            <w:tcW w:w="420" w:type="dxa"/>
            <w:vAlign w:val="bottom"/>
            <w:tcBorders>
              <w:top w:val="single" w:sz="8" w:color="CFF0FC"/>
              <w:bottom w:val="single" w:sz="8" w:color="auto"/>
            </w:tcBorders>
            <w:gridSpan w:val="2"/>
            <w:shd w:val="clear" w:color="auto" w:fill="CFF0FC"/>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620" w:type="dxa"/>
            <w:vAlign w:val="bottom"/>
            <w:tcBorders>
              <w:top w:val="single" w:sz="8" w:color="CFF0FC"/>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1</w:t>
            </w:r>
          </w:p>
        </w:tc>
        <w:tc>
          <w:tcPr>
            <w:tcW w:w="400" w:type="dxa"/>
            <w:vAlign w:val="bottom"/>
            <w:tcBorders>
              <w:top w:val="single" w:sz="8" w:color="CFF0FC"/>
              <w:bottom w:val="single" w:sz="8" w:color="auto"/>
            </w:tcBorders>
            <w:gridSpan w:val="2"/>
            <w:shd w:val="clear" w:color="auto" w:fill="CFF0FC"/>
          </w:tcPr>
          <w:p>
            <w:pPr>
              <w:jc w:val="right"/>
              <w:ind w:right="80"/>
              <w:spacing w:after="0" w:line="141" w:lineRule="exact"/>
              <w:rPr>
                <w:sz w:val="20"/>
                <w:szCs w:val="20"/>
                <w:color w:val="auto"/>
              </w:rPr>
            </w:pPr>
            <w:r>
              <w:rPr>
                <w:rFonts w:ascii="Arial" w:cs="Arial" w:eastAsia="Arial" w:hAnsi="Arial"/>
                <w:sz w:val="13"/>
                <w:szCs w:val="13"/>
                <w:color w:val="auto"/>
              </w:rPr>
              <w:t>$</w:t>
            </w:r>
          </w:p>
        </w:tc>
        <w:tc>
          <w:tcPr>
            <w:tcW w:w="540" w:type="dxa"/>
            <w:vAlign w:val="bottom"/>
            <w:tcBorders>
              <w:top w:val="single" w:sz="8" w:color="CFF0FC"/>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5</w:t>
            </w:r>
          </w:p>
        </w:tc>
        <w:tc>
          <w:tcPr>
            <w:tcW w:w="440" w:type="dxa"/>
            <w:vAlign w:val="bottom"/>
            <w:tcBorders>
              <w:top w:val="single" w:sz="8" w:color="CFF0FC"/>
              <w:bottom w:val="single" w:sz="8" w:color="auto"/>
            </w:tcBorders>
            <w:gridSpan w:val="2"/>
            <w:shd w:val="clear" w:color="auto" w:fill="CFF0FC"/>
          </w:tcPr>
          <w:p>
            <w:pPr>
              <w:jc w:val="right"/>
              <w:ind w:right="100"/>
              <w:spacing w:after="0" w:line="141" w:lineRule="exact"/>
              <w:rPr>
                <w:sz w:val="20"/>
                <w:szCs w:val="20"/>
                <w:color w:val="auto"/>
              </w:rPr>
            </w:pPr>
            <w:r>
              <w:rPr>
                <w:rFonts w:ascii="Arial" w:cs="Arial" w:eastAsia="Arial" w:hAnsi="Arial"/>
                <w:sz w:val="13"/>
                <w:szCs w:val="13"/>
                <w:color w:val="auto"/>
              </w:rPr>
              <w:t>$</w:t>
            </w:r>
          </w:p>
        </w:tc>
        <w:tc>
          <w:tcPr>
            <w:tcW w:w="1060" w:type="dxa"/>
            <w:vAlign w:val="bottom"/>
            <w:tcBorders>
              <w:top w:val="single" w:sz="8" w:color="CFF0FC"/>
              <w:bottom w:val="single" w:sz="8" w:color="auto"/>
            </w:tcBorders>
            <w:gridSpan w:val="3"/>
            <w:shd w:val="clear" w:color="auto" w:fill="CFF0FC"/>
          </w:tcPr>
          <w:p>
            <w:pPr>
              <w:jc w:val="right"/>
              <w:ind w:right="220"/>
              <w:spacing w:after="0" w:line="141" w:lineRule="exact"/>
              <w:rPr>
                <w:sz w:val="20"/>
                <w:szCs w:val="20"/>
                <w:color w:val="auto"/>
              </w:rPr>
            </w:pPr>
            <w:r>
              <w:rPr>
                <w:rFonts w:ascii="Arial" w:cs="Arial" w:eastAsia="Arial" w:hAnsi="Arial"/>
                <w:sz w:val="13"/>
                <w:szCs w:val="13"/>
                <w:color w:val="auto"/>
              </w:rPr>
              <w:t>944 )   $</w:t>
            </w:r>
          </w:p>
        </w:tc>
        <w:tc>
          <w:tcPr>
            <w:tcW w:w="1840" w:type="dxa"/>
            <w:vAlign w:val="bottom"/>
            <w:tcBorders>
              <w:top w:val="single" w:sz="8" w:color="CFF0FC"/>
              <w:bottom w:val="single" w:sz="8" w:color="auto"/>
            </w:tcBorders>
            <w:gridSpan w:val="5"/>
            <w:shd w:val="clear" w:color="auto" w:fill="CFF0FC"/>
          </w:tcPr>
          <w:p>
            <w:pPr>
              <w:jc w:val="right"/>
              <w:ind w:right="120"/>
              <w:spacing w:after="0" w:line="141" w:lineRule="exact"/>
              <w:rPr>
                <w:sz w:val="20"/>
                <w:szCs w:val="20"/>
                <w:color w:val="auto"/>
              </w:rPr>
            </w:pPr>
            <w:r>
              <w:rPr>
                <w:rFonts w:ascii="Arial" w:cs="Arial" w:eastAsia="Arial" w:hAnsi="Arial"/>
                <w:sz w:val="13"/>
                <w:szCs w:val="13"/>
                <w:color w:val="auto"/>
              </w:rPr>
              <w:t>(65 )   $   (9,907,576 )   $</w:t>
            </w:r>
          </w:p>
        </w:tc>
        <w:tc>
          <w:tcPr>
            <w:tcW w:w="620" w:type="dxa"/>
            <w:vAlign w:val="bottom"/>
            <w:tcBorders>
              <w:top w:val="single" w:sz="8" w:color="CFF0FC"/>
              <w:bottom w:val="single" w:sz="8" w:color="auto"/>
            </w:tcBorders>
            <w:shd w:val="clear" w:color="auto" w:fill="CFF0FC"/>
          </w:tcPr>
          <w:p>
            <w:pPr>
              <w:jc w:val="right"/>
              <w:spacing w:after="0" w:line="141" w:lineRule="exact"/>
              <w:rPr>
                <w:sz w:val="20"/>
                <w:szCs w:val="20"/>
                <w:color w:val="auto"/>
              </w:rPr>
            </w:pPr>
            <w:r>
              <w:rPr>
                <w:rFonts w:ascii="Arial" w:cs="Arial" w:eastAsia="Arial" w:hAnsi="Arial"/>
                <w:sz w:val="13"/>
                <w:szCs w:val="13"/>
                <w:color w:val="auto"/>
              </w:rPr>
              <w:t>5,521,301</w:t>
            </w:r>
          </w:p>
        </w:tc>
        <w:tc>
          <w:tcPr>
            <w:tcW w:w="100" w:type="dxa"/>
            <w:vAlign w:val="bottom"/>
            <w:tcBorders>
              <w:top w:val="single" w:sz="8" w:color="CFF0FC"/>
              <w:bottom w:val="single" w:sz="8" w:color="auto"/>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-33655</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-16510</wp:posOffset>
            </wp:positionV>
            <wp:extent cx="7747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-213995</wp:posOffset>
            </wp:positionV>
            <wp:extent cx="7747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-33655</wp:posOffset>
            </wp:positionV>
            <wp:extent cx="7747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-16510</wp:posOffset>
            </wp:positionV>
            <wp:extent cx="7747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-213995</wp:posOffset>
            </wp:positionV>
            <wp:extent cx="7747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-33655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-16510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-213995</wp:posOffset>
            </wp:positionV>
            <wp:extent cx="768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-33655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-16510</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-213995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-33655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-16510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-213995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-33655</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-16510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-213995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-33655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-213995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10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2022</w:t>
      </w:r>
    </w:p>
    <w:p>
      <w:pPr>
        <w:spacing w:after="0" w:line="16" w:lineRule="exact"/>
        <w:rPr>
          <w:sz w:val="20"/>
          <w:szCs w:val="20"/>
          <w:color w:val="auto"/>
        </w:rPr>
      </w:pPr>
    </w:p>
    <w:p>
      <w:pPr>
        <w:ind w:left="760" w:hanging="374"/>
        <w:spacing w:after="0" w:line="239" w:lineRule="auto"/>
        <w:tabs>
          <w:tab w:leader="none" w:pos="760" w:val="left"/>
        </w:tabs>
        <w:numPr>
          <w:ilvl w:val="0"/>
          <w:numId w:val="5"/>
        </w:numPr>
        <w:rPr>
          <w:rFonts w:ascii="Arial" w:cs="Arial" w:eastAsia="Arial" w:hAnsi="Arial"/>
          <w:sz w:val="17"/>
          <w:szCs w:val="17"/>
          <w:color w:val="auto"/>
          <w:vertAlign w:val="superscript"/>
        </w:rPr>
      </w:pPr>
      <w:r>
        <w:rPr>
          <w:rFonts w:ascii="Arial" w:cs="Arial" w:eastAsia="Arial" w:hAnsi="Arial"/>
          <w:sz w:val="13"/>
          <w:szCs w:val="13"/>
          <w:color w:val="auto"/>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spacing w:after="0" w:line="155" w:lineRule="exact"/>
        <w:rPr>
          <w:rFonts w:ascii="Arial" w:cs="Arial" w:eastAsia="Arial" w:hAnsi="Arial"/>
          <w:sz w:val="17"/>
          <w:szCs w:val="17"/>
          <w:color w:val="auto"/>
          <w:vertAlign w:val="superscript"/>
        </w:rPr>
      </w:pPr>
    </w:p>
    <w:p>
      <w:pPr>
        <w:ind w:left="760" w:hanging="374"/>
        <w:spacing w:after="0" w:line="217" w:lineRule="auto"/>
        <w:tabs>
          <w:tab w:leader="none" w:pos="76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156" w:lineRule="exact"/>
        <w:rPr>
          <w:rFonts w:ascii="Arial" w:cs="Arial" w:eastAsia="Arial" w:hAnsi="Arial"/>
          <w:sz w:val="19"/>
          <w:szCs w:val="19"/>
          <w:color w:val="auto"/>
          <w:vertAlign w:val="superscript"/>
        </w:rPr>
      </w:pPr>
    </w:p>
    <w:p>
      <w:pPr>
        <w:ind w:left="760" w:hanging="374"/>
        <w:spacing w:after="0" w:line="217" w:lineRule="auto"/>
        <w:tabs>
          <w:tab w:leader="none" w:pos="76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All investments in the portfolio companies, which as of June 30, 2022 represented 1.36% of the Company’s net assets, are restricted as to resale and were valued at fair value as determined in good faith by the Company’s Board of Directors.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10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Schedule of Investments (Unaudited) – (continued)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June 30, 2022</w:t>
      </w:r>
    </w:p>
    <w:p>
      <w:pPr>
        <w:spacing w:after="0" w:line="223" w:lineRule="exact"/>
        <w:rPr>
          <w:sz w:val="20"/>
          <w:szCs w:val="20"/>
          <w:color w:val="auto"/>
        </w:rPr>
      </w:pPr>
    </w:p>
    <w:p>
      <w:pPr>
        <w:ind w:right="20" w:firstLine="749"/>
        <w:spacing w:after="0" w:line="261"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June 30,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53"/>
              <w:spacing w:after="0" w:line="160" w:lineRule="exact"/>
              <w:rPr>
                <w:sz w:val="20"/>
                <w:szCs w:val="20"/>
                <w:color w:val="auto"/>
              </w:rPr>
            </w:pPr>
            <w:r>
              <w:rPr>
                <w:rFonts w:ascii="Arial" w:cs="Arial" w:eastAsia="Arial" w:hAnsi="Arial"/>
                <w:sz w:val="14"/>
                <w:szCs w:val="14"/>
                <w:b w:val="1"/>
                <w:bCs w:val="1"/>
                <w:color w:val="auto"/>
                <w:w w:val="91"/>
              </w:rPr>
              <w:t>Investments at</w:t>
            </w:r>
          </w:p>
        </w:tc>
        <w:tc>
          <w:tcPr>
            <w:tcW w:w="360" w:type="dxa"/>
            <w:vAlign w:val="bottom"/>
          </w:tcPr>
          <w:p>
            <w:pPr>
              <w:spacing w:after="0"/>
              <w:rPr>
                <w:sz w:val="13"/>
                <w:szCs w:val="13"/>
                <w:color w:val="auto"/>
              </w:rPr>
            </w:pPr>
          </w:p>
        </w:tc>
        <w:tc>
          <w:tcPr>
            <w:tcW w:w="1100" w:type="dxa"/>
            <w:vAlign w:val="bottom"/>
          </w:tcPr>
          <w:p>
            <w:pPr>
              <w:jc w:val="center"/>
              <w:ind w:left="182"/>
              <w:spacing w:after="0" w:line="160" w:lineRule="exact"/>
              <w:rPr>
                <w:sz w:val="20"/>
                <w:szCs w:val="20"/>
                <w:color w:val="auto"/>
              </w:rPr>
            </w:pPr>
            <w:r>
              <w:rPr>
                <w:rFonts w:ascii="Arial" w:cs="Arial" w:eastAsia="Arial" w:hAnsi="Arial"/>
                <w:sz w:val="14"/>
                <w:szCs w:val="14"/>
                <w:b w:val="1"/>
                <w:bCs w:val="1"/>
                <w:color w:val="auto"/>
                <w:w w:val="90"/>
              </w:rPr>
              <w:t>Percentage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Geographic Region</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8"/>
              </w:rPr>
              <w:t>Fair Value</w:t>
            </w:r>
          </w:p>
        </w:tc>
        <w:tc>
          <w:tcPr>
            <w:tcW w:w="360" w:type="dxa"/>
            <w:vAlign w:val="bottom"/>
          </w:tcPr>
          <w:p>
            <w:pPr>
              <w:spacing w:after="0"/>
              <w:rPr>
                <w:sz w:val="16"/>
                <w:szCs w:val="16"/>
                <w:color w:val="auto"/>
              </w:rPr>
            </w:pPr>
          </w:p>
        </w:tc>
        <w:tc>
          <w:tcPr>
            <w:tcW w:w="1100" w:type="dxa"/>
            <w:vAlign w:val="bottom"/>
            <w:tcBorders>
              <w:bottom w:val="single" w:sz="8" w:color="auto"/>
            </w:tcBorders>
          </w:tcPr>
          <w:p>
            <w:pPr>
              <w:jc w:val="center"/>
              <w:ind w:left="182"/>
              <w:spacing w:after="0"/>
              <w:rPr>
                <w:sz w:val="20"/>
                <w:szCs w:val="20"/>
                <w:color w:val="auto"/>
              </w:rPr>
            </w:pPr>
            <w:r>
              <w:rPr>
                <w:rFonts w:ascii="Arial" w:cs="Arial" w:eastAsia="Arial" w:hAnsi="Arial"/>
                <w:sz w:val="14"/>
                <w:szCs w:val="14"/>
                <w:b w:val="1"/>
                <w:bCs w:val="1"/>
                <w:color w:val="auto"/>
                <w:w w:val="88"/>
              </w:rPr>
              <w:t>Net Assets</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8320" w:type="dxa"/>
            <w:vAlign w:val="bottom"/>
            <w:gridSpan w:val="2"/>
            <w:vMerge w:val="restart"/>
            <w:shd w:val="clear" w:color="auto" w:fill="CFF0FC"/>
          </w:tcPr>
          <w:p>
            <w:pPr>
              <w:ind w:left="20"/>
              <w:spacing w:after="0"/>
              <w:rPr>
                <w:sz w:val="20"/>
                <w:szCs w:val="20"/>
                <w:color w:val="auto"/>
              </w:rPr>
            </w:pPr>
            <w:r>
              <w:rPr>
                <w:rFonts w:ascii="Arial" w:cs="Arial" w:eastAsia="Arial" w:hAnsi="Arial"/>
                <w:sz w:val="18"/>
                <w:szCs w:val="18"/>
                <w:color w:val="auto"/>
              </w:rPr>
              <w:t>Northeastern United States</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272,929,40</w:t>
            </w:r>
          </w:p>
        </w:tc>
        <w:tc>
          <w:tcPr>
            <w:tcW w:w="14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47.10</w:t>
            </w:r>
          </w:p>
        </w:tc>
        <w:tc>
          <w:tcPr>
            <w:tcW w:w="26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320" w:type="dxa"/>
            <w:vAlign w:val="bottom"/>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60" w:type="dxa"/>
            <w:vAlign w:val="bottom"/>
            <w:gridSpan w:val="2"/>
            <w:vMerge w:val="continue"/>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320" w:type="dxa"/>
            <w:vAlign w:val="bottom"/>
            <w:gridSpan w:val="2"/>
            <w:vMerge w:val="restart"/>
          </w:tcPr>
          <w:p>
            <w:pPr>
              <w:ind w:left="20"/>
              <w:spacing w:after="0"/>
              <w:rPr>
                <w:sz w:val="20"/>
                <w:szCs w:val="20"/>
                <w:color w:val="auto"/>
              </w:rPr>
            </w:pPr>
            <w:r>
              <w:rPr>
                <w:rFonts w:ascii="Arial" w:cs="Arial" w:eastAsia="Arial" w:hAnsi="Arial"/>
                <w:sz w:val="18"/>
                <w:szCs w:val="18"/>
                <w:color w:val="auto"/>
              </w:rPr>
              <w:t>Western United States</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8"/>
                <w:szCs w:val="18"/>
                <w:color w:val="auto"/>
              </w:rPr>
              <w:t>205,989,29</w:t>
            </w: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South Central United States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85,113,835</w:t>
            </w: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14.69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Southeastern United States</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65,305,870</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Northwestern United States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47,688,043</w:t>
            </w: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8.23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Germany</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46,094,738</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7.96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United Kingdom</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45,914,507</w:t>
            </w: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7.92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Midwestern United States</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25,194,753</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Canada</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13,498,157</w:t>
            </w: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8060" w:type="dxa"/>
            <w:vAlign w:val="bottom"/>
            <w:tcBorders>
              <w:top w:val="single" w:sz="8" w:color="CFF0FC"/>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8"/>
                <w:szCs w:val="18"/>
                <w:color w:val="auto"/>
              </w:rPr>
              <w:t>807,728,60</w:t>
            </w:r>
          </w:p>
        </w:tc>
        <w:tc>
          <w:tcPr>
            <w:tcW w:w="360" w:type="dxa"/>
            <w:vAlign w:val="bottom"/>
            <w:tcBorders>
              <w:top w:val="single" w:sz="8" w:color="CFF0FC"/>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3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Total</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360" w:type="dxa"/>
            <w:vAlign w:val="bottom"/>
          </w:tcPr>
          <w:p>
            <w:pPr>
              <w:spacing w:after="0"/>
              <w:rPr>
                <w:sz w:val="18"/>
                <w:szCs w:val="18"/>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139.40</w:t>
            </w:r>
          </w:p>
        </w:tc>
        <w:tc>
          <w:tcPr>
            <w:tcW w:w="120" w:type="dxa"/>
            <w:vAlign w:val="bottom"/>
          </w:tcPr>
          <w:p>
            <w:pPr>
              <w:spacing w:after="0"/>
              <w:rPr>
                <w:sz w:val="18"/>
                <w:szCs w:val="18"/>
                <w:color w:val="auto"/>
              </w:rPr>
            </w:pPr>
          </w:p>
        </w:tc>
        <w:tc>
          <w:tcPr>
            <w:tcW w:w="160" w:type="dxa"/>
            <w:vAlign w:val="bottom"/>
            <w:gridSpan w:val="2"/>
          </w:tcPr>
          <w:p>
            <w:pPr>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3"/>
          </w:tcPr>
          <w:p>
            <w:pPr>
              <w:jc w:val="right"/>
              <w:ind w:right="702"/>
              <w:spacing w:after="0"/>
              <w:rPr>
                <w:sz w:val="20"/>
                <w:szCs w:val="20"/>
                <w:color w:val="auto"/>
              </w:rPr>
            </w:pPr>
            <w:r>
              <w:rPr>
                <w:rFonts w:ascii="Arial" w:cs="Arial" w:eastAsia="Arial" w:hAnsi="Arial"/>
                <w:sz w:val="14"/>
                <w:szCs w:val="14"/>
                <w:b w:val="1"/>
                <w:bCs w:val="1"/>
                <w:color w:val="auto"/>
              </w:rPr>
              <w:t>June 30, 2022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8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53"/>
              <w:spacing w:after="0" w:line="160" w:lineRule="exact"/>
              <w:rPr>
                <w:sz w:val="20"/>
                <w:szCs w:val="20"/>
                <w:color w:val="auto"/>
              </w:rPr>
            </w:pPr>
            <w:r>
              <w:rPr>
                <w:rFonts w:ascii="Arial" w:cs="Arial" w:eastAsia="Arial" w:hAnsi="Arial"/>
                <w:sz w:val="14"/>
                <w:szCs w:val="14"/>
                <w:b w:val="1"/>
                <w:bCs w:val="1"/>
                <w:color w:val="auto"/>
                <w:w w:val="91"/>
              </w:rPr>
              <w:t>Investments at</w:t>
            </w:r>
          </w:p>
        </w:tc>
        <w:tc>
          <w:tcPr>
            <w:tcW w:w="360" w:type="dxa"/>
            <w:vAlign w:val="bottom"/>
          </w:tcPr>
          <w:p>
            <w:pPr>
              <w:spacing w:after="0"/>
              <w:rPr>
                <w:sz w:val="13"/>
                <w:szCs w:val="13"/>
                <w:color w:val="auto"/>
              </w:rPr>
            </w:pPr>
          </w:p>
        </w:tc>
        <w:tc>
          <w:tcPr>
            <w:tcW w:w="1100" w:type="dxa"/>
            <w:vAlign w:val="bottom"/>
          </w:tcPr>
          <w:p>
            <w:pPr>
              <w:jc w:val="center"/>
              <w:ind w:left="182"/>
              <w:spacing w:after="0" w:line="160" w:lineRule="exact"/>
              <w:rPr>
                <w:sz w:val="20"/>
                <w:szCs w:val="20"/>
                <w:color w:val="auto"/>
              </w:rPr>
            </w:pPr>
            <w:r>
              <w:rPr>
                <w:rFonts w:ascii="Arial" w:cs="Arial" w:eastAsia="Arial" w:hAnsi="Arial"/>
                <w:sz w:val="14"/>
                <w:szCs w:val="14"/>
                <w:b w:val="1"/>
                <w:bCs w:val="1"/>
                <w:color w:val="auto"/>
                <w:w w:val="90"/>
              </w:rPr>
              <w:t>Percentage of</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80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Industry</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8"/>
              </w:rPr>
              <w:t>Fair Value</w:t>
            </w:r>
          </w:p>
        </w:tc>
        <w:tc>
          <w:tcPr>
            <w:tcW w:w="360" w:type="dxa"/>
            <w:vAlign w:val="bottom"/>
          </w:tcPr>
          <w:p>
            <w:pPr>
              <w:spacing w:after="0"/>
              <w:rPr>
                <w:sz w:val="16"/>
                <w:szCs w:val="16"/>
                <w:color w:val="auto"/>
              </w:rPr>
            </w:pPr>
          </w:p>
        </w:tc>
        <w:tc>
          <w:tcPr>
            <w:tcW w:w="1100" w:type="dxa"/>
            <w:vAlign w:val="bottom"/>
            <w:tcBorders>
              <w:bottom w:val="single" w:sz="8" w:color="auto"/>
            </w:tcBorders>
          </w:tcPr>
          <w:p>
            <w:pPr>
              <w:jc w:val="center"/>
              <w:ind w:left="182"/>
              <w:spacing w:after="0"/>
              <w:rPr>
                <w:sz w:val="20"/>
                <w:szCs w:val="20"/>
                <w:color w:val="auto"/>
              </w:rPr>
            </w:pPr>
            <w:r>
              <w:rPr>
                <w:rFonts w:ascii="Arial" w:cs="Arial" w:eastAsia="Arial" w:hAnsi="Arial"/>
                <w:sz w:val="14"/>
                <w:szCs w:val="14"/>
                <w:b w:val="1"/>
                <w:bCs w:val="1"/>
                <w:color w:val="auto"/>
                <w:w w:val="88"/>
              </w:rPr>
              <w:t>Net Assets</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8320" w:type="dxa"/>
            <w:vAlign w:val="bottom"/>
            <w:gridSpan w:val="2"/>
            <w:vMerge w:val="restart"/>
            <w:shd w:val="clear" w:color="auto" w:fill="CFF0FC"/>
          </w:tcPr>
          <w:p>
            <w:pPr>
              <w:ind w:left="20"/>
              <w:spacing w:after="0"/>
              <w:rPr>
                <w:sz w:val="20"/>
                <w:szCs w:val="20"/>
                <w:color w:val="auto"/>
              </w:rPr>
            </w:pPr>
            <w:r>
              <w:rPr>
                <w:rFonts w:ascii="Arial" w:cs="Arial" w:eastAsia="Arial" w:hAnsi="Arial"/>
                <w:sz w:val="18"/>
                <w:szCs w:val="18"/>
                <w:color w:val="auto"/>
              </w:rPr>
              <w:t>Application Software</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56" w:lineRule="exact"/>
              <w:rPr>
                <w:sz w:val="20"/>
                <w:szCs w:val="20"/>
                <w:color w:val="auto"/>
              </w:rPr>
            </w:pPr>
            <w:r>
              <w:rPr>
                <w:rFonts w:ascii="Arial" w:cs="Arial" w:eastAsia="Arial" w:hAnsi="Arial"/>
                <w:sz w:val="18"/>
                <w:szCs w:val="18"/>
                <w:color w:val="auto"/>
              </w:rPr>
              <w:t>196,259,98</w:t>
            </w:r>
          </w:p>
        </w:tc>
        <w:tc>
          <w:tcPr>
            <w:tcW w:w="14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33.87</w:t>
            </w:r>
          </w:p>
        </w:tc>
        <w:tc>
          <w:tcPr>
            <w:tcW w:w="26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8320" w:type="dxa"/>
            <w:vAlign w:val="bottom"/>
            <w:gridSpan w:val="2"/>
            <w:vMerge w:val="continue"/>
            <w:shd w:val="clear" w:color="auto" w:fill="CFF0FC"/>
          </w:tcPr>
          <w:p>
            <w:pPr>
              <w:spacing w:after="0"/>
              <w:rPr>
                <w:sz w:val="18"/>
                <w:szCs w:val="18"/>
                <w:color w:val="auto"/>
              </w:rPr>
            </w:pPr>
          </w:p>
        </w:tc>
        <w:tc>
          <w:tcPr>
            <w:tcW w:w="120" w:type="dxa"/>
            <w:vAlign w:val="bottom"/>
            <w:vMerge w:val="continue"/>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460" w:type="dxa"/>
            <w:vAlign w:val="bottom"/>
            <w:gridSpan w:val="2"/>
            <w:vMerge w:val="continue"/>
            <w:shd w:val="clear" w:color="auto" w:fill="CFF0FC"/>
          </w:tcPr>
          <w:p>
            <w:pPr>
              <w:spacing w:after="0"/>
              <w:rPr>
                <w:sz w:val="18"/>
                <w:szCs w:val="18"/>
                <w:color w:val="auto"/>
              </w:rPr>
            </w:pPr>
          </w:p>
        </w:tc>
        <w:tc>
          <w:tcPr>
            <w:tcW w:w="260" w:type="dxa"/>
            <w:vAlign w:val="bottom"/>
            <w:gridSpan w:val="2"/>
            <w:vMerge w:val="continue"/>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320" w:type="dxa"/>
            <w:vAlign w:val="bottom"/>
            <w:gridSpan w:val="2"/>
            <w:vMerge w:val="restart"/>
          </w:tcPr>
          <w:p>
            <w:pPr>
              <w:ind w:left="20"/>
              <w:spacing w:after="0"/>
              <w:rPr>
                <w:sz w:val="20"/>
                <w:szCs w:val="20"/>
                <w:color w:val="auto"/>
              </w:rPr>
            </w:pPr>
            <w:r>
              <w:rPr>
                <w:rFonts w:ascii="Arial" w:cs="Arial" w:eastAsia="Arial" w:hAnsi="Arial"/>
                <w:sz w:val="18"/>
                <w:szCs w:val="18"/>
                <w:color w:val="auto"/>
              </w:rPr>
              <w:t>Healthcare Technology</w:t>
            </w:r>
          </w:p>
        </w:tc>
        <w:tc>
          <w:tcPr>
            <w:tcW w:w="120" w:type="dxa"/>
            <w:vAlign w:val="bottom"/>
          </w:tcPr>
          <w:p>
            <w:pPr>
              <w:spacing w:after="0"/>
              <w:rPr>
                <w:sz w:val="14"/>
                <w:szCs w:val="14"/>
                <w:color w:val="auto"/>
              </w:rPr>
            </w:pPr>
          </w:p>
        </w:tc>
        <w:tc>
          <w:tcPr>
            <w:tcW w:w="1080" w:type="dxa"/>
            <w:vAlign w:val="bottom"/>
          </w:tcPr>
          <w:p>
            <w:pPr>
              <w:jc w:val="right"/>
              <w:spacing w:after="0" w:line="162" w:lineRule="exact"/>
              <w:rPr>
                <w:sz w:val="20"/>
                <w:szCs w:val="20"/>
                <w:color w:val="auto"/>
              </w:rPr>
            </w:pPr>
            <w:r>
              <w:rPr>
                <w:rFonts w:ascii="Arial" w:cs="Arial" w:eastAsia="Arial" w:hAnsi="Arial"/>
                <w:sz w:val="18"/>
                <w:szCs w:val="18"/>
                <w:color w:val="auto"/>
              </w:rPr>
              <w:t>160,534,24</w:t>
            </w: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rPr>
              <w:t>27.71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w:t>
            </w:r>
          </w:p>
        </w:tc>
        <w:tc>
          <w:tcPr>
            <w:tcW w:w="1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320" w:type="dxa"/>
            <w:vAlign w:val="bottom"/>
            <w:gridSpan w:val="2"/>
            <w:vMerge w:val="restart"/>
            <w:shd w:val="clear" w:color="auto" w:fill="CFF0FC"/>
          </w:tcPr>
          <w:p>
            <w:pPr>
              <w:ind w:left="20"/>
              <w:spacing w:after="0"/>
              <w:rPr>
                <w:sz w:val="20"/>
                <w:szCs w:val="20"/>
                <w:color w:val="auto"/>
              </w:rPr>
            </w:pPr>
            <w:r>
              <w:rPr>
                <w:rFonts w:ascii="Arial" w:cs="Arial" w:eastAsia="Arial" w:hAnsi="Arial"/>
                <w:sz w:val="18"/>
                <w:szCs w:val="18"/>
                <w:color w:val="auto"/>
              </w:rPr>
              <w:t>Internet Software &amp; Services</w:t>
            </w: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line="162" w:lineRule="exact"/>
              <w:rPr>
                <w:sz w:val="20"/>
                <w:szCs w:val="20"/>
                <w:color w:val="auto"/>
              </w:rPr>
            </w:pPr>
            <w:r>
              <w:rPr>
                <w:rFonts w:ascii="Arial" w:cs="Arial" w:eastAsia="Arial" w:hAnsi="Arial"/>
                <w:sz w:val="18"/>
                <w:szCs w:val="18"/>
                <w:color w:val="auto"/>
              </w:rPr>
              <w:t>126,945,06</w:t>
            </w:r>
          </w:p>
        </w:tc>
        <w:tc>
          <w:tcPr>
            <w:tcW w:w="146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21.91</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32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460" w:type="dxa"/>
            <w:vAlign w:val="bottom"/>
            <w:gridSpan w:val="2"/>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Human Resource &amp; Employment Services</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83,341,155</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14.38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Data Processing &amp; Outsourced Services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69,703,627</w:t>
            </w: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12.03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Internet Retail</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47,013,246</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Biotechnology</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29,676,425</w:t>
            </w: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5.12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Healthcare Equipment</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27,245,348</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4.70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Education Services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25,194,753</w:t>
            </w: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Electronic Equipment &amp; Instruments</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24,927,503</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System Software</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13,498,157</w:t>
            </w: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2.33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Specialized Consumer Services</w:t>
            </w:r>
          </w:p>
        </w:tc>
        <w:tc>
          <w:tcPr>
            <w:tcW w:w="12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1,762,371</w:t>
            </w:r>
          </w:p>
        </w:tc>
        <w:tc>
          <w:tcPr>
            <w:tcW w:w="1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Technology Hardware, Storage &amp; Peripherals</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1,481,148</w:t>
            </w:r>
          </w:p>
        </w:tc>
        <w:tc>
          <w:tcPr>
            <w:tcW w:w="146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0.26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20" w:type="dxa"/>
            <w:vAlign w:val="bottom"/>
            <w:gridSpan w:val="2"/>
          </w:tcPr>
          <w:p>
            <w:pPr>
              <w:ind w:left="20"/>
              <w:spacing w:after="0"/>
              <w:rPr>
                <w:sz w:val="20"/>
                <w:szCs w:val="20"/>
                <w:color w:val="auto"/>
              </w:rPr>
            </w:pPr>
            <w:r>
              <w:rPr>
                <w:rFonts w:ascii="Arial" w:cs="Arial" w:eastAsia="Arial" w:hAnsi="Arial"/>
                <w:sz w:val="18"/>
                <w:szCs w:val="18"/>
                <w:color w:val="auto"/>
              </w:rPr>
              <w:t>Computer &amp; Electronics Retail</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145,573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80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6"/>
                <w:szCs w:val="16"/>
                <w:color w:val="auto"/>
              </w:rPr>
              <w:t>807,728,60</w:t>
            </w:r>
          </w:p>
        </w:tc>
        <w:tc>
          <w:tcPr>
            <w:tcW w:w="360" w:type="dxa"/>
            <w:vAlign w:val="bottom"/>
            <w:tcBorders>
              <w:top w:val="single" w:sz="8" w:color="CFF0FC"/>
            </w:tcBorders>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40" w:type="dxa"/>
            <w:vAlign w:val="bottom"/>
            <w:tcBorders>
              <w:top w:val="single" w:sz="8" w:color="auto"/>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83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60" w:type="dxa"/>
            <w:vAlign w:val="bottom"/>
            <w:tcBorders>
              <w:bottom w:val="single" w:sz="8" w:color="CFF0FC"/>
            </w:tcBorders>
            <w:shd w:val="clear" w:color="auto" w:fill="CFF0FC"/>
          </w:tcPr>
          <w:p>
            <w:pPr>
              <w:spacing w:after="0"/>
              <w:rPr>
                <w:sz w:val="23"/>
                <w:szCs w:val="23"/>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139.40</w:t>
            </w:r>
          </w:p>
        </w:tc>
        <w:tc>
          <w:tcPr>
            <w:tcW w:w="12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4"/>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-3176905</wp:posOffset>
            </wp:positionV>
            <wp:extent cx="7747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-3176905</wp:posOffset>
            </wp:positionV>
            <wp:extent cx="6858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7747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774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-273685</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6974205</wp:posOffset>
            </wp:positionH>
            <wp:positionV relativeFrom="paragraph">
              <wp:posOffset>-273685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See notes to financial statements.</w:t>
      </w:r>
    </w:p>
    <w:p>
      <w:pPr>
        <w:spacing w:after="0" w:line="40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8" w:name="page19"/>
    <w:bookmarkEnd w:id="18"/>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RUNWAY GROWTH FINANCE CORP.</w:t>
      </w:r>
    </w:p>
    <w:p>
      <w:pPr>
        <w:spacing w:after="0" w:line="212"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Schedule of Investments</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December 31,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16"/>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Footnot</w:t>
            </w:r>
          </w:p>
        </w:tc>
        <w:tc>
          <w:tcPr>
            <w:tcW w:w="0" w:type="dxa"/>
            <w:vAlign w:val="bottom"/>
          </w:tcPr>
          <w:p>
            <w:pPr>
              <w:spacing w:after="0"/>
              <w:rPr>
                <w:sz w:val="1"/>
                <w:szCs w:val="1"/>
                <w:color w:val="auto"/>
              </w:rPr>
            </w:pPr>
          </w:p>
        </w:tc>
      </w:tr>
      <w:tr>
        <w:trPr>
          <w:trHeight w:val="138"/>
        </w:trPr>
        <w:tc>
          <w:tcPr>
            <w:tcW w:w="2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tcPr>
          <w:p>
            <w:pPr>
              <w:spacing w:after="0"/>
              <w:rPr>
                <w:sz w:val="11"/>
                <w:szCs w:val="11"/>
                <w:color w:val="auto"/>
              </w:rPr>
            </w:pPr>
          </w:p>
        </w:tc>
        <w:tc>
          <w:tcPr>
            <w:tcW w:w="2320" w:type="dxa"/>
            <w:vAlign w:val="bottom"/>
            <w:vMerge w:val="restart"/>
          </w:tcPr>
          <w:p>
            <w:pPr>
              <w:ind w:left="260"/>
              <w:spacing w:after="0"/>
              <w:rPr>
                <w:sz w:val="20"/>
                <w:szCs w:val="20"/>
                <w:color w:val="auto"/>
              </w:rPr>
            </w:pPr>
            <w:r>
              <w:rPr>
                <w:rFonts w:ascii="Arial" w:cs="Arial" w:eastAsia="Arial" w:hAnsi="Arial"/>
                <w:sz w:val="14"/>
                <w:szCs w:val="14"/>
                <w:b w:val="1"/>
                <w:bCs w:val="1"/>
                <w:color w:val="auto"/>
                <w:w w:val="97"/>
              </w:rPr>
              <w:t>Investment Description</w:t>
            </w:r>
            <w:r>
              <w:rPr>
                <w:rFonts w:ascii="Arial" w:cs="Arial" w:eastAsia="Arial" w:hAnsi="Arial"/>
                <w:sz w:val="19"/>
                <w:szCs w:val="19"/>
                <w:b w:val="1"/>
                <w:bCs w:val="1"/>
                <w:color w:val="auto"/>
                <w:w w:val="97"/>
                <w:vertAlign w:val="superscript"/>
              </w:rPr>
              <w:t>(1),(5),(9)</w:t>
            </w:r>
          </w:p>
        </w:tc>
        <w:tc>
          <w:tcPr>
            <w:tcW w:w="14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vMerge w:val="restart"/>
          </w:tcPr>
          <w:p>
            <w:pPr>
              <w:jc w:val="right"/>
              <w:ind w:right="337"/>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88"/>
              </w:rPr>
              <w:t>Fair Value</w:t>
            </w:r>
            <w:r>
              <w:rPr>
                <w:rFonts w:ascii="Arial" w:cs="Arial" w:eastAsia="Arial" w:hAnsi="Arial"/>
                <w:sz w:val="19"/>
                <w:szCs w:val="19"/>
                <w:b w:val="1"/>
                <w:bCs w:val="1"/>
                <w:color w:val="auto"/>
                <w:w w:val="88"/>
                <w:vertAlign w:val="superscript"/>
              </w:rPr>
              <w:t>(2),(6)</w:t>
            </w:r>
          </w:p>
        </w:tc>
        <w:tc>
          <w:tcPr>
            <w:tcW w:w="2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32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3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es</w:t>
            </w:r>
          </w:p>
        </w:tc>
        <w:tc>
          <w:tcPr>
            <w:tcW w:w="0" w:type="dxa"/>
            <w:vAlign w:val="bottom"/>
          </w:tcPr>
          <w:p>
            <w:pPr>
              <w:spacing w:after="0"/>
              <w:rPr>
                <w:sz w:val="1"/>
                <w:szCs w:val="1"/>
                <w:color w:val="auto"/>
              </w:rPr>
            </w:pPr>
          </w:p>
        </w:tc>
      </w:tr>
      <w:tr>
        <w:trPr>
          <w:trHeight w:val="122"/>
        </w:trPr>
        <w:tc>
          <w:tcPr>
            <w:tcW w:w="20" w:type="dxa"/>
            <w:vAlign w:val="bottom"/>
            <w:shd w:val="clear" w:color="auto" w:fill="CFF0FC"/>
          </w:tcPr>
          <w:p>
            <w:pPr>
              <w:spacing w:after="0"/>
              <w:rPr>
                <w:sz w:val="10"/>
                <w:szCs w:val="10"/>
                <w:color w:val="auto"/>
              </w:rPr>
            </w:pPr>
          </w:p>
        </w:tc>
        <w:tc>
          <w:tcPr>
            <w:tcW w:w="2300" w:type="dxa"/>
            <w:vAlign w:val="bottom"/>
            <w:gridSpan w:val="2"/>
            <w:shd w:val="clear" w:color="auto" w:fill="CFF0FC"/>
          </w:tcPr>
          <w:p>
            <w:pPr>
              <w:spacing w:after="0" w:line="115" w:lineRule="exact"/>
              <w:rPr>
                <w:sz w:val="20"/>
                <w:szCs w:val="20"/>
                <w:color w:val="auto"/>
              </w:rPr>
            </w:pPr>
            <w:r>
              <w:rPr>
                <w:rFonts w:ascii="Arial" w:cs="Arial" w:eastAsia="Arial" w:hAnsi="Arial"/>
                <w:sz w:val="13"/>
                <w:szCs w:val="13"/>
                <w:b w:val="1"/>
                <w:bCs w:val="1"/>
                <w:color w:val="auto"/>
                <w:w w:val="96"/>
              </w:rPr>
              <w:t>Non-Control/Non-Affiliate Investments</w:t>
            </w:r>
          </w:p>
        </w:tc>
        <w:tc>
          <w:tcPr>
            <w:tcW w:w="140" w:type="dxa"/>
            <w:vAlign w:val="bottom"/>
            <w:shd w:val="clear" w:color="auto" w:fill="CFF0FC"/>
          </w:tcPr>
          <w:p>
            <w:pPr>
              <w:spacing w:after="0"/>
              <w:rPr>
                <w:sz w:val="10"/>
                <w:szCs w:val="10"/>
                <w:color w:val="auto"/>
              </w:rPr>
            </w:pPr>
          </w:p>
        </w:tc>
        <w:tc>
          <w:tcPr>
            <w:tcW w:w="23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Borders>
              <w:top w:val="single" w:sz="8" w:color="CFF0FC"/>
            </w:tcBorders>
          </w:tcPr>
          <w:p>
            <w:pPr>
              <w:spacing w:after="0"/>
              <w:rPr>
                <w:sz w:val="12"/>
                <w:szCs w:val="12"/>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Senior Secured Term Loans</w:t>
            </w:r>
          </w:p>
        </w:tc>
        <w:tc>
          <w:tcPr>
            <w:tcW w:w="2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3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8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4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4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5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Application Software</w:t>
            </w:r>
          </w:p>
        </w:tc>
        <w:tc>
          <w:tcPr>
            <w:tcW w:w="14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gridSpan w:val="3"/>
          </w:tcPr>
          <w:p>
            <w:pPr>
              <w:ind w:left="20"/>
              <w:spacing w:after="0"/>
              <w:rPr>
                <w:sz w:val="20"/>
                <w:szCs w:val="20"/>
                <w:color w:val="auto"/>
              </w:rPr>
            </w:pPr>
            <w:r>
              <w:rPr>
                <w:rFonts w:ascii="Arial" w:cs="Arial" w:eastAsia="Arial" w:hAnsi="Arial"/>
                <w:sz w:val="13"/>
                <w:szCs w:val="13"/>
                <w:color w:val="auto"/>
              </w:rPr>
              <w:t>Aginity, Inc.</w:t>
            </w:r>
          </w:p>
        </w:tc>
        <w:tc>
          <w:tcPr>
            <w:tcW w:w="14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LIBOR+9.50% PIK, 10.81% floor</w:t>
            </w:r>
          </w:p>
        </w:tc>
        <w:tc>
          <w:tcPr>
            <w:tcW w:w="96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3/24/2020</w:t>
            </w:r>
          </w:p>
        </w:tc>
        <w:tc>
          <w:tcPr>
            <w:tcW w:w="940" w:type="dxa"/>
            <w:vAlign w:val="bottom"/>
            <w:gridSpan w:val="2"/>
          </w:tcPr>
          <w:p>
            <w:pPr>
              <w:jc w:val="center"/>
              <w:ind w:left="57"/>
              <w:spacing w:after="0"/>
              <w:rPr>
                <w:sz w:val="20"/>
                <w:szCs w:val="20"/>
                <w:color w:val="auto"/>
              </w:rPr>
            </w:pPr>
            <w:r>
              <w:rPr>
                <w:rFonts w:ascii="Arial" w:cs="Arial" w:eastAsia="Arial" w:hAnsi="Arial"/>
                <w:sz w:val="13"/>
                <w:szCs w:val="13"/>
                <w:color w:val="auto"/>
                <w:w w:val="89"/>
              </w:rPr>
              <w:t>12/15/2022</w:t>
            </w:r>
          </w:p>
        </w:tc>
        <w:tc>
          <w:tcPr>
            <w:tcW w:w="2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899,054</w:t>
            </w: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899,054</w:t>
            </w:r>
          </w:p>
        </w:tc>
        <w:tc>
          <w:tcPr>
            <w:tcW w:w="3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899,054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Fixed 6.50% PIK</w:t>
            </w:r>
          </w:p>
        </w:tc>
        <w:tc>
          <w:tcPr>
            <w:tcW w:w="96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90"/>
              </w:rPr>
              <w:t>3/9/2020</w:t>
            </w:r>
          </w:p>
        </w:tc>
        <w:tc>
          <w:tcPr>
            <w:tcW w:w="940" w:type="dxa"/>
            <w:vAlign w:val="bottom"/>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90"/>
              </w:rPr>
              <w:t>3/9/2027</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4,472,419</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4,472,419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2,348,809</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08"/>
        </w:trPr>
        <w:tc>
          <w:tcPr>
            <w:tcW w:w="2320" w:type="dxa"/>
            <w:vAlign w:val="bottom"/>
            <w:gridSpan w:val="3"/>
            <w:vMerge w:val="restart"/>
          </w:tcPr>
          <w:p>
            <w:pPr>
              <w:ind w:left="20"/>
              <w:spacing w:after="0"/>
              <w:rPr>
                <w:sz w:val="20"/>
                <w:szCs w:val="20"/>
                <w:color w:val="auto"/>
              </w:rPr>
            </w:pPr>
            <w:r>
              <w:rPr>
                <w:rFonts w:ascii="Arial" w:cs="Arial" w:eastAsia="Arial" w:hAnsi="Arial"/>
                <w:sz w:val="13"/>
                <w:szCs w:val="13"/>
                <w:color w:val="auto"/>
              </w:rPr>
              <w:t>Circadence Corporation</w:t>
            </w:r>
          </w:p>
        </w:tc>
        <w:tc>
          <w:tcPr>
            <w:tcW w:w="140" w:type="dxa"/>
            <w:vAlign w:val="bottom"/>
          </w:tcPr>
          <w:p>
            <w:pPr>
              <w:spacing w:after="0"/>
              <w:rPr>
                <w:sz w:val="9"/>
                <w:szCs w:val="9"/>
                <w:color w:val="auto"/>
              </w:rPr>
            </w:pPr>
          </w:p>
        </w:tc>
        <w:tc>
          <w:tcPr>
            <w:tcW w:w="2320" w:type="dxa"/>
            <w:vAlign w:val="bottom"/>
          </w:tcPr>
          <w:p>
            <w:pPr>
              <w:ind w:left="20"/>
              <w:spacing w:after="0" w:line="108" w:lineRule="exact"/>
              <w:rPr>
                <w:sz w:val="20"/>
                <w:szCs w:val="20"/>
                <w:color w:val="auto"/>
              </w:rPr>
            </w:pPr>
            <w:r>
              <w:rPr>
                <w:rFonts w:ascii="Arial" w:cs="Arial" w:eastAsia="Arial" w:hAnsi="Arial"/>
                <w:sz w:val="12"/>
                <w:szCs w:val="12"/>
                <w:color w:val="auto"/>
              </w:rPr>
              <w:t>LIBOR+9.50% PIK, 12.00% floor, 7.50%</w:t>
            </w:r>
          </w:p>
        </w:tc>
        <w:tc>
          <w:tcPr>
            <w:tcW w:w="960" w:type="dxa"/>
            <w:vAlign w:val="bottom"/>
            <w:gridSpan w:val="2"/>
            <w:vMerge w:val="restart"/>
          </w:tcPr>
          <w:p>
            <w:pPr>
              <w:jc w:val="center"/>
              <w:ind w:left="77"/>
              <w:spacing w:after="0"/>
              <w:rPr>
                <w:sz w:val="20"/>
                <w:szCs w:val="20"/>
                <w:color w:val="auto"/>
              </w:rPr>
            </w:pPr>
            <w:r>
              <w:rPr>
                <w:rFonts w:ascii="Arial" w:cs="Arial" w:eastAsia="Arial" w:hAnsi="Arial"/>
                <w:sz w:val="13"/>
                <w:szCs w:val="13"/>
                <w:color w:val="auto"/>
                <w:w w:val="89"/>
              </w:rPr>
              <w:t>12/20/2018</w:t>
            </w:r>
          </w:p>
        </w:tc>
        <w:tc>
          <w:tcPr>
            <w:tcW w:w="94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9"/>
              </w:rPr>
              <w:t>12/15/2022</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17,574,000</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18,111,074</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15,884,482</w:t>
            </w:r>
          </w:p>
        </w:tc>
        <w:tc>
          <w:tcPr>
            <w:tcW w:w="800" w:type="dxa"/>
            <w:vAlign w:val="bottom"/>
            <w:gridSpan w:val="2"/>
            <w:vMerge w:val="restart"/>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61"/>
        </w:trPr>
        <w:tc>
          <w:tcPr>
            <w:tcW w:w="23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rPr>
              <w:t>ETP</w:t>
            </w:r>
          </w:p>
        </w:tc>
        <w:tc>
          <w:tcPr>
            <w:tcW w:w="9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Dtex Systems, Inc.</w:t>
            </w:r>
          </w:p>
        </w:tc>
        <w:tc>
          <w:tcPr>
            <w:tcW w:w="140" w:type="dxa"/>
            <w:vAlign w:val="bottom"/>
            <w:shd w:val="clear" w:color="auto" w:fill="CFF0FC"/>
          </w:tcPr>
          <w:p>
            <w:pPr>
              <w:spacing w:after="0"/>
              <w:rPr>
                <w:sz w:val="12"/>
                <w:szCs w:val="12"/>
                <w:color w:val="auto"/>
              </w:rPr>
            </w:pPr>
          </w:p>
        </w:tc>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6"/>
              </w:rPr>
              <w:t>LIBOR+9.50%, 10.00% floor, 1.75% ETP</w:t>
            </w:r>
          </w:p>
        </w:tc>
        <w:tc>
          <w:tcPr>
            <w:tcW w:w="96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90"/>
              </w:rPr>
              <w:t>6/1/2021</w:t>
            </w:r>
          </w:p>
        </w:tc>
        <w:tc>
          <w:tcPr>
            <w:tcW w:w="940" w:type="dxa"/>
            <w:vAlign w:val="bottom"/>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90"/>
              </w:rPr>
              <w:t>6/1/2025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10,000,000</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9,942,422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9,942,422</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2320" w:type="dxa"/>
            <w:vAlign w:val="bottom"/>
            <w:gridSpan w:val="3"/>
          </w:tcPr>
          <w:p>
            <w:pPr>
              <w:ind w:left="20"/>
              <w:spacing w:after="0"/>
              <w:rPr>
                <w:sz w:val="20"/>
                <w:szCs w:val="20"/>
                <w:color w:val="auto"/>
              </w:rPr>
            </w:pPr>
            <w:r>
              <w:rPr>
                <w:rFonts w:ascii="Arial" w:cs="Arial" w:eastAsia="Arial" w:hAnsi="Arial"/>
                <w:sz w:val="13"/>
                <w:szCs w:val="13"/>
                <w:color w:val="auto"/>
              </w:rPr>
              <w:t>FiscalNote, Inc.</w:t>
            </w:r>
          </w:p>
        </w:tc>
        <w:tc>
          <w:tcPr>
            <w:tcW w:w="14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w w:val="99"/>
              </w:rPr>
              <w:t>LIBOR+9.25%, 9.75% floor, 5.00% ETP</w:t>
            </w:r>
          </w:p>
        </w:tc>
        <w:tc>
          <w:tcPr>
            <w:tcW w:w="96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10/19/2020</w:t>
            </w:r>
          </w:p>
        </w:tc>
        <w:tc>
          <w:tcPr>
            <w:tcW w:w="940" w:type="dxa"/>
            <w:vAlign w:val="bottom"/>
            <w:gridSpan w:val="2"/>
          </w:tcPr>
          <w:p>
            <w:pPr>
              <w:jc w:val="center"/>
              <w:ind w:left="57"/>
              <w:spacing w:after="0"/>
              <w:rPr>
                <w:sz w:val="20"/>
                <w:szCs w:val="20"/>
                <w:color w:val="auto"/>
              </w:rPr>
            </w:pPr>
            <w:r>
              <w:rPr>
                <w:rFonts w:ascii="Arial" w:cs="Arial" w:eastAsia="Arial" w:hAnsi="Arial"/>
                <w:sz w:val="13"/>
                <w:szCs w:val="13"/>
                <w:color w:val="auto"/>
                <w:w w:val="86"/>
              </w:rPr>
              <w:t>8/21/2023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45,000,000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45,490,925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45,490,925</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LIBOR+9.25%, 9.75% floor, 5.00% ETP</w:t>
            </w:r>
          </w:p>
        </w:tc>
        <w:tc>
          <w:tcPr>
            <w:tcW w:w="96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9/30/2021</w:t>
            </w:r>
          </w:p>
        </w:tc>
        <w:tc>
          <w:tcPr>
            <w:tcW w:w="940" w:type="dxa"/>
            <w:vAlign w:val="bottom"/>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6"/>
              </w:rPr>
              <w:t>8/21/2023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10,000,000</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9,990,162</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9,990,162</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08"/>
        </w:trPr>
        <w:tc>
          <w:tcPr>
            <w:tcW w:w="2320" w:type="dxa"/>
            <w:vAlign w:val="bottom"/>
            <w:gridSpan w:val="3"/>
          </w:tcPr>
          <w:p>
            <w:pPr>
              <w:ind w:left="20"/>
              <w:spacing w:after="0" w:line="108" w:lineRule="exact"/>
              <w:rPr>
                <w:sz w:val="20"/>
                <w:szCs w:val="20"/>
                <w:color w:val="auto"/>
              </w:rPr>
            </w:pPr>
            <w:r>
              <w:rPr>
                <w:rFonts w:ascii="Arial" w:cs="Arial" w:eastAsia="Arial" w:hAnsi="Arial"/>
                <w:sz w:val="12"/>
                <w:szCs w:val="12"/>
                <w:color w:val="auto"/>
              </w:rPr>
              <w:t>VTX Intermediate Holdings, Inc. (dba</w:t>
            </w:r>
          </w:p>
        </w:tc>
        <w:tc>
          <w:tcPr>
            <w:tcW w:w="140" w:type="dxa"/>
            <w:vAlign w:val="bottom"/>
          </w:tcPr>
          <w:p>
            <w:pPr>
              <w:spacing w:after="0"/>
              <w:rPr>
                <w:sz w:val="9"/>
                <w:szCs w:val="9"/>
                <w:color w:val="auto"/>
              </w:rPr>
            </w:pPr>
          </w:p>
        </w:tc>
        <w:tc>
          <w:tcPr>
            <w:tcW w:w="2320" w:type="dxa"/>
            <w:vAlign w:val="bottom"/>
          </w:tcPr>
          <w:p>
            <w:pPr>
              <w:ind w:left="20"/>
              <w:spacing w:after="0" w:line="108" w:lineRule="exact"/>
              <w:rPr>
                <w:sz w:val="20"/>
                <w:szCs w:val="20"/>
                <w:color w:val="auto"/>
              </w:rPr>
            </w:pPr>
            <w:r>
              <w:rPr>
                <w:rFonts w:ascii="Arial" w:cs="Arial" w:eastAsia="Arial" w:hAnsi="Arial"/>
                <w:sz w:val="12"/>
                <w:szCs w:val="12"/>
                <w:color w:val="auto"/>
              </w:rPr>
              <w:t>LIBOR+9.00%, 9.50% floor, 4.50% ETP</w:t>
            </w:r>
          </w:p>
        </w:tc>
        <w:tc>
          <w:tcPr>
            <w:tcW w:w="960" w:type="dxa"/>
            <w:vAlign w:val="bottom"/>
            <w:gridSpan w:val="2"/>
            <w:vMerge w:val="restart"/>
          </w:tcPr>
          <w:p>
            <w:pPr>
              <w:jc w:val="center"/>
              <w:ind w:left="77"/>
              <w:spacing w:after="0"/>
              <w:rPr>
                <w:sz w:val="20"/>
                <w:szCs w:val="20"/>
                <w:color w:val="auto"/>
              </w:rPr>
            </w:pPr>
            <w:r>
              <w:rPr>
                <w:rFonts w:ascii="Arial" w:cs="Arial" w:eastAsia="Arial" w:hAnsi="Arial"/>
                <w:sz w:val="13"/>
                <w:szCs w:val="13"/>
                <w:color w:val="auto"/>
                <w:w w:val="89"/>
              </w:rPr>
              <w:t>12/28/2021</w:t>
            </w:r>
          </w:p>
        </w:tc>
        <w:tc>
          <w:tcPr>
            <w:tcW w:w="94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9"/>
              </w:rPr>
              <w:t>12/28/2026</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75,000,000</w:t>
            </w: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74,257,185</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74,257,185</w:t>
            </w: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20" w:type="dxa"/>
            <w:vAlign w:val="bottom"/>
            <w:gridSpan w:val="3"/>
          </w:tcPr>
          <w:p>
            <w:pPr>
              <w:ind w:left="20"/>
              <w:spacing w:after="0"/>
              <w:rPr>
                <w:sz w:val="20"/>
                <w:szCs w:val="20"/>
                <w:color w:val="auto"/>
              </w:rPr>
            </w:pPr>
            <w:r>
              <w:rPr>
                <w:rFonts w:ascii="Arial" w:cs="Arial" w:eastAsia="Arial" w:hAnsi="Arial"/>
                <w:sz w:val="13"/>
                <w:szCs w:val="13"/>
                <w:color w:val="auto"/>
              </w:rPr>
              <w:t>VertexOne)</w:t>
            </w:r>
          </w:p>
        </w:tc>
        <w:tc>
          <w:tcPr>
            <w:tcW w:w="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tcBorders>
              <w:bottom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Total Application Software - 26.20%*</w:t>
            </w:r>
          </w:p>
        </w:tc>
        <w:tc>
          <w:tcPr>
            <w:tcW w:w="140" w:type="dxa"/>
            <w:vAlign w:val="bottom"/>
            <w:tcBorders>
              <w:bottom w:val="single" w:sz="8" w:color="CFF0FC"/>
            </w:tcBorders>
            <w:shd w:val="clear" w:color="auto" w:fill="CFF0FC"/>
          </w:tcPr>
          <w:p>
            <w:pPr>
              <w:spacing w:after="0"/>
              <w:rPr>
                <w:sz w:val="12"/>
                <w:szCs w:val="12"/>
                <w:color w:val="auto"/>
              </w:rPr>
            </w:pPr>
          </w:p>
        </w:tc>
        <w:tc>
          <w:tcPr>
            <w:tcW w:w="23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163,163,241</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158,813,039</w:t>
            </w:r>
          </w:p>
        </w:tc>
        <w:tc>
          <w:tcPr>
            <w:tcW w:w="2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w w:val="91"/>
              </w:rPr>
              <w:t>Data Processing &amp; Outsourced Services</w:t>
            </w:r>
          </w:p>
        </w:tc>
        <w:tc>
          <w:tcPr>
            <w:tcW w:w="14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3"/>
          </w:tcPr>
          <w:p>
            <w:pPr>
              <w:ind w:left="20"/>
              <w:spacing w:after="0"/>
              <w:rPr>
                <w:sz w:val="20"/>
                <w:szCs w:val="20"/>
                <w:color w:val="auto"/>
              </w:rPr>
            </w:pPr>
            <w:r>
              <w:rPr>
                <w:rFonts w:ascii="Arial" w:cs="Arial" w:eastAsia="Arial" w:hAnsi="Arial"/>
                <w:sz w:val="13"/>
                <w:szCs w:val="13"/>
                <w:color w:val="auto"/>
              </w:rPr>
              <w:t>ShareThis, Inc.</w:t>
            </w:r>
          </w:p>
        </w:tc>
        <w:tc>
          <w:tcPr>
            <w:tcW w:w="14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w w:val="96"/>
              </w:rPr>
              <w:t>LIBOR+9.25%, 11.60% floor, 3.00% ETP</w:t>
            </w:r>
          </w:p>
        </w:tc>
        <w:tc>
          <w:tcPr>
            <w:tcW w:w="96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12/3/2018</w:t>
            </w:r>
          </w:p>
        </w:tc>
        <w:tc>
          <w:tcPr>
            <w:tcW w:w="940" w:type="dxa"/>
            <w:vAlign w:val="bottom"/>
            <w:gridSpan w:val="2"/>
          </w:tcPr>
          <w:p>
            <w:pPr>
              <w:jc w:val="center"/>
              <w:ind w:left="57"/>
              <w:spacing w:after="0"/>
              <w:rPr>
                <w:sz w:val="20"/>
                <w:szCs w:val="20"/>
                <w:color w:val="auto"/>
              </w:rPr>
            </w:pPr>
            <w:r>
              <w:rPr>
                <w:rFonts w:ascii="Arial" w:cs="Arial" w:eastAsia="Arial" w:hAnsi="Arial"/>
                <w:sz w:val="13"/>
                <w:szCs w:val="13"/>
                <w:color w:val="auto"/>
                <w:w w:val="86"/>
              </w:rPr>
              <w:t>7/15/2023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19,250,000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19,348,875</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19,348,874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2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6"/>
              </w:rPr>
              <w:t>LIBOR+9.25%, 11.60% floor, 3.00% ETP</w:t>
            </w:r>
          </w:p>
        </w:tc>
        <w:tc>
          <w:tcPr>
            <w:tcW w:w="96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90"/>
              </w:rPr>
              <w:t>1/7/2019</w:t>
            </w:r>
          </w:p>
        </w:tc>
        <w:tc>
          <w:tcPr>
            <w:tcW w:w="940" w:type="dxa"/>
            <w:vAlign w:val="bottom"/>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6"/>
              </w:rPr>
              <w:t>7/15/2023</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750,000</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751,979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751,979</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w w:val="96"/>
              </w:rPr>
              <w:t>LIBOR+9.25%, 11.60% floor, 3.00% ETP</w:t>
            </w:r>
          </w:p>
        </w:tc>
        <w:tc>
          <w:tcPr>
            <w:tcW w:w="96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7/24/2019</w:t>
            </w:r>
          </w:p>
        </w:tc>
        <w:tc>
          <w:tcPr>
            <w:tcW w:w="940" w:type="dxa"/>
            <w:vAlign w:val="bottom"/>
            <w:gridSpan w:val="2"/>
          </w:tcPr>
          <w:p>
            <w:pPr>
              <w:jc w:val="center"/>
              <w:ind w:left="57"/>
              <w:spacing w:after="0"/>
              <w:rPr>
                <w:sz w:val="20"/>
                <w:szCs w:val="20"/>
                <w:color w:val="auto"/>
              </w:rPr>
            </w:pPr>
            <w:r>
              <w:rPr>
                <w:rFonts w:ascii="Arial" w:cs="Arial" w:eastAsia="Arial" w:hAnsi="Arial"/>
                <w:sz w:val="13"/>
                <w:szCs w:val="13"/>
                <w:color w:val="auto"/>
                <w:w w:val="86"/>
              </w:rPr>
              <w:t>7/15/2023</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998,484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998,484</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20" w:type="dxa"/>
            <w:vAlign w:val="bottom"/>
            <w:tcBorders>
              <w:bottom w:val="single" w:sz="8" w:color="CFF0FC"/>
            </w:tcBorders>
            <w:shd w:val="clear" w:color="auto" w:fill="CFF0FC"/>
          </w:tcPr>
          <w:p>
            <w:pPr>
              <w:spacing w:after="0"/>
              <w:rPr>
                <w:sz w:val="12"/>
                <w:szCs w:val="12"/>
                <w:color w:val="auto"/>
              </w:rPr>
            </w:pPr>
          </w:p>
        </w:tc>
        <w:tc>
          <w:tcPr>
            <w:tcW w:w="2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96"/>
              </w:rPr>
              <w:t>LIBOR+8.25%, 10.60% floor, 3.00% ETP</w:t>
            </w:r>
          </w:p>
        </w:tc>
        <w:tc>
          <w:tcPr>
            <w:tcW w:w="960" w:type="dxa"/>
            <w:vAlign w:val="bottom"/>
            <w:tcBorders>
              <w:bottom w:val="single" w:sz="8" w:color="CFF0FC"/>
            </w:tcBorders>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8/18/2020</w:t>
            </w:r>
          </w:p>
        </w:tc>
        <w:tc>
          <w:tcPr>
            <w:tcW w:w="940" w:type="dxa"/>
            <w:vAlign w:val="bottom"/>
            <w:tcBorders>
              <w:bottom w:val="single" w:sz="8" w:color="CFF0FC"/>
            </w:tcBorders>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6"/>
              </w:rPr>
              <w:t>7/15/2023</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1,000,000</w:t>
            </w: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1,014,040</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1,014,040</w:t>
            </w: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02"/>
        </w:trPr>
        <w:tc>
          <w:tcPr>
            <w:tcW w:w="2320" w:type="dxa"/>
            <w:vAlign w:val="bottom"/>
            <w:gridSpan w:val="3"/>
          </w:tcPr>
          <w:p>
            <w:pPr>
              <w:ind w:left="20"/>
              <w:spacing w:after="0" w:line="102" w:lineRule="exact"/>
              <w:rPr>
                <w:sz w:val="20"/>
                <w:szCs w:val="20"/>
                <w:color w:val="auto"/>
              </w:rPr>
            </w:pPr>
            <w:r>
              <w:rPr>
                <w:rFonts w:ascii="Arial" w:cs="Arial" w:eastAsia="Arial" w:hAnsi="Arial"/>
                <w:sz w:val="10"/>
                <w:szCs w:val="10"/>
                <w:b w:val="1"/>
                <w:bCs w:val="1"/>
                <w:color w:val="auto"/>
              </w:rPr>
              <w:t>Total Data Processing &amp; Outsourced</w:t>
            </w:r>
          </w:p>
        </w:tc>
        <w:tc>
          <w:tcPr>
            <w:tcW w:w="1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22,113,378</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22,113,377</w:t>
            </w: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20" w:type="dxa"/>
            <w:vAlign w:val="bottom"/>
            <w:gridSpan w:val="3"/>
          </w:tcPr>
          <w:p>
            <w:pPr>
              <w:ind w:left="20"/>
              <w:spacing w:after="0"/>
              <w:rPr>
                <w:sz w:val="20"/>
                <w:szCs w:val="20"/>
                <w:color w:val="auto"/>
              </w:rPr>
            </w:pPr>
            <w:r>
              <w:rPr>
                <w:rFonts w:ascii="Arial" w:cs="Arial" w:eastAsia="Arial" w:hAnsi="Arial"/>
                <w:sz w:val="13"/>
                <w:szCs w:val="13"/>
                <w:b w:val="1"/>
                <w:bCs w:val="1"/>
                <w:color w:val="auto"/>
              </w:rPr>
              <w:t>Services - 3.65%*</w:t>
            </w:r>
          </w:p>
        </w:tc>
        <w:tc>
          <w:tcPr>
            <w:tcW w:w="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2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3"/>
          </w:tcPr>
          <w:p>
            <w:pPr>
              <w:ind w:left="20"/>
              <w:spacing w:after="0"/>
              <w:rPr>
                <w:sz w:val="20"/>
                <w:szCs w:val="20"/>
                <w:color w:val="auto"/>
              </w:rPr>
            </w:pPr>
            <w:r>
              <w:rPr>
                <w:rFonts w:ascii="Arial" w:cs="Arial" w:eastAsia="Arial" w:hAnsi="Arial"/>
                <w:sz w:val="13"/>
                <w:szCs w:val="13"/>
                <w:b w:val="1"/>
                <w:bCs w:val="1"/>
                <w:color w:val="auto"/>
              </w:rPr>
              <w:t>Education Services</w:t>
            </w:r>
          </w:p>
        </w:tc>
        <w:tc>
          <w:tcPr>
            <w:tcW w:w="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Turning Tech Intermediate, Inc.</w:t>
            </w:r>
          </w:p>
        </w:tc>
        <w:tc>
          <w:tcPr>
            <w:tcW w:w="140" w:type="dxa"/>
            <w:vAlign w:val="bottom"/>
            <w:tcBorders>
              <w:bottom w:val="single" w:sz="8" w:color="CFF0FC"/>
            </w:tcBorders>
            <w:shd w:val="clear" w:color="auto" w:fill="CFF0FC"/>
          </w:tcPr>
          <w:p>
            <w:pPr>
              <w:spacing w:after="0"/>
              <w:rPr>
                <w:sz w:val="12"/>
                <w:szCs w:val="12"/>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93"/>
              </w:rPr>
              <w:t>LIBOR+10.50%, 11.00% floor, 3.00% ETP</w:t>
            </w:r>
          </w:p>
        </w:tc>
        <w:tc>
          <w:tcPr>
            <w:tcW w:w="960" w:type="dxa"/>
            <w:vAlign w:val="bottom"/>
            <w:tcBorders>
              <w:bottom w:val="single" w:sz="8" w:color="CFF0FC"/>
            </w:tcBorders>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6/22/2021</w:t>
            </w:r>
          </w:p>
        </w:tc>
        <w:tc>
          <w:tcPr>
            <w:tcW w:w="940" w:type="dxa"/>
            <w:vAlign w:val="bottom"/>
            <w:tcBorders>
              <w:bottom w:val="single" w:sz="8" w:color="CFF0FC"/>
            </w:tcBorders>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9"/>
              </w:rPr>
              <w:t>12/14/2024</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20,000,000</w:t>
            </w: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20,098,640</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20,098,640</w:t>
            </w:r>
          </w:p>
        </w:tc>
        <w:tc>
          <w:tcPr>
            <w:tcW w:w="24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2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Total Education Services - 3.32%*</w:t>
            </w:r>
          </w:p>
        </w:tc>
        <w:tc>
          <w:tcPr>
            <w:tcW w:w="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20,098,640</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20,098,640</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2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3"/>
          </w:tcPr>
          <w:p>
            <w:pPr>
              <w:ind w:left="20"/>
              <w:spacing w:after="0"/>
              <w:rPr>
                <w:sz w:val="20"/>
                <w:szCs w:val="20"/>
                <w:color w:val="auto"/>
              </w:rPr>
            </w:pPr>
            <w:r>
              <w:rPr>
                <w:rFonts w:ascii="Arial" w:cs="Arial" w:eastAsia="Arial" w:hAnsi="Arial"/>
                <w:sz w:val="13"/>
                <w:szCs w:val="13"/>
                <w:b w:val="1"/>
                <w:bCs w:val="1"/>
                <w:color w:val="auto"/>
              </w:rPr>
              <w:t>Electronic Equipment &amp; Instruments</w:t>
            </w:r>
          </w:p>
        </w:tc>
        <w:tc>
          <w:tcPr>
            <w:tcW w:w="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320" w:type="dxa"/>
            <w:vAlign w:val="bottom"/>
            <w:gridSpan w:val="3"/>
            <w:shd w:val="clear" w:color="auto" w:fill="CFF0FC"/>
          </w:tcPr>
          <w:p>
            <w:pPr>
              <w:ind w:left="20"/>
              <w:spacing w:after="0" w:line="108" w:lineRule="exact"/>
              <w:rPr>
                <w:sz w:val="20"/>
                <w:szCs w:val="20"/>
                <w:color w:val="auto"/>
              </w:rPr>
            </w:pPr>
            <w:r>
              <w:rPr>
                <w:rFonts w:ascii="Arial" w:cs="Arial" w:eastAsia="Arial" w:hAnsi="Arial"/>
                <w:sz w:val="12"/>
                <w:szCs w:val="12"/>
                <w:color w:val="auto"/>
              </w:rPr>
              <w:t>Intellisite Holdings, Inc. (dba Epic IO</w:t>
            </w:r>
          </w:p>
        </w:tc>
        <w:tc>
          <w:tcPr>
            <w:tcW w:w="140" w:type="dxa"/>
            <w:vAlign w:val="bottom"/>
            <w:shd w:val="clear" w:color="auto" w:fill="CFF0FC"/>
          </w:tcPr>
          <w:p>
            <w:pPr>
              <w:spacing w:after="0"/>
              <w:rPr>
                <w:sz w:val="9"/>
                <w:szCs w:val="9"/>
                <w:color w:val="auto"/>
              </w:rPr>
            </w:pPr>
          </w:p>
        </w:tc>
        <w:tc>
          <w:tcPr>
            <w:tcW w:w="232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LIBOR+9.75%, 10.25% floor, 2.00% ETP</w:t>
            </w:r>
          </w:p>
        </w:tc>
        <w:tc>
          <w:tcPr>
            <w:tcW w:w="960" w:type="dxa"/>
            <w:vAlign w:val="bottom"/>
            <w:gridSpan w:val="2"/>
            <w:vMerge w:val="restart"/>
            <w:shd w:val="clear" w:color="auto" w:fill="CFF0FC"/>
          </w:tcPr>
          <w:p>
            <w:pPr>
              <w:jc w:val="center"/>
              <w:ind w:left="77"/>
              <w:spacing w:after="0"/>
              <w:rPr>
                <w:sz w:val="20"/>
                <w:szCs w:val="20"/>
                <w:color w:val="auto"/>
              </w:rPr>
            </w:pPr>
            <w:r>
              <w:rPr>
                <w:rFonts w:ascii="Arial" w:cs="Arial" w:eastAsia="Arial" w:hAnsi="Arial"/>
                <w:sz w:val="13"/>
                <w:szCs w:val="13"/>
                <w:color w:val="auto"/>
                <w:w w:val="89"/>
              </w:rPr>
              <w:t>12/17/2021</w:t>
            </w:r>
          </w:p>
        </w:tc>
        <w:tc>
          <w:tcPr>
            <w:tcW w:w="940" w:type="dxa"/>
            <w:vAlign w:val="bottom"/>
            <w:gridSpan w:val="2"/>
            <w:vMerge w:val="restart"/>
            <w:shd w:val="clear" w:color="auto" w:fill="CFF0FC"/>
          </w:tcPr>
          <w:p>
            <w:pPr>
              <w:jc w:val="center"/>
              <w:ind w:left="57"/>
              <w:spacing w:after="0"/>
              <w:rPr>
                <w:sz w:val="20"/>
                <w:szCs w:val="20"/>
                <w:color w:val="auto"/>
              </w:rPr>
            </w:pPr>
            <w:r>
              <w:rPr>
                <w:rFonts w:ascii="Arial" w:cs="Arial" w:eastAsia="Arial" w:hAnsi="Arial"/>
                <w:sz w:val="13"/>
                <w:szCs w:val="13"/>
                <w:color w:val="auto"/>
                <w:w w:val="89"/>
              </w:rPr>
              <w:t>12/17/2025</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19,000,000</w:t>
            </w: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18,521,523</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18,521,523</w:t>
            </w:r>
          </w:p>
        </w:tc>
        <w:tc>
          <w:tcPr>
            <w:tcW w:w="8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23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Technologies, Inc.)</w:t>
            </w:r>
          </w:p>
        </w:tc>
        <w:tc>
          <w:tcPr>
            <w:tcW w:w="140" w:type="dxa"/>
            <w:vAlign w:val="bottom"/>
            <w:tcBorders>
              <w:bottom w:val="single" w:sz="8" w:color="CFF0FC"/>
            </w:tcBorders>
            <w:shd w:val="clear" w:color="auto" w:fill="CFF0FC"/>
          </w:tcPr>
          <w:p>
            <w:pPr>
              <w:spacing w:after="0"/>
              <w:rPr>
                <w:sz w:val="12"/>
                <w:szCs w:val="12"/>
                <w:color w:val="auto"/>
              </w:rPr>
            </w:pPr>
          </w:p>
        </w:tc>
        <w:tc>
          <w:tcPr>
            <w:tcW w:w="2320" w:type="dxa"/>
            <w:vAlign w:val="bottom"/>
            <w:tcBorders>
              <w:bottom w:val="single" w:sz="8" w:color="CFF0FC"/>
            </w:tcBorders>
            <w:shd w:val="clear" w:color="auto" w:fill="CFF0FC"/>
          </w:tcPr>
          <w:p>
            <w:pPr>
              <w:spacing w:after="0"/>
              <w:rPr>
                <w:sz w:val="12"/>
                <w:szCs w:val="12"/>
                <w:color w:val="auto"/>
              </w:rPr>
            </w:pPr>
          </w:p>
        </w:tc>
        <w:tc>
          <w:tcPr>
            <w:tcW w:w="960" w:type="dxa"/>
            <w:vAlign w:val="bottom"/>
            <w:tcBorders>
              <w:bottom w:val="single" w:sz="8" w:color="CFF0FC"/>
            </w:tcBorders>
            <w:gridSpan w:val="2"/>
            <w:vMerge w:val="continue"/>
            <w:shd w:val="clear" w:color="auto" w:fill="CFF0FC"/>
          </w:tcPr>
          <w:p>
            <w:pPr>
              <w:spacing w:after="0"/>
              <w:rPr>
                <w:sz w:val="12"/>
                <w:szCs w:val="12"/>
                <w:color w:val="auto"/>
              </w:rPr>
            </w:pPr>
          </w:p>
        </w:tc>
        <w:tc>
          <w:tcPr>
            <w:tcW w:w="940" w:type="dxa"/>
            <w:vAlign w:val="bottom"/>
            <w:tcBorders>
              <w:bottom w:val="single" w:sz="8" w:color="CFF0FC"/>
            </w:tcBorders>
            <w:gridSpan w:val="2"/>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vMerge w:val="continue"/>
            <w:shd w:val="clear" w:color="auto" w:fill="CFF0FC"/>
          </w:tcPr>
          <w:p>
            <w:pPr>
              <w:spacing w:after="0"/>
              <w:rPr>
                <w:sz w:val="12"/>
                <w:szCs w:val="12"/>
                <w:color w:val="auto"/>
              </w:rPr>
            </w:pPr>
          </w:p>
        </w:tc>
        <w:tc>
          <w:tcPr>
            <w:tcW w:w="800" w:type="dxa"/>
            <w:vAlign w:val="bottom"/>
            <w:tcBorders>
              <w:bottom w:val="single" w:sz="8" w:color="CFF0FC"/>
            </w:tcBorders>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320" w:type="dxa"/>
            <w:vAlign w:val="bottom"/>
            <w:gridSpan w:val="3"/>
          </w:tcPr>
          <w:p>
            <w:pPr>
              <w:ind w:left="20"/>
              <w:spacing w:after="0" w:line="102" w:lineRule="exact"/>
              <w:rPr>
                <w:sz w:val="20"/>
                <w:szCs w:val="20"/>
                <w:color w:val="auto"/>
              </w:rPr>
            </w:pPr>
            <w:r>
              <w:rPr>
                <w:rFonts w:ascii="Arial" w:cs="Arial" w:eastAsia="Arial" w:hAnsi="Arial"/>
                <w:sz w:val="10"/>
                <w:szCs w:val="10"/>
                <w:b w:val="1"/>
                <w:bCs w:val="1"/>
                <w:color w:val="auto"/>
              </w:rPr>
              <w:t>Total Electronic Equipment &amp;</w:t>
            </w:r>
          </w:p>
        </w:tc>
        <w:tc>
          <w:tcPr>
            <w:tcW w:w="14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18,521,523</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18,521,523</w:t>
            </w: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320" w:type="dxa"/>
            <w:vAlign w:val="bottom"/>
            <w:gridSpan w:val="3"/>
          </w:tcPr>
          <w:p>
            <w:pPr>
              <w:ind w:left="20"/>
              <w:spacing w:after="0"/>
              <w:rPr>
                <w:sz w:val="20"/>
                <w:szCs w:val="20"/>
                <w:color w:val="auto"/>
              </w:rPr>
            </w:pPr>
            <w:r>
              <w:rPr>
                <w:rFonts w:ascii="Arial" w:cs="Arial" w:eastAsia="Arial" w:hAnsi="Arial"/>
                <w:sz w:val="13"/>
                <w:szCs w:val="13"/>
                <w:b w:val="1"/>
                <w:bCs w:val="1"/>
                <w:color w:val="auto"/>
              </w:rPr>
              <w:t>Instruments - 3.06%*</w:t>
            </w:r>
          </w:p>
        </w:tc>
        <w:tc>
          <w:tcPr>
            <w:tcW w:w="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2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gridSpan w:val="3"/>
          </w:tcPr>
          <w:p>
            <w:pPr>
              <w:ind w:left="20"/>
              <w:spacing w:after="0"/>
              <w:rPr>
                <w:sz w:val="20"/>
                <w:szCs w:val="20"/>
                <w:color w:val="auto"/>
              </w:rPr>
            </w:pPr>
            <w:r>
              <w:rPr>
                <w:rFonts w:ascii="Arial" w:cs="Arial" w:eastAsia="Arial" w:hAnsi="Arial"/>
                <w:sz w:val="13"/>
                <w:szCs w:val="13"/>
                <w:b w:val="1"/>
                <w:bCs w:val="1"/>
                <w:color w:val="auto"/>
              </w:rPr>
              <w:t>Health Care Technology</w:t>
            </w:r>
          </w:p>
        </w:tc>
        <w:tc>
          <w:tcPr>
            <w:tcW w:w="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Allurion Technologies, Inc.</w:t>
            </w:r>
          </w:p>
        </w:tc>
        <w:tc>
          <w:tcPr>
            <w:tcW w:w="140" w:type="dxa"/>
            <w:vAlign w:val="bottom"/>
            <w:shd w:val="clear" w:color="auto" w:fill="CFF0FC"/>
          </w:tcPr>
          <w:p>
            <w:pPr>
              <w:spacing w:after="0"/>
              <w:rPr>
                <w:sz w:val="12"/>
                <w:szCs w:val="12"/>
                <w:color w:val="auto"/>
              </w:rPr>
            </w:pPr>
          </w:p>
        </w:tc>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LIBOR+9.00%, 9.50% floor, 3.00% ETP</w:t>
            </w:r>
          </w:p>
        </w:tc>
        <w:tc>
          <w:tcPr>
            <w:tcW w:w="96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9"/>
              </w:rPr>
              <w:t>12/30/2021</w:t>
            </w:r>
          </w:p>
        </w:tc>
        <w:tc>
          <w:tcPr>
            <w:tcW w:w="940" w:type="dxa"/>
            <w:vAlign w:val="bottom"/>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9"/>
              </w:rPr>
              <w:t>12/30/2025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5,000,000</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4,847,557</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4,847,557</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w w:val="99"/>
              </w:rPr>
              <w:t>LIBOR+9.00%, 9.50% floor, 3.00% ETP</w:t>
            </w:r>
          </w:p>
        </w:tc>
        <w:tc>
          <w:tcPr>
            <w:tcW w:w="96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12/30/2021</w:t>
            </w:r>
          </w:p>
        </w:tc>
        <w:tc>
          <w:tcPr>
            <w:tcW w:w="940" w:type="dxa"/>
            <w:vAlign w:val="bottom"/>
            <w:gridSpan w:val="2"/>
          </w:tcPr>
          <w:p>
            <w:pPr>
              <w:jc w:val="center"/>
              <w:ind w:left="57"/>
              <w:spacing w:after="0"/>
              <w:rPr>
                <w:sz w:val="20"/>
                <w:szCs w:val="20"/>
                <w:color w:val="auto"/>
              </w:rPr>
            </w:pPr>
            <w:r>
              <w:rPr>
                <w:rFonts w:ascii="Arial" w:cs="Arial" w:eastAsia="Arial" w:hAnsi="Arial"/>
                <w:sz w:val="13"/>
                <w:szCs w:val="13"/>
                <w:color w:val="auto"/>
                <w:w w:val="89"/>
              </w:rPr>
              <w:t>12/30/2025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20,000,000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20,000,743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20,000,743</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320" w:type="dxa"/>
            <w:vAlign w:val="bottom"/>
            <w:gridSpan w:val="3"/>
            <w:vMerge w:val="restart"/>
            <w:shd w:val="clear" w:color="auto" w:fill="CFF0FC"/>
          </w:tcPr>
          <w:p>
            <w:pPr>
              <w:ind w:left="20"/>
              <w:spacing w:after="0"/>
              <w:rPr>
                <w:sz w:val="20"/>
                <w:szCs w:val="20"/>
                <w:color w:val="auto"/>
              </w:rPr>
            </w:pPr>
            <w:r>
              <w:rPr>
                <w:rFonts w:ascii="Arial" w:cs="Arial" w:eastAsia="Arial" w:hAnsi="Arial"/>
                <w:sz w:val="13"/>
                <w:szCs w:val="13"/>
                <w:color w:val="auto"/>
              </w:rPr>
              <w:t>CrossRoads Extremity Systems, LLC</w:t>
            </w:r>
          </w:p>
        </w:tc>
        <w:tc>
          <w:tcPr>
            <w:tcW w:w="140" w:type="dxa"/>
            <w:vAlign w:val="bottom"/>
            <w:shd w:val="clear" w:color="auto" w:fill="CFF0FC"/>
          </w:tcPr>
          <w:p>
            <w:pPr>
              <w:spacing w:after="0"/>
              <w:rPr>
                <w:sz w:val="9"/>
                <w:szCs w:val="9"/>
                <w:color w:val="auto"/>
              </w:rPr>
            </w:pPr>
          </w:p>
        </w:tc>
        <w:tc>
          <w:tcPr>
            <w:tcW w:w="232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LIBOR+8.15%, 1.50% PIK, 8.65% floor,</w:t>
            </w:r>
          </w:p>
        </w:tc>
        <w:tc>
          <w:tcPr>
            <w:tcW w:w="960" w:type="dxa"/>
            <w:vAlign w:val="bottom"/>
            <w:gridSpan w:val="2"/>
            <w:vMerge w:val="restart"/>
            <w:shd w:val="clear" w:color="auto" w:fill="CFF0FC"/>
          </w:tcPr>
          <w:p>
            <w:pPr>
              <w:jc w:val="center"/>
              <w:ind w:left="77"/>
              <w:spacing w:after="0"/>
              <w:rPr>
                <w:sz w:val="20"/>
                <w:szCs w:val="20"/>
                <w:color w:val="auto"/>
              </w:rPr>
            </w:pPr>
            <w:r>
              <w:rPr>
                <w:rFonts w:ascii="Arial" w:cs="Arial" w:eastAsia="Arial" w:hAnsi="Arial"/>
                <w:sz w:val="13"/>
                <w:szCs w:val="13"/>
                <w:color w:val="auto"/>
                <w:w w:val="86"/>
              </w:rPr>
              <w:t>6/29/2021</w:t>
            </w:r>
          </w:p>
        </w:tc>
        <w:tc>
          <w:tcPr>
            <w:tcW w:w="940" w:type="dxa"/>
            <w:vAlign w:val="bottom"/>
            <w:gridSpan w:val="2"/>
            <w:vMerge w:val="restart"/>
            <w:shd w:val="clear" w:color="auto" w:fill="CFF0FC"/>
          </w:tcPr>
          <w:p>
            <w:pPr>
              <w:jc w:val="center"/>
              <w:ind w:left="57"/>
              <w:spacing w:after="0"/>
              <w:rPr>
                <w:sz w:val="20"/>
                <w:szCs w:val="20"/>
                <w:color w:val="auto"/>
              </w:rPr>
            </w:pPr>
            <w:r>
              <w:rPr>
                <w:rFonts w:ascii="Arial" w:cs="Arial" w:eastAsia="Arial" w:hAnsi="Arial"/>
                <w:sz w:val="13"/>
                <w:szCs w:val="13"/>
                <w:color w:val="auto"/>
                <w:w w:val="90"/>
              </w:rPr>
              <w:t>7/1/2025</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7,552,967</w:t>
            </w: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7,381,304</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7,701,001</w:t>
            </w:r>
          </w:p>
        </w:tc>
        <w:tc>
          <w:tcPr>
            <w:tcW w:w="8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62"/>
        </w:trPr>
        <w:tc>
          <w:tcPr>
            <w:tcW w:w="2320" w:type="dxa"/>
            <w:vAlign w:val="bottom"/>
            <w:gridSpan w:val="3"/>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3.50% ETP</w:t>
            </w:r>
          </w:p>
        </w:tc>
        <w:tc>
          <w:tcPr>
            <w:tcW w:w="96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320" w:type="dxa"/>
            <w:vAlign w:val="bottom"/>
            <w:gridSpan w:val="3"/>
          </w:tcPr>
          <w:p>
            <w:pPr>
              <w:ind w:left="20"/>
              <w:spacing w:after="0"/>
              <w:rPr>
                <w:sz w:val="20"/>
                <w:szCs w:val="20"/>
                <w:color w:val="auto"/>
              </w:rPr>
            </w:pPr>
            <w:r>
              <w:rPr>
                <w:rFonts w:ascii="Arial" w:cs="Arial" w:eastAsia="Arial" w:hAnsi="Arial"/>
                <w:sz w:val="13"/>
                <w:szCs w:val="13"/>
                <w:color w:val="auto"/>
              </w:rPr>
              <w:t>Gynesonics, Inc.</w:t>
            </w:r>
          </w:p>
        </w:tc>
        <w:tc>
          <w:tcPr>
            <w:tcW w:w="14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w w:val="99"/>
              </w:rPr>
              <w:t>LIBOR+8.75%, 9.25% floor, 3.50% ETP</w:t>
            </w:r>
          </w:p>
        </w:tc>
        <w:tc>
          <w:tcPr>
            <w:tcW w:w="96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12/1/2020</w:t>
            </w:r>
          </w:p>
        </w:tc>
        <w:tc>
          <w:tcPr>
            <w:tcW w:w="940" w:type="dxa"/>
            <w:vAlign w:val="bottom"/>
            <w:gridSpan w:val="2"/>
          </w:tcPr>
          <w:p>
            <w:pPr>
              <w:jc w:val="center"/>
              <w:ind w:left="57"/>
              <w:spacing w:after="0"/>
              <w:rPr>
                <w:sz w:val="20"/>
                <w:szCs w:val="20"/>
                <w:color w:val="auto"/>
              </w:rPr>
            </w:pPr>
            <w:r>
              <w:rPr>
                <w:rFonts w:ascii="Arial" w:cs="Arial" w:eastAsia="Arial" w:hAnsi="Arial"/>
                <w:sz w:val="13"/>
                <w:szCs w:val="13"/>
                <w:color w:val="auto"/>
                <w:w w:val="86"/>
              </w:rPr>
              <w:t>12/1/2025</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30,000,000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29,799,392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29,799,392</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320" w:type="dxa"/>
            <w:vAlign w:val="bottom"/>
            <w:gridSpan w:val="3"/>
            <w:vMerge w:val="restart"/>
            <w:shd w:val="clear" w:color="auto" w:fill="CFF0FC"/>
          </w:tcPr>
          <w:p>
            <w:pPr>
              <w:ind w:left="20"/>
              <w:spacing w:after="0"/>
              <w:rPr>
                <w:sz w:val="20"/>
                <w:szCs w:val="20"/>
                <w:color w:val="auto"/>
              </w:rPr>
            </w:pPr>
            <w:r>
              <w:rPr>
                <w:rFonts w:ascii="Arial" w:cs="Arial" w:eastAsia="Arial" w:hAnsi="Arial"/>
                <w:sz w:val="13"/>
                <w:szCs w:val="13"/>
                <w:color w:val="auto"/>
              </w:rPr>
              <w:t>Mingle Healthcare Solutions, Inc.</w:t>
            </w:r>
          </w:p>
        </w:tc>
        <w:tc>
          <w:tcPr>
            <w:tcW w:w="140" w:type="dxa"/>
            <w:vAlign w:val="bottom"/>
            <w:shd w:val="clear" w:color="auto" w:fill="CFF0FC"/>
          </w:tcPr>
          <w:p>
            <w:pPr>
              <w:spacing w:after="0"/>
              <w:rPr>
                <w:sz w:val="9"/>
                <w:szCs w:val="9"/>
                <w:color w:val="auto"/>
              </w:rPr>
            </w:pPr>
          </w:p>
        </w:tc>
        <w:tc>
          <w:tcPr>
            <w:tcW w:w="232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LIBOR+9.50%, 11.75% floor, 0.25% PIK,</w:t>
            </w:r>
          </w:p>
        </w:tc>
        <w:tc>
          <w:tcPr>
            <w:tcW w:w="960" w:type="dxa"/>
            <w:vAlign w:val="bottom"/>
            <w:gridSpan w:val="2"/>
            <w:vMerge w:val="restart"/>
            <w:shd w:val="clear" w:color="auto" w:fill="CFF0FC"/>
          </w:tcPr>
          <w:p>
            <w:pPr>
              <w:jc w:val="center"/>
              <w:ind w:left="77"/>
              <w:spacing w:after="0"/>
              <w:rPr>
                <w:sz w:val="20"/>
                <w:szCs w:val="20"/>
                <w:color w:val="auto"/>
              </w:rPr>
            </w:pPr>
            <w:r>
              <w:rPr>
                <w:rFonts w:ascii="Arial" w:cs="Arial" w:eastAsia="Arial" w:hAnsi="Arial"/>
                <w:sz w:val="13"/>
                <w:szCs w:val="13"/>
                <w:color w:val="auto"/>
                <w:w w:val="86"/>
              </w:rPr>
              <w:t>8/15/2018</w:t>
            </w:r>
          </w:p>
        </w:tc>
        <w:tc>
          <w:tcPr>
            <w:tcW w:w="940" w:type="dxa"/>
            <w:vAlign w:val="bottom"/>
            <w:gridSpan w:val="2"/>
            <w:vMerge w:val="restart"/>
            <w:shd w:val="clear" w:color="auto" w:fill="CFF0FC"/>
          </w:tcPr>
          <w:p>
            <w:pPr>
              <w:jc w:val="center"/>
              <w:ind w:left="57"/>
              <w:spacing w:after="0"/>
              <w:rPr>
                <w:sz w:val="20"/>
                <w:szCs w:val="20"/>
                <w:color w:val="auto"/>
              </w:rPr>
            </w:pPr>
            <w:r>
              <w:rPr>
                <w:rFonts w:ascii="Arial" w:cs="Arial" w:eastAsia="Arial" w:hAnsi="Arial"/>
                <w:sz w:val="13"/>
                <w:szCs w:val="13"/>
                <w:color w:val="auto"/>
                <w:w w:val="86"/>
              </w:rPr>
              <w:t>8/15/2022</w:t>
            </w:r>
          </w:p>
        </w:tc>
        <w:tc>
          <w:tcPr>
            <w:tcW w:w="1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3,958,483</w:t>
            </w:r>
          </w:p>
        </w:tc>
        <w:tc>
          <w:tcPr>
            <w:tcW w:w="2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4,473,959</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4,371,891</w:t>
            </w:r>
          </w:p>
        </w:tc>
        <w:tc>
          <w:tcPr>
            <w:tcW w:w="8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62"/>
        </w:trPr>
        <w:tc>
          <w:tcPr>
            <w:tcW w:w="2320" w:type="dxa"/>
            <w:vAlign w:val="bottom"/>
            <w:gridSpan w:val="3"/>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10.00% ETP</w:t>
            </w:r>
          </w:p>
        </w:tc>
        <w:tc>
          <w:tcPr>
            <w:tcW w:w="96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20" w:type="dxa"/>
            <w:vAlign w:val="bottom"/>
            <w:vMerge w:val="continue"/>
            <w:shd w:val="clear" w:color="auto" w:fill="CFF0FC"/>
          </w:tcPr>
          <w:p>
            <w:pPr>
              <w:spacing w:after="0"/>
              <w:rPr>
                <w:sz w:val="14"/>
                <w:szCs w:val="14"/>
                <w:color w:val="auto"/>
              </w:rPr>
            </w:pPr>
          </w:p>
        </w:tc>
        <w:tc>
          <w:tcPr>
            <w:tcW w:w="80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20" w:type="dxa"/>
            <w:vAlign w:val="bottom"/>
            <w:gridSpan w:val="3"/>
          </w:tcPr>
          <w:p>
            <w:pPr>
              <w:ind w:left="20"/>
              <w:spacing w:after="0"/>
              <w:rPr>
                <w:sz w:val="20"/>
                <w:szCs w:val="20"/>
                <w:color w:val="auto"/>
              </w:rPr>
            </w:pPr>
            <w:r>
              <w:rPr>
                <w:rFonts w:ascii="Arial" w:cs="Arial" w:eastAsia="Arial" w:hAnsi="Arial"/>
                <w:sz w:val="13"/>
                <w:szCs w:val="13"/>
                <w:color w:val="auto"/>
              </w:rPr>
              <w:t>Route 92 Medical, Inc.</w:t>
            </w:r>
          </w:p>
        </w:tc>
        <w:tc>
          <w:tcPr>
            <w:tcW w:w="14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w w:val="99"/>
              </w:rPr>
              <w:t>LIBOR+8.48%, 8.98% floor, 3.95% ETP</w:t>
            </w:r>
          </w:p>
        </w:tc>
        <w:tc>
          <w:tcPr>
            <w:tcW w:w="96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8/17/2021</w:t>
            </w:r>
          </w:p>
        </w:tc>
        <w:tc>
          <w:tcPr>
            <w:tcW w:w="940" w:type="dxa"/>
            <w:vAlign w:val="bottom"/>
            <w:gridSpan w:val="2"/>
          </w:tcPr>
          <w:p>
            <w:pPr>
              <w:jc w:val="center"/>
              <w:ind w:left="57"/>
              <w:spacing w:after="0"/>
              <w:rPr>
                <w:sz w:val="20"/>
                <w:szCs w:val="20"/>
                <w:color w:val="auto"/>
              </w:rPr>
            </w:pPr>
            <w:r>
              <w:rPr>
                <w:rFonts w:ascii="Arial" w:cs="Arial" w:eastAsia="Arial" w:hAnsi="Arial"/>
                <w:sz w:val="13"/>
                <w:szCs w:val="13"/>
                <w:color w:val="auto"/>
                <w:w w:val="90"/>
              </w:rPr>
              <w:t>7/1/2026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13,000,000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12,675,523</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12,675,523</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2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SetPoint Medical Corporation</w:t>
            </w:r>
          </w:p>
        </w:tc>
        <w:tc>
          <w:tcPr>
            <w:tcW w:w="140" w:type="dxa"/>
            <w:vAlign w:val="bottom"/>
            <w:shd w:val="clear" w:color="auto" w:fill="CFF0FC"/>
          </w:tcPr>
          <w:p>
            <w:pPr>
              <w:spacing w:after="0"/>
              <w:rPr>
                <w:sz w:val="12"/>
                <w:szCs w:val="12"/>
                <w:color w:val="auto"/>
              </w:rPr>
            </w:pPr>
          </w:p>
        </w:tc>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w w:val="99"/>
              </w:rPr>
              <w:t>LIBOR+8.75%, 9.25% floor, 4.00% ETP</w:t>
            </w:r>
          </w:p>
        </w:tc>
        <w:tc>
          <w:tcPr>
            <w:tcW w:w="96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6/29/2021</w:t>
            </w:r>
          </w:p>
        </w:tc>
        <w:tc>
          <w:tcPr>
            <w:tcW w:w="940" w:type="dxa"/>
            <w:vAlign w:val="bottom"/>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6"/>
              </w:rPr>
              <w:t>12/1/2025</w:t>
            </w:r>
          </w:p>
        </w:tc>
        <w:tc>
          <w:tcPr>
            <w:tcW w:w="1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10,000,000</w:t>
            </w: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9,946,271</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9,946,271</w:t>
            </w: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gridSpan w:val="3"/>
          </w:tcPr>
          <w:p>
            <w:pPr>
              <w:ind w:left="20"/>
              <w:spacing w:after="0"/>
              <w:rPr>
                <w:sz w:val="20"/>
                <w:szCs w:val="20"/>
                <w:color w:val="auto"/>
              </w:rPr>
            </w:pPr>
            <w:r>
              <w:rPr>
                <w:rFonts w:ascii="Arial" w:cs="Arial" w:eastAsia="Arial" w:hAnsi="Arial"/>
                <w:sz w:val="13"/>
                <w:szCs w:val="13"/>
                <w:color w:val="auto"/>
              </w:rPr>
              <w:t>VERO Biotech LLC</w:t>
            </w:r>
          </w:p>
        </w:tc>
        <w:tc>
          <w:tcPr>
            <w:tcW w:w="140" w:type="dxa"/>
            <w:vAlign w:val="bottom"/>
          </w:tcPr>
          <w:p>
            <w:pPr>
              <w:spacing w:after="0"/>
              <w:rPr>
                <w:sz w:val="12"/>
                <w:szCs w:val="12"/>
                <w:color w:val="auto"/>
              </w:rPr>
            </w:pPr>
          </w:p>
        </w:tc>
        <w:tc>
          <w:tcPr>
            <w:tcW w:w="2320" w:type="dxa"/>
            <w:vAlign w:val="bottom"/>
          </w:tcPr>
          <w:p>
            <w:pPr>
              <w:ind w:left="20"/>
              <w:spacing w:after="0"/>
              <w:rPr>
                <w:sz w:val="20"/>
                <w:szCs w:val="20"/>
                <w:color w:val="auto"/>
              </w:rPr>
            </w:pPr>
            <w:r>
              <w:rPr>
                <w:rFonts w:ascii="Arial" w:cs="Arial" w:eastAsia="Arial" w:hAnsi="Arial"/>
                <w:sz w:val="13"/>
                <w:szCs w:val="13"/>
                <w:color w:val="auto"/>
                <w:w w:val="99"/>
              </w:rPr>
              <w:t>LIBOR+9.05%, 9.55% floor, 3.00% ETP</w:t>
            </w:r>
          </w:p>
        </w:tc>
        <w:tc>
          <w:tcPr>
            <w:tcW w:w="96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12/29/2020</w:t>
            </w:r>
          </w:p>
        </w:tc>
        <w:tc>
          <w:tcPr>
            <w:tcW w:w="940" w:type="dxa"/>
            <w:vAlign w:val="bottom"/>
            <w:gridSpan w:val="2"/>
          </w:tcPr>
          <w:p>
            <w:pPr>
              <w:jc w:val="center"/>
              <w:ind w:left="57"/>
              <w:spacing w:after="0"/>
              <w:rPr>
                <w:sz w:val="20"/>
                <w:szCs w:val="20"/>
                <w:color w:val="auto"/>
              </w:rPr>
            </w:pPr>
            <w:r>
              <w:rPr>
                <w:rFonts w:ascii="Arial" w:cs="Arial" w:eastAsia="Arial" w:hAnsi="Arial"/>
                <w:sz w:val="13"/>
                <w:szCs w:val="13"/>
                <w:color w:val="auto"/>
                <w:w w:val="86"/>
              </w:rPr>
              <w:t>12/1/2024</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25,000,000</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24,681,082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24,681,082</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20" w:type="dxa"/>
            <w:vAlign w:val="bottom"/>
            <w:tcBorders>
              <w:bottom w:val="single" w:sz="8" w:color="CFF0FC"/>
            </w:tcBorders>
            <w:shd w:val="clear" w:color="auto" w:fill="CFF0FC"/>
          </w:tcPr>
          <w:p>
            <w:pPr>
              <w:spacing w:after="0"/>
              <w:rPr>
                <w:sz w:val="12"/>
                <w:szCs w:val="12"/>
                <w:color w:val="auto"/>
              </w:rPr>
            </w:pPr>
          </w:p>
        </w:tc>
        <w:tc>
          <w:tcPr>
            <w:tcW w:w="210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3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99"/>
              </w:rPr>
              <w:t>LIBOR+9.05%, 9.55% floor, 3.00% ETP</w:t>
            </w:r>
          </w:p>
        </w:tc>
        <w:tc>
          <w:tcPr>
            <w:tcW w:w="960" w:type="dxa"/>
            <w:vAlign w:val="bottom"/>
            <w:tcBorders>
              <w:bottom w:val="single" w:sz="8" w:color="CFF0FC"/>
            </w:tcBorders>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3/30/2021</w:t>
            </w:r>
          </w:p>
        </w:tc>
        <w:tc>
          <w:tcPr>
            <w:tcW w:w="940" w:type="dxa"/>
            <w:vAlign w:val="bottom"/>
            <w:tcBorders>
              <w:bottom w:val="single" w:sz="8" w:color="CFF0FC"/>
            </w:tcBorders>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6"/>
              </w:rPr>
              <w:t>12/1/2024</w:t>
            </w:r>
          </w:p>
        </w:tc>
        <w:tc>
          <w:tcPr>
            <w:tcW w:w="14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15,000,000</w:t>
            </w:r>
          </w:p>
        </w:tc>
        <w:tc>
          <w:tcPr>
            <w:tcW w:w="24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14,990,171</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14,990,171</w:t>
            </w:r>
          </w:p>
        </w:tc>
        <w:tc>
          <w:tcPr>
            <w:tcW w:w="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57"/>
        </w:trPr>
        <w:tc>
          <w:tcPr>
            <w:tcW w:w="2320" w:type="dxa"/>
            <w:vAlign w:val="bottom"/>
            <w:gridSpan w:val="3"/>
          </w:tcPr>
          <w:p>
            <w:pPr>
              <w:ind w:left="20"/>
              <w:spacing w:after="0"/>
              <w:rPr>
                <w:sz w:val="20"/>
                <w:szCs w:val="20"/>
                <w:color w:val="auto"/>
              </w:rPr>
            </w:pPr>
            <w:r>
              <w:rPr>
                <w:rFonts w:ascii="Arial" w:cs="Arial" w:eastAsia="Arial" w:hAnsi="Arial"/>
                <w:sz w:val="13"/>
                <w:szCs w:val="13"/>
                <w:b w:val="1"/>
                <w:bCs w:val="1"/>
                <w:color w:val="auto"/>
                <w:w w:val="93"/>
              </w:rPr>
              <w:t>Total Health Care Technology - 21.28%*</w:t>
            </w: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128,796,002</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129,013,631</w:t>
            </w: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-2980690</wp:posOffset>
            </wp:positionV>
            <wp:extent cx="6858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-2980690</wp:posOffset>
            </wp:positionV>
            <wp:extent cx="6858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-2406650</wp:posOffset>
            </wp:positionV>
            <wp:extent cx="6858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-2406650</wp:posOffset>
            </wp:positionV>
            <wp:extent cx="685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-1943735</wp:posOffset>
            </wp:positionV>
            <wp:extent cx="6858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-1943735</wp:posOffset>
            </wp:positionV>
            <wp:extent cx="6858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-1480820</wp:posOffset>
            </wp:positionV>
            <wp:extent cx="6858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-1480820</wp:posOffset>
            </wp:positionV>
            <wp:extent cx="6858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-109220</wp:posOffset>
            </wp:positionV>
            <wp:extent cx="6858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6631305</wp:posOffset>
            </wp:positionH>
            <wp:positionV relativeFrom="paragraph">
              <wp:posOffset>-109220</wp:posOffset>
            </wp:positionV>
            <wp:extent cx="6858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-8890</wp:posOffset>
            </wp:positionV>
            <wp:extent cx="15430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21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December 31,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Footnot</w:t>
            </w:r>
          </w:p>
        </w:tc>
        <w:tc>
          <w:tcPr>
            <w:tcW w:w="0" w:type="dxa"/>
            <w:vAlign w:val="bottom"/>
          </w:tcPr>
          <w:p>
            <w:pPr>
              <w:spacing w:after="0"/>
              <w:rPr>
                <w:sz w:val="1"/>
                <w:szCs w:val="1"/>
                <w:color w:val="auto"/>
              </w:rPr>
            </w:pPr>
          </w:p>
        </w:tc>
      </w:tr>
      <w:tr>
        <w:trPr>
          <w:trHeight w:val="138"/>
        </w:trPr>
        <w:tc>
          <w:tcPr>
            <w:tcW w:w="2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tcPr>
          <w:p>
            <w:pPr>
              <w:spacing w:after="0"/>
              <w:rPr>
                <w:sz w:val="11"/>
                <w:szCs w:val="11"/>
                <w:color w:val="auto"/>
              </w:rPr>
            </w:pPr>
          </w:p>
        </w:tc>
        <w:tc>
          <w:tcPr>
            <w:tcW w:w="22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Investment Description</w:t>
            </w:r>
            <w:r>
              <w:rPr>
                <w:rFonts w:ascii="Arial" w:cs="Arial" w:eastAsia="Arial" w:hAnsi="Arial"/>
                <w:sz w:val="19"/>
                <w:szCs w:val="19"/>
                <w:b w:val="1"/>
                <w:bCs w:val="1"/>
                <w:color w:val="auto"/>
                <w:w w:val="96"/>
                <w:vertAlign w:val="superscript"/>
              </w:rPr>
              <w:t>(1),(5),(9)</w:t>
            </w:r>
          </w:p>
        </w:tc>
        <w:tc>
          <w:tcPr>
            <w:tcW w:w="12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92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06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1"/>
                <w:szCs w:val="11"/>
                <w:color w:val="auto"/>
              </w:rPr>
            </w:pPr>
          </w:p>
        </w:tc>
        <w:tc>
          <w:tcPr>
            <w:tcW w:w="11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19"/>
                <w:szCs w:val="19"/>
                <w:b w:val="1"/>
                <w:bCs w:val="1"/>
                <w:color w:val="auto"/>
                <w:w w:val="96"/>
                <w:vertAlign w:val="superscript"/>
              </w:rPr>
              <w:t>(2),(6)</w:t>
            </w: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26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es</w:t>
            </w:r>
          </w:p>
        </w:tc>
        <w:tc>
          <w:tcPr>
            <w:tcW w:w="0" w:type="dxa"/>
            <w:vAlign w:val="bottom"/>
          </w:tcPr>
          <w:p>
            <w:pPr>
              <w:spacing w:after="0"/>
              <w:rPr>
                <w:sz w:val="1"/>
                <w:szCs w:val="1"/>
                <w:color w:val="auto"/>
              </w:rPr>
            </w:pPr>
          </w:p>
        </w:tc>
      </w:tr>
      <w:tr>
        <w:trPr>
          <w:trHeight w:val="122"/>
        </w:trPr>
        <w:tc>
          <w:tcPr>
            <w:tcW w:w="20" w:type="dxa"/>
            <w:vAlign w:val="bottom"/>
            <w:shd w:val="clear" w:color="auto" w:fill="CFF0FC"/>
          </w:tcPr>
          <w:p>
            <w:pPr>
              <w:spacing w:after="0"/>
              <w:rPr>
                <w:sz w:val="10"/>
                <w:szCs w:val="10"/>
                <w:color w:val="auto"/>
              </w:rPr>
            </w:pPr>
          </w:p>
        </w:tc>
        <w:tc>
          <w:tcPr>
            <w:tcW w:w="2240" w:type="dxa"/>
            <w:vAlign w:val="bottom"/>
            <w:gridSpan w:val="2"/>
            <w:shd w:val="clear" w:color="auto" w:fill="CFF0FC"/>
          </w:tcPr>
          <w:p>
            <w:pPr>
              <w:spacing w:after="0" w:line="115" w:lineRule="exact"/>
              <w:rPr>
                <w:sz w:val="20"/>
                <w:szCs w:val="20"/>
                <w:color w:val="auto"/>
              </w:rPr>
            </w:pPr>
            <w:r>
              <w:rPr>
                <w:rFonts w:ascii="Arial" w:cs="Arial" w:eastAsia="Arial" w:hAnsi="Arial"/>
                <w:sz w:val="13"/>
                <w:szCs w:val="13"/>
                <w:b w:val="1"/>
                <w:bCs w:val="1"/>
                <w:color w:val="auto"/>
                <w:w w:val="93"/>
              </w:rPr>
              <w:t>Non-Control/Non-Affiliate Investments</w:t>
            </w:r>
          </w:p>
        </w:tc>
        <w:tc>
          <w:tcPr>
            <w:tcW w:w="140" w:type="dxa"/>
            <w:vAlign w:val="bottom"/>
            <w:shd w:val="clear" w:color="auto" w:fill="CFF0FC"/>
          </w:tcPr>
          <w:p>
            <w:pPr>
              <w:spacing w:after="0"/>
              <w:rPr>
                <w:sz w:val="10"/>
                <w:szCs w:val="10"/>
                <w:color w:val="auto"/>
              </w:rPr>
            </w:pPr>
          </w:p>
        </w:tc>
        <w:tc>
          <w:tcPr>
            <w:tcW w:w="2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Borders>
              <w:top w:val="single" w:sz="8" w:color="CFF0FC"/>
            </w:tcBorders>
          </w:tcPr>
          <w:p>
            <w:pPr>
              <w:spacing w:after="0"/>
              <w:rPr>
                <w:sz w:val="12"/>
                <w:szCs w:val="12"/>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Senior Secured Term Loans</w:t>
            </w: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2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6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10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5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gridSpan w:val="3"/>
            <w:shd w:val="clear" w:color="auto" w:fill="CFF0FC"/>
          </w:tcPr>
          <w:p>
            <w:pPr>
              <w:ind w:left="20"/>
              <w:spacing w:after="0" w:line="108" w:lineRule="exact"/>
              <w:rPr>
                <w:sz w:val="20"/>
                <w:szCs w:val="20"/>
                <w:color w:val="auto"/>
              </w:rPr>
            </w:pPr>
            <w:r>
              <w:rPr>
                <w:rFonts w:ascii="Arial" w:cs="Arial" w:eastAsia="Arial" w:hAnsi="Arial"/>
                <w:sz w:val="12"/>
                <w:szCs w:val="12"/>
                <w:b w:val="1"/>
                <w:bCs w:val="1"/>
                <w:color w:val="auto"/>
              </w:rPr>
              <w:t>Human Resource &amp; Employment</w:t>
            </w:r>
          </w:p>
        </w:tc>
        <w:tc>
          <w:tcPr>
            <w:tcW w:w="140" w:type="dxa"/>
            <w:vAlign w:val="bottom"/>
            <w:shd w:val="clear" w:color="auto" w:fill="CFF0FC"/>
          </w:tcPr>
          <w:p>
            <w:pPr>
              <w:spacing w:after="0"/>
              <w:rPr>
                <w:sz w:val="9"/>
                <w:szCs w:val="9"/>
                <w:color w:val="auto"/>
              </w:rPr>
            </w:pPr>
          </w:p>
        </w:tc>
        <w:tc>
          <w:tcPr>
            <w:tcW w:w="2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Services</w:t>
            </w:r>
          </w:p>
        </w:tc>
        <w:tc>
          <w:tcPr>
            <w:tcW w:w="14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color w:val="auto"/>
              </w:rPr>
              <w:t>CloudPay, Inc.</w:t>
            </w: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w w:val="96"/>
              </w:rPr>
              <w:t>LIBOR+8.75%, 9.25% floor, 2.00% ETP</w:t>
            </w:r>
          </w:p>
        </w:tc>
        <w:tc>
          <w:tcPr>
            <w:tcW w:w="920" w:type="dxa"/>
            <w:vAlign w:val="bottom"/>
            <w:gridSpan w:val="2"/>
          </w:tcPr>
          <w:p>
            <w:pPr>
              <w:jc w:val="center"/>
              <w:ind w:left="57"/>
              <w:spacing w:after="0"/>
              <w:rPr>
                <w:sz w:val="20"/>
                <w:szCs w:val="20"/>
                <w:color w:val="auto"/>
              </w:rPr>
            </w:pPr>
            <w:r>
              <w:rPr>
                <w:rFonts w:ascii="Arial" w:cs="Arial" w:eastAsia="Arial" w:hAnsi="Arial"/>
                <w:sz w:val="13"/>
                <w:szCs w:val="13"/>
                <w:color w:val="auto"/>
                <w:w w:val="89"/>
              </w:rPr>
              <w:t>8/17/2021</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8/17/2025</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35,000,000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34,863,473</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34,863,473</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(3)(13)</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Snagajob.com, Inc.</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w w:val="96"/>
              </w:rPr>
              <w:t>LIBOR+8.50%, 9.00% floor, 2.75% ETP</w:t>
            </w:r>
          </w:p>
        </w:tc>
        <w:tc>
          <w:tcPr>
            <w:tcW w:w="920" w:type="dxa"/>
            <w:vAlign w:val="bottom"/>
            <w:tcBorders>
              <w:bottom w:val="single" w:sz="8" w:color="CFF0FC"/>
            </w:tcBorders>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9"/>
              </w:rPr>
              <w:t>9/29/2021</w:t>
            </w:r>
          </w:p>
        </w:tc>
        <w:tc>
          <w:tcPr>
            <w:tcW w:w="1220" w:type="dxa"/>
            <w:vAlign w:val="bottom"/>
            <w:tcBorders>
              <w:bottom w:val="single" w:sz="8" w:color="CFF0FC"/>
            </w:tcBorders>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9/1/2025</w:t>
            </w: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37,315,385</w:t>
            </w:r>
          </w:p>
        </w:tc>
        <w:tc>
          <w:tcPr>
            <w:tcW w:w="22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36,847,618</w:t>
            </w:r>
          </w:p>
        </w:tc>
        <w:tc>
          <w:tcPr>
            <w:tcW w:w="22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36,847,618</w:t>
            </w:r>
          </w:p>
        </w:tc>
        <w:tc>
          <w:tcPr>
            <w:tcW w:w="2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1"/>
        </w:trPr>
        <w:tc>
          <w:tcPr>
            <w:tcW w:w="2260" w:type="dxa"/>
            <w:vAlign w:val="bottom"/>
            <w:gridSpan w:val="3"/>
          </w:tcPr>
          <w:p>
            <w:pPr>
              <w:ind w:left="20"/>
              <w:spacing w:after="0" w:line="102" w:lineRule="exact"/>
              <w:rPr>
                <w:sz w:val="20"/>
                <w:szCs w:val="20"/>
                <w:color w:val="auto"/>
              </w:rPr>
            </w:pPr>
            <w:r>
              <w:rPr>
                <w:rFonts w:ascii="Arial" w:cs="Arial" w:eastAsia="Arial" w:hAnsi="Arial"/>
                <w:sz w:val="10"/>
                <w:szCs w:val="10"/>
                <w:b w:val="1"/>
                <w:bCs w:val="1"/>
                <w:color w:val="auto"/>
              </w:rPr>
              <w:t>Total Human Resource &amp; Employment</w:t>
            </w:r>
          </w:p>
        </w:tc>
        <w:tc>
          <w:tcPr>
            <w:tcW w:w="1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3"/>
                <w:szCs w:val="13"/>
                <w:color w:val="auto"/>
              </w:rPr>
              <w:t>71,711,091</w:t>
            </w:r>
          </w:p>
        </w:tc>
        <w:tc>
          <w:tcPr>
            <w:tcW w:w="1320" w:type="dxa"/>
            <w:vAlign w:val="bottom"/>
            <w:gridSpan w:val="2"/>
            <w:vMerge w:val="restart"/>
          </w:tcPr>
          <w:p>
            <w:pPr>
              <w:jc w:val="right"/>
              <w:spacing w:after="0"/>
              <w:rPr>
                <w:sz w:val="20"/>
                <w:szCs w:val="20"/>
                <w:color w:val="auto"/>
              </w:rPr>
            </w:pPr>
            <w:r>
              <w:rPr>
                <w:rFonts w:ascii="Arial" w:cs="Arial" w:eastAsia="Arial" w:hAnsi="Arial"/>
                <w:sz w:val="13"/>
                <w:szCs w:val="13"/>
                <w:color w:val="auto"/>
              </w:rPr>
              <w:t>71,711,091</w:t>
            </w: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60" w:type="dxa"/>
            <w:vAlign w:val="bottom"/>
            <w:gridSpan w:val="3"/>
          </w:tcPr>
          <w:p>
            <w:pPr>
              <w:ind w:left="20"/>
              <w:spacing w:after="0"/>
              <w:rPr>
                <w:sz w:val="20"/>
                <w:szCs w:val="20"/>
                <w:color w:val="auto"/>
              </w:rPr>
            </w:pPr>
            <w:r>
              <w:rPr>
                <w:rFonts w:ascii="Arial" w:cs="Arial" w:eastAsia="Arial" w:hAnsi="Arial"/>
                <w:sz w:val="13"/>
                <w:szCs w:val="13"/>
                <w:b w:val="1"/>
                <w:bCs w:val="1"/>
                <w:color w:val="auto"/>
              </w:rPr>
              <w:t>Services - 11.83%*</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2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b w:val="1"/>
                <w:bCs w:val="1"/>
                <w:color w:val="auto"/>
              </w:rPr>
              <w:t>Internet Retail</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Brilliant Earth, LLC</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6"/>
              </w:rPr>
              <w:t>LIBOR+7.75%, 8.25% floor, 4.50% ETP</w:t>
            </w:r>
          </w:p>
        </w:tc>
        <w:tc>
          <w:tcPr>
            <w:tcW w:w="920" w:type="dxa"/>
            <w:vAlign w:val="bottom"/>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9"/>
              </w:rPr>
              <w:t>9/30/2019</w:t>
            </w:r>
          </w:p>
        </w:tc>
        <w:tc>
          <w:tcPr>
            <w:tcW w:w="12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10/15/2023</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35,000,000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35,861,035</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35,848,514</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w w:val="96"/>
              </w:rPr>
              <w:t>LIBOR+7.75%, 8.25% floor, 0.75% ETP</w:t>
            </w:r>
          </w:p>
        </w:tc>
        <w:tc>
          <w:tcPr>
            <w:tcW w:w="9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12/17/2020</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10/15/2023</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30,000,000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29,970,285</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30,727,298</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Marley Spoon AG</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8"/>
              </w:rPr>
              <w:t>LIBOR+8.50%, 1.25% PIK, 9.00% floor</w:t>
            </w:r>
          </w:p>
        </w:tc>
        <w:tc>
          <w:tcPr>
            <w:tcW w:w="920" w:type="dxa"/>
            <w:vAlign w:val="bottom"/>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9"/>
              </w:rPr>
              <w:t>6/30/2021</w:t>
            </w:r>
          </w:p>
        </w:tc>
        <w:tc>
          <w:tcPr>
            <w:tcW w:w="12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9"/>
              </w:rPr>
              <w:t>6/15/2025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26,442,863</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26,061,371</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26,061,370</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w w:val="94"/>
              </w:rPr>
              <w:t>(3)(4)(12)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w w:val="98"/>
              </w:rPr>
              <w:t>LIBOR+8.50%, 1.25% PIK, 9.00% floor</w:t>
            </w:r>
          </w:p>
        </w:tc>
        <w:tc>
          <w:tcPr>
            <w:tcW w:w="9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12/29/2021</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6/15/2025</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8,100,000</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8,019,228</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8,019,228</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w w:val="94"/>
              </w:rPr>
              <w:t>(3)(4)(12)</w:t>
            </w:r>
          </w:p>
        </w:tc>
        <w:tc>
          <w:tcPr>
            <w:tcW w:w="0" w:type="dxa"/>
            <w:vAlign w:val="bottom"/>
          </w:tcPr>
          <w:p>
            <w:pPr>
              <w:spacing w:after="0"/>
              <w:rPr>
                <w:sz w:val="1"/>
                <w:szCs w:val="1"/>
                <w:color w:val="auto"/>
              </w:rPr>
            </w:pPr>
          </w:p>
        </w:tc>
      </w:tr>
      <w:tr>
        <w:trPr>
          <w:trHeight w:val="142"/>
        </w:trPr>
        <w:tc>
          <w:tcPr>
            <w:tcW w:w="2260" w:type="dxa"/>
            <w:vAlign w:val="bottom"/>
            <w:tcBorders>
              <w:bottom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Total Internet Retail - 16.60%*</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99,911,919</w:t>
            </w:r>
          </w:p>
        </w:tc>
        <w:tc>
          <w:tcPr>
            <w:tcW w:w="22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100,656,410</w:t>
            </w:r>
          </w:p>
        </w:tc>
        <w:tc>
          <w:tcPr>
            <w:tcW w:w="2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Internet Software and Services</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gridSpan w:val="3"/>
            <w:vMerge w:val="restart"/>
          </w:tcPr>
          <w:p>
            <w:pPr>
              <w:ind w:left="20"/>
              <w:spacing w:after="0"/>
              <w:rPr>
                <w:sz w:val="20"/>
                <w:szCs w:val="20"/>
                <w:color w:val="auto"/>
              </w:rPr>
            </w:pPr>
            <w:r>
              <w:rPr>
                <w:rFonts w:ascii="Arial" w:cs="Arial" w:eastAsia="Arial" w:hAnsi="Arial"/>
                <w:sz w:val="13"/>
                <w:szCs w:val="13"/>
                <w:color w:val="auto"/>
              </w:rPr>
              <w:t>Bombora, Inc.</w:t>
            </w:r>
          </w:p>
        </w:tc>
        <w:tc>
          <w:tcPr>
            <w:tcW w:w="140" w:type="dxa"/>
            <w:vAlign w:val="bottom"/>
          </w:tcPr>
          <w:p>
            <w:pPr>
              <w:spacing w:after="0"/>
              <w:rPr>
                <w:sz w:val="9"/>
                <w:szCs w:val="9"/>
                <w:color w:val="auto"/>
              </w:rPr>
            </w:pPr>
          </w:p>
        </w:tc>
        <w:tc>
          <w:tcPr>
            <w:tcW w:w="2260" w:type="dxa"/>
            <w:vAlign w:val="bottom"/>
          </w:tcPr>
          <w:p>
            <w:pPr>
              <w:ind w:left="20"/>
              <w:spacing w:after="0" w:line="108" w:lineRule="exact"/>
              <w:rPr>
                <w:sz w:val="20"/>
                <w:szCs w:val="20"/>
                <w:color w:val="auto"/>
              </w:rPr>
            </w:pPr>
            <w:r>
              <w:rPr>
                <w:rFonts w:ascii="Arial" w:cs="Arial" w:eastAsia="Arial" w:hAnsi="Arial"/>
                <w:sz w:val="12"/>
                <w:szCs w:val="12"/>
                <w:color w:val="auto"/>
              </w:rPr>
              <w:t>LIBOR+5.00%, 5.50% floor, 3.75% PIK,</w:t>
            </w:r>
          </w:p>
        </w:tc>
        <w:tc>
          <w:tcPr>
            <w:tcW w:w="92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9"/>
              </w:rPr>
              <w:t>3/31/2021</w:t>
            </w:r>
          </w:p>
        </w:tc>
        <w:tc>
          <w:tcPr>
            <w:tcW w:w="1220" w:type="dxa"/>
            <w:vAlign w:val="bottom"/>
            <w:gridSpan w:val="2"/>
            <w:vMerge w:val="restart"/>
          </w:tcPr>
          <w:p>
            <w:pPr>
              <w:jc w:val="center"/>
              <w:ind w:left="77"/>
              <w:spacing w:after="0"/>
              <w:rPr>
                <w:sz w:val="20"/>
                <w:szCs w:val="20"/>
                <w:color w:val="auto"/>
              </w:rPr>
            </w:pPr>
            <w:r>
              <w:rPr>
                <w:rFonts w:ascii="Arial" w:cs="Arial" w:eastAsia="Arial" w:hAnsi="Arial"/>
                <w:sz w:val="13"/>
                <w:szCs w:val="13"/>
                <w:color w:val="auto"/>
                <w:w w:val="89"/>
              </w:rPr>
              <w:t>3/31/2025</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20,546,075</w:t>
            </w:r>
          </w:p>
        </w:tc>
        <w:tc>
          <w:tcPr>
            <w:tcW w:w="1280" w:type="dxa"/>
            <w:vAlign w:val="bottom"/>
            <w:gridSpan w:val="2"/>
            <w:vMerge w:val="restart"/>
          </w:tcPr>
          <w:p>
            <w:pPr>
              <w:jc w:val="right"/>
              <w:spacing w:after="0"/>
              <w:rPr>
                <w:sz w:val="20"/>
                <w:szCs w:val="20"/>
                <w:color w:val="auto"/>
              </w:rPr>
            </w:pPr>
            <w:r>
              <w:rPr>
                <w:rFonts w:ascii="Arial" w:cs="Arial" w:eastAsia="Arial" w:hAnsi="Arial"/>
                <w:sz w:val="13"/>
                <w:szCs w:val="13"/>
                <w:color w:val="auto"/>
              </w:rPr>
              <w:t>20,326,021</w:t>
            </w:r>
          </w:p>
        </w:tc>
        <w:tc>
          <w:tcPr>
            <w:tcW w:w="1320" w:type="dxa"/>
            <w:vAlign w:val="bottom"/>
            <w:gridSpan w:val="2"/>
            <w:vMerge w:val="restart"/>
          </w:tcPr>
          <w:p>
            <w:pPr>
              <w:jc w:val="right"/>
              <w:spacing w:after="0"/>
              <w:rPr>
                <w:sz w:val="20"/>
                <w:szCs w:val="20"/>
                <w:color w:val="auto"/>
              </w:rPr>
            </w:pPr>
            <w:r>
              <w:rPr>
                <w:rFonts w:ascii="Arial" w:cs="Arial" w:eastAsia="Arial" w:hAnsi="Arial"/>
                <w:sz w:val="13"/>
                <w:szCs w:val="13"/>
                <w:color w:val="auto"/>
              </w:rPr>
              <w:t>20,326,021</w:t>
            </w:r>
          </w:p>
        </w:tc>
        <w:tc>
          <w:tcPr>
            <w:tcW w:w="780" w:type="dxa"/>
            <w:vAlign w:val="bottom"/>
            <w:gridSpan w:val="2"/>
            <w:vMerge w:val="restart"/>
          </w:tcPr>
          <w:p>
            <w:pPr>
              <w:ind w:left="240"/>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161"/>
        </w:trPr>
        <w:tc>
          <w:tcPr>
            <w:tcW w:w="22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2.00% ETP</w:t>
            </w:r>
          </w:p>
        </w:tc>
        <w:tc>
          <w:tcPr>
            <w:tcW w:w="9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Fidelis Cybersecurity, Inc.</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w w:val="93"/>
              </w:rPr>
              <w:t>LIBOR+11.00%, 12.0% floor, 2.39% ETP</w:t>
            </w:r>
          </w:p>
        </w:tc>
        <w:tc>
          <w:tcPr>
            <w:tcW w:w="920" w:type="dxa"/>
            <w:vAlign w:val="bottom"/>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9"/>
              </w:rPr>
              <w:t>5/13/2021</w:t>
            </w:r>
          </w:p>
        </w:tc>
        <w:tc>
          <w:tcPr>
            <w:tcW w:w="12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9"/>
              </w:rPr>
              <w:t>5/13/2024</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13,641,254</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13,623,763</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13,623,763</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color w:val="auto"/>
              </w:rPr>
              <w:t>INRIX, Inc.</w:t>
            </w: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w w:val="96"/>
              </w:rPr>
              <w:t>LIBOR+9.00%, 9.50% floor, 2.50% ETP</w:t>
            </w:r>
          </w:p>
        </w:tc>
        <w:tc>
          <w:tcPr>
            <w:tcW w:w="920" w:type="dxa"/>
            <w:vAlign w:val="bottom"/>
            <w:gridSpan w:val="2"/>
          </w:tcPr>
          <w:p>
            <w:pPr>
              <w:jc w:val="center"/>
              <w:ind w:left="57"/>
              <w:spacing w:after="0"/>
              <w:rPr>
                <w:sz w:val="20"/>
                <w:szCs w:val="20"/>
                <w:color w:val="auto"/>
              </w:rPr>
            </w:pPr>
            <w:r>
              <w:rPr>
                <w:rFonts w:ascii="Arial" w:cs="Arial" w:eastAsia="Arial" w:hAnsi="Arial"/>
                <w:sz w:val="13"/>
                <w:szCs w:val="13"/>
                <w:color w:val="auto"/>
                <w:w w:val="86"/>
              </w:rPr>
              <w:t>11/15/2021</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11/15/2025</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40,000,000</w:t>
            </w:r>
          </w:p>
        </w:tc>
        <w:tc>
          <w:tcPr>
            <w:tcW w:w="220" w:type="dxa"/>
            <w:vAlign w:val="bottom"/>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39,916,175</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39,916,175</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02"/>
        </w:trPr>
        <w:tc>
          <w:tcPr>
            <w:tcW w:w="2260" w:type="dxa"/>
            <w:vAlign w:val="bottom"/>
            <w:gridSpan w:val="3"/>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Internet Software and Services -</w:t>
            </w:r>
          </w:p>
        </w:tc>
        <w:tc>
          <w:tcPr>
            <w:tcW w:w="140" w:type="dxa"/>
            <w:vAlign w:val="bottom"/>
            <w:shd w:val="clear" w:color="auto" w:fill="CFF0FC"/>
          </w:tcPr>
          <w:p>
            <w:pPr>
              <w:spacing w:after="0"/>
              <w:rPr>
                <w:sz w:val="8"/>
                <w:szCs w:val="8"/>
                <w:color w:val="auto"/>
              </w:rPr>
            </w:pPr>
          </w:p>
        </w:tc>
        <w:tc>
          <w:tcPr>
            <w:tcW w:w="22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73,865,959</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73,865,959</w:t>
            </w:r>
          </w:p>
        </w:tc>
        <w:tc>
          <w:tcPr>
            <w:tcW w:w="2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12.19%*</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80" w:type="dxa"/>
            <w:vAlign w:val="bottom"/>
            <w:gridSpan w:val="2"/>
            <w:vMerge w:val="continue"/>
            <w:shd w:val="clear" w:color="auto" w:fill="CFF0FC"/>
          </w:tcPr>
          <w:p>
            <w:pPr>
              <w:spacing w:after="0"/>
              <w:rPr>
                <w:sz w:val="12"/>
                <w:szCs w:val="12"/>
                <w:color w:val="auto"/>
              </w:rPr>
            </w:pPr>
          </w:p>
        </w:tc>
        <w:tc>
          <w:tcPr>
            <w:tcW w:w="132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FF0FC"/>
            </w:tcBorders>
          </w:tcPr>
          <w:p>
            <w:pPr>
              <w:spacing w:after="0"/>
              <w:rPr>
                <w:sz w:val="12"/>
                <w:szCs w:val="12"/>
                <w:color w:val="auto"/>
              </w:rPr>
            </w:pPr>
          </w:p>
        </w:tc>
        <w:tc>
          <w:tcPr>
            <w:tcW w:w="2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2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5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gridSpan w:val="3"/>
            <w:shd w:val="clear" w:color="auto" w:fill="CFF0FC"/>
          </w:tcPr>
          <w:p>
            <w:pPr>
              <w:ind w:left="20"/>
              <w:spacing w:after="0" w:line="108" w:lineRule="exact"/>
              <w:rPr>
                <w:sz w:val="20"/>
                <w:szCs w:val="20"/>
                <w:color w:val="auto"/>
              </w:rPr>
            </w:pPr>
            <w:r>
              <w:rPr>
                <w:rFonts w:ascii="Arial" w:cs="Arial" w:eastAsia="Arial" w:hAnsi="Arial"/>
                <w:sz w:val="12"/>
                <w:szCs w:val="12"/>
                <w:b w:val="1"/>
                <w:bCs w:val="1"/>
                <w:color w:val="auto"/>
              </w:rPr>
              <w:t>Total Senior Secured Term Loans -</w:t>
            </w:r>
          </w:p>
        </w:tc>
        <w:tc>
          <w:tcPr>
            <w:tcW w:w="140" w:type="dxa"/>
            <w:vAlign w:val="bottom"/>
            <w:shd w:val="clear" w:color="auto" w:fill="CFF0FC"/>
          </w:tcPr>
          <w:p>
            <w:pPr>
              <w:spacing w:after="0"/>
              <w:rPr>
                <w:sz w:val="9"/>
                <w:szCs w:val="9"/>
                <w:color w:val="auto"/>
              </w:rPr>
            </w:pPr>
          </w:p>
        </w:tc>
        <w:tc>
          <w:tcPr>
            <w:tcW w:w="2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598,181,753</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594,793,670</w:t>
            </w: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120" w:type="dxa"/>
            <w:vAlign w:val="bottom"/>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98.12%*</w:t>
            </w: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80" w:type="dxa"/>
            <w:vAlign w:val="bottom"/>
            <w:gridSpan w:val="2"/>
            <w:vMerge w:val="continue"/>
            <w:shd w:val="clear" w:color="auto" w:fill="CFF0FC"/>
          </w:tcPr>
          <w:p>
            <w:pPr>
              <w:spacing w:after="0"/>
              <w:rPr>
                <w:sz w:val="12"/>
                <w:szCs w:val="12"/>
                <w:color w:val="auto"/>
              </w:rPr>
            </w:pPr>
          </w:p>
        </w:tc>
        <w:tc>
          <w:tcPr>
            <w:tcW w:w="132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CFF0FC"/>
            </w:tcBorders>
          </w:tcPr>
          <w:p>
            <w:pPr>
              <w:spacing w:after="0"/>
              <w:rPr>
                <w:sz w:val="12"/>
                <w:szCs w:val="12"/>
                <w:color w:val="auto"/>
              </w:rPr>
            </w:pPr>
          </w:p>
        </w:tc>
        <w:tc>
          <w:tcPr>
            <w:tcW w:w="21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2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5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Second Lien Term Loans</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b w:val="1"/>
                <w:bCs w:val="1"/>
                <w:color w:val="auto"/>
              </w:rPr>
              <w:t>System Software</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gridSpan w:val="3"/>
            <w:vMerge w:val="restart"/>
            <w:shd w:val="clear" w:color="auto" w:fill="CFF0FC"/>
          </w:tcPr>
          <w:p>
            <w:pPr>
              <w:ind w:left="20"/>
              <w:spacing w:after="0"/>
              <w:rPr>
                <w:sz w:val="20"/>
                <w:szCs w:val="20"/>
                <w:color w:val="auto"/>
              </w:rPr>
            </w:pPr>
            <w:r>
              <w:rPr>
                <w:rFonts w:ascii="Arial" w:cs="Arial" w:eastAsia="Arial" w:hAnsi="Arial"/>
                <w:sz w:val="13"/>
                <w:szCs w:val="13"/>
                <w:color w:val="auto"/>
              </w:rPr>
              <w:t>Dejero Labs Inc.</w:t>
            </w:r>
          </w:p>
        </w:tc>
        <w:tc>
          <w:tcPr>
            <w:tcW w:w="140" w:type="dxa"/>
            <w:vAlign w:val="bottom"/>
            <w:shd w:val="clear" w:color="auto" w:fill="CFF0FC"/>
          </w:tcPr>
          <w:p>
            <w:pPr>
              <w:spacing w:after="0"/>
              <w:rPr>
                <w:sz w:val="9"/>
                <w:szCs w:val="9"/>
                <w:color w:val="auto"/>
              </w:rPr>
            </w:pPr>
          </w:p>
        </w:tc>
        <w:tc>
          <w:tcPr>
            <w:tcW w:w="226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LIBOR+5.00%, 5.50 floor, 5.00% PIK,</w:t>
            </w:r>
          </w:p>
        </w:tc>
        <w:tc>
          <w:tcPr>
            <w:tcW w:w="920" w:type="dxa"/>
            <w:vAlign w:val="bottom"/>
            <w:gridSpan w:val="2"/>
            <w:vMerge w:val="restart"/>
            <w:shd w:val="clear" w:color="auto" w:fill="CFF0FC"/>
          </w:tcPr>
          <w:p>
            <w:pPr>
              <w:jc w:val="center"/>
              <w:ind w:left="77"/>
              <w:spacing w:after="0"/>
              <w:rPr>
                <w:sz w:val="20"/>
                <w:szCs w:val="20"/>
                <w:color w:val="auto"/>
              </w:rPr>
            </w:pPr>
            <w:r>
              <w:rPr>
                <w:rFonts w:ascii="Arial" w:cs="Arial" w:eastAsia="Arial" w:hAnsi="Arial"/>
                <w:sz w:val="13"/>
                <w:szCs w:val="13"/>
                <w:color w:val="auto"/>
                <w:w w:val="89"/>
              </w:rPr>
              <w:t>12/22/2021</w:t>
            </w:r>
          </w:p>
        </w:tc>
        <w:tc>
          <w:tcPr>
            <w:tcW w:w="1220" w:type="dxa"/>
            <w:vAlign w:val="bottom"/>
            <w:gridSpan w:val="2"/>
            <w:vMerge w:val="restart"/>
            <w:shd w:val="clear" w:color="auto" w:fill="CFF0FC"/>
          </w:tcPr>
          <w:p>
            <w:pPr>
              <w:jc w:val="center"/>
              <w:ind w:left="77"/>
              <w:spacing w:after="0"/>
              <w:rPr>
                <w:sz w:val="20"/>
                <w:szCs w:val="20"/>
                <w:color w:val="auto"/>
              </w:rPr>
            </w:pPr>
            <w:r>
              <w:rPr>
                <w:rFonts w:ascii="Arial" w:cs="Arial" w:eastAsia="Arial" w:hAnsi="Arial"/>
                <w:sz w:val="13"/>
                <w:szCs w:val="13"/>
                <w:color w:val="auto"/>
                <w:w w:val="86"/>
              </w:rPr>
              <w:t>12/22/2025</w:t>
            </w:r>
          </w:p>
        </w:tc>
        <w:tc>
          <w:tcPr>
            <w:tcW w:w="10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13,000,000</w:t>
            </w:r>
          </w:p>
        </w:tc>
        <w:tc>
          <w:tcPr>
            <w:tcW w:w="220" w:type="dxa"/>
            <w:vAlign w:val="bottom"/>
            <w:vMerge w:val="restart"/>
            <w:shd w:val="clear" w:color="auto" w:fill="CFF0FC"/>
          </w:tcPr>
          <w:p>
            <w:pPr>
              <w:spacing w:after="0"/>
              <w:rPr>
                <w:sz w:val="9"/>
                <w:szCs w:val="9"/>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12,872,588</w:t>
            </w:r>
          </w:p>
        </w:tc>
        <w:tc>
          <w:tcPr>
            <w:tcW w:w="220" w:type="dxa"/>
            <w:vAlign w:val="bottom"/>
            <w:vMerge w:val="restart"/>
            <w:shd w:val="clear" w:color="auto" w:fill="CFF0FC"/>
          </w:tcPr>
          <w:p>
            <w:pPr>
              <w:spacing w:after="0"/>
              <w:rPr>
                <w:sz w:val="9"/>
                <w:szCs w:val="9"/>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12,872,588</w:t>
            </w:r>
          </w:p>
        </w:tc>
        <w:tc>
          <w:tcPr>
            <w:tcW w:w="780" w:type="dxa"/>
            <w:vAlign w:val="bottom"/>
            <w:gridSpan w:val="2"/>
            <w:vMerge w:val="restart"/>
            <w:shd w:val="clear" w:color="auto" w:fill="CFF0FC"/>
          </w:tcPr>
          <w:p>
            <w:pPr>
              <w:ind w:left="240"/>
              <w:spacing w:after="0"/>
              <w:rPr>
                <w:sz w:val="20"/>
                <w:szCs w:val="20"/>
                <w:color w:val="auto"/>
              </w:rPr>
            </w:pPr>
            <w:r>
              <w:rPr>
                <w:rFonts w:ascii="Arial" w:cs="Arial" w:eastAsia="Arial" w:hAnsi="Arial"/>
                <w:sz w:val="13"/>
                <w:szCs w:val="13"/>
                <w:color w:val="auto"/>
                <w:w w:val="94"/>
              </w:rPr>
              <w:t>(3)(4)(11)</w:t>
            </w:r>
          </w:p>
        </w:tc>
        <w:tc>
          <w:tcPr>
            <w:tcW w:w="0" w:type="dxa"/>
            <w:vAlign w:val="bottom"/>
          </w:tcPr>
          <w:p>
            <w:pPr>
              <w:spacing w:after="0"/>
              <w:rPr>
                <w:sz w:val="1"/>
                <w:szCs w:val="1"/>
                <w:color w:val="auto"/>
              </w:rPr>
            </w:pPr>
          </w:p>
        </w:tc>
      </w:tr>
      <w:tr>
        <w:trPr>
          <w:trHeight w:val="148"/>
        </w:trPr>
        <w:tc>
          <w:tcPr>
            <w:tcW w:w="2260" w:type="dxa"/>
            <w:vAlign w:val="bottom"/>
            <w:tcBorders>
              <w:bottom w:val="single" w:sz="8" w:color="CFF0FC"/>
            </w:tcBorders>
            <w:gridSpan w:val="3"/>
            <w:vMerge w:val="continue"/>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3.00% ETP</w:t>
            </w:r>
          </w:p>
        </w:tc>
        <w:tc>
          <w:tcPr>
            <w:tcW w:w="920" w:type="dxa"/>
            <w:vAlign w:val="bottom"/>
            <w:tcBorders>
              <w:bottom w:val="single" w:sz="8" w:color="CFF0FC"/>
            </w:tcBorders>
            <w:gridSpan w:val="2"/>
            <w:vMerge w:val="continue"/>
            <w:shd w:val="clear" w:color="auto" w:fill="CFF0FC"/>
          </w:tcPr>
          <w:p>
            <w:pPr>
              <w:spacing w:after="0"/>
              <w:rPr>
                <w:sz w:val="12"/>
                <w:szCs w:val="12"/>
                <w:color w:val="auto"/>
              </w:rPr>
            </w:pPr>
          </w:p>
        </w:tc>
        <w:tc>
          <w:tcPr>
            <w:tcW w:w="1220" w:type="dxa"/>
            <w:vAlign w:val="bottom"/>
            <w:tcBorders>
              <w:bottom w:val="single" w:sz="8" w:color="CFF0FC"/>
            </w:tcBorders>
            <w:gridSpan w:val="2"/>
            <w:vMerge w:val="continue"/>
            <w:shd w:val="clear" w:color="auto" w:fill="CFF0FC"/>
          </w:tcPr>
          <w:p>
            <w:pPr>
              <w:spacing w:after="0"/>
              <w:rPr>
                <w:sz w:val="12"/>
                <w:szCs w:val="12"/>
                <w:color w:val="auto"/>
              </w:rPr>
            </w:pPr>
          </w:p>
        </w:tc>
        <w:tc>
          <w:tcPr>
            <w:tcW w:w="1060" w:type="dxa"/>
            <w:vAlign w:val="bottom"/>
            <w:tcBorders>
              <w:bottom w:val="single" w:sz="8" w:color="CFF0FC"/>
            </w:tcBorders>
            <w:gridSpan w:val="2"/>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0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100" w:type="dxa"/>
            <w:vAlign w:val="bottom"/>
            <w:tcBorders>
              <w:bottom w:val="single" w:sz="8" w:color="auto"/>
            </w:tcBorders>
            <w:vMerge w:val="continue"/>
            <w:shd w:val="clear" w:color="auto" w:fill="CFF0FC"/>
          </w:tcPr>
          <w:p>
            <w:pPr>
              <w:spacing w:after="0"/>
              <w:rPr>
                <w:sz w:val="12"/>
                <w:szCs w:val="12"/>
                <w:color w:val="auto"/>
              </w:rPr>
            </w:pPr>
          </w:p>
        </w:tc>
        <w:tc>
          <w:tcPr>
            <w:tcW w:w="780" w:type="dxa"/>
            <w:vAlign w:val="bottom"/>
            <w:tcBorders>
              <w:bottom w:val="single" w:sz="8" w:color="CFF0FC"/>
            </w:tcBorders>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Total System Software - 2.12%*</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12,872,588</w:t>
            </w:r>
          </w:p>
        </w:tc>
        <w:tc>
          <w:tcPr>
            <w:tcW w:w="22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12,872,588</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2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spacing w:after="0"/>
              <w:rPr>
                <w:sz w:val="12"/>
                <w:szCs w:val="12"/>
                <w:color w:val="auto"/>
              </w:rPr>
            </w:pPr>
          </w:p>
        </w:tc>
        <w:tc>
          <w:tcPr>
            <w:tcW w:w="1320" w:type="dxa"/>
            <w:vAlign w:val="bottom"/>
            <w:gridSpan w:val="2"/>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3"/>
          </w:tcPr>
          <w:p>
            <w:pPr>
              <w:ind w:left="20"/>
              <w:spacing w:after="0"/>
              <w:rPr>
                <w:sz w:val="20"/>
                <w:szCs w:val="20"/>
                <w:color w:val="auto"/>
              </w:rPr>
            </w:pPr>
            <w:r>
              <w:rPr>
                <w:rFonts w:ascii="Arial" w:cs="Arial" w:eastAsia="Arial" w:hAnsi="Arial"/>
                <w:sz w:val="13"/>
                <w:szCs w:val="13"/>
                <w:b w:val="1"/>
                <w:bCs w:val="1"/>
                <w:color w:val="auto"/>
                <w:w w:val="91"/>
              </w:rPr>
              <w:t>Total Second Lien Term Loans - 2.12%*</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12,872,588</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12,872,588</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2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3"/>
          </w:tcPr>
          <w:p>
            <w:pPr>
              <w:ind w:left="20"/>
              <w:spacing w:after="0"/>
              <w:rPr>
                <w:sz w:val="20"/>
                <w:szCs w:val="20"/>
                <w:color w:val="auto"/>
              </w:rPr>
            </w:pPr>
            <w:r>
              <w:rPr>
                <w:rFonts w:ascii="Arial" w:cs="Arial" w:eastAsia="Arial" w:hAnsi="Arial"/>
                <w:sz w:val="13"/>
                <w:szCs w:val="13"/>
                <w:b w:val="1"/>
                <w:bCs w:val="1"/>
                <w:color w:val="auto"/>
              </w:rPr>
              <w:t>Preferred Stocks</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Application Software</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3"/>
          </w:tcPr>
          <w:p>
            <w:pPr>
              <w:ind w:left="20"/>
              <w:spacing w:after="0"/>
              <w:rPr>
                <w:sz w:val="20"/>
                <w:szCs w:val="20"/>
                <w:color w:val="auto"/>
              </w:rPr>
            </w:pPr>
            <w:r>
              <w:rPr>
                <w:rFonts w:ascii="Arial" w:cs="Arial" w:eastAsia="Arial" w:hAnsi="Arial"/>
                <w:sz w:val="13"/>
                <w:szCs w:val="13"/>
                <w:color w:val="auto"/>
              </w:rPr>
              <w:t>Aria Systems, Inc.</w:t>
            </w: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Series G</w:t>
            </w:r>
          </w:p>
        </w:tc>
        <w:tc>
          <w:tcPr>
            <w:tcW w:w="920" w:type="dxa"/>
            <w:vAlign w:val="bottom"/>
            <w:gridSpan w:val="2"/>
          </w:tcPr>
          <w:p>
            <w:pPr>
              <w:jc w:val="center"/>
              <w:ind w:left="57"/>
              <w:spacing w:after="0"/>
              <w:rPr>
                <w:sz w:val="20"/>
                <w:szCs w:val="20"/>
                <w:color w:val="auto"/>
              </w:rPr>
            </w:pPr>
            <w:r>
              <w:rPr>
                <w:rFonts w:ascii="Arial" w:cs="Arial" w:eastAsia="Arial" w:hAnsi="Arial"/>
                <w:sz w:val="13"/>
                <w:szCs w:val="13"/>
                <w:color w:val="auto"/>
                <w:w w:val="89"/>
              </w:rPr>
              <w:t>7/10/2018</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289,419</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250,000</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462,025</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2"/>
        </w:trPr>
        <w:tc>
          <w:tcPr>
            <w:tcW w:w="2260" w:type="dxa"/>
            <w:vAlign w:val="bottom"/>
            <w:tcBorders>
              <w:bottom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Total Application Software - 0.08%*</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250,000</w:t>
            </w:r>
          </w:p>
        </w:tc>
        <w:tc>
          <w:tcPr>
            <w:tcW w:w="22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462,025</w:t>
            </w:r>
          </w:p>
        </w:tc>
        <w:tc>
          <w:tcPr>
            <w:tcW w:w="2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Health Care Technology</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gridSpan w:val="3"/>
            <w:vMerge w:val="restart"/>
          </w:tcPr>
          <w:p>
            <w:pPr>
              <w:ind w:left="20"/>
              <w:spacing w:after="0"/>
              <w:rPr>
                <w:sz w:val="20"/>
                <w:szCs w:val="20"/>
                <w:color w:val="auto"/>
              </w:rPr>
            </w:pPr>
            <w:r>
              <w:rPr>
                <w:rFonts w:ascii="Arial" w:cs="Arial" w:eastAsia="Arial" w:hAnsi="Arial"/>
                <w:sz w:val="13"/>
                <w:szCs w:val="13"/>
                <w:color w:val="auto"/>
              </w:rPr>
              <w:t>CareCloud, Inc.</w:t>
            </w:r>
          </w:p>
        </w:tc>
        <w:tc>
          <w:tcPr>
            <w:tcW w:w="140" w:type="dxa"/>
            <w:vAlign w:val="bottom"/>
          </w:tcPr>
          <w:p>
            <w:pPr>
              <w:spacing w:after="0"/>
              <w:rPr>
                <w:sz w:val="9"/>
                <w:szCs w:val="9"/>
                <w:color w:val="auto"/>
              </w:rPr>
            </w:pPr>
          </w:p>
        </w:tc>
        <w:tc>
          <w:tcPr>
            <w:tcW w:w="2260" w:type="dxa"/>
            <w:vAlign w:val="bottom"/>
          </w:tcPr>
          <w:p>
            <w:pPr>
              <w:ind w:left="20"/>
              <w:spacing w:after="0" w:line="108" w:lineRule="exact"/>
              <w:rPr>
                <w:sz w:val="20"/>
                <w:szCs w:val="20"/>
                <w:color w:val="auto"/>
              </w:rPr>
            </w:pPr>
            <w:r>
              <w:rPr>
                <w:rFonts w:ascii="Arial" w:cs="Arial" w:eastAsia="Arial" w:hAnsi="Arial"/>
                <w:sz w:val="12"/>
                <w:szCs w:val="12"/>
                <w:color w:val="auto"/>
              </w:rPr>
              <w:t>11% Series A Cumulative Redeemable</w:t>
            </w:r>
          </w:p>
        </w:tc>
        <w:tc>
          <w:tcPr>
            <w:tcW w:w="92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6"/>
              </w:rPr>
              <w:t>1/8/2020</w:t>
            </w: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544,178</w:t>
            </w:r>
          </w:p>
        </w:tc>
        <w:tc>
          <w:tcPr>
            <w:tcW w:w="1280" w:type="dxa"/>
            <w:vAlign w:val="bottom"/>
            <w:gridSpan w:val="2"/>
            <w:vMerge w:val="restart"/>
          </w:tcPr>
          <w:p>
            <w:pPr>
              <w:jc w:val="right"/>
              <w:spacing w:after="0"/>
              <w:rPr>
                <w:sz w:val="20"/>
                <w:szCs w:val="20"/>
                <w:color w:val="auto"/>
              </w:rPr>
            </w:pPr>
            <w:r>
              <w:rPr>
                <w:rFonts w:ascii="Arial" w:cs="Arial" w:eastAsia="Arial" w:hAnsi="Arial"/>
                <w:sz w:val="13"/>
                <w:szCs w:val="13"/>
                <w:color w:val="auto"/>
              </w:rPr>
              <w:t>14,287,836</w:t>
            </w:r>
          </w:p>
        </w:tc>
        <w:tc>
          <w:tcPr>
            <w:tcW w:w="1320" w:type="dxa"/>
            <w:vAlign w:val="bottom"/>
            <w:gridSpan w:val="2"/>
            <w:vMerge w:val="restart"/>
          </w:tcPr>
          <w:p>
            <w:pPr>
              <w:jc w:val="right"/>
              <w:spacing w:after="0"/>
              <w:rPr>
                <w:sz w:val="20"/>
                <w:szCs w:val="20"/>
                <w:color w:val="auto"/>
              </w:rPr>
            </w:pPr>
            <w:r>
              <w:rPr>
                <w:rFonts w:ascii="Arial" w:cs="Arial" w:eastAsia="Arial" w:hAnsi="Arial"/>
                <w:sz w:val="13"/>
                <w:szCs w:val="13"/>
                <w:color w:val="auto"/>
              </w:rPr>
              <w:t>15,704,705</w:t>
            </w:r>
          </w:p>
        </w:tc>
        <w:tc>
          <w:tcPr>
            <w:tcW w:w="780" w:type="dxa"/>
            <w:vAlign w:val="bottom"/>
            <w:gridSpan w:val="2"/>
            <w:vMerge w:val="restart"/>
          </w:tcPr>
          <w:p>
            <w:pPr>
              <w:ind w:left="240"/>
              <w:spacing w:after="0"/>
              <w:rPr>
                <w:sz w:val="20"/>
                <w:szCs w:val="20"/>
                <w:color w:val="auto"/>
              </w:rPr>
            </w:pPr>
            <w:r>
              <w:rPr>
                <w:rFonts w:ascii="Arial" w:cs="Arial" w:eastAsia="Arial" w:hAnsi="Arial"/>
                <w:sz w:val="13"/>
                <w:szCs w:val="13"/>
                <w:color w:val="auto"/>
              </w:rPr>
              <w:t>(16)(19)</w:t>
            </w:r>
          </w:p>
        </w:tc>
        <w:tc>
          <w:tcPr>
            <w:tcW w:w="0" w:type="dxa"/>
            <w:vAlign w:val="bottom"/>
          </w:tcPr>
          <w:p>
            <w:pPr>
              <w:spacing w:after="0"/>
              <w:rPr>
                <w:sz w:val="1"/>
                <w:szCs w:val="1"/>
                <w:color w:val="auto"/>
              </w:rPr>
            </w:pPr>
          </w:p>
        </w:tc>
      </w:tr>
      <w:tr>
        <w:trPr>
          <w:trHeight w:val="148"/>
        </w:trPr>
        <w:tc>
          <w:tcPr>
            <w:tcW w:w="2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Perpetual</w:t>
            </w: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Borders>
              <w:bottom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w w:val="93"/>
              </w:rPr>
              <w:t>Total Health Care Technology - 2.59%*</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14,287,836</w:t>
            </w:r>
          </w:p>
        </w:tc>
        <w:tc>
          <w:tcPr>
            <w:tcW w:w="22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15,704,705</w:t>
            </w:r>
          </w:p>
        </w:tc>
        <w:tc>
          <w:tcPr>
            <w:tcW w:w="2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2"/>
          </w:tcPr>
          <w:p>
            <w:pPr>
              <w:spacing w:after="0"/>
              <w:rPr>
                <w:sz w:val="12"/>
                <w:szCs w:val="12"/>
                <w:color w:val="auto"/>
              </w:rPr>
            </w:pPr>
          </w:p>
        </w:tc>
        <w:tc>
          <w:tcPr>
            <w:tcW w:w="13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Total Preferred Stocks - 2.67%*</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14,537,836</w:t>
            </w:r>
          </w:p>
        </w:tc>
        <w:tc>
          <w:tcPr>
            <w:tcW w:w="220" w:type="dxa"/>
            <w:vAlign w:val="bottom"/>
            <w:tcBorders>
              <w:bottom w:val="single" w:sz="8" w:color="CFF0FC"/>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16,166,730</w:t>
            </w:r>
          </w:p>
        </w:tc>
        <w:tc>
          <w:tcPr>
            <w:tcW w:w="2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-3750945</wp:posOffset>
            </wp:positionV>
            <wp:extent cx="6858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-3750945</wp:posOffset>
            </wp:positionV>
            <wp:extent cx="6858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-2902585</wp:posOffset>
            </wp:positionV>
            <wp:extent cx="6858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-2902585</wp:posOffset>
            </wp:positionV>
            <wp:extent cx="6858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-2173605</wp:posOffset>
            </wp:positionV>
            <wp:extent cx="6858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-2173605</wp:posOffset>
            </wp:positionV>
            <wp:extent cx="6858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-1908175</wp:posOffset>
            </wp:positionV>
            <wp:extent cx="6858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-1908175</wp:posOffset>
            </wp:positionV>
            <wp:extent cx="6858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-1453515</wp:posOffset>
            </wp:positionV>
            <wp:extent cx="6858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-1453515</wp:posOffset>
            </wp:positionV>
            <wp:extent cx="6858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-664845</wp:posOffset>
            </wp:positionV>
            <wp:extent cx="6858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-664845</wp:posOffset>
            </wp:positionV>
            <wp:extent cx="6858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-201930</wp:posOffset>
            </wp:positionV>
            <wp:extent cx="6858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-201930</wp:posOffset>
            </wp:positionV>
            <wp:extent cx="6858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-5080</wp:posOffset>
            </wp:positionV>
            <wp:extent cx="6858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-5080</wp:posOffset>
            </wp:positionV>
            <wp:extent cx="6858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21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December 31,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6"/>
                <w:szCs w:val="16"/>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b w:val="1"/>
                <w:bCs w:val="1"/>
                <w:color w:val="auto"/>
              </w:rPr>
              <w:t>Principal/</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Footnote</w:t>
            </w:r>
          </w:p>
        </w:tc>
        <w:tc>
          <w:tcPr>
            <w:tcW w:w="0" w:type="dxa"/>
            <w:vAlign w:val="bottom"/>
          </w:tcPr>
          <w:p>
            <w:pPr>
              <w:spacing w:after="0"/>
              <w:rPr>
                <w:sz w:val="1"/>
                <w:szCs w:val="1"/>
                <w:color w:val="auto"/>
              </w:rPr>
            </w:pPr>
          </w:p>
        </w:tc>
      </w:tr>
      <w:tr>
        <w:trPr>
          <w:trHeight w:val="138"/>
        </w:trPr>
        <w:tc>
          <w:tcPr>
            <w:tcW w:w="2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tcPr>
          <w:p>
            <w:pPr>
              <w:spacing w:after="0"/>
              <w:rPr>
                <w:sz w:val="11"/>
                <w:szCs w:val="11"/>
                <w:color w:val="auto"/>
              </w:rPr>
            </w:pPr>
          </w:p>
        </w:tc>
        <w:tc>
          <w:tcPr>
            <w:tcW w:w="22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Investment Description</w:t>
            </w:r>
            <w:r>
              <w:rPr>
                <w:rFonts w:ascii="Arial" w:cs="Arial" w:eastAsia="Arial" w:hAnsi="Arial"/>
                <w:sz w:val="19"/>
                <w:szCs w:val="19"/>
                <w:b w:val="1"/>
                <w:bCs w:val="1"/>
                <w:color w:val="auto"/>
                <w:w w:val="96"/>
                <w:vertAlign w:val="superscript"/>
              </w:rPr>
              <w:t>(1),(5),(9)</w:t>
            </w:r>
          </w:p>
        </w:tc>
        <w:tc>
          <w:tcPr>
            <w:tcW w:w="12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1"/>
                <w:szCs w:val="11"/>
                <w:color w:val="auto"/>
              </w:rPr>
            </w:pPr>
          </w:p>
        </w:tc>
        <w:tc>
          <w:tcPr>
            <w:tcW w:w="102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1"/>
                <w:szCs w:val="11"/>
                <w:color w:val="auto"/>
              </w:rPr>
            </w:pPr>
          </w:p>
        </w:tc>
        <w:tc>
          <w:tcPr>
            <w:tcW w:w="10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4"/>
              </w:rPr>
              <w:t>Fair Value</w:t>
            </w:r>
            <w:r>
              <w:rPr>
                <w:rFonts w:ascii="Arial" w:cs="Arial" w:eastAsia="Arial" w:hAnsi="Arial"/>
                <w:sz w:val="19"/>
                <w:szCs w:val="19"/>
                <w:b w:val="1"/>
                <w:bCs w:val="1"/>
                <w:color w:val="auto"/>
                <w:w w:val="94"/>
                <w:vertAlign w:val="superscript"/>
              </w:rPr>
              <w:t>(2),(6)</w:t>
            </w:r>
          </w:p>
        </w:tc>
        <w:tc>
          <w:tcPr>
            <w:tcW w:w="2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26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s</w:t>
            </w:r>
          </w:p>
        </w:tc>
        <w:tc>
          <w:tcPr>
            <w:tcW w:w="0" w:type="dxa"/>
            <w:vAlign w:val="bottom"/>
          </w:tcPr>
          <w:p>
            <w:pPr>
              <w:spacing w:after="0"/>
              <w:rPr>
                <w:sz w:val="1"/>
                <w:szCs w:val="1"/>
                <w:color w:val="auto"/>
              </w:rPr>
            </w:pPr>
          </w:p>
        </w:tc>
      </w:tr>
      <w:tr>
        <w:trPr>
          <w:trHeight w:val="122"/>
        </w:trPr>
        <w:tc>
          <w:tcPr>
            <w:tcW w:w="20" w:type="dxa"/>
            <w:vAlign w:val="bottom"/>
            <w:shd w:val="clear" w:color="auto" w:fill="CFF0FC"/>
          </w:tcPr>
          <w:p>
            <w:pPr>
              <w:spacing w:after="0"/>
              <w:rPr>
                <w:sz w:val="10"/>
                <w:szCs w:val="10"/>
                <w:color w:val="auto"/>
              </w:rPr>
            </w:pPr>
          </w:p>
        </w:tc>
        <w:tc>
          <w:tcPr>
            <w:tcW w:w="2240" w:type="dxa"/>
            <w:vAlign w:val="bottom"/>
            <w:gridSpan w:val="2"/>
            <w:shd w:val="clear" w:color="auto" w:fill="CFF0FC"/>
          </w:tcPr>
          <w:p>
            <w:pPr>
              <w:spacing w:after="0" w:line="115" w:lineRule="exact"/>
              <w:rPr>
                <w:sz w:val="20"/>
                <w:szCs w:val="20"/>
                <w:color w:val="auto"/>
              </w:rPr>
            </w:pPr>
            <w:r>
              <w:rPr>
                <w:rFonts w:ascii="Arial" w:cs="Arial" w:eastAsia="Arial" w:hAnsi="Arial"/>
                <w:sz w:val="13"/>
                <w:szCs w:val="13"/>
                <w:b w:val="1"/>
                <w:bCs w:val="1"/>
                <w:color w:val="auto"/>
                <w:w w:val="93"/>
              </w:rPr>
              <w:t>Non-Control/Non-Affiliate Investments</w:t>
            </w:r>
          </w:p>
        </w:tc>
        <w:tc>
          <w:tcPr>
            <w:tcW w:w="140" w:type="dxa"/>
            <w:vAlign w:val="bottom"/>
            <w:shd w:val="clear" w:color="auto" w:fill="CFF0FC"/>
          </w:tcPr>
          <w:p>
            <w:pPr>
              <w:spacing w:after="0"/>
              <w:rPr>
                <w:sz w:val="10"/>
                <w:szCs w:val="10"/>
                <w:color w:val="auto"/>
              </w:rPr>
            </w:pPr>
          </w:p>
        </w:tc>
        <w:tc>
          <w:tcPr>
            <w:tcW w:w="2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Borders>
              <w:top w:val="single" w:sz="8" w:color="CFF0FC"/>
            </w:tcBorders>
          </w:tcPr>
          <w:p>
            <w:pPr>
              <w:spacing w:after="0"/>
              <w:rPr>
                <w:sz w:val="12"/>
                <w:szCs w:val="12"/>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3"/>
                <w:szCs w:val="13"/>
                <w:b w:val="1"/>
                <w:bCs w:val="1"/>
                <w:color w:val="auto"/>
              </w:rPr>
              <w:t>Common Stocks</w:t>
            </w: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2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2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6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6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Application Software</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3"/>
          </w:tcPr>
          <w:p>
            <w:pPr>
              <w:ind w:left="20"/>
              <w:spacing w:after="0"/>
              <w:rPr>
                <w:sz w:val="20"/>
                <w:szCs w:val="20"/>
                <w:color w:val="auto"/>
              </w:rPr>
            </w:pPr>
            <w:r>
              <w:rPr>
                <w:rFonts w:ascii="Arial" w:cs="Arial" w:eastAsia="Arial" w:hAnsi="Arial"/>
                <w:sz w:val="13"/>
                <w:szCs w:val="13"/>
                <w:color w:val="auto"/>
              </w:rPr>
              <w:t>Porch Group, Inc.</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9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12/21/2021</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1,429</w:t>
            </w: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22,278</w:t>
            </w:r>
          </w:p>
        </w:tc>
        <w:tc>
          <w:tcPr>
            <w:tcW w:w="840" w:type="dxa"/>
            <w:vAlign w:val="bottom"/>
            <w:gridSpan w:val="2"/>
          </w:tcPr>
          <w:p>
            <w:pPr>
              <w:ind w:left="240"/>
              <w:spacing w:after="0"/>
              <w:rPr>
                <w:sz w:val="20"/>
                <w:szCs w:val="20"/>
                <w:color w:val="auto"/>
              </w:rPr>
            </w:pPr>
            <w:r>
              <w:rPr>
                <w:rFonts w:ascii="Arial" w:cs="Arial" w:eastAsia="Arial" w:hAnsi="Arial"/>
                <w:sz w:val="13"/>
                <w:szCs w:val="13"/>
                <w:color w:val="auto"/>
                <w:w w:val="93"/>
              </w:rPr>
              <w:t>(7)(16)(19)</w:t>
            </w:r>
          </w:p>
        </w:tc>
        <w:tc>
          <w:tcPr>
            <w:tcW w:w="0" w:type="dxa"/>
            <w:vAlign w:val="bottom"/>
          </w:tcPr>
          <w:p>
            <w:pPr>
              <w:spacing w:after="0"/>
              <w:rPr>
                <w:sz w:val="1"/>
                <w:szCs w:val="1"/>
                <w:color w:val="auto"/>
              </w:rPr>
            </w:pPr>
          </w:p>
        </w:tc>
      </w:tr>
      <w:tr>
        <w:trPr>
          <w:trHeight w:val="142"/>
        </w:trPr>
        <w:tc>
          <w:tcPr>
            <w:tcW w:w="2260" w:type="dxa"/>
            <w:vAlign w:val="bottom"/>
            <w:tcBorders>
              <w:bottom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Total Application Software - 0.00%*</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22,278</w:t>
            </w:r>
          </w:p>
        </w:tc>
        <w:tc>
          <w:tcPr>
            <w:tcW w:w="2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Internet Retail</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color w:val="auto"/>
              </w:rPr>
              <w:t>Brilliant Earth Group, Inc.</w:t>
            </w: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Class P Units</w:t>
            </w:r>
          </w:p>
        </w:tc>
        <w:tc>
          <w:tcPr>
            <w:tcW w:w="920" w:type="dxa"/>
            <w:vAlign w:val="bottom"/>
            <w:gridSpan w:val="2"/>
          </w:tcPr>
          <w:p>
            <w:pPr>
              <w:jc w:val="center"/>
              <w:ind w:left="57"/>
              <w:spacing w:after="0"/>
              <w:rPr>
                <w:sz w:val="20"/>
                <w:szCs w:val="20"/>
                <w:color w:val="auto"/>
              </w:rPr>
            </w:pPr>
            <w:r>
              <w:rPr>
                <w:rFonts w:ascii="Arial" w:cs="Arial" w:eastAsia="Arial" w:hAnsi="Arial"/>
                <w:sz w:val="13"/>
                <w:szCs w:val="13"/>
                <w:color w:val="auto"/>
                <w:w w:val="89"/>
              </w:rPr>
              <w:t>9/22/2021</w:t>
            </w: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526,845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984,036</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8,903,933</w:t>
            </w:r>
          </w:p>
        </w:tc>
        <w:tc>
          <w:tcPr>
            <w:tcW w:w="840" w:type="dxa"/>
            <w:vAlign w:val="bottom"/>
            <w:gridSpan w:val="2"/>
          </w:tcPr>
          <w:p>
            <w:pPr>
              <w:ind w:left="240"/>
              <w:spacing w:after="0"/>
              <w:rPr>
                <w:sz w:val="20"/>
                <w:szCs w:val="20"/>
                <w:color w:val="auto"/>
              </w:rPr>
            </w:pPr>
            <w:r>
              <w:rPr>
                <w:rFonts w:ascii="Arial" w:cs="Arial" w:eastAsia="Arial" w:hAnsi="Arial"/>
                <w:sz w:val="13"/>
                <w:szCs w:val="13"/>
                <w:color w:val="auto"/>
              </w:rPr>
              <w:t>(7)(18)</w:t>
            </w:r>
          </w:p>
        </w:tc>
        <w:tc>
          <w:tcPr>
            <w:tcW w:w="0" w:type="dxa"/>
            <w:vAlign w:val="bottom"/>
          </w:tcPr>
          <w:p>
            <w:pPr>
              <w:spacing w:after="0"/>
              <w:rPr>
                <w:sz w:val="1"/>
                <w:szCs w:val="1"/>
                <w:color w:val="auto"/>
              </w:rPr>
            </w:pPr>
          </w:p>
        </w:tc>
      </w:tr>
      <w:tr>
        <w:trPr>
          <w:trHeight w:val="142"/>
        </w:trPr>
        <w:tc>
          <w:tcPr>
            <w:tcW w:w="2260" w:type="dxa"/>
            <w:vAlign w:val="bottom"/>
            <w:tcBorders>
              <w:bottom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Total Internet Retail - 1.47%*</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984,036</w:t>
            </w:r>
          </w:p>
        </w:tc>
        <w:tc>
          <w:tcPr>
            <w:tcW w:w="24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8,903,933</w:t>
            </w:r>
          </w:p>
        </w:tc>
        <w:tc>
          <w:tcPr>
            <w:tcW w:w="2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gridSpan w:val="3"/>
            <w:shd w:val="clear" w:color="auto" w:fill="CFF0FC"/>
          </w:tcPr>
          <w:p>
            <w:pPr>
              <w:ind w:left="20"/>
              <w:spacing w:after="0" w:line="108" w:lineRule="exact"/>
              <w:rPr>
                <w:sz w:val="20"/>
                <w:szCs w:val="20"/>
                <w:color w:val="auto"/>
              </w:rPr>
            </w:pPr>
            <w:r>
              <w:rPr>
                <w:rFonts w:ascii="Arial" w:cs="Arial" w:eastAsia="Arial" w:hAnsi="Arial"/>
                <w:sz w:val="12"/>
                <w:szCs w:val="12"/>
                <w:b w:val="1"/>
                <w:bCs w:val="1"/>
                <w:color w:val="auto"/>
              </w:rPr>
              <w:t>Technology Hardware, Storage &amp;</w:t>
            </w:r>
          </w:p>
        </w:tc>
        <w:tc>
          <w:tcPr>
            <w:tcW w:w="140" w:type="dxa"/>
            <w:vAlign w:val="bottom"/>
            <w:shd w:val="clear" w:color="auto" w:fill="CFF0FC"/>
          </w:tcPr>
          <w:p>
            <w:pPr>
              <w:spacing w:after="0"/>
              <w:rPr>
                <w:sz w:val="9"/>
                <w:szCs w:val="9"/>
                <w:color w:val="auto"/>
              </w:rPr>
            </w:pPr>
          </w:p>
        </w:tc>
        <w:tc>
          <w:tcPr>
            <w:tcW w:w="2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0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10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Peripherals</w:t>
            </w:r>
          </w:p>
        </w:tc>
        <w:tc>
          <w:tcPr>
            <w:tcW w:w="14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60" w:type="dxa"/>
            <w:vAlign w:val="bottom"/>
            <w:gridSpan w:val="3"/>
            <w:vMerge w:val="restart"/>
          </w:tcPr>
          <w:p>
            <w:pPr>
              <w:ind w:left="20"/>
              <w:spacing w:after="0"/>
              <w:rPr>
                <w:sz w:val="20"/>
                <w:szCs w:val="20"/>
                <w:color w:val="auto"/>
              </w:rPr>
            </w:pPr>
            <w:r>
              <w:rPr>
                <w:rFonts w:ascii="Arial" w:cs="Arial" w:eastAsia="Arial" w:hAnsi="Arial"/>
                <w:sz w:val="13"/>
                <w:szCs w:val="13"/>
                <w:color w:val="auto"/>
              </w:rPr>
              <w:t>Quantum Corporation</w:t>
            </w:r>
          </w:p>
        </w:tc>
        <w:tc>
          <w:tcPr>
            <w:tcW w:w="1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92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9"/>
              </w:rPr>
              <w:t>8/13/2021</w:t>
            </w: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459,720</w:t>
            </w:r>
          </w:p>
        </w:tc>
        <w:tc>
          <w:tcPr>
            <w:tcW w:w="1240" w:type="dxa"/>
            <w:vAlign w:val="bottom"/>
            <w:gridSpan w:val="2"/>
            <w:vMerge w:val="restart"/>
          </w:tcPr>
          <w:p>
            <w:pPr>
              <w:jc w:val="right"/>
              <w:spacing w:after="0"/>
              <w:rPr>
                <w:sz w:val="20"/>
                <w:szCs w:val="20"/>
                <w:color w:val="auto"/>
              </w:rPr>
            </w:pPr>
            <w:r>
              <w:rPr>
                <w:rFonts w:ascii="Arial" w:cs="Arial" w:eastAsia="Arial" w:hAnsi="Arial"/>
                <w:sz w:val="13"/>
                <w:szCs w:val="13"/>
                <w:color w:val="auto"/>
              </w:rPr>
              <w:t>2,606,612</w:t>
            </w:r>
          </w:p>
        </w:tc>
        <w:tc>
          <w:tcPr>
            <w:tcW w:w="1300" w:type="dxa"/>
            <w:vAlign w:val="bottom"/>
            <w:gridSpan w:val="2"/>
            <w:vMerge w:val="restart"/>
          </w:tcPr>
          <w:p>
            <w:pPr>
              <w:jc w:val="right"/>
              <w:spacing w:after="0"/>
              <w:rPr>
                <w:sz w:val="20"/>
                <w:szCs w:val="20"/>
                <w:color w:val="auto"/>
              </w:rPr>
            </w:pPr>
            <w:r>
              <w:rPr>
                <w:rFonts w:ascii="Arial" w:cs="Arial" w:eastAsia="Arial" w:hAnsi="Arial"/>
                <w:sz w:val="13"/>
                <w:szCs w:val="13"/>
                <w:color w:val="auto"/>
              </w:rPr>
              <w:t>2,537,654</w:t>
            </w:r>
          </w:p>
        </w:tc>
        <w:tc>
          <w:tcPr>
            <w:tcW w:w="840" w:type="dxa"/>
            <w:vAlign w:val="bottom"/>
            <w:gridSpan w:val="2"/>
          </w:tcPr>
          <w:p>
            <w:pPr>
              <w:ind w:left="240"/>
              <w:spacing w:after="0" w:line="108" w:lineRule="exact"/>
              <w:rPr>
                <w:sz w:val="20"/>
                <w:szCs w:val="20"/>
                <w:color w:val="auto"/>
              </w:rPr>
            </w:pPr>
            <w:r>
              <w:rPr>
                <w:rFonts w:ascii="Arial" w:cs="Arial" w:eastAsia="Arial" w:hAnsi="Arial"/>
                <w:sz w:val="12"/>
                <w:szCs w:val="12"/>
                <w:color w:val="auto"/>
              </w:rPr>
              <w:t>(3)(7)(16)</w:t>
            </w:r>
          </w:p>
        </w:tc>
        <w:tc>
          <w:tcPr>
            <w:tcW w:w="0" w:type="dxa"/>
            <w:vAlign w:val="bottom"/>
          </w:tcPr>
          <w:p>
            <w:pPr>
              <w:spacing w:after="0"/>
              <w:rPr>
                <w:sz w:val="1"/>
                <w:szCs w:val="1"/>
                <w:color w:val="auto"/>
              </w:rPr>
            </w:pPr>
          </w:p>
        </w:tc>
      </w:tr>
      <w:tr>
        <w:trPr>
          <w:trHeight w:val="161"/>
        </w:trPr>
        <w:tc>
          <w:tcPr>
            <w:tcW w:w="22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40" w:type="dxa"/>
            <w:vAlign w:val="bottom"/>
            <w:gridSpan w:val="2"/>
          </w:tcPr>
          <w:p>
            <w:pPr>
              <w:ind w:left="240"/>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49"/>
        </w:trPr>
        <w:tc>
          <w:tcPr>
            <w:tcW w:w="226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zSpace, Inc.</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9"/>
              </w:rPr>
              <w:t>12/31/2020</w:t>
            </w: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6,078,499</w:t>
            </w:r>
          </w:p>
        </w:tc>
        <w:tc>
          <w:tcPr>
            <w:tcW w:w="2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1,119,096</w:t>
            </w:r>
          </w:p>
        </w:tc>
        <w:tc>
          <w:tcPr>
            <w:tcW w:w="24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02"/>
        </w:trPr>
        <w:tc>
          <w:tcPr>
            <w:tcW w:w="2260" w:type="dxa"/>
            <w:vAlign w:val="bottom"/>
            <w:gridSpan w:val="3"/>
          </w:tcPr>
          <w:p>
            <w:pPr>
              <w:ind w:left="20"/>
              <w:spacing w:after="0" w:line="102" w:lineRule="exact"/>
              <w:rPr>
                <w:sz w:val="20"/>
                <w:szCs w:val="20"/>
                <w:color w:val="auto"/>
              </w:rPr>
            </w:pPr>
            <w:r>
              <w:rPr>
                <w:rFonts w:ascii="Arial" w:cs="Arial" w:eastAsia="Arial" w:hAnsi="Arial"/>
                <w:sz w:val="10"/>
                <w:szCs w:val="10"/>
                <w:b w:val="1"/>
                <w:bCs w:val="1"/>
                <w:color w:val="auto"/>
              </w:rPr>
              <w:t>Total Technology Hardware, Storage &amp;</w:t>
            </w:r>
          </w:p>
        </w:tc>
        <w:tc>
          <w:tcPr>
            <w:tcW w:w="1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vMerge w:val="restart"/>
          </w:tcPr>
          <w:p>
            <w:pPr>
              <w:spacing w:after="0"/>
              <w:rPr>
                <w:sz w:val="8"/>
                <w:szCs w:val="8"/>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3,725,708</w:t>
            </w:r>
          </w:p>
        </w:tc>
        <w:tc>
          <w:tcPr>
            <w:tcW w:w="240" w:type="dxa"/>
            <w:vAlign w:val="bottom"/>
            <w:vMerge w:val="restart"/>
          </w:tcPr>
          <w:p>
            <w:pPr>
              <w:spacing w:after="0"/>
              <w:rPr>
                <w:sz w:val="8"/>
                <w:szCs w:val="8"/>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color w:val="auto"/>
              </w:rPr>
              <w:t>2,537,654</w:t>
            </w: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260" w:type="dxa"/>
            <w:vAlign w:val="bottom"/>
            <w:gridSpan w:val="3"/>
          </w:tcPr>
          <w:p>
            <w:pPr>
              <w:ind w:left="20"/>
              <w:spacing w:after="0"/>
              <w:rPr>
                <w:sz w:val="20"/>
                <w:szCs w:val="20"/>
                <w:color w:val="auto"/>
              </w:rPr>
            </w:pPr>
            <w:r>
              <w:rPr>
                <w:rFonts w:ascii="Arial" w:cs="Arial" w:eastAsia="Arial" w:hAnsi="Arial"/>
                <w:sz w:val="13"/>
                <w:szCs w:val="13"/>
                <w:b w:val="1"/>
                <w:bCs w:val="1"/>
                <w:color w:val="auto"/>
              </w:rPr>
              <w:t>Peripherals - 0.42%*</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06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2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40" w:type="dxa"/>
            <w:vAlign w:val="bottom"/>
            <w:gridSpan w:val="2"/>
            <w:shd w:val="clear" w:color="auto" w:fill="CFF0FC"/>
          </w:tcPr>
          <w:p>
            <w:pPr>
              <w:spacing w:after="0"/>
              <w:rPr>
                <w:sz w:val="12"/>
                <w:szCs w:val="12"/>
                <w:color w:val="auto"/>
              </w:rPr>
            </w:pPr>
          </w:p>
        </w:tc>
        <w:tc>
          <w:tcPr>
            <w:tcW w:w="1300" w:type="dxa"/>
            <w:vAlign w:val="bottom"/>
            <w:gridSpan w:val="2"/>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Common Stocks - 1.89%*</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4,709,744</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11,463,865</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2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b w:val="1"/>
                <w:bCs w:val="1"/>
                <w:color w:val="auto"/>
              </w:rPr>
              <w:t>Warrants</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Advertising</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color w:val="auto"/>
              </w:rPr>
              <w:t>STN Video Inc.</w:t>
            </w: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Class B Non-Voting Stock</w:t>
            </w:r>
          </w:p>
        </w:tc>
        <w:tc>
          <w:tcPr>
            <w:tcW w:w="920" w:type="dxa"/>
            <w:vAlign w:val="bottom"/>
            <w:gridSpan w:val="2"/>
          </w:tcPr>
          <w:p>
            <w:pPr>
              <w:jc w:val="center"/>
              <w:ind w:left="57"/>
              <w:spacing w:after="0"/>
              <w:rPr>
                <w:sz w:val="20"/>
                <w:szCs w:val="20"/>
                <w:color w:val="auto"/>
              </w:rPr>
            </w:pPr>
            <w:r>
              <w:rPr>
                <w:rFonts w:ascii="Arial" w:cs="Arial" w:eastAsia="Arial" w:hAnsi="Arial"/>
                <w:sz w:val="13"/>
                <w:szCs w:val="13"/>
                <w:color w:val="auto"/>
                <w:w w:val="89"/>
              </w:rPr>
              <w:t>6/30/2017</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6/30/2027</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191,500</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246,461</w:t>
            </w: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240"/>
              <w:spacing w:after="0"/>
              <w:rPr>
                <w:sz w:val="20"/>
                <w:szCs w:val="20"/>
                <w:color w:val="auto"/>
              </w:rPr>
            </w:pPr>
            <w:r>
              <w:rPr>
                <w:rFonts w:ascii="Arial" w:cs="Arial" w:eastAsia="Arial" w:hAnsi="Arial"/>
                <w:sz w:val="13"/>
                <w:szCs w:val="13"/>
                <w:color w:val="auto"/>
              </w:rPr>
              <w:t>(3)(7)</w:t>
            </w:r>
          </w:p>
        </w:tc>
        <w:tc>
          <w:tcPr>
            <w:tcW w:w="0" w:type="dxa"/>
            <w:vAlign w:val="bottom"/>
          </w:tcPr>
          <w:p>
            <w:pPr>
              <w:spacing w:after="0"/>
              <w:rPr>
                <w:sz w:val="1"/>
                <w:szCs w:val="1"/>
                <w:color w:val="auto"/>
              </w:rPr>
            </w:pPr>
          </w:p>
        </w:tc>
      </w:tr>
      <w:tr>
        <w:trPr>
          <w:trHeight w:val="142"/>
        </w:trPr>
        <w:tc>
          <w:tcPr>
            <w:tcW w:w="2260" w:type="dxa"/>
            <w:vAlign w:val="bottom"/>
            <w:tcBorders>
              <w:bottom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Total Advertising - 0.00%*</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246,461</w:t>
            </w:r>
          </w:p>
        </w:tc>
        <w:tc>
          <w:tcPr>
            <w:tcW w:w="24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Application Software</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color w:val="auto"/>
              </w:rPr>
              <w:t>3DNA Corp. (dba NationBuilder)</w:t>
            </w: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Series C-1 Preferred Stock</w:t>
            </w:r>
          </w:p>
        </w:tc>
        <w:tc>
          <w:tcPr>
            <w:tcW w:w="9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12/28/2018</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12/28/2028</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273,164</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104,138</w:t>
            </w: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9"/>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Aginity, Inc.</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6"/>
              </w:rPr>
              <w:t>3/9/2020</w:t>
            </w:r>
          </w:p>
        </w:tc>
        <w:tc>
          <w:tcPr>
            <w:tcW w:w="12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3/9/2030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811,770</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1,009,216</w:t>
            </w: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color w:val="auto"/>
              </w:rPr>
              <w:t>Aria Systems, Inc.</w:t>
            </w: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Series G Preferred Stock</w:t>
            </w:r>
          </w:p>
        </w:tc>
        <w:tc>
          <w:tcPr>
            <w:tcW w:w="920" w:type="dxa"/>
            <w:vAlign w:val="bottom"/>
            <w:gridSpan w:val="2"/>
          </w:tcPr>
          <w:p>
            <w:pPr>
              <w:jc w:val="center"/>
              <w:ind w:left="57"/>
              <w:spacing w:after="0"/>
              <w:rPr>
                <w:sz w:val="20"/>
                <w:szCs w:val="20"/>
                <w:color w:val="auto"/>
              </w:rPr>
            </w:pPr>
            <w:r>
              <w:rPr>
                <w:rFonts w:ascii="Arial" w:cs="Arial" w:eastAsia="Arial" w:hAnsi="Arial"/>
                <w:sz w:val="13"/>
                <w:szCs w:val="13"/>
                <w:color w:val="auto"/>
                <w:w w:val="89"/>
              </w:rPr>
              <w:t>6/29/2018</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6/29/2028</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2,387,705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1,047,581</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3,811,702</w:t>
            </w:r>
          </w:p>
        </w:tc>
        <w:tc>
          <w:tcPr>
            <w:tcW w:w="840" w:type="dxa"/>
            <w:vAlign w:val="bottom"/>
            <w:gridSpan w:val="2"/>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Circadence Corporation</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A-6 Preferred Stock</w:t>
            </w:r>
          </w:p>
        </w:tc>
        <w:tc>
          <w:tcPr>
            <w:tcW w:w="9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9"/>
              </w:rPr>
              <w:t>12/20/2018</w:t>
            </w:r>
          </w:p>
        </w:tc>
        <w:tc>
          <w:tcPr>
            <w:tcW w:w="12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12/20/2028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1,538,462</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3,630,000</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808,617</w:t>
            </w:r>
          </w:p>
        </w:tc>
        <w:tc>
          <w:tcPr>
            <w:tcW w:w="84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Series A-6 Preferred Stock</w:t>
            </w:r>
          </w:p>
        </w:tc>
        <w:tc>
          <w:tcPr>
            <w:tcW w:w="9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10/31/2019</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10/31/2029</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384,615</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845,540</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202,154</w:t>
            </w:r>
          </w:p>
        </w:tc>
        <w:tc>
          <w:tcPr>
            <w:tcW w:w="840" w:type="dxa"/>
            <w:vAlign w:val="bottom"/>
            <w:gridSpan w:val="2"/>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9"/>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Dtex Systems, Inc.</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C-Prime Preferred Stock</w:t>
            </w:r>
          </w:p>
        </w:tc>
        <w:tc>
          <w:tcPr>
            <w:tcW w:w="920" w:type="dxa"/>
            <w:vAlign w:val="bottom"/>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6"/>
              </w:rPr>
              <w:t>6/1/2018</w:t>
            </w:r>
          </w:p>
        </w:tc>
        <w:tc>
          <w:tcPr>
            <w:tcW w:w="12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6/1/2025</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500,000</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59,000</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306,799</w:t>
            </w:r>
          </w:p>
        </w:tc>
        <w:tc>
          <w:tcPr>
            <w:tcW w:w="84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Series C-Prime Preferred Stock</w:t>
            </w:r>
          </w:p>
        </w:tc>
        <w:tc>
          <w:tcPr>
            <w:tcW w:w="92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7/11/2019</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7/11/2026</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833,333</w:t>
            </w:r>
          </w:p>
        </w:tc>
        <w:tc>
          <w:tcPr>
            <w:tcW w:w="1240" w:type="dxa"/>
            <w:vAlign w:val="bottom"/>
            <w:gridSpan w:val="2"/>
          </w:tcPr>
          <w:p>
            <w:pPr>
              <w:jc w:val="right"/>
              <w:spacing w:after="0"/>
              <w:rPr>
                <w:sz w:val="20"/>
                <w:szCs w:val="20"/>
                <w:color w:val="auto"/>
              </w:rPr>
            </w:pPr>
            <w:r>
              <w:rPr>
                <w:rFonts w:ascii="Arial" w:cs="Arial" w:eastAsia="Arial" w:hAnsi="Arial"/>
                <w:sz w:val="13"/>
                <w:szCs w:val="13"/>
                <w:color w:val="auto"/>
              </w:rPr>
              <w:t>114,719</w:t>
            </w:r>
          </w:p>
        </w:tc>
        <w:tc>
          <w:tcPr>
            <w:tcW w:w="1300" w:type="dxa"/>
            <w:vAlign w:val="bottom"/>
            <w:gridSpan w:val="2"/>
          </w:tcPr>
          <w:p>
            <w:pPr>
              <w:jc w:val="right"/>
              <w:spacing w:after="0"/>
              <w:rPr>
                <w:sz w:val="20"/>
                <w:szCs w:val="20"/>
                <w:color w:val="auto"/>
              </w:rPr>
            </w:pPr>
            <w:r>
              <w:rPr>
                <w:rFonts w:ascii="Arial" w:cs="Arial" w:eastAsia="Arial" w:hAnsi="Arial"/>
                <w:sz w:val="13"/>
                <w:szCs w:val="13"/>
                <w:color w:val="auto"/>
              </w:rPr>
              <w:t>511,332</w:t>
            </w:r>
          </w:p>
        </w:tc>
        <w:tc>
          <w:tcPr>
            <w:tcW w:w="840" w:type="dxa"/>
            <w:vAlign w:val="bottom"/>
            <w:gridSpan w:val="2"/>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FiscalNote, Inc.</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9"/>
              </w:rPr>
              <w:t>10/19/2020</w:t>
            </w:r>
          </w:p>
        </w:tc>
        <w:tc>
          <w:tcPr>
            <w:tcW w:w="12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10/19/2030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194,673</w:t>
            </w:r>
          </w:p>
        </w:tc>
        <w:tc>
          <w:tcPr>
            <w:tcW w:w="12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438,014</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2,232,569</w:t>
            </w:r>
          </w:p>
        </w:tc>
        <w:tc>
          <w:tcPr>
            <w:tcW w:w="84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9"/>
        </w:trPr>
        <w:tc>
          <w:tcPr>
            <w:tcW w:w="2260" w:type="dxa"/>
            <w:vAlign w:val="bottom"/>
            <w:gridSpan w:val="3"/>
          </w:tcPr>
          <w:p>
            <w:pPr>
              <w:ind w:left="20"/>
              <w:spacing w:after="0"/>
              <w:rPr>
                <w:sz w:val="20"/>
                <w:szCs w:val="20"/>
                <w:color w:val="auto"/>
              </w:rPr>
            </w:pPr>
            <w:r>
              <w:rPr>
                <w:rFonts w:ascii="Arial" w:cs="Arial" w:eastAsia="Arial" w:hAnsi="Arial"/>
                <w:sz w:val="13"/>
                <w:szCs w:val="13"/>
                <w:color w:val="auto"/>
              </w:rPr>
              <w:t>Porch Group, Inc.</w:t>
            </w: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Earnout</w:t>
            </w:r>
          </w:p>
        </w:tc>
        <w:tc>
          <w:tcPr>
            <w:tcW w:w="9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12/23/2020</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12/23/2023</w:t>
            </w:r>
          </w:p>
        </w:tc>
        <w:tc>
          <w:tcPr>
            <w:tcW w:w="14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40" w:type="dxa"/>
            <w:vAlign w:val="bottom"/>
            <w:gridSpan w:val="2"/>
          </w:tcPr>
          <w:p>
            <w:pPr>
              <w:ind w:left="240"/>
              <w:spacing w:after="0"/>
              <w:rPr>
                <w:sz w:val="20"/>
                <w:szCs w:val="20"/>
                <w:color w:val="auto"/>
              </w:rPr>
            </w:pPr>
            <w:r>
              <w:rPr>
                <w:rFonts w:ascii="Arial" w:cs="Arial" w:eastAsia="Arial" w:hAnsi="Arial"/>
                <w:sz w:val="13"/>
                <w:szCs w:val="13"/>
                <w:color w:val="auto"/>
                <w:w w:val="93"/>
              </w:rPr>
              <w:t>(7)(13)(15)</w:t>
            </w:r>
          </w:p>
        </w:tc>
        <w:tc>
          <w:tcPr>
            <w:tcW w:w="0" w:type="dxa"/>
            <w:vAlign w:val="bottom"/>
          </w:tcPr>
          <w:p>
            <w:pPr>
              <w:spacing w:after="0"/>
              <w:rPr>
                <w:sz w:val="1"/>
                <w:szCs w:val="1"/>
                <w:color w:val="auto"/>
              </w:rPr>
            </w:pPr>
          </w:p>
        </w:tc>
      </w:tr>
      <w:tr>
        <w:trPr>
          <w:trHeight w:val="142"/>
        </w:trPr>
        <w:tc>
          <w:tcPr>
            <w:tcW w:w="2260" w:type="dxa"/>
            <w:vAlign w:val="bottom"/>
            <w:tcBorders>
              <w:bottom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Total Application Software - 1.47%*</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6,238,992</w:t>
            </w:r>
          </w:p>
        </w:tc>
        <w:tc>
          <w:tcPr>
            <w:tcW w:w="24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8,882,389</w:t>
            </w:r>
          </w:p>
        </w:tc>
        <w:tc>
          <w:tcPr>
            <w:tcW w:w="2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Computer &amp; Electronics Retail</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color w:val="auto"/>
              </w:rPr>
              <w:t>Massdrop, Inc.</w:t>
            </w: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Series B Preferred Stock</w:t>
            </w:r>
          </w:p>
        </w:tc>
        <w:tc>
          <w:tcPr>
            <w:tcW w:w="920" w:type="dxa"/>
            <w:vAlign w:val="bottom"/>
            <w:gridSpan w:val="2"/>
          </w:tcPr>
          <w:p>
            <w:pPr>
              <w:jc w:val="center"/>
              <w:ind w:left="57"/>
              <w:spacing w:after="0"/>
              <w:rPr>
                <w:sz w:val="20"/>
                <w:szCs w:val="20"/>
                <w:color w:val="auto"/>
              </w:rPr>
            </w:pPr>
            <w:r>
              <w:rPr>
                <w:rFonts w:ascii="Arial" w:cs="Arial" w:eastAsia="Arial" w:hAnsi="Arial"/>
                <w:sz w:val="13"/>
                <w:szCs w:val="13"/>
                <w:color w:val="auto"/>
                <w:w w:val="89"/>
              </w:rPr>
              <w:t>7/22/2019</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7/22/2029</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848,093</w:t>
            </w:r>
          </w:p>
        </w:tc>
        <w:tc>
          <w:tcPr>
            <w:tcW w:w="22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183,188</w:t>
            </w:r>
          </w:p>
        </w:tc>
        <w:tc>
          <w:tcPr>
            <w:tcW w:w="240" w:type="dxa"/>
            <w:vAlign w:val="bottom"/>
          </w:tcPr>
          <w:p>
            <w:pPr>
              <w:spacing w:after="0"/>
              <w:rPr>
                <w:sz w:val="12"/>
                <w:szCs w:val="1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185,467</w:t>
            </w:r>
          </w:p>
        </w:tc>
        <w:tc>
          <w:tcPr>
            <w:tcW w:w="840" w:type="dxa"/>
            <w:vAlign w:val="bottom"/>
            <w:gridSpan w:val="2"/>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02"/>
        </w:trPr>
        <w:tc>
          <w:tcPr>
            <w:tcW w:w="2260" w:type="dxa"/>
            <w:vAlign w:val="bottom"/>
            <w:gridSpan w:val="3"/>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Computer &amp; Electronics Retail -</w:t>
            </w:r>
          </w:p>
        </w:tc>
        <w:tc>
          <w:tcPr>
            <w:tcW w:w="140" w:type="dxa"/>
            <w:vAlign w:val="bottom"/>
            <w:shd w:val="clear" w:color="auto" w:fill="CFF0FC"/>
          </w:tcPr>
          <w:p>
            <w:pPr>
              <w:spacing w:after="0"/>
              <w:rPr>
                <w:sz w:val="8"/>
                <w:szCs w:val="8"/>
                <w:color w:val="auto"/>
              </w:rPr>
            </w:pPr>
          </w:p>
        </w:tc>
        <w:tc>
          <w:tcPr>
            <w:tcW w:w="22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220" w:type="dxa"/>
            <w:vAlign w:val="bottom"/>
            <w:vMerge w:val="restart"/>
            <w:shd w:val="clear" w:color="auto" w:fill="CFF0FC"/>
          </w:tcPr>
          <w:p>
            <w:pPr>
              <w:spacing w:after="0"/>
              <w:rPr>
                <w:sz w:val="8"/>
                <w:szCs w:val="8"/>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183,188</w:t>
            </w:r>
          </w:p>
        </w:tc>
        <w:tc>
          <w:tcPr>
            <w:tcW w:w="240" w:type="dxa"/>
            <w:vAlign w:val="bottom"/>
            <w:vMerge w:val="restart"/>
            <w:shd w:val="clear" w:color="auto" w:fill="CFF0FC"/>
          </w:tcPr>
          <w:p>
            <w:pPr>
              <w:spacing w:after="0"/>
              <w:rPr>
                <w:sz w:val="8"/>
                <w:szCs w:val="8"/>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185,467</w:t>
            </w:r>
          </w:p>
        </w:tc>
        <w:tc>
          <w:tcPr>
            <w:tcW w:w="2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1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3"/>
                <w:szCs w:val="13"/>
                <w:b w:val="1"/>
                <w:bCs w:val="1"/>
                <w:color w:val="auto"/>
              </w:rPr>
              <w:t>0.03%*</w:t>
            </w: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102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vMerge w:val="continue"/>
            <w:shd w:val="clear" w:color="auto" w:fill="CFF0FC"/>
          </w:tcPr>
          <w:p>
            <w:pPr>
              <w:spacing w:after="0"/>
              <w:rPr>
                <w:sz w:val="12"/>
                <w:szCs w:val="12"/>
                <w:color w:val="auto"/>
              </w:rPr>
            </w:pPr>
          </w:p>
        </w:tc>
        <w:tc>
          <w:tcPr>
            <w:tcW w:w="106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shd w:val="clear" w:color="auto" w:fill="CFF0FC"/>
          </w:tcPr>
          <w:p>
            <w:pPr>
              <w:spacing w:after="0"/>
              <w:rPr>
                <w:sz w:val="12"/>
                <w:szCs w:val="12"/>
                <w:color w:val="auto"/>
              </w:rPr>
            </w:pPr>
          </w:p>
        </w:tc>
        <w:tc>
          <w:tcPr>
            <w:tcW w:w="6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-3408045</wp:posOffset>
            </wp:positionV>
            <wp:extent cx="685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-3408045</wp:posOffset>
            </wp:positionV>
            <wp:extent cx="6858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-3013710</wp:posOffset>
            </wp:positionV>
            <wp:extent cx="6858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-3013710</wp:posOffset>
            </wp:positionV>
            <wp:extent cx="6858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-2473960</wp:posOffset>
            </wp:positionV>
            <wp:extent cx="6858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-2473960</wp:posOffset>
            </wp:positionV>
            <wp:extent cx="6858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-1616710</wp:posOffset>
            </wp:positionV>
            <wp:extent cx="6858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-1616710</wp:posOffset>
            </wp:positionV>
            <wp:extent cx="6858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-467995</wp:posOffset>
            </wp:positionV>
            <wp:extent cx="6858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-467995</wp:posOffset>
            </wp:positionV>
            <wp:extent cx="6858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-5080</wp:posOffset>
            </wp:positionV>
            <wp:extent cx="6858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6605905</wp:posOffset>
            </wp:positionH>
            <wp:positionV relativeFrom="paragraph">
              <wp:posOffset>-5080</wp:posOffset>
            </wp:positionV>
            <wp:extent cx="6858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10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Footnot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tcPr>
          <w:p>
            <w:pPr>
              <w:spacing w:after="0"/>
              <w:rPr>
                <w:sz w:val="11"/>
                <w:szCs w:val="11"/>
                <w:color w:val="auto"/>
              </w:rPr>
            </w:pPr>
          </w:p>
        </w:tc>
        <w:tc>
          <w:tcPr>
            <w:tcW w:w="22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Investment Description</w:t>
            </w:r>
            <w:r>
              <w:rPr>
                <w:rFonts w:ascii="Arial" w:cs="Arial" w:eastAsia="Arial" w:hAnsi="Arial"/>
                <w:sz w:val="19"/>
                <w:szCs w:val="19"/>
                <w:b w:val="1"/>
                <w:bCs w:val="1"/>
                <w:color w:val="auto"/>
                <w:w w:val="96"/>
                <w:vertAlign w:val="superscript"/>
              </w:rPr>
              <w:t>(1),(5),(9)</w:t>
            </w:r>
          </w:p>
        </w:tc>
        <w:tc>
          <w:tcPr>
            <w:tcW w:w="14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1"/>
                <w:szCs w:val="11"/>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40" w:type="dxa"/>
            <w:vAlign w:val="bottom"/>
          </w:tcPr>
          <w:p>
            <w:pPr>
              <w:spacing w:after="0"/>
              <w:rPr>
                <w:sz w:val="11"/>
                <w:szCs w:val="11"/>
                <w:color w:val="auto"/>
              </w:rPr>
            </w:pPr>
          </w:p>
        </w:tc>
        <w:tc>
          <w:tcPr>
            <w:tcW w:w="8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1"/>
                <w:szCs w:val="11"/>
                <w:color w:val="auto"/>
              </w:rPr>
            </w:pPr>
          </w:p>
        </w:tc>
        <w:tc>
          <w:tcPr>
            <w:tcW w:w="104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1"/>
                <w:szCs w:val="11"/>
                <w:color w:val="auto"/>
              </w:rPr>
            </w:pPr>
          </w:p>
        </w:tc>
        <w:tc>
          <w:tcPr>
            <w:tcW w:w="11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6"/>
              </w:rPr>
              <w:t>Fair Value</w:t>
            </w:r>
            <w:r>
              <w:rPr>
                <w:rFonts w:ascii="Arial" w:cs="Arial" w:eastAsia="Arial" w:hAnsi="Arial"/>
                <w:sz w:val="19"/>
                <w:szCs w:val="19"/>
                <w:b w:val="1"/>
                <w:bCs w:val="1"/>
                <w:color w:val="auto"/>
                <w:w w:val="96"/>
                <w:vertAlign w:val="superscript"/>
              </w:rPr>
              <w:t>(2),(6)</w:t>
            </w: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es</w:t>
            </w:r>
          </w:p>
        </w:tc>
        <w:tc>
          <w:tcPr>
            <w:tcW w:w="0" w:type="dxa"/>
            <w:vAlign w:val="bottom"/>
          </w:tcPr>
          <w:p>
            <w:pPr>
              <w:spacing w:after="0"/>
              <w:rPr>
                <w:sz w:val="1"/>
                <w:szCs w:val="1"/>
                <w:color w:val="auto"/>
              </w:rPr>
            </w:pPr>
          </w:p>
        </w:tc>
      </w:tr>
      <w:tr>
        <w:trPr>
          <w:trHeight w:val="142"/>
        </w:trPr>
        <w:tc>
          <w:tcPr>
            <w:tcW w:w="20" w:type="dxa"/>
            <w:vAlign w:val="bottom"/>
            <w:shd w:val="clear" w:color="auto" w:fill="CFF0FC"/>
          </w:tcPr>
          <w:p>
            <w:pPr>
              <w:spacing w:after="0"/>
              <w:rPr>
                <w:sz w:val="12"/>
                <w:szCs w:val="12"/>
                <w:color w:val="auto"/>
              </w:rPr>
            </w:pPr>
          </w:p>
        </w:tc>
        <w:tc>
          <w:tcPr>
            <w:tcW w:w="2260" w:type="dxa"/>
            <w:vAlign w:val="bottom"/>
            <w:gridSpan w:val="3"/>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Non-Control/Non-Affiliate</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Borders>
              <w:top w:val="single" w:sz="8" w:color="CFF0FC"/>
            </w:tcBorders>
            <w:shd w:val="clear" w:color="auto" w:fill="CFF0FC"/>
          </w:tcPr>
          <w:p>
            <w:pPr>
              <w:spacing w:after="0"/>
              <w:rPr>
                <w:sz w:val="11"/>
                <w:szCs w:val="11"/>
                <w:color w:val="auto"/>
              </w:rPr>
            </w:pPr>
          </w:p>
        </w:tc>
        <w:tc>
          <w:tcPr>
            <w:tcW w:w="1660" w:type="dxa"/>
            <w:vAlign w:val="bottom"/>
            <w:tcBorders>
              <w:top w:val="single" w:sz="8" w:color="auto"/>
            </w:tcBorders>
            <w:gridSpan w:val="2"/>
            <w:shd w:val="clear" w:color="auto" w:fill="CFF0FC"/>
          </w:tcPr>
          <w:p>
            <w:pPr>
              <w:spacing w:after="0" w:line="129" w:lineRule="exact"/>
              <w:rPr>
                <w:sz w:val="20"/>
                <w:szCs w:val="20"/>
                <w:color w:val="auto"/>
              </w:rPr>
            </w:pPr>
            <w:r>
              <w:rPr>
                <w:rFonts w:ascii="Arial" w:cs="Arial" w:eastAsia="Arial" w:hAnsi="Arial"/>
                <w:sz w:val="14"/>
                <w:szCs w:val="14"/>
                <w:b w:val="1"/>
                <w:bCs w:val="1"/>
                <w:color w:val="auto"/>
              </w:rPr>
              <w:t>Investments</w:t>
            </w:r>
          </w:p>
        </w:tc>
        <w:tc>
          <w:tcPr>
            <w:tcW w:w="6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226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00" w:type="dxa"/>
            <w:vAlign w:val="bottom"/>
            <w:tcBorders>
              <w:top w:val="single" w:sz="8" w:color="CFF0FC"/>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CFF0FC"/>
            </w:tcBorders>
            <w:shd w:val="clear" w:color="auto" w:fill="CFF0FC"/>
          </w:tcPr>
          <w:p>
            <w:pPr>
              <w:spacing w:after="0"/>
              <w:rPr>
                <w:sz w:val="11"/>
                <w:szCs w:val="11"/>
                <w:color w:val="auto"/>
              </w:rPr>
            </w:pPr>
          </w:p>
        </w:tc>
        <w:tc>
          <w:tcPr>
            <w:tcW w:w="140" w:type="dxa"/>
            <w:vAlign w:val="bottom"/>
            <w:tcBorders>
              <w:top w:val="single" w:sz="8" w:color="CFF0FC"/>
            </w:tcBorders>
            <w:shd w:val="clear" w:color="auto" w:fill="CFF0FC"/>
          </w:tcPr>
          <w:p>
            <w:pPr>
              <w:spacing w:after="0"/>
              <w:rPr>
                <w:sz w:val="11"/>
                <w:szCs w:val="11"/>
                <w:color w:val="auto"/>
              </w:rPr>
            </w:pPr>
          </w:p>
        </w:tc>
        <w:tc>
          <w:tcPr>
            <w:tcW w:w="8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CFF0FC"/>
            </w:tcBorders>
            <w:shd w:val="clear" w:color="auto" w:fill="CFF0FC"/>
          </w:tcPr>
          <w:p>
            <w:pPr>
              <w:spacing w:after="0"/>
              <w:rPr>
                <w:sz w:val="11"/>
                <w:szCs w:val="11"/>
                <w:color w:val="auto"/>
              </w:rPr>
            </w:pPr>
          </w:p>
        </w:tc>
        <w:tc>
          <w:tcPr>
            <w:tcW w:w="104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1100" w:type="dxa"/>
            <w:vAlign w:val="bottom"/>
            <w:tcBorders>
              <w:top w:val="single" w:sz="8" w:color="CFF0FC"/>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56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Borders>
              <w:top w:val="single" w:sz="8" w:color="CFF0FC"/>
            </w:tcBorders>
          </w:tcPr>
          <w:p>
            <w:pPr>
              <w:spacing w:after="0"/>
              <w:rPr>
                <w:sz w:val="15"/>
                <w:szCs w:val="15"/>
                <w:color w:val="auto"/>
              </w:rPr>
            </w:pPr>
          </w:p>
        </w:tc>
        <w:tc>
          <w:tcPr>
            <w:tcW w:w="74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Warrants</w:t>
            </w:r>
          </w:p>
        </w:tc>
        <w:tc>
          <w:tcPr>
            <w:tcW w:w="1520" w:type="dxa"/>
            <w:vAlign w:val="bottom"/>
            <w:tcBorders>
              <w:top w:val="single" w:sz="8" w:color="CFF0FC"/>
            </w:tcBorders>
            <w:gridSpan w:val="2"/>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226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880" w:type="dxa"/>
            <w:vAlign w:val="bottom"/>
            <w:tcBorders>
              <w:top w:val="single" w:sz="8" w:color="CFF0FC"/>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04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100" w:type="dxa"/>
            <w:vAlign w:val="bottom"/>
            <w:tcBorders>
              <w:top w:val="single" w:sz="8" w:color="CFF0FC"/>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56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260" w:type="dxa"/>
            <w:vAlign w:val="bottom"/>
            <w:gridSpan w:val="3"/>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Data Processing &amp; Outsourced</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26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Services</w:t>
            </w:r>
          </w:p>
        </w:tc>
        <w:tc>
          <w:tcPr>
            <w:tcW w:w="140" w:type="dxa"/>
            <w:vAlign w:val="bottom"/>
            <w:shd w:val="clear" w:color="auto" w:fill="CFF0FC"/>
          </w:tcPr>
          <w:p>
            <w:pPr>
              <w:spacing w:after="0"/>
              <w:rPr>
                <w:sz w:val="16"/>
                <w:szCs w:val="16"/>
                <w:color w:val="auto"/>
              </w:rPr>
            </w:pPr>
          </w:p>
        </w:tc>
        <w:tc>
          <w:tcPr>
            <w:tcW w:w="2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Arial" w:cs="Arial" w:eastAsia="Arial" w:hAnsi="Arial"/>
                <w:sz w:val="14"/>
                <w:szCs w:val="14"/>
                <w:color w:val="auto"/>
              </w:rPr>
              <w:t>ShareThis, Inc.</w:t>
            </w:r>
          </w:p>
        </w:tc>
        <w:tc>
          <w:tcPr>
            <w:tcW w:w="14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Series D-3 Preferred Stock</w:t>
            </w:r>
          </w:p>
        </w:tc>
        <w:tc>
          <w:tcPr>
            <w:tcW w:w="94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12/3/2018</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12/3/2028</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647,615</w:t>
            </w: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2,162,000</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2,162,000</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3"/>
        </w:trPr>
        <w:tc>
          <w:tcPr>
            <w:tcW w:w="20" w:type="dxa"/>
            <w:vAlign w:val="bottom"/>
            <w:shd w:val="clear" w:color="auto" w:fill="CFF0FC"/>
          </w:tcPr>
          <w:p>
            <w:pPr>
              <w:spacing w:after="0"/>
              <w:rPr>
                <w:sz w:val="11"/>
                <w:szCs w:val="11"/>
                <w:color w:val="auto"/>
              </w:rPr>
            </w:pPr>
          </w:p>
        </w:tc>
        <w:tc>
          <w:tcPr>
            <w:tcW w:w="2260" w:type="dxa"/>
            <w:vAlign w:val="bottom"/>
            <w:gridSpan w:val="3"/>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Total Data Processing &amp;</w:t>
            </w:r>
          </w:p>
        </w:tc>
        <w:tc>
          <w:tcPr>
            <w:tcW w:w="14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2,162,000</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2,162,000</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FF0FC"/>
          </w:tcPr>
          <w:p>
            <w:pPr>
              <w:spacing w:after="0"/>
              <w:rPr>
                <w:sz w:val="14"/>
                <w:szCs w:val="14"/>
                <w:color w:val="auto"/>
              </w:rPr>
            </w:pPr>
          </w:p>
        </w:tc>
        <w:tc>
          <w:tcPr>
            <w:tcW w:w="226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Outsourced Services - 0.36%*</w:t>
            </w:r>
          </w:p>
        </w:tc>
        <w:tc>
          <w:tcPr>
            <w:tcW w:w="14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74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6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6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1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8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5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260" w:type="dxa"/>
            <w:vAlign w:val="bottom"/>
            <w:gridSpan w:val="3"/>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Electronic Equipment &amp;</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26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Instruments</w:t>
            </w:r>
          </w:p>
        </w:tc>
        <w:tc>
          <w:tcPr>
            <w:tcW w:w="140" w:type="dxa"/>
            <w:vAlign w:val="bottom"/>
            <w:shd w:val="clear" w:color="auto" w:fill="CFF0FC"/>
          </w:tcPr>
          <w:p>
            <w:pPr>
              <w:spacing w:after="0"/>
              <w:rPr>
                <w:sz w:val="16"/>
                <w:szCs w:val="16"/>
                <w:color w:val="auto"/>
              </w:rPr>
            </w:pPr>
          </w:p>
        </w:tc>
        <w:tc>
          <w:tcPr>
            <w:tcW w:w="2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260" w:type="dxa"/>
            <w:vAlign w:val="bottom"/>
            <w:gridSpan w:val="3"/>
          </w:tcPr>
          <w:p>
            <w:pPr>
              <w:spacing w:after="0" w:line="143" w:lineRule="exact"/>
              <w:rPr>
                <w:sz w:val="20"/>
                <w:szCs w:val="20"/>
                <w:color w:val="auto"/>
              </w:rPr>
            </w:pPr>
            <w:r>
              <w:rPr>
                <w:rFonts w:ascii="Arial" w:cs="Arial" w:eastAsia="Arial" w:hAnsi="Arial"/>
                <w:sz w:val="14"/>
                <w:szCs w:val="14"/>
                <w:color w:val="auto"/>
                <w:w w:val="99"/>
              </w:rPr>
              <w:t>Intellisite Holdings, Inc. (dba Epic IO</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vMerge w:val="restart"/>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235,314</w:t>
            </w:r>
          </w:p>
        </w:tc>
        <w:tc>
          <w:tcPr>
            <w:tcW w:w="220" w:type="dxa"/>
            <w:vAlign w:val="bottom"/>
            <w:vMerge w:val="restart"/>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234,314</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Arial" w:cs="Arial" w:eastAsia="Arial" w:hAnsi="Arial"/>
                <w:sz w:val="14"/>
                <w:szCs w:val="14"/>
                <w:color w:val="auto"/>
              </w:rPr>
              <w:t>Technologies, Inc.)</w:t>
            </w:r>
          </w:p>
        </w:tc>
        <w:tc>
          <w:tcPr>
            <w:tcW w:w="140" w:type="dxa"/>
            <w:vAlign w:val="bottom"/>
          </w:tcPr>
          <w:p>
            <w:pPr>
              <w:spacing w:after="0"/>
              <w:rPr>
                <w:sz w:val="14"/>
                <w:szCs w:val="14"/>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Success fee</w:t>
            </w:r>
          </w:p>
        </w:tc>
        <w:tc>
          <w:tcPr>
            <w:tcW w:w="94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12/17/2021</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12/17/2024</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continue"/>
          </w:tcPr>
          <w:p>
            <w:pPr>
              <w:spacing w:after="0"/>
              <w:rPr>
                <w:sz w:val="14"/>
                <w:szCs w:val="14"/>
                <w:color w:val="auto"/>
              </w:rPr>
            </w:pPr>
          </w:p>
        </w:tc>
        <w:tc>
          <w:tcPr>
            <w:tcW w:w="10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33"/>
        </w:trPr>
        <w:tc>
          <w:tcPr>
            <w:tcW w:w="20" w:type="dxa"/>
            <w:vAlign w:val="bottom"/>
            <w:shd w:val="clear" w:color="auto" w:fill="CFF0FC"/>
          </w:tcPr>
          <w:p>
            <w:pPr>
              <w:spacing w:after="0"/>
              <w:rPr>
                <w:sz w:val="11"/>
                <w:szCs w:val="11"/>
                <w:color w:val="auto"/>
              </w:rPr>
            </w:pPr>
          </w:p>
        </w:tc>
        <w:tc>
          <w:tcPr>
            <w:tcW w:w="2260" w:type="dxa"/>
            <w:vAlign w:val="bottom"/>
            <w:gridSpan w:val="3"/>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Total Electronic Equipment &amp;</w:t>
            </w:r>
          </w:p>
        </w:tc>
        <w:tc>
          <w:tcPr>
            <w:tcW w:w="14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235,314</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234,314</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FF0FC"/>
          </w:tcPr>
          <w:p>
            <w:pPr>
              <w:spacing w:after="0"/>
              <w:rPr>
                <w:sz w:val="14"/>
                <w:szCs w:val="14"/>
                <w:color w:val="auto"/>
              </w:rPr>
            </w:pPr>
          </w:p>
        </w:tc>
        <w:tc>
          <w:tcPr>
            <w:tcW w:w="226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Instruments - 0.04%*</w:t>
            </w:r>
          </w:p>
        </w:tc>
        <w:tc>
          <w:tcPr>
            <w:tcW w:w="14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74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6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6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1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8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5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26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Education Services</w:t>
            </w:r>
          </w:p>
        </w:tc>
        <w:tc>
          <w:tcPr>
            <w:tcW w:w="14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Arial" w:cs="Arial" w:eastAsia="Arial" w:hAnsi="Arial"/>
                <w:sz w:val="14"/>
                <w:szCs w:val="14"/>
                <w:color w:val="auto"/>
              </w:rPr>
              <w:t>Aspen Group Inc.</w:t>
            </w:r>
          </w:p>
        </w:tc>
        <w:tc>
          <w:tcPr>
            <w:tcW w:w="14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Common Stock</w:t>
            </w:r>
          </w:p>
        </w:tc>
        <w:tc>
          <w:tcPr>
            <w:tcW w:w="94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7/25/2017</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7/25/2022</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224,174</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583,301</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2,000</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9"/>
        </w:trPr>
        <w:tc>
          <w:tcPr>
            <w:tcW w:w="20" w:type="dxa"/>
            <w:vAlign w:val="bottom"/>
            <w:tcBorders>
              <w:bottom w:val="single" w:sz="8" w:color="CFF0FC"/>
            </w:tcBorders>
            <w:shd w:val="clear" w:color="auto" w:fill="CFF0FC"/>
          </w:tcPr>
          <w:p>
            <w:pPr>
              <w:spacing w:after="0"/>
              <w:rPr>
                <w:sz w:val="14"/>
                <w:szCs w:val="14"/>
                <w:color w:val="auto"/>
              </w:rPr>
            </w:pPr>
          </w:p>
        </w:tc>
        <w:tc>
          <w:tcPr>
            <w:tcW w:w="22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b w:val="1"/>
                <w:bCs w:val="1"/>
                <w:color w:val="auto"/>
                <w:w w:val="99"/>
              </w:rPr>
              <w:t>Total Education Services - 0.00%*</w:t>
            </w:r>
          </w:p>
        </w:tc>
        <w:tc>
          <w:tcPr>
            <w:tcW w:w="140" w:type="dxa"/>
            <w:vAlign w:val="bottom"/>
            <w:tcBorders>
              <w:bottom w:val="single" w:sz="8" w:color="CFF0FC"/>
            </w:tcBorders>
            <w:shd w:val="clear" w:color="auto" w:fill="CFF0FC"/>
          </w:tcPr>
          <w:p>
            <w:pPr>
              <w:spacing w:after="0"/>
              <w:rPr>
                <w:sz w:val="14"/>
                <w:szCs w:val="14"/>
                <w:color w:val="auto"/>
              </w:rPr>
            </w:pPr>
          </w:p>
        </w:tc>
        <w:tc>
          <w:tcPr>
            <w:tcW w:w="2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583,301</w:t>
            </w:r>
          </w:p>
        </w:tc>
        <w:tc>
          <w:tcPr>
            <w:tcW w:w="2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2,000</w:t>
            </w: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26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Health Care Technology</w:t>
            </w:r>
          </w:p>
        </w:tc>
        <w:tc>
          <w:tcPr>
            <w:tcW w:w="14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Arial" w:cs="Arial" w:eastAsia="Arial" w:hAnsi="Arial"/>
                <w:sz w:val="14"/>
                <w:szCs w:val="14"/>
                <w:color w:val="auto"/>
              </w:rPr>
              <w:t>Allurion Technologies, Inc.</w:t>
            </w:r>
          </w:p>
        </w:tc>
        <w:tc>
          <w:tcPr>
            <w:tcW w:w="14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Series C Preferred Stock</w:t>
            </w:r>
          </w:p>
        </w:tc>
        <w:tc>
          <w:tcPr>
            <w:tcW w:w="94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3/30/2021</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3/30/2031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132,978</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282,462</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638,313</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226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CareCloud, Inc.</w:t>
            </w:r>
          </w:p>
        </w:tc>
        <w:tc>
          <w:tcPr>
            <w:tcW w:w="14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Common Stock</w:t>
            </w:r>
          </w:p>
        </w:tc>
        <w:tc>
          <w:tcPr>
            <w:tcW w:w="94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1"/>
              </w:rPr>
              <w:t>1/8/2020</w:t>
            </w:r>
          </w:p>
        </w:tc>
        <w:tc>
          <w:tcPr>
            <w:tcW w:w="122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1"/>
              </w:rPr>
              <w:t>1/8/2022</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1,000,000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435,000</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Common Stock</w:t>
            </w:r>
          </w:p>
        </w:tc>
        <w:tc>
          <w:tcPr>
            <w:tcW w:w="94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1/8/2020</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91"/>
              </w:rPr>
              <w:t>1/8/2023</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1,000,000</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837,000</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295,000</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260" w:type="dxa"/>
            <w:vAlign w:val="bottom"/>
            <w:gridSpan w:val="3"/>
            <w:shd w:val="clear" w:color="auto" w:fill="CFF0FC"/>
          </w:tcPr>
          <w:p>
            <w:pPr>
              <w:spacing w:after="0"/>
              <w:rPr>
                <w:sz w:val="20"/>
                <w:szCs w:val="20"/>
                <w:color w:val="auto"/>
              </w:rPr>
            </w:pPr>
            <w:r>
              <w:rPr>
                <w:rFonts w:ascii="Arial" w:cs="Arial" w:eastAsia="Arial" w:hAnsi="Arial"/>
                <w:sz w:val="14"/>
                <w:szCs w:val="14"/>
                <w:color w:val="auto"/>
                <w:w w:val="97"/>
              </w:rPr>
              <w:t>CrossRoads Extremity Systems, LLC</w:t>
            </w:r>
          </w:p>
        </w:tc>
        <w:tc>
          <w:tcPr>
            <w:tcW w:w="14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Series C Preferred Stock</w:t>
            </w:r>
          </w:p>
        </w:tc>
        <w:tc>
          <w:tcPr>
            <w:tcW w:w="94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3"/>
              </w:rPr>
              <w:t>6/29/2021</w:t>
            </w:r>
          </w:p>
        </w:tc>
        <w:tc>
          <w:tcPr>
            <w:tcW w:w="122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3"/>
              </w:rPr>
              <w:t>6/29/2031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69,261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94,888</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209,843</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16,786,86</w:t>
            </w: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Arial" w:cs="Arial" w:eastAsia="Arial" w:hAnsi="Arial"/>
                <w:sz w:val="14"/>
                <w:szCs w:val="14"/>
                <w:color w:val="auto"/>
              </w:rPr>
              <w:t>Gynesonics, Inc.</w:t>
            </w:r>
          </w:p>
        </w:tc>
        <w:tc>
          <w:tcPr>
            <w:tcW w:w="14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w w:val="97"/>
              </w:rPr>
              <w:t>Series G Convertible Preferred Stock</w:t>
            </w:r>
          </w:p>
        </w:tc>
        <w:tc>
          <w:tcPr>
            <w:tcW w:w="94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11/19/2021</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11/19/2031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128,142</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128,142</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26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Mingle Healthcare Solutions, Inc.</w:t>
            </w:r>
          </w:p>
        </w:tc>
        <w:tc>
          <w:tcPr>
            <w:tcW w:w="14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Series AA Preferred Stock</w:t>
            </w:r>
          </w:p>
        </w:tc>
        <w:tc>
          <w:tcPr>
            <w:tcW w:w="94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3"/>
              </w:rPr>
              <w:t>8/15/2018</w:t>
            </w:r>
          </w:p>
        </w:tc>
        <w:tc>
          <w:tcPr>
            <w:tcW w:w="122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3"/>
              </w:rPr>
              <w:t>8/15/2028</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1,625,000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492,375</w:t>
            </w:r>
          </w:p>
        </w:tc>
        <w:tc>
          <w:tcPr>
            <w:tcW w:w="22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Arial" w:cs="Arial" w:eastAsia="Arial" w:hAnsi="Arial"/>
                <w:sz w:val="14"/>
                <w:szCs w:val="14"/>
                <w:color w:val="auto"/>
              </w:rPr>
              <w:t>Route 92 Medical, Inc.</w:t>
            </w:r>
          </w:p>
        </w:tc>
        <w:tc>
          <w:tcPr>
            <w:tcW w:w="14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Success fee</w:t>
            </w:r>
          </w:p>
        </w:tc>
        <w:tc>
          <w:tcPr>
            <w:tcW w:w="94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8/17/2021</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8/17/2031</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248,118</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261,443</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2260" w:type="dxa"/>
            <w:vAlign w:val="bottom"/>
            <w:gridSpan w:val="3"/>
            <w:shd w:val="clear" w:color="auto" w:fill="CFF0FC"/>
          </w:tcPr>
          <w:p>
            <w:pPr>
              <w:spacing w:after="0"/>
              <w:rPr>
                <w:sz w:val="20"/>
                <w:szCs w:val="20"/>
                <w:color w:val="auto"/>
              </w:rPr>
            </w:pPr>
            <w:r>
              <w:rPr>
                <w:rFonts w:ascii="Arial" w:cs="Arial" w:eastAsia="Arial" w:hAnsi="Arial"/>
                <w:sz w:val="14"/>
                <w:szCs w:val="14"/>
                <w:color w:val="auto"/>
              </w:rPr>
              <w:t>SetPoint Medical Corporation</w:t>
            </w:r>
          </w:p>
        </w:tc>
        <w:tc>
          <w:tcPr>
            <w:tcW w:w="14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Series B Preferred Stock</w:t>
            </w:r>
          </w:p>
        </w:tc>
        <w:tc>
          <w:tcPr>
            <w:tcW w:w="94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3"/>
              </w:rPr>
              <w:t>6/29/2021</w:t>
            </w:r>
          </w:p>
        </w:tc>
        <w:tc>
          <w:tcPr>
            <w:tcW w:w="122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3"/>
              </w:rPr>
              <w:t>6/29/2031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400,000</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14,060</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20,051</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Arial" w:cs="Arial" w:eastAsia="Arial" w:hAnsi="Arial"/>
                <w:sz w:val="14"/>
                <w:szCs w:val="14"/>
                <w:color w:val="auto"/>
              </w:rPr>
              <w:t>VERO Biotech LLC</w:t>
            </w:r>
          </w:p>
        </w:tc>
        <w:tc>
          <w:tcPr>
            <w:tcW w:w="14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Success fee</w:t>
            </w:r>
          </w:p>
        </w:tc>
        <w:tc>
          <w:tcPr>
            <w:tcW w:w="94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12/29/2020</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94"/>
              </w:rPr>
              <w:t>12/29/2025</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376,500</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485,311</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(7)(14)</w:t>
            </w:r>
          </w:p>
        </w:tc>
        <w:tc>
          <w:tcPr>
            <w:tcW w:w="0" w:type="dxa"/>
            <w:vAlign w:val="bottom"/>
          </w:tcPr>
          <w:p>
            <w:pPr>
              <w:spacing w:after="0"/>
              <w:rPr>
                <w:sz w:val="1"/>
                <w:szCs w:val="1"/>
                <w:color w:val="auto"/>
              </w:rPr>
            </w:pPr>
          </w:p>
        </w:tc>
      </w:tr>
      <w:tr>
        <w:trPr>
          <w:trHeight w:val="133"/>
        </w:trPr>
        <w:tc>
          <w:tcPr>
            <w:tcW w:w="20" w:type="dxa"/>
            <w:vAlign w:val="bottom"/>
            <w:shd w:val="clear" w:color="auto" w:fill="CFF0FC"/>
          </w:tcPr>
          <w:p>
            <w:pPr>
              <w:spacing w:after="0"/>
              <w:rPr>
                <w:sz w:val="11"/>
                <w:szCs w:val="11"/>
                <w:color w:val="auto"/>
              </w:rPr>
            </w:pPr>
          </w:p>
        </w:tc>
        <w:tc>
          <w:tcPr>
            <w:tcW w:w="2260" w:type="dxa"/>
            <w:vAlign w:val="bottom"/>
            <w:gridSpan w:val="3"/>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Total Health Care Technology -</w:t>
            </w:r>
          </w:p>
        </w:tc>
        <w:tc>
          <w:tcPr>
            <w:tcW w:w="14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2,908,545</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4"/>
                <w:szCs w:val="14"/>
                <w:color w:val="auto"/>
              </w:rPr>
              <w:t>2,038,103</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6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0.34%*</w:t>
            </w:r>
          </w:p>
        </w:tc>
        <w:tc>
          <w:tcPr>
            <w:tcW w:w="92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Borders>
              <w:top w:val="single" w:sz="8" w:color="CFF0FC"/>
            </w:tcBorders>
          </w:tcPr>
          <w:p>
            <w:pPr>
              <w:spacing w:after="0"/>
              <w:rPr>
                <w:sz w:val="14"/>
                <w:szCs w:val="14"/>
                <w:color w:val="auto"/>
              </w:rPr>
            </w:pPr>
          </w:p>
        </w:tc>
        <w:tc>
          <w:tcPr>
            <w:tcW w:w="740" w:type="dxa"/>
            <w:vAlign w:val="bottom"/>
            <w:tcBorders>
              <w:top w:val="single" w:sz="8" w:color="CFF0FC"/>
            </w:tcBorders>
          </w:tcPr>
          <w:p>
            <w:pPr>
              <w:spacing w:after="0"/>
              <w:rPr>
                <w:sz w:val="14"/>
                <w:szCs w:val="14"/>
                <w:color w:val="auto"/>
              </w:rPr>
            </w:pPr>
          </w:p>
        </w:tc>
        <w:tc>
          <w:tcPr>
            <w:tcW w:w="920" w:type="dxa"/>
            <w:vAlign w:val="bottom"/>
            <w:tcBorders>
              <w:top w:val="single" w:sz="8" w:color="CFF0FC"/>
            </w:tcBorders>
          </w:tcPr>
          <w:p>
            <w:pPr>
              <w:spacing w:after="0"/>
              <w:rPr>
                <w:sz w:val="14"/>
                <w:szCs w:val="14"/>
                <w:color w:val="auto"/>
              </w:rPr>
            </w:pPr>
          </w:p>
        </w:tc>
        <w:tc>
          <w:tcPr>
            <w:tcW w:w="6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226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0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10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880" w:type="dxa"/>
            <w:vAlign w:val="bottom"/>
            <w:tcBorders>
              <w:top w:val="single" w:sz="8" w:color="CFF0FC"/>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56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0" w:type="dxa"/>
            <w:vAlign w:val="bottom"/>
            <w:shd w:val="clear" w:color="auto" w:fill="CFF0FC"/>
          </w:tcPr>
          <w:p>
            <w:pPr>
              <w:spacing w:after="0"/>
              <w:rPr>
                <w:sz w:val="12"/>
                <w:szCs w:val="12"/>
                <w:color w:val="auto"/>
              </w:rPr>
            </w:pPr>
          </w:p>
        </w:tc>
        <w:tc>
          <w:tcPr>
            <w:tcW w:w="2260" w:type="dxa"/>
            <w:vAlign w:val="bottom"/>
            <w:gridSpan w:val="3"/>
            <w:shd w:val="clear" w:color="auto" w:fill="CFF0FC"/>
          </w:tcPr>
          <w:p>
            <w:pPr>
              <w:spacing w:after="0" w:line="139" w:lineRule="exact"/>
              <w:rPr>
                <w:sz w:val="20"/>
                <w:szCs w:val="20"/>
                <w:color w:val="auto"/>
              </w:rPr>
            </w:pPr>
            <w:r>
              <w:rPr>
                <w:rFonts w:ascii="Arial" w:cs="Arial" w:eastAsia="Arial" w:hAnsi="Arial"/>
                <w:sz w:val="14"/>
                <w:szCs w:val="14"/>
                <w:b w:val="1"/>
                <w:bCs w:val="1"/>
                <w:color w:val="auto"/>
              </w:rPr>
              <w:t>Human Resource &amp; Employment</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FF0FC"/>
          </w:tcPr>
          <w:p>
            <w:pPr>
              <w:spacing w:after="0"/>
              <w:rPr>
                <w:sz w:val="16"/>
                <w:szCs w:val="16"/>
                <w:color w:val="auto"/>
              </w:rPr>
            </w:pPr>
          </w:p>
        </w:tc>
        <w:tc>
          <w:tcPr>
            <w:tcW w:w="2260" w:type="dxa"/>
            <w:vAlign w:val="bottom"/>
            <w:gridSpan w:val="3"/>
            <w:shd w:val="clear" w:color="auto" w:fill="CFF0FC"/>
          </w:tcPr>
          <w:p>
            <w:pPr>
              <w:spacing w:after="0"/>
              <w:rPr>
                <w:sz w:val="20"/>
                <w:szCs w:val="20"/>
                <w:color w:val="auto"/>
              </w:rPr>
            </w:pPr>
            <w:r>
              <w:rPr>
                <w:rFonts w:ascii="Arial" w:cs="Arial" w:eastAsia="Arial" w:hAnsi="Arial"/>
                <w:sz w:val="14"/>
                <w:szCs w:val="14"/>
                <w:b w:val="1"/>
                <w:bCs w:val="1"/>
                <w:color w:val="auto"/>
              </w:rPr>
              <w:t>Services</w:t>
            </w:r>
          </w:p>
        </w:tc>
        <w:tc>
          <w:tcPr>
            <w:tcW w:w="140" w:type="dxa"/>
            <w:vAlign w:val="bottom"/>
            <w:shd w:val="clear" w:color="auto" w:fill="CFF0FC"/>
          </w:tcPr>
          <w:p>
            <w:pPr>
              <w:spacing w:after="0"/>
              <w:rPr>
                <w:sz w:val="16"/>
                <w:szCs w:val="16"/>
                <w:color w:val="auto"/>
              </w:rPr>
            </w:pPr>
          </w:p>
        </w:tc>
        <w:tc>
          <w:tcPr>
            <w:tcW w:w="22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80" w:type="dxa"/>
            <w:vAlign w:val="bottom"/>
            <w:gridSpan w:val="2"/>
          </w:tcPr>
          <w:p>
            <w:pPr>
              <w:ind w:left="240"/>
              <w:spacing w:after="0" w:line="143"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Arial" w:cs="Arial" w:eastAsia="Arial" w:hAnsi="Arial"/>
                <w:sz w:val="14"/>
                <w:szCs w:val="14"/>
                <w:color w:val="auto"/>
              </w:rPr>
              <w:t>CloudPay, Inc.</w:t>
            </w:r>
          </w:p>
        </w:tc>
        <w:tc>
          <w:tcPr>
            <w:tcW w:w="14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Series B Preferred Stock</w:t>
            </w:r>
          </w:p>
        </w:tc>
        <w:tc>
          <w:tcPr>
            <w:tcW w:w="94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6/30/2020</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6/30/2030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11,273</w:t>
            </w: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217,500</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807,139</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3"/>
        </w:trPr>
        <w:tc>
          <w:tcPr>
            <w:tcW w:w="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ind w:left="240"/>
              <w:spacing w:after="0" w:line="143"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81"/>
        </w:trPr>
        <w:tc>
          <w:tcPr>
            <w:tcW w:w="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260" w:type="dxa"/>
            <w:vAlign w:val="bottom"/>
            <w:shd w:val="clear" w:color="auto" w:fill="CFF0FC"/>
          </w:tcPr>
          <w:p>
            <w:pPr>
              <w:spacing w:after="0"/>
              <w:rPr>
                <w:sz w:val="20"/>
                <w:szCs w:val="20"/>
                <w:color w:val="auto"/>
              </w:rPr>
            </w:pPr>
            <w:r>
              <w:rPr>
                <w:rFonts w:ascii="Arial" w:cs="Arial" w:eastAsia="Arial" w:hAnsi="Arial"/>
                <w:sz w:val="14"/>
                <w:szCs w:val="14"/>
                <w:color w:val="auto"/>
              </w:rPr>
              <w:t>Series D Preferred Stock</w:t>
            </w:r>
          </w:p>
        </w:tc>
        <w:tc>
          <w:tcPr>
            <w:tcW w:w="94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3"/>
              </w:rPr>
              <w:t>8/17/2021</w:t>
            </w:r>
          </w:p>
        </w:tc>
        <w:tc>
          <w:tcPr>
            <w:tcW w:w="1220" w:type="dxa"/>
            <w:vAlign w:val="bottom"/>
            <w:gridSpan w:val="2"/>
            <w:shd w:val="clear" w:color="auto" w:fill="CFF0FC"/>
          </w:tcPr>
          <w:p>
            <w:pPr>
              <w:jc w:val="center"/>
              <w:ind w:left="48"/>
              <w:spacing w:after="0"/>
              <w:rPr>
                <w:sz w:val="20"/>
                <w:szCs w:val="20"/>
                <w:color w:val="auto"/>
              </w:rPr>
            </w:pPr>
            <w:r>
              <w:rPr>
                <w:rFonts w:ascii="Arial" w:cs="Arial" w:eastAsia="Arial" w:hAnsi="Arial"/>
                <w:sz w:val="14"/>
                <w:szCs w:val="14"/>
                <w:color w:val="auto"/>
                <w:w w:val="93"/>
              </w:rPr>
              <w:t>8/17/2031</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1,751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31,035</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16,686</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260" w:type="dxa"/>
            <w:vAlign w:val="bottom"/>
            <w:gridSpan w:val="3"/>
          </w:tcPr>
          <w:p>
            <w:pPr>
              <w:spacing w:after="0"/>
              <w:rPr>
                <w:sz w:val="20"/>
                <w:szCs w:val="20"/>
                <w:color w:val="auto"/>
              </w:rPr>
            </w:pPr>
            <w:r>
              <w:rPr>
                <w:rFonts w:ascii="Arial" w:cs="Arial" w:eastAsia="Arial" w:hAnsi="Arial"/>
                <w:sz w:val="14"/>
                <w:szCs w:val="14"/>
                <w:color w:val="auto"/>
              </w:rPr>
              <w:t>Snagajob.com, Inc.</w:t>
            </w:r>
          </w:p>
        </w:tc>
        <w:tc>
          <w:tcPr>
            <w:tcW w:w="140" w:type="dxa"/>
            <w:vAlign w:val="bottom"/>
          </w:tcPr>
          <w:p>
            <w:pPr>
              <w:spacing w:after="0"/>
              <w:rPr>
                <w:sz w:val="15"/>
                <w:szCs w:val="15"/>
                <w:color w:val="auto"/>
              </w:rPr>
            </w:pPr>
          </w:p>
        </w:tc>
        <w:tc>
          <w:tcPr>
            <w:tcW w:w="2260" w:type="dxa"/>
            <w:vAlign w:val="bottom"/>
          </w:tcPr>
          <w:p>
            <w:pPr>
              <w:spacing w:after="0"/>
              <w:rPr>
                <w:sz w:val="20"/>
                <w:szCs w:val="20"/>
                <w:color w:val="auto"/>
              </w:rPr>
            </w:pPr>
            <w:r>
              <w:rPr>
                <w:rFonts w:ascii="Arial" w:cs="Arial" w:eastAsia="Arial" w:hAnsi="Arial"/>
                <w:sz w:val="14"/>
                <w:szCs w:val="14"/>
                <w:color w:val="auto"/>
              </w:rPr>
              <w:t>Series B-1 Preferred Stock</w:t>
            </w:r>
          </w:p>
        </w:tc>
        <w:tc>
          <w:tcPr>
            <w:tcW w:w="94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9/29/2021</w:t>
            </w:r>
          </w:p>
        </w:tc>
        <w:tc>
          <w:tcPr>
            <w:tcW w:w="12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9/29/2031</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763,269</w:t>
            </w:r>
          </w:p>
        </w:tc>
        <w:tc>
          <w:tcPr>
            <w:tcW w:w="2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342,716</w:t>
            </w:r>
          </w:p>
        </w:tc>
        <w:tc>
          <w:tcPr>
            <w:tcW w:w="220" w:type="dxa"/>
            <w:vAlign w:val="bottom"/>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334,353</w:t>
            </w:r>
          </w:p>
        </w:tc>
        <w:tc>
          <w:tcPr>
            <w:tcW w:w="780" w:type="dxa"/>
            <w:vAlign w:val="bottom"/>
            <w:gridSpan w:val="2"/>
          </w:tcPr>
          <w:p>
            <w:pPr>
              <w:ind w:left="240"/>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33"/>
        </w:trPr>
        <w:tc>
          <w:tcPr>
            <w:tcW w:w="20" w:type="dxa"/>
            <w:vAlign w:val="bottom"/>
            <w:shd w:val="clear" w:color="auto" w:fill="CFF0FC"/>
          </w:tcPr>
          <w:p>
            <w:pPr>
              <w:spacing w:after="0"/>
              <w:rPr>
                <w:sz w:val="11"/>
                <w:szCs w:val="11"/>
                <w:color w:val="auto"/>
              </w:rPr>
            </w:pPr>
          </w:p>
        </w:tc>
        <w:tc>
          <w:tcPr>
            <w:tcW w:w="2260" w:type="dxa"/>
            <w:vAlign w:val="bottom"/>
            <w:gridSpan w:val="3"/>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Total Human Resource &amp;</w:t>
            </w:r>
          </w:p>
        </w:tc>
        <w:tc>
          <w:tcPr>
            <w:tcW w:w="140" w:type="dxa"/>
            <w:vAlign w:val="bottom"/>
            <w:shd w:val="clear" w:color="auto" w:fill="CFF0FC"/>
          </w:tcPr>
          <w:p>
            <w:pPr>
              <w:spacing w:after="0"/>
              <w:rPr>
                <w:sz w:val="11"/>
                <w:szCs w:val="11"/>
                <w:color w:val="auto"/>
              </w:rPr>
            </w:pPr>
          </w:p>
        </w:tc>
        <w:tc>
          <w:tcPr>
            <w:tcW w:w="22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240" w:type="dxa"/>
            <w:vAlign w:val="bottom"/>
            <w:vMerge w:val="restart"/>
            <w:shd w:val="clear" w:color="auto" w:fill="CFF0FC"/>
          </w:tcPr>
          <w:p>
            <w:pPr>
              <w:spacing w:after="0"/>
              <w:rPr>
                <w:sz w:val="11"/>
                <w:szCs w:val="11"/>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591,251</w:t>
            </w:r>
          </w:p>
        </w:tc>
        <w:tc>
          <w:tcPr>
            <w:tcW w:w="220" w:type="dxa"/>
            <w:vAlign w:val="bottom"/>
            <w:vMerge w:val="restart"/>
            <w:shd w:val="clear" w:color="auto" w:fill="CFF0FC"/>
          </w:tcPr>
          <w:p>
            <w:pPr>
              <w:spacing w:after="0"/>
              <w:rPr>
                <w:sz w:val="11"/>
                <w:szCs w:val="11"/>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1,158,178</w:t>
            </w:r>
          </w:p>
        </w:tc>
        <w:tc>
          <w:tcPr>
            <w:tcW w:w="22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Borders>
              <w:bottom w:val="single" w:sz="8" w:color="CFF0FC"/>
            </w:tcBorders>
            <w:shd w:val="clear" w:color="auto" w:fill="CFF0FC"/>
          </w:tcPr>
          <w:p>
            <w:pPr>
              <w:spacing w:after="0"/>
              <w:rPr>
                <w:sz w:val="14"/>
                <w:szCs w:val="14"/>
                <w:color w:val="auto"/>
              </w:rPr>
            </w:pPr>
          </w:p>
        </w:tc>
        <w:tc>
          <w:tcPr>
            <w:tcW w:w="226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4"/>
                <w:szCs w:val="14"/>
                <w:b w:val="1"/>
                <w:bCs w:val="1"/>
                <w:color w:val="auto"/>
              </w:rPr>
              <w:t>Employment Services - 0.19%*</w:t>
            </w:r>
          </w:p>
        </w:tc>
        <w:tc>
          <w:tcPr>
            <w:tcW w:w="140" w:type="dxa"/>
            <w:vAlign w:val="bottom"/>
            <w:tcBorders>
              <w:bottom w:val="single" w:sz="8" w:color="CFF0FC"/>
            </w:tcBorders>
            <w:shd w:val="clear" w:color="auto" w:fill="CFF0FC"/>
          </w:tcPr>
          <w:p>
            <w:pPr>
              <w:spacing w:after="0"/>
              <w:rPr>
                <w:sz w:val="14"/>
                <w:szCs w:val="14"/>
                <w:color w:val="auto"/>
              </w:rPr>
            </w:pPr>
          </w:p>
        </w:tc>
        <w:tc>
          <w:tcPr>
            <w:tcW w:w="22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tcBorders>
            <w:vMerge w:val="continue"/>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vMerge w:val="continue"/>
            <w:shd w:val="clear" w:color="auto" w:fill="CFF0FC"/>
          </w:tcPr>
          <w:p>
            <w:pPr>
              <w:spacing w:after="0"/>
              <w:rPr>
                <w:sz w:val="14"/>
                <w:szCs w:val="14"/>
                <w:color w:val="auto"/>
              </w:rPr>
            </w:pPr>
          </w:p>
        </w:tc>
        <w:tc>
          <w:tcPr>
            <w:tcW w:w="11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5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-3785235</wp:posOffset>
            </wp:positionV>
            <wp:extent cx="6858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-3785235</wp:posOffset>
            </wp:positionV>
            <wp:extent cx="6858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-3056890</wp:posOffset>
            </wp:positionV>
            <wp:extent cx="6858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-3056890</wp:posOffset>
            </wp:positionV>
            <wp:extent cx="6858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-2593975</wp:posOffset>
            </wp:positionV>
            <wp:extent cx="6858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-2593975</wp:posOffset>
            </wp:positionV>
            <wp:extent cx="6858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-1059180</wp:posOffset>
            </wp:positionV>
            <wp:extent cx="6858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-1059180</wp:posOffset>
            </wp:positionV>
            <wp:extent cx="6858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-5080</wp:posOffset>
            </wp:positionV>
            <wp:extent cx="6858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-5080</wp:posOffset>
            </wp:positionV>
            <wp:extent cx="68580" cy="57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21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December 31, 2021</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6"/>
                <w:szCs w:val="16"/>
                <w:color w:val="auto"/>
              </w:rPr>
            </w:pPr>
          </w:p>
        </w:tc>
        <w:tc>
          <w:tcPr>
            <w:tcW w:w="920" w:type="dxa"/>
            <w:vAlign w:val="bottom"/>
          </w:tcPr>
          <w:p>
            <w:pPr>
              <w:jc w:val="right"/>
              <w:ind w:right="91"/>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Footnot</w:t>
            </w:r>
          </w:p>
        </w:tc>
        <w:tc>
          <w:tcPr>
            <w:tcW w:w="0" w:type="dxa"/>
            <w:vAlign w:val="bottom"/>
          </w:tcPr>
          <w:p>
            <w:pPr>
              <w:spacing w:after="0"/>
              <w:rPr>
                <w:sz w:val="1"/>
                <w:szCs w:val="1"/>
                <w:color w:val="auto"/>
              </w:rPr>
            </w:pPr>
          </w:p>
        </w:tc>
      </w:tr>
      <w:tr>
        <w:trPr>
          <w:trHeight w:val="138"/>
        </w:trPr>
        <w:tc>
          <w:tcPr>
            <w:tcW w:w="226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tcPr>
          <w:p>
            <w:pPr>
              <w:spacing w:after="0"/>
              <w:rPr>
                <w:sz w:val="11"/>
                <w:szCs w:val="11"/>
                <w:color w:val="auto"/>
              </w:rPr>
            </w:pPr>
          </w:p>
        </w:tc>
        <w:tc>
          <w:tcPr>
            <w:tcW w:w="22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Investment Description</w:t>
            </w:r>
            <w:r>
              <w:rPr>
                <w:rFonts w:ascii="Arial" w:cs="Arial" w:eastAsia="Arial" w:hAnsi="Arial"/>
                <w:sz w:val="19"/>
                <w:szCs w:val="19"/>
                <w:b w:val="1"/>
                <w:bCs w:val="1"/>
                <w:color w:val="auto"/>
                <w:w w:val="96"/>
                <w:vertAlign w:val="superscript"/>
              </w:rPr>
              <w:t>(1),(5),(9)</w:t>
            </w:r>
          </w:p>
        </w:tc>
        <w:tc>
          <w:tcPr>
            <w:tcW w:w="12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92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1"/>
                <w:szCs w:val="11"/>
                <w:color w:val="auto"/>
              </w:rPr>
            </w:pPr>
          </w:p>
        </w:tc>
        <w:tc>
          <w:tcPr>
            <w:tcW w:w="104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1"/>
                <w:szCs w:val="11"/>
                <w:color w:val="auto"/>
              </w:rPr>
            </w:pPr>
          </w:p>
        </w:tc>
        <w:tc>
          <w:tcPr>
            <w:tcW w:w="108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94"/>
              </w:rPr>
              <w:t>Fair Value</w:t>
            </w:r>
            <w:r>
              <w:rPr>
                <w:rFonts w:ascii="Arial" w:cs="Arial" w:eastAsia="Arial" w:hAnsi="Arial"/>
                <w:sz w:val="19"/>
                <w:szCs w:val="19"/>
                <w:b w:val="1"/>
                <w:bCs w:val="1"/>
                <w:color w:val="auto"/>
                <w:w w:val="94"/>
                <w:vertAlign w:val="superscript"/>
              </w:rPr>
              <w:t>(2),(6)</w:t>
            </w: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260" w:type="dxa"/>
            <w:vAlign w:val="bottom"/>
            <w:tcBorders>
              <w:bottom w:val="single" w:sz="8" w:color="auto"/>
            </w:tcBorders>
            <w:gridSpan w:val="5"/>
            <w:vMerge w:val="continue"/>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6"/>
              </w:rPr>
              <w:t>es</w:t>
            </w:r>
          </w:p>
        </w:tc>
        <w:tc>
          <w:tcPr>
            <w:tcW w:w="0" w:type="dxa"/>
            <w:vAlign w:val="bottom"/>
          </w:tcPr>
          <w:p>
            <w:pPr>
              <w:spacing w:after="0"/>
              <w:rPr>
                <w:sz w:val="1"/>
                <w:szCs w:val="1"/>
                <w:color w:val="auto"/>
              </w:rPr>
            </w:pPr>
          </w:p>
        </w:tc>
      </w:tr>
      <w:tr>
        <w:trPr>
          <w:trHeight w:val="122"/>
        </w:trPr>
        <w:tc>
          <w:tcPr>
            <w:tcW w:w="2260" w:type="dxa"/>
            <w:vAlign w:val="bottom"/>
            <w:tcBorders>
              <w:left w:val="single" w:sz="8" w:color="CFF0FC"/>
            </w:tcBorders>
            <w:gridSpan w:val="5"/>
            <w:shd w:val="clear" w:color="auto" w:fill="CFF0FC"/>
          </w:tcPr>
          <w:p>
            <w:pPr>
              <w:ind w:left="20"/>
              <w:spacing w:after="0" w:line="115" w:lineRule="exact"/>
              <w:rPr>
                <w:sz w:val="20"/>
                <w:szCs w:val="20"/>
                <w:color w:val="auto"/>
              </w:rPr>
            </w:pPr>
            <w:r>
              <w:rPr>
                <w:rFonts w:ascii="Arial" w:cs="Arial" w:eastAsia="Arial" w:hAnsi="Arial"/>
                <w:sz w:val="13"/>
                <w:szCs w:val="13"/>
                <w:b w:val="1"/>
                <w:bCs w:val="1"/>
                <w:color w:val="auto"/>
                <w:w w:val="93"/>
              </w:rPr>
              <w:t>Non-Control/Non-Affiliate Investments</w:t>
            </w:r>
          </w:p>
        </w:tc>
        <w:tc>
          <w:tcPr>
            <w:tcW w:w="140" w:type="dxa"/>
            <w:vAlign w:val="bottom"/>
            <w:shd w:val="clear" w:color="auto" w:fill="CFF0FC"/>
          </w:tcPr>
          <w:p>
            <w:pPr>
              <w:spacing w:after="0"/>
              <w:rPr>
                <w:sz w:val="10"/>
                <w:szCs w:val="10"/>
                <w:color w:val="auto"/>
              </w:rPr>
            </w:pPr>
          </w:p>
        </w:tc>
        <w:tc>
          <w:tcPr>
            <w:tcW w:w="2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20" w:type="dxa"/>
            <w:vAlign w:val="bottom"/>
            <w:tcBorders>
              <w:top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Warrants</w:t>
            </w: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2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4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8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5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CFF0FC"/>
            </w:tcBorders>
            <w:gridSpan w:val="5"/>
            <w:shd w:val="clear" w:color="auto" w:fill="CFF0FC"/>
          </w:tcPr>
          <w:p>
            <w:pPr>
              <w:ind w:left="20"/>
              <w:spacing w:after="0"/>
              <w:rPr>
                <w:sz w:val="20"/>
                <w:szCs w:val="20"/>
                <w:color w:val="auto"/>
              </w:rPr>
            </w:pPr>
            <w:r>
              <w:rPr>
                <w:rFonts w:ascii="Arial" w:cs="Arial" w:eastAsia="Arial" w:hAnsi="Arial"/>
                <w:sz w:val="13"/>
                <w:szCs w:val="13"/>
                <w:b w:val="1"/>
                <w:bCs w:val="1"/>
                <w:color w:val="auto"/>
              </w:rPr>
              <w:t>Internet Software and Services</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5"/>
          </w:tcPr>
          <w:p>
            <w:pPr>
              <w:ind w:left="20"/>
              <w:spacing w:after="0"/>
              <w:rPr>
                <w:sz w:val="20"/>
                <w:szCs w:val="20"/>
                <w:color w:val="auto"/>
              </w:rPr>
            </w:pPr>
            <w:r>
              <w:rPr>
                <w:rFonts w:ascii="Arial" w:cs="Arial" w:eastAsia="Arial" w:hAnsi="Arial"/>
                <w:sz w:val="13"/>
                <w:szCs w:val="13"/>
                <w:color w:val="auto"/>
              </w:rPr>
              <w:t>Bombora, Inc.</w:t>
            </w: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gridSpan w:val="2"/>
          </w:tcPr>
          <w:p>
            <w:pPr>
              <w:jc w:val="center"/>
              <w:ind w:left="57"/>
              <w:spacing w:after="0"/>
              <w:rPr>
                <w:sz w:val="20"/>
                <w:szCs w:val="20"/>
                <w:color w:val="auto"/>
              </w:rPr>
            </w:pPr>
            <w:r>
              <w:rPr>
                <w:rFonts w:ascii="Arial" w:cs="Arial" w:eastAsia="Arial" w:hAnsi="Arial"/>
                <w:sz w:val="13"/>
                <w:szCs w:val="13"/>
                <w:color w:val="auto"/>
                <w:w w:val="89"/>
              </w:rPr>
              <w:t>3/31/2021</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3/31/2031</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121,581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174,500</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292,372</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2260" w:type="dxa"/>
            <w:vAlign w:val="bottom"/>
            <w:tcBorders>
              <w:left w:val="single" w:sz="8" w:color="CFF0FC"/>
            </w:tcBorders>
            <w:gridSpan w:val="5"/>
            <w:shd w:val="clear" w:color="auto" w:fill="CFF0FC"/>
          </w:tcPr>
          <w:p>
            <w:pPr>
              <w:ind w:left="20"/>
              <w:spacing w:after="0"/>
              <w:rPr>
                <w:sz w:val="20"/>
                <w:szCs w:val="20"/>
                <w:color w:val="auto"/>
              </w:rPr>
            </w:pPr>
            <w:r>
              <w:rPr>
                <w:rFonts w:ascii="Arial" w:cs="Arial" w:eastAsia="Arial" w:hAnsi="Arial"/>
                <w:sz w:val="13"/>
                <w:szCs w:val="13"/>
                <w:color w:val="auto"/>
              </w:rPr>
              <w:t>Fidelis Cybersecurity, Inc.</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9"/>
              </w:rPr>
              <w:t>5/13/2021</w:t>
            </w:r>
          </w:p>
        </w:tc>
        <w:tc>
          <w:tcPr>
            <w:tcW w:w="12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9"/>
              </w:rPr>
              <w:t>5/13/2031</w:t>
            </w: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(7)(16)</w:t>
            </w:r>
          </w:p>
        </w:tc>
        <w:tc>
          <w:tcPr>
            <w:tcW w:w="0" w:type="dxa"/>
            <w:vAlign w:val="bottom"/>
          </w:tcPr>
          <w:p>
            <w:pPr>
              <w:spacing w:after="0"/>
              <w:rPr>
                <w:sz w:val="1"/>
                <w:szCs w:val="1"/>
                <w:color w:val="auto"/>
              </w:rPr>
            </w:pPr>
          </w:p>
        </w:tc>
      </w:tr>
      <w:tr>
        <w:trPr>
          <w:trHeight w:val="148"/>
        </w:trPr>
        <w:tc>
          <w:tcPr>
            <w:tcW w:w="2260" w:type="dxa"/>
            <w:vAlign w:val="bottom"/>
            <w:gridSpan w:val="5"/>
          </w:tcPr>
          <w:p>
            <w:pPr>
              <w:ind w:left="20"/>
              <w:spacing w:after="0"/>
              <w:rPr>
                <w:sz w:val="20"/>
                <w:szCs w:val="20"/>
                <w:color w:val="auto"/>
              </w:rPr>
            </w:pPr>
            <w:r>
              <w:rPr>
                <w:rFonts w:ascii="Arial" w:cs="Arial" w:eastAsia="Arial" w:hAnsi="Arial"/>
                <w:sz w:val="13"/>
                <w:szCs w:val="13"/>
                <w:color w:val="auto"/>
              </w:rPr>
              <w:t>INRIX, Inc.</w:t>
            </w: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gridSpan w:val="2"/>
          </w:tcPr>
          <w:p>
            <w:pPr>
              <w:jc w:val="center"/>
              <w:ind w:left="57"/>
              <w:spacing w:after="0"/>
              <w:rPr>
                <w:sz w:val="20"/>
                <w:szCs w:val="20"/>
                <w:color w:val="auto"/>
              </w:rPr>
            </w:pPr>
            <w:r>
              <w:rPr>
                <w:rFonts w:ascii="Arial" w:cs="Arial" w:eastAsia="Arial" w:hAnsi="Arial"/>
                <w:sz w:val="13"/>
                <w:szCs w:val="13"/>
                <w:color w:val="auto"/>
                <w:w w:val="89"/>
              </w:rPr>
              <w:t>7/26/2019</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7/26/2029</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150,804</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522,083</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1,721,243</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2260" w:type="dxa"/>
            <w:vAlign w:val="bottom"/>
            <w:tcBorders>
              <w:left w:val="single" w:sz="8" w:color="CFF0FC"/>
              <w:bottom w:val="single" w:sz="8" w:color="CFF0FC"/>
            </w:tcBorders>
            <w:gridSpan w:val="5"/>
            <w:shd w:val="clear" w:color="auto" w:fill="CFF0FC"/>
          </w:tcPr>
          <w:p>
            <w:pPr>
              <w:ind w:left="20"/>
              <w:spacing w:after="0"/>
              <w:rPr>
                <w:sz w:val="20"/>
                <w:szCs w:val="20"/>
                <w:color w:val="auto"/>
              </w:rPr>
            </w:pPr>
            <w:r>
              <w:rPr>
                <w:rFonts w:ascii="Arial" w:cs="Arial" w:eastAsia="Arial" w:hAnsi="Arial"/>
                <w:sz w:val="13"/>
                <w:szCs w:val="13"/>
                <w:color w:val="auto"/>
                <w:w w:val="89"/>
              </w:rPr>
              <w:t>Longtail Ad Solutions, Inc. (dba JW Player)</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tcBorders>
              <w:bottom w:val="single" w:sz="8" w:color="CFF0FC"/>
            </w:tcBorders>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9"/>
              </w:rPr>
              <w:t>12/12/2019</w:t>
            </w:r>
          </w:p>
        </w:tc>
        <w:tc>
          <w:tcPr>
            <w:tcW w:w="1220" w:type="dxa"/>
            <w:vAlign w:val="bottom"/>
            <w:tcBorders>
              <w:bottom w:val="single" w:sz="8" w:color="CFF0FC"/>
            </w:tcBorders>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12/12/2029</w:t>
            </w: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387,596</w:t>
            </w:r>
          </w:p>
        </w:tc>
        <w:tc>
          <w:tcPr>
            <w:tcW w:w="24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46,552</w:t>
            </w:r>
          </w:p>
        </w:tc>
        <w:tc>
          <w:tcPr>
            <w:tcW w:w="2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359,302</w:t>
            </w:r>
          </w:p>
        </w:tc>
        <w:tc>
          <w:tcPr>
            <w:tcW w:w="7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02"/>
        </w:trPr>
        <w:tc>
          <w:tcPr>
            <w:tcW w:w="2260" w:type="dxa"/>
            <w:vAlign w:val="bottom"/>
            <w:gridSpan w:val="5"/>
          </w:tcPr>
          <w:p>
            <w:pPr>
              <w:ind w:left="20"/>
              <w:spacing w:after="0" w:line="102" w:lineRule="exact"/>
              <w:rPr>
                <w:sz w:val="20"/>
                <w:szCs w:val="20"/>
                <w:color w:val="auto"/>
              </w:rPr>
            </w:pPr>
            <w:r>
              <w:rPr>
                <w:rFonts w:ascii="Arial" w:cs="Arial" w:eastAsia="Arial" w:hAnsi="Arial"/>
                <w:sz w:val="10"/>
                <w:szCs w:val="10"/>
                <w:b w:val="1"/>
                <w:bCs w:val="1"/>
                <w:color w:val="auto"/>
              </w:rPr>
              <w:t>Total Internet Software and Services -</w:t>
            </w:r>
          </w:p>
        </w:tc>
        <w:tc>
          <w:tcPr>
            <w:tcW w:w="1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80" w:type="dxa"/>
            <w:vAlign w:val="bottom"/>
            <w:gridSpan w:val="2"/>
            <w:vMerge w:val="restart"/>
          </w:tcPr>
          <w:p>
            <w:pPr>
              <w:jc w:val="right"/>
              <w:spacing w:after="0"/>
              <w:rPr>
                <w:sz w:val="20"/>
                <w:szCs w:val="20"/>
                <w:color w:val="auto"/>
              </w:rPr>
            </w:pPr>
            <w:r>
              <w:rPr>
                <w:rFonts w:ascii="Arial" w:cs="Arial" w:eastAsia="Arial" w:hAnsi="Arial"/>
                <w:sz w:val="13"/>
                <w:szCs w:val="13"/>
                <w:color w:val="auto"/>
              </w:rPr>
              <w:t>743,135</w:t>
            </w:r>
          </w:p>
        </w:tc>
        <w:tc>
          <w:tcPr>
            <w:tcW w:w="1320" w:type="dxa"/>
            <w:vAlign w:val="bottom"/>
            <w:gridSpan w:val="2"/>
            <w:vMerge w:val="restart"/>
          </w:tcPr>
          <w:p>
            <w:pPr>
              <w:jc w:val="right"/>
              <w:spacing w:after="0"/>
              <w:rPr>
                <w:sz w:val="20"/>
                <w:szCs w:val="20"/>
                <w:color w:val="auto"/>
              </w:rPr>
            </w:pPr>
            <w:r>
              <w:rPr>
                <w:rFonts w:ascii="Arial" w:cs="Arial" w:eastAsia="Arial" w:hAnsi="Arial"/>
                <w:sz w:val="13"/>
                <w:szCs w:val="13"/>
                <w:color w:val="auto"/>
              </w:rPr>
              <w:t>2,372,917</w:t>
            </w: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ind w:left="20"/>
              <w:spacing w:after="0"/>
              <w:rPr>
                <w:sz w:val="20"/>
                <w:szCs w:val="20"/>
                <w:color w:val="auto"/>
              </w:rPr>
            </w:pPr>
            <w:r>
              <w:rPr>
                <w:rFonts w:ascii="Arial" w:cs="Arial" w:eastAsia="Arial" w:hAnsi="Arial"/>
                <w:sz w:val="13"/>
                <w:szCs w:val="13"/>
                <w:b w:val="1"/>
                <w:bCs w:val="1"/>
                <w:color w:val="auto"/>
              </w:rPr>
              <w:t>0.39%*</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Borders>
              <w:lef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5"/>
          </w:tcPr>
          <w:p>
            <w:pPr>
              <w:ind w:left="20"/>
              <w:spacing w:after="0"/>
              <w:rPr>
                <w:sz w:val="20"/>
                <w:szCs w:val="20"/>
                <w:color w:val="auto"/>
              </w:rPr>
            </w:pPr>
            <w:r>
              <w:rPr>
                <w:rFonts w:ascii="Arial" w:cs="Arial" w:eastAsia="Arial" w:hAnsi="Arial"/>
                <w:sz w:val="13"/>
                <w:szCs w:val="13"/>
                <w:b w:val="1"/>
                <w:bCs w:val="1"/>
                <w:color w:val="auto"/>
              </w:rPr>
              <w:t>Specialized Consumer Services</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Borders>
              <w:left w:val="single" w:sz="8" w:color="CFF0FC"/>
            </w:tcBorders>
            <w:gridSpan w:val="5"/>
            <w:shd w:val="clear" w:color="auto" w:fill="CFF0FC"/>
          </w:tcPr>
          <w:p>
            <w:pPr>
              <w:ind w:left="20"/>
              <w:spacing w:after="0"/>
              <w:rPr>
                <w:sz w:val="20"/>
                <w:szCs w:val="20"/>
                <w:color w:val="auto"/>
              </w:rPr>
            </w:pPr>
            <w:r>
              <w:rPr>
                <w:rFonts w:ascii="Arial" w:cs="Arial" w:eastAsia="Arial" w:hAnsi="Arial"/>
                <w:sz w:val="13"/>
                <w:szCs w:val="13"/>
                <w:color w:val="auto"/>
              </w:rPr>
              <w:t>AllClear ID, Inc.</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6"/>
              </w:rPr>
              <w:t>9/1/2017</w:t>
            </w:r>
          </w:p>
        </w:tc>
        <w:tc>
          <w:tcPr>
            <w:tcW w:w="12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9/1/2027</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870,514</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1,749,733</w:t>
            </w: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898,370</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2260" w:type="dxa"/>
            <w:vAlign w:val="bottom"/>
            <w:gridSpan w:val="5"/>
          </w:tcPr>
          <w:p>
            <w:pPr>
              <w:ind w:left="20"/>
              <w:spacing w:after="0"/>
              <w:rPr>
                <w:sz w:val="20"/>
                <w:szCs w:val="20"/>
                <w:color w:val="auto"/>
              </w:rPr>
            </w:pPr>
            <w:r>
              <w:rPr>
                <w:rFonts w:ascii="Arial" w:cs="Arial" w:eastAsia="Arial" w:hAnsi="Arial"/>
                <w:sz w:val="13"/>
                <w:szCs w:val="13"/>
                <w:color w:val="auto"/>
              </w:rPr>
              <w:t>Credit Sesame, Inc.</w:t>
            </w: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gridSpan w:val="2"/>
          </w:tcPr>
          <w:p>
            <w:pPr>
              <w:jc w:val="center"/>
              <w:ind w:left="57"/>
              <w:spacing w:after="0"/>
              <w:rPr>
                <w:sz w:val="20"/>
                <w:szCs w:val="20"/>
                <w:color w:val="auto"/>
              </w:rPr>
            </w:pPr>
            <w:r>
              <w:rPr>
                <w:rFonts w:ascii="Arial" w:cs="Arial" w:eastAsia="Arial" w:hAnsi="Arial"/>
                <w:sz w:val="13"/>
                <w:szCs w:val="13"/>
                <w:color w:val="auto"/>
                <w:w w:val="86"/>
              </w:rPr>
              <w:t>1/7/2020</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1/7/2030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191,601</w:t>
            </w:r>
          </w:p>
        </w:tc>
        <w:tc>
          <w:tcPr>
            <w:tcW w:w="24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424,800</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1,578,981</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02"/>
        </w:trPr>
        <w:tc>
          <w:tcPr>
            <w:tcW w:w="2260" w:type="dxa"/>
            <w:vAlign w:val="bottom"/>
            <w:tcBorders>
              <w:left w:val="single" w:sz="8" w:color="CFF0FC"/>
            </w:tcBorders>
            <w:gridSpan w:val="5"/>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Specialized Consumer Services -</w:t>
            </w:r>
          </w:p>
        </w:tc>
        <w:tc>
          <w:tcPr>
            <w:tcW w:w="140" w:type="dxa"/>
            <w:vAlign w:val="bottom"/>
            <w:shd w:val="clear" w:color="auto" w:fill="CFF0FC"/>
          </w:tcPr>
          <w:p>
            <w:pPr>
              <w:spacing w:after="0"/>
              <w:rPr>
                <w:sz w:val="8"/>
                <w:szCs w:val="8"/>
                <w:color w:val="auto"/>
              </w:rPr>
            </w:pPr>
          </w:p>
        </w:tc>
        <w:tc>
          <w:tcPr>
            <w:tcW w:w="22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2,174,533</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2,477,351</w:t>
            </w:r>
          </w:p>
        </w:tc>
        <w:tc>
          <w:tcPr>
            <w:tcW w:w="2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Borders>
              <w:left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0.41%*</w:t>
            </w: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80" w:type="dxa"/>
            <w:vAlign w:val="bottom"/>
            <w:gridSpan w:val="2"/>
            <w:vMerge w:val="continue"/>
            <w:shd w:val="clear" w:color="auto" w:fill="CFF0FC"/>
          </w:tcPr>
          <w:p>
            <w:pPr>
              <w:spacing w:after="0"/>
              <w:rPr>
                <w:sz w:val="12"/>
                <w:szCs w:val="12"/>
                <w:color w:val="auto"/>
              </w:rPr>
            </w:pPr>
          </w:p>
        </w:tc>
        <w:tc>
          <w:tcPr>
            <w:tcW w:w="1320" w:type="dxa"/>
            <w:vAlign w:val="bottom"/>
            <w:gridSpan w:val="2"/>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tcPr>
          <w:p>
            <w:pPr>
              <w:spacing w:after="0"/>
              <w:rPr>
                <w:sz w:val="12"/>
                <w:szCs w:val="12"/>
                <w:color w:val="auto"/>
              </w:rPr>
            </w:pPr>
          </w:p>
        </w:tc>
        <w:tc>
          <w:tcPr>
            <w:tcW w:w="48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2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5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Borders>
              <w:left w:val="single" w:sz="8" w:color="CFF0FC"/>
            </w:tcBorders>
            <w:gridSpan w:val="5"/>
            <w:shd w:val="clear" w:color="auto" w:fill="CFF0FC"/>
          </w:tcPr>
          <w:p>
            <w:pPr>
              <w:ind w:left="20"/>
              <w:spacing w:after="0"/>
              <w:rPr>
                <w:sz w:val="20"/>
                <w:szCs w:val="20"/>
                <w:color w:val="auto"/>
              </w:rPr>
            </w:pPr>
            <w:r>
              <w:rPr>
                <w:rFonts w:ascii="Arial" w:cs="Arial" w:eastAsia="Arial" w:hAnsi="Arial"/>
                <w:sz w:val="13"/>
                <w:szCs w:val="13"/>
                <w:b w:val="1"/>
                <w:bCs w:val="1"/>
                <w:color w:val="auto"/>
              </w:rPr>
              <w:t>System Software</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5"/>
          </w:tcPr>
          <w:p>
            <w:pPr>
              <w:ind w:left="20"/>
              <w:spacing w:after="0"/>
              <w:rPr>
                <w:sz w:val="20"/>
                <w:szCs w:val="20"/>
                <w:color w:val="auto"/>
              </w:rPr>
            </w:pPr>
            <w:r>
              <w:rPr>
                <w:rFonts w:ascii="Arial" w:cs="Arial" w:eastAsia="Arial" w:hAnsi="Arial"/>
                <w:sz w:val="13"/>
                <w:szCs w:val="13"/>
                <w:color w:val="auto"/>
              </w:rPr>
              <w:t>Dejero Labs Inc.</w:t>
            </w: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gridSpan w:val="2"/>
          </w:tcPr>
          <w:p>
            <w:pPr>
              <w:jc w:val="center"/>
              <w:ind w:left="57"/>
              <w:spacing w:after="0"/>
              <w:rPr>
                <w:sz w:val="20"/>
                <w:szCs w:val="20"/>
                <w:color w:val="auto"/>
              </w:rPr>
            </w:pPr>
            <w:r>
              <w:rPr>
                <w:rFonts w:ascii="Arial" w:cs="Arial" w:eastAsia="Arial" w:hAnsi="Arial"/>
                <w:sz w:val="13"/>
                <w:szCs w:val="13"/>
                <w:color w:val="auto"/>
                <w:w w:val="89"/>
              </w:rPr>
              <w:t>5/31/2019</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5/31/2029</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333,621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192,499</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574,831</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w w:val="94"/>
              </w:rPr>
              <w:t>(3)(7)(11)</w:t>
            </w:r>
          </w:p>
        </w:tc>
        <w:tc>
          <w:tcPr>
            <w:tcW w:w="0" w:type="dxa"/>
            <w:vAlign w:val="bottom"/>
          </w:tcPr>
          <w:p>
            <w:pPr>
              <w:spacing w:after="0"/>
              <w:rPr>
                <w:sz w:val="1"/>
                <w:szCs w:val="1"/>
                <w:color w:val="auto"/>
              </w:rPr>
            </w:pPr>
          </w:p>
        </w:tc>
      </w:tr>
      <w:tr>
        <w:trPr>
          <w:trHeight w:val="148"/>
        </w:trPr>
        <w:tc>
          <w:tcPr>
            <w:tcW w:w="2260" w:type="dxa"/>
            <w:vAlign w:val="bottom"/>
            <w:tcBorders>
              <w:left w:val="single" w:sz="8" w:color="CFF0FC"/>
              <w:bottom w:val="single" w:sz="8" w:color="CFF0FC"/>
            </w:tcBorders>
            <w:gridSpan w:val="5"/>
            <w:shd w:val="clear" w:color="auto" w:fill="CFF0FC"/>
          </w:tcPr>
          <w:p>
            <w:pPr>
              <w:ind w:left="20"/>
              <w:spacing w:after="0"/>
              <w:rPr>
                <w:sz w:val="20"/>
                <w:szCs w:val="20"/>
                <w:color w:val="auto"/>
              </w:rPr>
            </w:pPr>
            <w:r>
              <w:rPr>
                <w:rFonts w:ascii="Arial" w:cs="Arial" w:eastAsia="Arial" w:hAnsi="Arial"/>
                <w:sz w:val="13"/>
                <w:szCs w:val="13"/>
                <w:color w:val="auto"/>
              </w:rPr>
              <w:t>Scale Computing, Inc.</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tcBorders>
              <w:bottom w:val="single" w:sz="8" w:color="CFF0FC"/>
            </w:tcBorders>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9"/>
              </w:rPr>
              <w:t>3/29/2019</w:t>
            </w:r>
          </w:p>
        </w:tc>
        <w:tc>
          <w:tcPr>
            <w:tcW w:w="1220" w:type="dxa"/>
            <w:vAlign w:val="bottom"/>
            <w:tcBorders>
              <w:bottom w:val="single" w:sz="8" w:color="CFF0FC"/>
            </w:tcBorders>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9"/>
              </w:rPr>
              <w:t>3/29/2029</w:t>
            </w: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9,665,667</w:t>
            </w:r>
          </w:p>
        </w:tc>
        <w:tc>
          <w:tcPr>
            <w:tcW w:w="24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345,816</w:t>
            </w:r>
          </w:p>
        </w:tc>
        <w:tc>
          <w:tcPr>
            <w:tcW w:w="2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2"/>
        </w:trPr>
        <w:tc>
          <w:tcPr>
            <w:tcW w:w="2260" w:type="dxa"/>
            <w:vAlign w:val="bottom"/>
            <w:gridSpan w:val="5"/>
          </w:tcPr>
          <w:p>
            <w:pPr>
              <w:ind w:left="20"/>
              <w:spacing w:after="0" w:line="142" w:lineRule="exact"/>
              <w:rPr>
                <w:sz w:val="20"/>
                <w:szCs w:val="20"/>
                <w:color w:val="auto"/>
              </w:rPr>
            </w:pPr>
            <w:r>
              <w:rPr>
                <w:rFonts w:ascii="Arial" w:cs="Arial" w:eastAsia="Arial" w:hAnsi="Arial"/>
                <w:sz w:val="13"/>
                <w:szCs w:val="13"/>
                <w:b w:val="1"/>
                <w:bCs w:val="1"/>
                <w:color w:val="auto"/>
              </w:rPr>
              <w:t>Total System Software - 0.09%*</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8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538,315</w:t>
            </w:r>
          </w:p>
        </w:tc>
        <w:tc>
          <w:tcPr>
            <w:tcW w:w="132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574,831</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Borders>
              <w:lef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tcBorders>
              <w:top w:val="single" w:sz="8" w:color="auto"/>
            </w:tcBorders>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tcBorders>
              <w:top w:val="single" w:sz="8" w:color="auto"/>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gridSpan w:val="5"/>
          </w:tcPr>
          <w:p>
            <w:pPr>
              <w:ind w:left="20"/>
              <w:spacing w:after="0" w:line="108" w:lineRule="exact"/>
              <w:rPr>
                <w:sz w:val="20"/>
                <w:szCs w:val="20"/>
                <w:color w:val="auto"/>
              </w:rPr>
            </w:pPr>
            <w:r>
              <w:rPr>
                <w:rFonts w:ascii="Arial" w:cs="Arial" w:eastAsia="Arial" w:hAnsi="Arial"/>
                <w:sz w:val="12"/>
                <w:szCs w:val="12"/>
                <w:b w:val="1"/>
                <w:bCs w:val="1"/>
                <w:color w:val="auto"/>
              </w:rPr>
              <w:t>Technology Hardware, Storage &amp;</w:t>
            </w:r>
          </w:p>
        </w:tc>
        <w:tc>
          <w:tcPr>
            <w:tcW w:w="14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60" w:type="dxa"/>
            <w:vAlign w:val="bottom"/>
            <w:gridSpan w:val="5"/>
          </w:tcPr>
          <w:p>
            <w:pPr>
              <w:ind w:left="20"/>
              <w:spacing w:after="0"/>
              <w:rPr>
                <w:sz w:val="20"/>
                <w:szCs w:val="20"/>
                <w:color w:val="auto"/>
              </w:rPr>
            </w:pPr>
            <w:r>
              <w:rPr>
                <w:rFonts w:ascii="Arial" w:cs="Arial" w:eastAsia="Arial" w:hAnsi="Arial"/>
                <w:sz w:val="13"/>
                <w:szCs w:val="13"/>
                <w:b w:val="1"/>
                <w:bCs w:val="1"/>
                <w:color w:val="auto"/>
              </w:rPr>
              <w:t>Peripherals</w:t>
            </w:r>
          </w:p>
        </w:tc>
        <w:tc>
          <w:tcPr>
            <w:tcW w:w="1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tcBorders>
              <w:left w:val="single" w:sz="8" w:color="CFF0FC"/>
            </w:tcBorders>
            <w:gridSpan w:val="5"/>
            <w:shd w:val="clear" w:color="auto" w:fill="CFF0FC"/>
          </w:tcPr>
          <w:p>
            <w:pPr>
              <w:ind w:left="20"/>
              <w:spacing w:after="0"/>
              <w:rPr>
                <w:sz w:val="20"/>
                <w:szCs w:val="20"/>
                <w:color w:val="auto"/>
              </w:rPr>
            </w:pPr>
            <w:r>
              <w:rPr>
                <w:rFonts w:ascii="Arial" w:cs="Arial" w:eastAsia="Arial" w:hAnsi="Arial"/>
                <w:sz w:val="13"/>
                <w:szCs w:val="13"/>
                <w:color w:val="auto"/>
              </w:rPr>
              <w:t>RealWear, Inc.</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Series A Preferred Stock</w:t>
            </w:r>
          </w:p>
        </w:tc>
        <w:tc>
          <w:tcPr>
            <w:tcW w:w="920" w:type="dxa"/>
            <w:vAlign w:val="bottom"/>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9"/>
              </w:rPr>
              <w:t>10/5/2018</w:t>
            </w:r>
          </w:p>
        </w:tc>
        <w:tc>
          <w:tcPr>
            <w:tcW w:w="12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9"/>
              </w:rPr>
              <w:t>10/5/2028</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112,451</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135,841</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Series A Preferred Stock</w:t>
            </w:r>
          </w:p>
        </w:tc>
        <w:tc>
          <w:tcPr>
            <w:tcW w:w="9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12/28/2018</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12/28/2028</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22,491</w:t>
            </w: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25,248</w:t>
            </w:r>
          </w:p>
        </w:tc>
        <w:tc>
          <w:tcPr>
            <w:tcW w:w="2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1120" w:type="dxa"/>
            <w:vAlign w:val="bottom"/>
            <w:tcBorders>
              <w:left w:val="single" w:sz="8" w:color="CFF0FC"/>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Series A Preferred Stock</w:t>
            </w:r>
          </w:p>
        </w:tc>
        <w:tc>
          <w:tcPr>
            <w:tcW w:w="920" w:type="dxa"/>
            <w:vAlign w:val="bottom"/>
            <w:tcBorders>
              <w:bottom w:val="single" w:sz="8" w:color="CFF0FC"/>
            </w:tcBorders>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9"/>
              </w:rPr>
              <w:t>6/27/2019</w:t>
            </w:r>
          </w:p>
        </w:tc>
        <w:tc>
          <w:tcPr>
            <w:tcW w:w="1220" w:type="dxa"/>
            <w:vAlign w:val="bottom"/>
            <w:tcBorders>
              <w:bottom w:val="single" w:sz="8" w:color="CFF0FC"/>
            </w:tcBorders>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9"/>
              </w:rPr>
              <w:t>6/27/2029</w:t>
            </w: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123,894</w:t>
            </w:r>
          </w:p>
        </w:tc>
        <w:tc>
          <w:tcPr>
            <w:tcW w:w="240" w:type="dxa"/>
            <w:vAlign w:val="bottom"/>
            <w:tcBorders>
              <w:bottom w:val="single" w:sz="8" w:color="CFF0FC"/>
            </w:tcBorders>
            <w:shd w:val="clear" w:color="auto" w:fill="CFF0FC"/>
          </w:tcPr>
          <w:p>
            <w:pPr>
              <w:spacing w:after="0"/>
              <w:rPr>
                <w:sz w:val="12"/>
                <w:szCs w:val="1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380,850</w:t>
            </w:r>
          </w:p>
        </w:tc>
        <w:tc>
          <w:tcPr>
            <w:tcW w:w="2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02"/>
        </w:trPr>
        <w:tc>
          <w:tcPr>
            <w:tcW w:w="2260" w:type="dxa"/>
            <w:vAlign w:val="bottom"/>
            <w:gridSpan w:val="5"/>
          </w:tcPr>
          <w:p>
            <w:pPr>
              <w:ind w:left="20"/>
              <w:spacing w:after="0" w:line="102" w:lineRule="exact"/>
              <w:rPr>
                <w:sz w:val="20"/>
                <w:szCs w:val="20"/>
                <w:color w:val="auto"/>
              </w:rPr>
            </w:pPr>
            <w:r>
              <w:rPr>
                <w:rFonts w:ascii="Arial" w:cs="Arial" w:eastAsia="Arial" w:hAnsi="Arial"/>
                <w:sz w:val="10"/>
                <w:szCs w:val="10"/>
                <w:b w:val="1"/>
                <w:bCs w:val="1"/>
                <w:color w:val="auto"/>
              </w:rPr>
              <w:t>Total Technology Hardware, Storage &amp;</w:t>
            </w:r>
          </w:p>
        </w:tc>
        <w:tc>
          <w:tcPr>
            <w:tcW w:w="1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vMerge w:val="restart"/>
          </w:tcPr>
          <w:p>
            <w:pPr>
              <w:spacing w:after="0"/>
              <w:rPr>
                <w:sz w:val="8"/>
                <w:szCs w:val="8"/>
                <w:color w:val="auto"/>
              </w:rPr>
            </w:pPr>
          </w:p>
        </w:tc>
        <w:tc>
          <w:tcPr>
            <w:tcW w:w="1040" w:type="dxa"/>
            <w:vAlign w:val="bottom"/>
            <w:vMerge w:val="restart"/>
          </w:tcPr>
          <w:p>
            <w:pPr>
              <w:jc w:val="right"/>
              <w:spacing w:after="0"/>
              <w:rPr>
                <w:sz w:val="20"/>
                <w:szCs w:val="20"/>
                <w:color w:val="auto"/>
              </w:rPr>
            </w:pPr>
            <w:r>
              <w:rPr>
                <w:rFonts w:ascii="Arial" w:cs="Arial" w:eastAsia="Arial" w:hAnsi="Arial"/>
                <w:sz w:val="13"/>
                <w:szCs w:val="13"/>
                <w:color w:val="auto"/>
              </w:rPr>
              <w:t>541,939</w:t>
            </w:r>
          </w:p>
        </w:tc>
        <w:tc>
          <w:tcPr>
            <w:tcW w:w="240" w:type="dxa"/>
            <w:vAlign w:val="bottom"/>
          </w:tcPr>
          <w:p>
            <w:pPr>
              <w:spacing w:after="0"/>
              <w:rPr>
                <w:sz w:val="8"/>
                <w:szCs w:val="8"/>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260" w:type="dxa"/>
            <w:vAlign w:val="bottom"/>
            <w:gridSpan w:val="5"/>
          </w:tcPr>
          <w:p>
            <w:pPr>
              <w:ind w:left="20"/>
              <w:spacing w:after="0"/>
              <w:rPr>
                <w:sz w:val="20"/>
                <w:szCs w:val="20"/>
                <w:color w:val="auto"/>
              </w:rPr>
            </w:pPr>
            <w:r>
              <w:rPr>
                <w:rFonts w:ascii="Arial" w:cs="Arial" w:eastAsia="Arial" w:hAnsi="Arial"/>
                <w:sz w:val="13"/>
                <w:szCs w:val="13"/>
                <w:b w:val="1"/>
                <w:bCs w:val="1"/>
                <w:color w:val="auto"/>
              </w:rPr>
              <w:t>Peripherals - 0.00%*</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Borders>
              <w:left w:val="single" w:sz="8" w:color="CFF0FC"/>
            </w:tcBorders>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4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80" w:type="dxa"/>
            <w:vAlign w:val="bottom"/>
            <w:gridSpan w:val="2"/>
            <w:shd w:val="clear" w:color="auto" w:fill="CFF0FC"/>
          </w:tcPr>
          <w:p>
            <w:pPr>
              <w:spacing w:after="0"/>
              <w:rPr>
                <w:sz w:val="12"/>
                <w:szCs w:val="12"/>
                <w:color w:val="auto"/>
              </w:rPr>
            </w:pPr>
          </w:p>
        </w:tc>
        <w:tc>
          <w:tcPr>
            <w:tcW w:w="1320" w:type="dxa"/>
            <w:vAlign w:val="bottom"/>
            <w:gridSpan w:val="2"/>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5"/>
          </w:tcPr>
          <w:p>
            <w:pPr>
              <w:ind w:left="20"/>
              <w:spacing w:after="0"/>
              <w:rPr>
                <w:sz w:val="20"/>
                <w:szCs w:val="20"/>
                <w:color w:val="auto"/>
              </w:rPr>
            </w:pPr>
            <w:r>
              <w:rPr>
                <w:rFonts w:ascii="Arial" w:cs="Arial" w:eastAsia="Arial" w:hAnsi="Arial"/>
                <w:sz w:val="13"/>
                <w:szCs w:val="13"/>
                <w:b w:val="1"/>
                <w:bCs w:val="1"/>
                <w:color w:val="auto"/>
              </w:rPr>
              <w:t>Total Warrants - 3.31%*</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17,146,974</w:t>
            </w:r>
          </w:p>
        </w:tc>
        <w:tc>
          <w:tcPr>
            <w:tcW w:w="240" w:type="dxa"/>
            <w:vAlign w:val="bottom"/>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20,087,550</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260" w:type="dxa"/>
            <w:vAlign w:val="bottom"/>
            <w:tcBorders>
              <w:left w:val="single" w:sz="8" w:color="CFF0FC"/>
            </w:tcBorders>
            <w:gridSpan w:val="5"/>
            <w:shd w:val="clear" w:color="auto" w:fill="CFF0FC"/>
          </w:tcPr>
          <w:p>
            <w:pPr>
              <w:ind w:left="20"/>
              <w:spacing w:after="0" w:line="115" w:lineRule="exact"/>
              <w:rPr>
                <w:sz w:val="20"/>
                <w:szCs w:val="20"/>
                <w:color w:val="auto"/>
              </w:rPr>
            </w:pPr>
            <w:r>
              <w:rPr>
                <w:rFonts w:ascii="Arial" w:cs="Arial" w:eastAsia="Arial" w:hAnsi="Arial"/>
                <w:sz w:val="13"/>
                <w:szCs w:val="13"/>
                <w:b w:val="1"/>
                <w:bCs w:val="1"/>
                <w:color w:val="auto"/>
              </w:rPr>
              <w:t>Total Non-Control/Non-Affiliate</w:t>
            </w:r>
          </w:p>
        </w:tc>
        <w:tc>
          <w:tcPr>
            <w:tcW w:w="140" w:type="dxa"/>
            <w:vAlign w:val="bottom"/>
            <w:shd w:val="clear" w:color="auto" w:fill="CFF0FC"/>
          </w:tcPr>
          <w:p>
            <w:pPr>
              <w:spacing w:after="0"/>
              <w:rPr>
                <w:sz w:val="10"/>
                <w:szCs w:val="10"/>
                <w:color w:val="auto"/>
              </w:rPr>
            </w:pPr>
          </w:p>
        </w:tc>
        <w:tc>
          <w:tcPr>
            <w:tcW w:w="2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647,448,895</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655,384,403</w:t>
            </w:r>
          </w:p>
        </w:tc>
        <w:tc>
          <w:tcPr>
            <w:tcW w:w="2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80" w:type="dxa"/>
            <w:vAlign w:val="bottom"/>
            <w:tcBorders>
              <w:top w:val="single" w:sz="8" w:color="auto"/>
              <w:left w:val="single" w:sz="8" w:color="CFF0FC"/>
            </w:tcBorders>
            <w:gridSpan w:val="3"/>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Investments - 108.11%*</w:t>
            </w:r>
          </w:p>
        </w:tc>
        <w:tc>
          <w:tcPr>
            <w:tcW w:w="480" w:type="dxa"/>
            <w:vAlign w:val="bottom"/>
            <w:tcBorders>
              <w:top w:val="single" w:sz="8" w:color="CFF0FC"/>
            </w:tcBorders>
            <w:gridSpan w:val="2"/>
            <w:shd w:val="clear" w:color="auto" w:fill="CFF0FC"/>
          </w:tcPr>
          <w:p>
            <w:pPr>
              <w:spacing w:after="0"/>
              <w:rPr>
                <w:sz w:val="9"/>
                <w:szCs w:val="9"/>
                <w:color w:val="auto"/>
              </w:rPr>
            </w:pPr>
          </w:p>
        </w:tc>
        <w:tc>
          <w:tcPr>
            <w:tcW w:w="140" w:type="dxa"/>
            <w:vAlign w:val="bottom"/>
            <w:tcBorders>
              <w:top w:val="single" w:sz="8" w:color="CFF0FC"/>
            </w:tcBorders>
            <w:shd w:val="clear" w:color="auto" w:fill="CFF0FC"/>
          </w:tcPr>
          <w:p>
            <w:pPr>
              <w:spacing w:after="0"/>
              <w:rPr>
                <w:sz w:val="9"/>
                <w:szCs w:val="9"/>
                <w:color w:val="auto"/>
              </w:rPr>
            </w:pPr>
          </w:p>
        </w:tc>
        <w:tc>
          <w:tcPr>
            <w:tcW w:w="2260" w:type="dxa"/>
            <w:vAlign w:val="bottom"/>
            <w:tcBorders>
              <w:top w:val="single" w:sz="8" w:color="CFF0FC"/>
            </w:tcBorders>
            <w:shd w:val="clear" w:color="auto" w:fill="CFF0FC"/>
          </w:tcPr>
          <w:p>
            <w:pPr>
              <w:spacing w:after="0"/>
              <w:rPr>
                <w:sz w:val="9"/>
                <w:szCs w:val="9"/>
                <w:color w:val="auto"/>
              </w:rPr>
            </w:pPr>
          </w:p>
        </w:tc>
        <w:tc>
          <w:tcPr>
            <w:tcW w:w="120" w:type="dxa"/>
            <w:vAlign w:val="bottom"/>
            <w:tcBorders>
              <w:top w:val="single" w:sz="8" w:color="CFF0FC"/>
            </w:tcBorders>
            <w:shd w:val="clear" w:color="auto" w:fill="CFF0FC"/>
          </w:tcPr>
          <w:p>
            <w:pPr>
              <w:spacing w:after="0"/>
              <w:rPr>
                <w:sz w:val="9"/>
                <w:szCs w:val="9"/>
                <w:color w:val="auto"/>
              </w:rPr>
            </w:pPr>
          </w:p>
        </w:tc>
        <w:tc>
          <w:tcPr>
            <w:tcW w:w="80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CFF0FC"/>
            </w:tcBorders>
            <w:shd w:val="clear" w:color="auto" w:fill="CFF0FC"/>
          </w:tcPr>
          <w:p>
            <w:pPr>
              <w:spacing w:after="0"/>
              <w:rPr>
                <w:sz w:val="9"/>
                <w:szCs w:val="9"/>
                <w:color w:val="auto"/>
              </w:rPr>
            </w:pPr>
          </w:p>
        </w:tc>
        <w:tc>
          <w:tcPr>
            <w:tcW w:w="1080" w:type="dxa"/>
            <w:vAlign w:val="bottom"/>
            <w:tcBorders>
              <w:top w:val="single" w:sz="8" w:color="CFF0FC"/>
            </w:tcBorders>
            <w:shd w:val="clear" w:color="auto" w:fill="CFF0FC"/>
          </w:tcPr>
          <w:p>
            <w:pPr>
              <w:spacing w:after="0"/>
              <w:rPr>
                <w:sz w:val="9"/>
                <w:szCs w:val="9"/>
                <w:color w:val="auto"/>
              </w:rPr>
            </w:pPr>
          </w:p>
        </w:tc>
        <w:tc>
          <w:tcPr>
            <w:tcW w:w="140" w:type="dxa"/>
            <w:vAlign w:val="bottom"/>
            <w:tcBorders>
              <w:top w:val="single" w:sz="8" w:color="CFF0FC"/>
            </w:tcBorders>
            <w:shd w:val="clear" w:color="auto" w:fill="CFF0FC"/>
          </w:tcPr>
          <w:p>
            <w:pPr>
              <w:spacing w:after="0"/>
              <w:rPr>
                <w:sz w:val="9"/>
                <w:szCs w:val="9"/>
                <w:color w:val="auto"/>
              </w:rPr>
            </w:pPr>
          </w:p>
        </w:tc>
        <w:tc>
          <w:tcPr>
            <w:tcW w:w="920" w:type="dxa"/>
            <w:vAlign w:val="bottom"/>
            <w:tcBorders>
              <w:top w:val="single" w:sz="8" w:color="CFF0FC"/>
            </w:tcBorders>
            <w:shd w:val="clear" w:color="auto" w:fill="CFF0FC"/>
          </w:tcPr>
          <w:p>
            <w:pPr>
              <w:spacing w:after="0"/>
              <w:rPr>
                <w:sz w:val="9"/>
                <w:szCs w:val="9"/>
                <w:color w:val="auto"/>
              </w:rPr>
            </w:pPr>
          </w:p>
        </w:tc>
        <w:tc>
          <w:tcPr>
            <w:tcW w:w="1280" w:type="dxa"/>
            <w:vAlign w:val="bottom"/>
            <w:tcBorders>
              <w:top w:val="single" w:sz="8" w:color="CFF0FC"/>
            </w:tcBorders>
            <w:gridSpan w:val="2"/>
            <w:vMerge w:val="continue"/>
            <w:shd w:val="clear" w:color="auto" w:fill="CFF0FC"/>
          </w:tcPr>
          <w:p>
            <w:pPr>
              <w:spacing w:after="0"/>
              <w:rPr>
                <w:sz w:val="9"/>
                <w:szCs w:val="9"/>
                <w:color w:val="auto"/>
              </w:rPr>
            </w:pPr>
          </w:p>
        </w:tc>
        <w:tc>
          <w:tcPr>
            <w:tcW w:w="1320" w:type="dxa"/>
            <w:vAlign w:val="bottom"/>
            <w:tcBorders>
              <w:top w:val="single" w:sz="8" w:color="CFF0FC"/>
            </w:tcBorders>
            <w:gridSpan w:val="2"/>
            <w:vMerge w:val="continue"/>
            <w:shd w:val="clear" w:color="auto" w:fill="CFF0FC"/>
          </w:tcPr>
          <w:p>
            <w:pPr>
              <w:spacing w:after="0"/>
              <w:rPr>
                <w:sz w:val="9"/>
                <w:szCs w:val="9"/>
                <w:color w:val="auto"/>
              </w:rPr>
            </w:pPr>
          </w:p>
        </w:tc>
        <w:tc>
          <w:tcPr>
            <w:tcW w:w="220" w:type="dxa"/>
            <w:vAlign w:val="bottom"/>
            <w:tcBorders>
              <w:top w:val="single" w:sz="8" w:color="CFF0FC"/>
            </w:tcBorders>
            <w:shd w:val="clear" w:color="auto" w:fill="CFF0FC"/>
          </w:tcPr>
          <w:p>
            <w:pPr>
              <w:spacing w:after="0"/>
              <w:rPr>
                <w:sz w:val="9"/>
                <w:szCs w:val="9"/>
                <w:color w:val="auto"/>
              </w:rPr>
            </w:pPr>
          </w:p>
        </w:tc>
        <w:tc>
          <w:tcPr>
            <w:tcW w:w="560" w:type="dxa"/>
            <w:vAlign w:val="bottom"/>
            <w:tcBorders>
              <w:top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CFF0FC"/>
            </w:tcBorders>
          </w:tcPr>
          <w:p>
            <w:pPr>
              <w:spacing w:after="0"/>
              <w:rPr>
                <w:sz w:val="12"/>
                <w:szCs w:val="12"/>
                <w:color w:val="auto"/>
              </w:rPr>
            </w:pPr>
          </w:p>
        </w:tc>
        <w:tc>
          <w:tcPr>
            <w:tcW w:w="3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2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780" w:type="dxa"/>
            <w:vAlign w:val="bottom"/>
            <w:tcBorders>
              <w:top w:val="single" w:sz="8" w:color="CFF0F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260" w:type="dxa"/>
            <w:vAlign w:val="bottom"/>
            <w:tcBorders>
              <w:left w:val="single" w:sz="8" w:color="CFF0FC"/>
            </w:tcBorders>
            <w:gridSpan w:val="5"/>
            <w:shd w:val="clear" w:color="auto" w:fill="CFF0FC"/>
          </w:tcPr>
          <w:p>
            <w:pPr>
              <w:ind w:left="20"/>
              <w:spacing w:after="0" w:line="122" w:lineRule="exact"/>
              <w:rPr>
                <w:sz w:val="20"/>
                <w:szCs w:val="20"/>
                <w:color w:val="auto"/>
              </w:rPr>
            </w:pPr>
            <w:r>
              <w:rPr>
                <w:rFonts w:ascii="Arial" w:cs="Arial" w:eastAsia="Arial" w:hAnsi="Arial"/>
                <w:sz w:val="13"/>
                <w:szCs w:val="13"/>
                <w:b w:val="1"/>
                <w:bCs w:val="1"/>
                <w:color w:val="auto"/>
              </w:rPr>
              <w:t>Control Investments</w:t>
            </w:r>
          </w:p>
        </w:tc>
        <w:tc>
          <w:tcPr>
            <w:tcW w:w="140" w:type="dxa"/>
            <w:vAlign w:val="bottom"/>
            <w:shd w:val="clear" w:color="auto" w:fill="CFF0FC"/>
          </w:tcPr>
          <w:p>
            <w:pPr>
              <w:spacing w:after="0"/>
              <w:rPr>
                <w:sz w:val="10"/>
                <w:szCs w:val="10"/>
                <w:color w:val="auto"/>
              </w:rPr>
            </w:pPr>
          </w:p>
        </w:tc>
        <w:tc>
          <w:tcPr>
            <w:tcW w:w="22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80" w:type="dxa"/>
            <w:vAlign w:val="bottom"/>
            <w:shd w:val="clear" w:color="auto" w:fill="CFF0FC"/>
          </w:tcPr>
          <w:p>
            <w:pPr>
              <w:spacing w:after="0"/>
              <w:rPr>
                <w:sz w:val="10"/>
                <w:szCs w:val="10"/>
                <w:color w:val="auto"/>
              </w:rPr>
            </w:pPr>
          </w:p>
        </w:tc>
        <w:tc>
          <w:tcPr>
            <w:tcW w:w="780" w:type="dxa"/>
            <w:vAlign w:val="bottom"/>
            <w:gridSpan w:val="2"/>
            <w:shd w:val="clear" w:color="auto" w:fill="CFF0FC"/>
          </w:tcPr>
          <w:p>
            <w:pPr>
              <w:ind w:left="240"/>
              <w:spacing w:after="0" w:line="122"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7"/>
        </w:trPr>
        <w:tc>
          <w:tcPr>
            <w:tcW w:w="1120" w:type="dxa"/>
            <w:vAlign w:val="bottom"/>
            <w:tcBorders>
              <w:left w:val="single" w:sz="8" w:color="CFF0FC"/>
            </w:tcBorders>
            <w:shd w:val="clear" w:color="auto" w:fill="000000"/>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260" w:type="dxa"/>
            <w:vAlign w:val="bottom"/>
            <w:gridSpan w:val="5"/>
          </w:tcPr>
          <w:p>
            <w:pPr>
              <w:ind w:left="20"/>
              <w:spacing w:after="0"/>
              <w:rPr>
                <w:sz w:val="20"/>
                <w:szCs w:val="20"/>
                <w:color w:val="auto"/>
              </w:rPr>
            </w:pPr>
            <w:r>
              <w:rPr>
                <w:rFonts w:ascii="Arial" w:cs="Arial" w:eastAsia="Arial" w:hAnsi="Arial"/>
                <w:sz w:val="13"/>
                <w:szCs w:val="13"/>
                <w:b w:val="1"/>
                <w:bCs w:val="1"/>
                <w:color w:val="auto"/>
              </w:rPr>
              <w:t>Senior Secured Term Loans</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CFF0FC"/>
            </w:tcBorders>
            <w:gridSpan w:val="5"/>
            <w:shd w:val="clear" w:color="auto" w:fill="CFF0FC"/>
          </w:tcPr>
          <w:p>
            <w:pPr>
              <w:ind w:left="20"/>
              <w:spacing w:after="0"/>
              <w:rPr>
                <w:sz w:val="20"/>
                <w:szCs w:val="20"/>
                <w:color w:val="auto"/>
              </w:rPr>
            </w:pPr>
            <w:r>
              <w:rPr>
                <w:rFonts w:ascii="Arial" w:cs="Arial" w:eastAsia="Arial" w:hAnsi="Arial"/>
                <w:sz w:val="13"/>
                <w:szCs w:val="13"/>
                <w:b w:val="1"/>
                <w:bCs w:val="1"/>
                <w:color w:val="auto"/>
              </w:rPr>
              <w:t>Application Software</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gridSpan w:val="5"/>
            <w:vMerge w:val="restart"/>
          </w:tcPr>
          <w:p>
            <w:pPr>
              <w:ind w:left="20"/>
              <w:spacing w:after="0"/>
              <w:rPr>
                <w:sz w:val="20"/>
                <w:szCs w:val="20"/>
                <w:color w:val="auto"/>
              </w:rPr>
            </w:pPr>
            <w:r>
              <w:rPr>
                <w:rFonts w:ascii="Arial" w:cs="Arial" w:eastAsia="Arial" w:hAnsi="Arial"/>
                <w:sz w:val="13"/>
                <w:szCs w:val="13"/>
                <w:color w:val="auto"/>
              </w:rPr>
              <w:t>Mojix, Inc.</w:t>
            </w:r>
          </w:p>
        </w:tc>
        <w:tc>
          <w:tcPr>
            <w:tcW w:w="140" w:type="dxa"/>
            <w:vAlign w:val="bottom"/>
          </w:tcPr>
          <w:p>
            <w:pPr>
              <w:spacing w:after="0"/>
              <w:rPr>
                <w:sz w:val="9"/>
                <w:szCs w:val="9"/>
                <w:color w:val="auto"/>
              </w:rPr>
            </w:pPr>
          </w:p>
        </w:tc>
        <w:tc>
          <w:tcPr>
            <w:tcW w:w="2260" w:type="dxa"/>
            <w:vAlign w:val="bottom"/>
          </w:tcPr>
          <w:p>
            <w:pPr>
              <w:ind w:left="20"/>
              <w:spacing w:after="0" w:line="108" w:lineRule="exact"/>
              <w:rPr>
                <w:sz w:val="20"/>
                <w:szCs w:val="20"/>
                <w:color w:val="auto"/>
              </w:rPr>
            </w:pPr>
            <w:r>
              <w:rPr>
                <w:rFonts w:ascii="Arial" w:cs="Arial" w:eastAsia="Arial" w:hAnsi="Arial"/>
                <w:sz w:val="12"/>
                <w:szCs w:val="12"/>
                <w:color w:val="auto"/>
              </w:rPr>
              <w:t>LIBOR+12.00% , 12.00% cash cap, 5%</w:t>
            </w:r>
          </w:p>
        </w:tc>
        <w:tc>
          <w:tcPr>
            <w:tcW w:w="92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9"/>
              </w:rPr>
              <w:t>5/16/2017</w:t>
            </w:r>
          </w:p>
        </w:tc>
        <w:tc>
          <w:tcPr>
            <w:tcW w:w="1220" w:type="dxa"/>
            <w:vAlign w:val="bottom"/>
            <w:gridSpan w:val="2"/>
            <w:vMerge w:val="restart"/>
          </w:tcPr>
          <w:p>
            <w:pPr>
              <w:jc w:val="center"/>
              <w:ind w:left="77"/>
              <w:spacing w:after="0"/>
              <w:rPr>
                <w:sz w:val="20"/>
                <w:szCs w:val="20"/>
                <w:color w:val="auto"/>
              </w:rPr>
            </w:pPr>
            <w:r>
              <w:rPr>
                <w:rFonts w:ascii="Arial" w:cs="Arial" w:eastAsia="Arial" w:hAnsi="Arial"/>
                <w:sz w:val="13"/>
                <w:szCs w:val="13"/>
                <w:color w:val="auto"/>
                <w:w w:val="89"/>
              </w:rPr>
              <w:t>1/15/2022</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6,519,240</w:t>
            </w:r>
          </w:p>
        </w:tc>
        <w:tc>
          <w:tcPr>
            <w:tcW w:w="1280" w:type="dxa"/>
            <w:vAlign w:val="bottom"/>
            <w:gridSpan w:val="2"/>
            <w:vMerge w:val="restart"/>
          </w:tcPr>
          <w:p>
            <w:pPr>
              <w:jc w:val="right"/>
              <w:spacing w:after="0"/>
              <w:rPr>
                <w:sz w:val="20"/>
                <w:szCs w:val="20"/>
                <w:color w:val="auto"/>
              </w:rPr>
            </w:pPr>
            <w:r>
              <w:rPr>
                <w:rFonts w:ascii="Arial" w:cs="Arial" w:eastAsia="Arial" w:hAnsi="Arial"/>
                <w:sz w:val="13"/>
                <w:szCs w:val="13"/>
                <w:color w:val="auto"/>
              </w:rPr>
              <w:t>6,502,036</w:t>
            </w:r>
          </w:p>
        </w:tc>
        <w:tc>
          <w:tcPr>
            <w:tcW w:w="1320" w:type="dxa"/>
            <w:vAlign w:val="bottom"/>
            <w:gridSpan w:val="2"/>
            <w:vMerge w:val="restart"/>
          </w:tcPr>
          <w:p>
            <w:pPr>
              <w:jc w:val="right"/>
              <w:spacing w:after="0"/>
              <w:rPr>
                <w:sz w:val="20"/>
                <w:szCs w:val="20"/>
                <w:color w:val="auto"/>
              </w:rPr>
            </w:pPr>
            <w:r>
              <w:rPr>
                <w:rFonts w:ascii="Arial" w:cs="Arial" w:eastAsia="Arial" w:hAnsi="Arial"/>
                <w:sz w:val="13"/>
                <w:szCs w:val="13"/>
                <w:color w:val="auto"/>
              </w:rPr>
              <w:t>7,567,610</w:t>
            </w:r>
          </w:p>
        </w:tc>
        <w:tc>
          <w:tcPr>
            <w:tcW w:w="780" w:type="dxa"/>
            <w:vAlign w:val="bottom"/>
            <w:gridSpan w:val="2"/>
            <w:vMerge w:val="restart"/>
          </w:tcPr>
          <w:p>
            <w:pPr>
              <w:ind w:left="240"/>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61"/>
        </w:trPr>
        <w:tc>
          <w:tcPr>
            <w:tcW w:w="2260" w:type="dxa"/>
            <w:vAlign w:val="bottom"/>
            <w:gridSpan w:val="5"/>
            <w:vMerge w:val="continue"/>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ETP</w:t>
            </w:r>
          </w:p>
        </w:tc>
        <w:tc>
          <w:tcPr>
            <w:tcW w:w="9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120" w:type="dxa"/>
            <w:vAlign w:val="bottom"/>
            <w:tcBorders>
              <w:lef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26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LIBOR+12.00% , 12.00% cash cap, 5%</w:t>
            </w:r>
          </w:p>
        </w:tc>
        <w:tc>
          <w:tcPr>
            <w:tcW w:w="920" w:type="dxa"/>
            <w:vAlign w:val="bottom"/>
            <w:gridSpan w:val="2"/>
            <w:vMerge w:val="restart"/>
            <w:shd w:val="clear" w:color="auto" w:fill="CFF0FC"/>
          </w:tcPr>
          <w:p>
            <w:pPr>
              <w:jc w:val="center"/>
              <w:ind w:left="57"/>
              <w:spacing w:after="0"/>
              <w:rPr>
                <w:sz w:val="20"/>
                <w:szCs w:val="20"/>
                <w:color w:val="auto"/>
              </w:rPr>
            </w:pPr>
            <w:r>
              <w:rPr>
                <w:rFonts w:ascii="Arial" w:cs="Arial" w:eastAsia="Arial" w:hAnsi="Arial"/>
                <w:sz w:val="13"/>
                <w:szCs w:val="13"/>
                <w:color w:val="auto"/>
                <w:w w:val="86"/>
              </w:rPr>
              <w:t>8/3/2017</w:t>
            </w:r>
          </w:p>
        </w:tc>
        <w:tc>
          <w:tcPr>
            <w:tcW w:w="1220" w:type="dxa"/>
            <w:vAlign w:val="bottom"/>
            <w:gridSpan w:val="2"/>
            <w:vMerge w:val="restart"/>
            <w:shd w:val="clear" w:color="auto" w:fill="CFF0FC"/>
          </w:tcPr>
          <w:p>
            <w:pPr>
              <w:jc w:val="center"/>
              <w:ind w:left="77"/>
              <w:spacing w:after="0"/>
              <w:rPr>
                <w:sz w:val="20"/>
                <w:szCs w:val="20"/>
                <w:color w:val="auto"/>
              </w:rPr>
            </w:pPr>
            <w:r>
              <w:rPr>
                <w:rFonts w:ascii="Arial" w:cs="Arial" w:eastAsia="Arial" w:hAnsi="Arial"/>
                <w:sz w:val="13"/>
                <w:szCs w:val="13"/>
                <w:color w:val="auto"/>
                <w:w w:val="89"/>
              </w:rPr>
              <w:t>1/15/2022</w:t>
            </w:r>
          </w:p>
        </w:tc>
        <w:tc>
          <w:tcPr>
            <w:tcW w:w="10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2,173,080</w:t>
            </w: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2,170,069</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2,522,537</w:t>
            </w:r>
          </w:p>
        </w:tc>
        <w:tc>
          <w:tcPr>
            <w:tcW w:w="780" w:type="dxa"/>
            <w:vAlign w:val="bottom"/>
            <w:gridSpan w:val="2"/>
            <w:vMerge w:val="restart"/>
            <w:shd w:val="clear" w:color="auto" w:fill="CFF0FC"/>
          </w:tcPr>
          <w:p>
            <w:pPr>
              <w:ind w:left="240"/>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62"/>
        </w:trPr>
        <w:tc>
          <w:tcPr>
            <w:tcW w:w="1120" w:type="dxa"/>
            <w:vAlign w:val="bottom"/>
            <w:tcBorders>
              <w:lef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ETP</w:t>
            </w:r>
          </w:p>
        </w:tc>
        <w:tc>
          <w:tcPr>
            <w:tcW w:w="920" w:type="dxa"/>
            <w:vAlign w:val="bottom"/>
            <w:gridSpan w:val="2"/>
            <w:vMerge w:val="continue"/>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60" w:type="dxa"/>
            <w:vAlign w:val="bottom"/>
          </w:tcPr>
          <w:p>
            <w:pPr>
              <w:ind w:left="20"/>
              <w:spacing w:after="0" w:line="108" w:lineRule="exact"/>
              <w:rPr>
                <w:sz w:val="20"/>
                <w:szCs w:val="20"/>
                <w:color w:val="auto"/>
              </w:rPr>
            </w:pPr>
            <w:r>
              <w:rPr>
                <w:rFonts w:ascii="Arial" w:cs="Arial" w:eastAsia="Arial" w:hAnsi="Arial"/>
                <w:sz w:val="12"/>
                <w:szCs w:val="12"/>
                <w:color w:val="auto"/>
              </w:rPr>
              <w:t>LIBOR+12.00% , 12.00% cash cap, 5%</w:t>
            </w:r>
          </w:p>
        </w:tc>
        <w:tc>
          <w:tcPr>
            <w:tcW w:w="92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6"/>
              </w:rPr>
              <w:t>7/6/2018</w:t>
            </w:r>
          </w:p>
        </w:tc>
        <w:tc>
          <w:tcPr>
            <w:tcW w:w="1220" w:type="dxa"/>
            <w:vAlign w:val="bottom"/>
            <w:gridSpan w:val="2"/>
            <w:vMerge w:val="restart"/>
          </w:tcPr>
          <w:p>
            <w:pPr>
              <w:jc w:val="center"/>
              <w:ind w:left="77"/>
              <w:spacing w:after="0"/>
              <w:rPr>
                <w:sz w:val="20"/>
                <w:szCs w:val="20"/>
                <w:color w:val="auto"/>
              </w:rPr>
            </w:pPr>
            <w:r>
              <w:rPr>
                <w:rFonts w:ascii="Arial" w:cs="Arial" w:eastAsia="Arial" w:hAnsi="Arial"/>
                <w:sz w:val="13"/>
                <w:szCs w:val="13"/>
                <w:color w:val="auto"/>
                <w:w w:val="89"/>
              </w:rPr>
              <w:t>1/15/2022</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542,721</w:t>
            </w:r>
          </w:p>
        </w:tc>
        <w:tc>
          <w:tcPr>
            <w:tcW w:w="1280" w:type="dxa"/>
            <w:vAlign w:val="bottom"/>
            <w:gridSpan w:val="2"/>
            <w:vMerge w:val="restart"/>
          </w:tcPr>
          <w:p>
            <w:pPr>
              <w:jc w:val="right"/>
              <w:spacing w:after="0"/>
              <w:rPr>
                <w:sz w:val="20"/>
                <w:szCs w:val="20"/>
                <w:color w:val="auto"/>
              </w:rPr>
            </w:pPr>
            <w:r>
              <w:rPr>
                <w:rFonts w:ascii="Arial" w:cs="Arial" w:eastAsia="Arial" w:hAnsi="Arial"/>
                <w:sz w:val="13"/>
                <w:szCs w:val="13"/>
                <w:color w:val="auto"/>
              </w:rPr>
              <w:t>543,783</w:t>
            </w:r>
          </w:p>
        </w:tc>
        <w:tc>
          <w:tcPr>
            <w:tcW w:w="1320" w:type="dxa"/>
            <w:vAlign w:val="bottom"/>
            <w:gridSpan w:val="2"/>
            <w:vMerge w:val="restart"/>
          </w:tcPr>
          <w:p>
            <w:pPr>
              <w:jc w:val="right"/>
              <w:spacing w:after="0"/>
              <w:rPr>
                <w:sz w:val="20"/>
                <w:szCs w:val="20"/>
                <w:color w:val="auto"/>
              </w:rPr>
            </w:pPr>
            <w:r>
              <w:rPr>
                <w:rFonts w:ascii="Arial" w:cs="Arial" w:eastAsia="Arial" w:hAnsi="Arial"/>
                <w:sz w:val="13"/>
                <w:szCs w:val="13"/>
                <w:color w:val="auto"/>
              </w:rPr>
              <w:t>629,997</w:t>
            </w:r>
          </w:p>
        </w:tc>
        <w:tc>
          <w:tcPr>
            <w:tcW w:w="780" w:type="dxa"/>
            <w:vAlign w:val="bottom"/>
            <w:gridSpan w:val="2"/>
            <w:vMerge w:val="restart"/>
          </w:tcPr>
          <w:p>
            <w:pPr>
              <w:ind w:left="240"/>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ETP</w:t>
            </w:r>
          </w:p>
        </w:tc>
        <w:tc>
          <w:tcPr>
            <w:tcW w:w="9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120" w:type="dxa"/>
            <w:vAlign w:val="bottom"/>
            <w:tcBorders>
              <w:lef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26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LIBOR+12.00% , 12.00% cash cap, 5%</w:t>
            </w:r>
          </w:p>
        </w:tc>
        <w:tc>
          <w:tcPr>
            <w:tcW w:w="920" w:type="dxa"/>
            <w:vAlign w:val="bottom"/>
            <w:gridSpan w:val="2"/>
            <w:vMerge w:val="restart"/>
            <w:shd w:val="clear" w:color="auto" w:fill="CFF0FC"/>
          </w:tcPr>
          <w:p>
            <w:pPr>
              <w:jc w:val="center"/>
              <w:ind w:left="57"/>
              <w:spacing w:after="0"/>
              <w:rPr>
                <w:sz w:val="20"/>
                <w:szCs w:val="20"/>
                <w:color w:val="auto"/>
              </w:rPr>
            </w:pPr>
            <w:r>
              <w:rPr>
                <w:rFonts w:ascii="Arial" w:cs="Arial" w:eastAsia="Arial" w:hAnsi="Arial"/>
                <w:sz w:val="13"/>
                <w:szCs w:val="13"/>
                <w:color w:val="auto"/>
                <w:w w:val="86"/>
              </w:rPr>
              <w:t>9/5/2018</w:t>
            </w:r>
          </w:p>
        </w:tc>
        <w:tc>
          <w:tcPr>
            <w:tcW w:w="1220" w:type="dxa"/>
            <w:vAlign w:val="bottom"/>
            <w:gridSpan w:val="2"/>
            <w:vMerge w:val="restart"/>
            <w:shd w:val="clear" w:color="auto" w:fill="CFF0FC"/>
          </w:tcPr>
          <w:p>
            <w:pPr>
              <w:jc w:val="center"/>
              <w:ind w:left="77"/>
              <w:spacing w:after="0"/>
              <w:rPr>
                <w:sz w:val="20"/>
                <w:szCs w:val="20"/>
                <w:color w:val="auto"/>
              </w:rPr>
            </w:pPr>
            <w:r>
              <w:rPr>
                <w:rFonts w:ascii="Arial" w:cs="Arial" w:eastAsia="Arial" w:hAnsi="Arial"/>
                <w:sz w:val="13"/>
                <w:szCs w:val="13"/>
                <w:color w:val="auto"/>
                <w:w w:val="89"/>
              </w:rPr>
              <w:t>1/15/2022</w:t>
            </w:r>
          </w:p>
        </w:tc>
        <w:tc>
          <w:tcPr>
            <w:tcW w:w="10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541,964</w:t>
            </w:r>
          </w:p>
        </w:tc>
        <w:tc>
          <w:tcPr>
            <w:tcW w:w="128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542,215</w:t>
            </w:r>
          </w:p>
        </w:tc>
        <w:tc>
          <w:tcPr>
            <w:tcW w:w="13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629,118</w:t>
            </w:r>
          </w:p>
        </w:tc>
        <w:tc>
          <w:tcPr>
            <w:tcW w:w="780" w:type="dxa"/>
            <w:vAlign w:val="bottom"/>
            <w:gridSpan w:val="2"/>
            <w:vMerge w:val="restart"/>
            <w:shd w:val="clear" w:color="auto" w:fill="CFF0FC"/>
          </w:tcPr>
          <w:p>
            <w:pPr>
              <w:ind w:left="240"/>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62"/>
        </w:trPr>
        <w:tc>
          <w:tcPr>
            <w:tcW w:w="1120" w:type="dxa"/>
            <w:vAlign w:val="bottom"/>
            <w:tcBorders>
              <w:left w:val="single" w:sz="8" w:color="CFF0FC"/>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ETP</w:t>
            </w:r>
          </w:p>
        </w:tc>
        <w:tc>
          <w:tcPr>
            <w:tcW w:w="920" w:type="dxa"/>
            <w:vAlign w:val="bottom"/>
            <w:gridSpan w:val="2"/>
            <w:vMerge w:val="continue"/>
            <w:shd w:val="clear" w:color="auto" w:fill="CFF0FC"/>
          </w:tcPr>
          <w:p>
            <w:pPr>
              <w:spacing w:after="0"/>
              <w:rPr>
                <w:sz w:val="14"/>
                <w:szCs w:val="14"/>
                <w:color w:val="auto"/>
              </w:rPr>
            </w:pPr>
          </w:p>
        </w:tc>
        <w:tc>
          <w:tcPr>
            <w:tcW w:w="1220" w:type="dxa"/>
            <w:vAlign w:val="bottom"/>
            <w:gridSpan w:val="2"/>
            <w:vMerge w:val="continue"/>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32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60" w:type="dxa"/>
            <w:vAlign w:val="bottom"/>
          </w:tcPr>
          <w:p>
            <w:pPr>
              <w:ind w:left="20"/>
              <w:spacing w:after="0" w:line="108" w:lineRule="exact"/>
              <w:rPr>
                <w:sz w:val="20"/>
                <w:szCs w:val="20"/>
                <w:color w:val="auto"/>
              </w:rPr>
            </w:pPr>
            <w:r>
              <w:rPr>
                <w:rFonts w:ascii="Arial" w:cs="Arial" w:eastAsia="Arial" w:hAnsi="Arial"/>
                <w:sz w:val="12"/>
                <w:szCs w:val="12"/>
                <w:color w:val="auto"/>
              </w:rPr>
              <w:t>LIBOR+12.00% , 12.00% cash cap, 5%</w:t>
            </w:r>
          </w:p>
        </w:tc>
        <w:tc>
          <w:tcPr>
            <w:tcW w:w="92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9"/>
              </w:rPr>
              <w:t>1/28/2019</w:t>
            </w:r>
          </w:p>
        </w:tc>
        <w:tc>
          <w:tcPr>
            <w:tcW w:w="1220" w:type="dxa"/>
            <w:vAlign w:val="bottom"/>
            <w:gridSpan w:val="2"/>
            <w:vMerge w:val="restart"/>
          </w:tcPr>
          <w:p>
            <w:pPr>
              <w:jc w:val="center"/>
              <w:ind w:left="77"/>
              <w:spacing w:after="0"/>
              <w:rPr>
                <w:sz w:val="20"/>
                <w:szCs w:val="20"/>
                <w:color w:val="auto"/>
              </w:rPr>
            </w:pPr>
            <w:r>
              <w:rPr>
                <w:rFonts w:ascii="Arial" w:cs="Arial" w:eastAsia="Arial" w:hAnsi="Arial"/>
                <w:sz w:val="13"/>
                <w:szCs w:val="13"/>
                <w:color w:val="auto"/>
                <w:w w:val="89"/>
              </w:rPr>
              <w:t>1/15/2022</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1,079,293</w:t>
            </w:r>
          </w:p>
        </w:tc>
        <w:tc>
          <w:tcPr>
            <w:tcW w:w="1280" w:type="dxa"/>
            <w:vAlign w:val="bottom"/>
            <w:gridSpan w:val="2"/>
            <w:vMerge w:val="restart"/>
          </w:tcPr>
          <w:p>
            <w:pPr>
              <w:jc w:val="right"/>
              <w:spacing w:after="0"/>
              <w:rPr>
                <w:sz w:val="20"/>
                <w:szCs w:val="20"/>
                <w:color w:val="auto"/>
              </w:rPr>
            </w:pPr>
            <w:r>
              <w:rPr>
                <w:rFonts w:ascii="Arial" w:cs="Arial" w:eastAsia="Arial" w:hAnsi="Arial"/>
                <w:sz w:val="13"/>
                <w:szCs w:val="13"/>
                <w:color w:val="auto"/>
              </w:rPr>
              <w:t>1,073,081</w:t>
            </w:r>
          </w:p>
        </w:tc>
        <w:tc>
          <w:tcPr>
            <w:tcW w:w="1320" w:type="dxa"/>
            <w:vAlign w:val="bottom"/>
            <w:gridSpan w:val="2"/>
            <w:vMerge w:val="restart"/>
          </w:tcPr>
          <w:p>
            <w:pPr>
              <w:jc w:val="right"/>
              <w:spacing w:after="0"/>
              <w:rPr>
                <w:sz w:val="20"/>
                <w:szCs w:val="20"/>
                <w:color w:val="auto"/>
              </w:rPr>
            </w:pPr>
            <w:r>
              <w:rPr>
                <w:rFonts w:ascii="Arial" w:cs="Arial" w:eastAsia="Arial" w:hAnsi="Arial"/>
                <w:sz w:val="13"/>
                <w:szCs w:val="13"/>
                <w:color w:val="auto"/>
              </w:rPr>
              <w:t>1,252,833</w:t>
            </w:r>
          </w:p>
        </w:tc>
        <w:tc>
          <w:tcPr>
            <w:tcW w:w="780" w:type="dxa"/>
            <w:vAlign w:val="bottom"/>
            <w:gridSpan w:val="2"/>
            <w:vMerge w:val="restart"/>
          </w:tcPr>
          <w:p>
            <w:pPr>
              <w:ind w:left="240"/>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61"/>
        </w:trPr>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ETP</w:t>
            </w:r>
          </w:p>
        </w:tc>
        <w:tc>
          <w:tcPr>
            <w:tcW w:w="92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1120" w:type="dxa"/>
            <w:vAlign w:val="bottom"/>
            <w:tcBorders>
              <w:left w:val="single" w:sz="8" w:color="CFF0FC"/>
            </w:tcBorders>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8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26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color w:val="auto"/>
              </w:rPr>
              <w:t>LIBOR+12.00% , 12.00% cash cap, 5%</w:t>
            </w:r>
          </w:p>
        </w:tc>
        <w:tc>
          <w:tcPr>
            <w:tcW w:w="920" w:type="dxa"/>
            <w:vAlign w:val="bottom"/>
            <w:gridSpan w:val="2"/>
            <w:vMerge w:val="restart"/>
            <w:shd w:val="clear" w:color="auto" w:fill="CFF0FC"/>
          </w:tcPr>
          <w:p>
            <w:pPr>
              <w:jc w:val="center"/>
              <w:ind w:left="77"/>
              <w:spacing w:after="0"/>
              <w:rPr>
                <w:sz w:val="20"/>
                <w:szCs w:val="20"/>
                <w:color w:val="auto"/>
              </w:rPr>
            </w:pPr>
            <w:r>
              <w:rPr>
                <w:rFonts w:ascii="Arial" w:cs="Arial" w:eastAsia="Arial" w:hAnsi="Arial"/>
                <w:sz w:val="13"/>
                <w:szCs w:val="13"/>
                <w:color w:val="auto"/>
                <w:w w:val="89"/>
              </w:rPr>
              <w:t>12/18/2019</w:t>
            </w:r>
          </w:p>
        </w:tc>
        <w:tc>
          <w:tcPr>
            <w:tcW w:w="1220" w:type="dxa"/>
            <w:vAlign w:val="bottom"/>
            <w:gridSpan w:val="2"/>
            <w:vMerge w:val="restart"/>
            <w:shd w:val="clear" w:color="auto" w:fill="CFF0FC"/>
          </w:tcPr>
          <w:p>
            <w:pPr>
              <w:jc w:val="center"/>
              <w:ind w:left="77"/>
              <w:spacing w:after="0"/>
              <w:rPr>
                <w:sz w:val="20"/>
                <w:szCs w:val="20"/>
                <w:color w:val="auto"/>
              </w:rPr>
            </w:pPr>
            <w:r>
              <w:rPr>
                <w:rFonts w:ascii="Arial" w:cs="Arial" w:eastAsia="Arial" w:hAnsi="Arial"/>
                <w:sz w:val="13"/>
                <w:szCs w:val="13"/>
                <w:color w:val="auto"/>
                <w:w w:val="89"/>
              </w:rPr>
              <w:t>1/31/2022</w:t>
            </w:r>
          </w:p>
        </w:tc>
        <w:tc>
          <w:tcPr>
            <w:tcW w:w="10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824,143</w:t>
            </w:r>
          </w:p>
        </w:tc>
        <w:tc>
          <w:tcPr>
            <w:tcW w:w="240" w:type="dxa"/>
            <w:vAlign w:val="bottom"/>
            <w:vMerge w:val="restart"/>
            <w:shd w:val="clear" w:color="auto" w:fill="CFF0FC"/>
          </w:tcPr>
          <w:p>
            <w:pPr>
              <w:spacing w:after="0"/>
              <w:rPr>
                <w:sz w:val="9"/>
                <w:szCs w:val="9"/>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824,143</w:t>
            </w:r>
          </w:p>
        </w:tc>
        <w:tc>
          <w:tcPr>
            <w:tcW w:w="240" w:type="dxa"/>
            <w:vAlign w:val="bottom"/>
            <w:vMerge w:val="restart"/>
            <w:shd w:val="clear" w:color="auto" w:fill="CFF0FC"/>
          </w:tcPr>
          <w:p>
            <w:pPr>
              <w:spacing w:after="0"/>
              <w:rPr>
                <w:sz w:val="9"/>
                <w:szCs w:val="9"/>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1,008,093</w:t>
            </w:r>
          </w:p>
        </w:tc>
        <w:tc>
          <w:tcPr>
            <w:tcW w:w="780" w:type="dxa"/>
            <w:vAlign w:val="bottom"/>
            <w:gridSpan w:val="2"/>
            <w:vMerge w:val="restart"/>
            <w:shd w:val="clear" w:color="auto" w:fill="CFF0FC"/>
          </w:tcPr>
          <w:p>
            <w:pPr>
              <w:ind w:left="240"/>
              <w:spacing w:after="0"/>
              <w:rPr>
                <w:sz w:val="20"/>
                <w:szCs w:val="20"/>
                <w:color w:val="auto"/>
              </w:rPr>
            </w:pPr>
            <w:r>
              <w:rPr>
                <w:rFonts w:ascii="Arial" w:cs="Arial" w:eastAsia="Arial" w:hAnsi="Arial"/>
                <w:sz w:val="13"/>
                <w:szCs w:val="13"/>
                <w:color w:val="auto"/>
              </w:rPr>
              <w:t>(4)(7)(8)</w:t>
            </w:r>
          </w:p>
        </w:tc>
        <w:tc>
          <w:tcPr>
            <w:tcW w:w="0" w:type="dxa"/>
            <w:vAlign w:val="bottom"/>
          </w:tcPr>
          <w:p>
            <w:pPr>
              <w:spacing w:after="0"/>
              <w:rPr>
                <w:sz w:val="1"/>
                <w:szCs w:val="1"/>
                <w:color w:val="auto"/>
              </w:rPr>
            </w:pPr>
          </w:p>
        </w:tc>
      </w:tr>
      <w:tr>
        <w:trPr>
          <w:trHeight w:val="148"/>
        </w:trPr>
        <w:tc>
          <w:tcPr>
            <w:tcW w:w="1120" w:type="dxa"/>
            <w:vAlign w:val="bottom"/>
            <w:tcBorders>
              <w:left w:val="single" w:sz="8" w:color="CFF0FC"/>
              <w:bottom w:val="single" w:sz="8" w:color="CFF0FC"/>
            </w:tcBorders>
            <w:shd w:val="clear" w:color="auto" w:fill="CFF0FC"/>
          </w:tcPr>
          <w:p>
            <w:pPr>
              <w:spacing w:after="0"/>
              <w:rPr>
                <w:sz w:val="12"/>
                <w:szCs w:val="12"/>
                <w:color w:val="auto"/>
              </w:rPr>
            </w:pPr>
          </w:p>
        </w:tc>
        <w:tc>
          <w:tcPr>
            <w:tcW w:w="180" w:type="dxa"/>
            <w:vAlign w:val="bottom"/>
            <w:tcBorders>
              <w:bottom w:val="single" w:sz="8" w:color="CFF0FC"/>
            </w:tcBorders>
            <w:shd w:val="clear" w:color="auto" w:fill="CFF0FC"/>
          </w:tcPr>
          <w:p>
            <w:pPr>
              <w:spacing w:after="0"/>
              <w:rPr>
                <w:sz w:val="12"/>
                <w:szCs w:val="12"/>
                <w:color w:val="auto"/>
              </w:rPr>
            </w:pPr>
          </w:p>
        </w:tc>
        <w:tc>
          <w:tcPr>
            <w:tcW w:w="480" w:type="dxa"/>
            <w:vAlign w:val="bottom"/>
            <w:tcBorders>
              <w:bottom w:val="single" w:sz="8" w:color="CFF0FC"/>
            </w:tcBorders>
            <w:shd w:val="clear" w:color="auto" w:fill="CFF0FC"/>
          </w:tcPr>
          <w:p>
            <w:pPr>
              <w:spacing w:after="0"/>
              <w:rPr>
                <w:sz w:val="12"/>
                <w:szCs w:val="12"/>
                <w:color w:val="auto"/>
              </w:rPr>
            </w:pPr>
          </w:p>
        </w:tc>
        <w:tc>
          <w:tcPr>
            <w:tcW w:w="3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ETP</w:t>
            </w:r>
          </w:p>
        </w:tc>
        <w:tc>
          <w:tcPr>
            <w:tcW w:w="920" w:type="dxa"/>
            <w:vAlign w:val="bottom"/>
            <w:tcBorders>
              <w:bottom w:val="single" w:sz="8" w:color="CFF0FC"/>
            </w:tcBorders>
            <w:gridSpan w:val="2"/>
            <w:vMerge w:val="continue"/>
            <w:shd w:val="clear" w:color="auto" w:fill="CFF0FC"/>
          </w:tcPr>
          <w:p>
            <w:pPr>
              <w:spacing w:after="0"/>
              <w:rPr>
                <w:sz w:val="12"/>
                <w:szCs w:val="12"/>
                <w:color w:val="auto"/>
              </w:rPr>
            </w:pPr>
          </w:p>
        </w:tc>
        <w:tc>
          <w:tcPr>
            <w:tcW w:w="1220" w:type="dxa"/>
            <w:vAlign w:val="bottom"/>
            <w:tcBorders>
              <w:bottom w:val="single" w:sz="8" w:color="CFF0FC"/>
            </w:tcBorders>
            <w:gridSpan w:val="2"/>
            <w:vMerge w:val="continue"/>
            <w:shd w:val="clear" w:color="auto" w:fill="CFF0FC"/>
          </w:tcPr>
          <w:p>
            <w:pPr>
              <w:spacing w:after="0"/>
              <w:rPr>
                <w:sz w:val="12"/>
                <w:szCs w:val="12"/>
                <w:color w:val="auto"/>
              </w:rPr>
            </w:pPr>
          </w:p>
        </w:tc>
        <w:tc>
          <w:tcPr>
            <w:tcW w:w="1060" w:type="dxa"/>
            <w:vAlign w:val="bottom"/>
            <w:tcBorders>
              <w:bottom w:val="single" w:sz="8" w:color="CFF0FC"/>
            </w:tcBorders>
            <w:gridSpan w:val="2"/>
            <w:vMerge w:val="continue"/>
            <w:shd w:val="clear" w:color="auto" w:fill="CFF0FC"/>
          </w:tcPr>
          <w:p>
            <w:pPr>
              <w:spacing w:after="0"/>
              <w:rPr>
                <w:sz w:val="12"/>
                <w:szCs w:val="12"/>
                <w:color w:val="auto"/>
              </w:rPr>
            </w:pPr>
          </w:p>
        </w:tc>
        <w:tc>
          <w:tcPr>
            <w:tcW w:w="240" w:type="dxa"/>
            <w:vAlign w:val="bottom"/>
            <w:tcBorders>
              <w:bottom w:val="single" w:sz="8" w:color="CFF0FC"/>
            </w:tcBorders>
            <w:vMerge w:val="continue"/>
            <w:shd w:val="clear" w:color="auto" w:fill="CFF0FC"/>
          </w:tcPr>
          <w:p>
            <w:pPr>
              <w:spacing w:after="0"/>
              <w:rPr>
                <w:sz w:val="12"/>
                <w:szCs w:val="12"/>
                <w:color w:val="auto"/>
              </w:rPr>
            </w:pPr>
          </w:p>
        </w:tc>
        <w:tc>
          <w:tcPr>
            <w:tcW w:w="104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vMerge w:val="continue"/>
            <w:shd w:val="clear" w:color="auto" w:fill="CFF0FC"/>
          </w:tcPr>
          <w:p>
            <w:pPr>
              <w:spacing w:after="0"/>
              <w:rPr>
                <w:sz w:val="12"/>
                <w:szCs w:val="12"/>
                <w:color w:val="auto"/>
              </w:rPr>
            </w:pPr>
          </w:p>
        </w:tc>
        <w:tc>
          <w:tcPr>
            <w:tcW w:w="1080" w:type="dxa"/>
            <w:vAlign w:val="bottom"/>
            <w:tcBorders>
              <w:bottom w:val="single" w:sz="8" w:color="auto"/>
            </w:tcBorders>
            <w:vMerge w:val="continue"/>
            <w:shd w:val="clear" w:color="auto" w:fill="CFF0FC"/>
          </w:tcPr>
          <w:p>
            <w:pPr>
              <w:spacing w:after="0"/>
              <w:rPr>
                <w:sz w:val="12"/>
                <w:szCs w:val="12"/>
                <w:color w:val="auto"/>
              </w:rPr>
            </w:pPr>
          </w:p>
        </w:tc>
        <w:tc>
          <w:tcPr>
            <w:tcW w:w="780" w:type="dxa"/>
            <w:vAlign w:val="bottom"/>
            <w:tcBorders>
              <w:bottom w:val="single" w:sz="8" w:color="CFF0FC"/>
            </w:tcBorders>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60" w:type="dxa"/>
            <w:vAlign w:val="bottom"/>
            <w:gridSpan w:val="5"/>
          </w:tcPr>
          <w:p>
            <w:pPr>
              <w:ind w:left="20"/>
              <w:spacing w:after="0"/>
              <w:rPr>
                <w:sz w:val="20"/>
                <w:szCs w:val="20"/>
                <w:color w:val="auto"/>
              </w:rPr>
            </w:pPr>
            <w:r>
              <w:rPr>
                <w:rFonts w:ascii="Arial" w:cs="Arial" w:eastAsia="Arial" w:hAnsi="Arial"/>
                <w:sz w:val="13"/>
                <w:szCs w:val="13"/>
                <w:b w:val="1"/>
                <w:bCs w:val="1"/>
                <w:color w:val="auto"/>
              </w:rPr>
              <w:t>Total Application Software - 2.25%*</w:t>
            </w:r>
          </w:p>
        </w:tc>
        <w:tc>
          <w:tcPr>
            <w:tcW w:w="1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Arial" w:cs="Arial" w:eastAsia="Arial" w:hAnsi="Arial"/>
                <w:sz w:val="13"/>
                <w:szCs w:val="13"/>
                <w:color w:val="auto"/>
              </w:rPr>
              <w:t>11,655,327</w:t>
            </w:r>
          </w:p>
        </w:tc>
        <w:tc>
          <w:tcPr>
            <w:tcW w:w="1320" w:type="dxa"/>
            <w:vAlign w:val="bottom"/>
            <w:gridSpan w:val="2"/>
          </w:tcPr>
          <w:p>
            <w:pPr>
              <w:jc w:val="right"/>
              <w:spacing w:after="0"/>
              <w:rPr>
                <w:sz w:val="20"/>
                <w:szCs w:val="20"/>
                <w:color w:val="auto"/>
              </w:rPr>
            </w:pPr>
            <w:r>
              <w:rPr>
                <w:rFonts w:ascii="Arial" w:cs="Arial" w:eastAsia="Arial" w:hAnsi="Arial"/>
                <w:sz w:val="13"/>
                <w:szCs w:val="13"/>
                <w:color w:val="auto"/>
              </w:rPr>
              <w:t>13,610,188</w:t>
            </w: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-3829685</wp:posOffset>
            </wp:positionV>
            <wp:extent cx="68580" cy="57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-3829685</wp:posOffset>
            </wp:positionV>
            <wp:extent cx="68580" cy="57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-3100705</wp:posOffset>
            </wp:positionV>
            <wp:extent cx="6858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-3100705</wp:posOffset>
            </wp:positionV>
            <wp:extent cx="6858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-2715260</wp:posOffset>
            </wp:positionV>
            <wp:extent cx="6858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-2715260</wp:posOffset>
            </wp:positionV>
            <wp:extent cx="6858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-2054860</wp:posOffset>
            </wp:positionV>
            <wp:extent cx="6858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-2054860</wp:posOffset>
            </wp:positionV>
            <wp:extent cx="6858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-1515110</wp:posOffset>
            </wp:positionV>
            <wp:extent cx="6858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-1515110</wp:posOffset>
            </wp:positionV>
            <wp:extent cx="6858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-109220</wp:posOffset>
            </wp:positionV>
            <wp:extent cx="6858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-109220</wp:posOffset>
            </wp:positionV>
            <wp:extent cx="6858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-8890</wp:posOffset>
            </wp:positionV>
            <wp:extent cx="149987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21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December 31, 2021</w:t>
      </w:r>
    </w:p>
    <w:p>
      <w:pPr>
        <w:spacing w:after="0" w:line="187" w:lineRule="exact"/>
        <w:rPr>
          <w:sz w:val="20"/>
          <w:szCs w:val="20"/>
          <w:color w:val="auto"/>
        </w:rPr>
      </w:pPr>
    </w:p>
    <w:tbl>
      <w:tblPr>
        <w:tblLayout w:type="fixed"/>
        <w:tblInd w:w="10" w:type="dxa"/>
        <w:tblCellMar>
          <w:top w:w="0" w:type="dxa"/>
          <w:left w:w="0" w:type="dxa"/>
          <w:bottom w:w="0" w:type="dxa"/>
          <w:right w:w="0" w:type="dxa"/>
        </w:tblCellMar>
      </w:tblPr>
      <w:tr>
        <w:trPr>
          <w:trHeight w:val="186"/>
        </w:trPr>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4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140" w:type="dxa"/>
            <w:vAlign w:val="bottom"/>
          </w:tcPr>
          <w:p>
            <w:pPr>
              <w:spacing w:after="0"/>
              <w:rPr>
                <w:sz w:val="16"/>
                <w:szCs w:val="16"/>
                <w:color w:val="auto"/>
              </w:rPr>
            </w:pPr>
          </w:p>
        </w:tc>
        <w:tc>
          <w:tcPr>
            <w:tcW w:w="1380" w:type="dxa"/>
            <w:vAlign w:val="bottom"/>
            <w:gridSpan w:val="3"/>
          </w:tcPr>
          <w:p>
            <w:pPr>
              <w:jc w:val="center"/>
              <w:ind w:right="417"/>
              <w:spacing w:after="0"/>
              <w:rPr>
                <w:sz w:val="20"/>
                <w:szCs w:val="20"/>
                <w:color w:val="auto"/>
              </w:rPr>
            </w:pPr>
            <w:r>
              <w:rPr>
                <w:rFonts w:ascii="Arial" w:cs="Arial" w:eastAsia="Arial" w:hAnsi="Arial"/>
                <w:sz w:val="14"/>
                <w:szCs w:val="14"/>
                <w:b w:val="1"/>
                <w:bCs w:val="1"/>
                <w:color w:val="auto"/>
                <w:w w:val="98"/>
              </w:rPr>
              <w:t>Principal/</w:t>
            </w: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Footnot</w:t>
            </w:r>
          </w:p>
        </w:tc>
        <w:tc>
          <w:tcPr>
            <w:tcW w:w="0" w:type="dxa"/>
            <w:vAlign w:val="bottom"/>
          </w:tcPr>
          <w:p>
            <w:pPr>
              <w:spacing w:after="0"/>
              <w:rPr>
                <w:sz w:val="1"/>
                <w:szCs w:val="1"/>
                <w:color w:val="auto"/>
              </w:rPr>
            </w:pPr>
          </w:p>
        </w:tc>
      </w:tr>
      <w:tr>
        <w:trPr>
          <w:trHeight w:val="138"/>
        </w:trPr>
        <w:tc>
          <w:tcPr>
            <w:tcW w:w="2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Portfolio Companies</w:t>
            </w:r>
          </w:p>
        </w:tc>
        <w:tc>
          <w:tcPr>
            <w:tcW w:w="140" w:type="dxa"/>
            <w:vAlign w:val="bottom"/>
          </w:tcPr>
          <w:p>
            <w:pPr>
              <w:spacing w:after="0"/>
              <w:rPr>
                <w:sz w:val="11"/>
                <w:szCs w:val="11"/>
                <w:color w:val="auto"/>
              </w:rPr>
            </w:pPr>
          </w:p>
        </w:tc>
        <w:tc>
          <w:tcPr>
            <w:tcW w:w="2260" w:type="dxa"/>
            <w:vAlign w:val="bottom"/>
            <w:vMerge w:val="restart"/>
          </w:tcPr>
          <w:p>
            <w:pPr>
              <w:ind w:left="220"/>
              <w:spacing w:after="0"/>
              <w:rPr>
                <w:sz w:val="20"/>
                <w:szCs w:val="20"/>
                <w:color w:val="auto"/>
              </w:rPr>
            </w:pPr>
            <w:r>
              <w:rPr>
                <w:rFonts w:ascii="Arial" w:cs="Arial" w:eastAsia="Arial" w:hAnsi="Arial"/>
                <w:sz w:val="14"/>
                <w:szCs w:val="14"/>
                <w:b w:val="1"/>
                <w:bCs w:val="1"/>
                <w:color w:val="auto"/>
                <w:w w:val="96"/>
              </w:rPr>
              <w:t>Investment Description</w:t>
            </w:r>
            <w:r>
              <w:rPr>
                <w:rFonts w:ascii="Arial" w:cs="Arial" w:eastAsia="Arial" w:hAnsi="Arial"/>
                <w:sz w:val="19"/>
                <w:szCs w:val="19"/>
                <w:b w:val="1"/>
                <w:bCs w:val="1"/>
                <w:color w:val="auto"/>
                <w:w w:val="96"/>
                <w:vertAlign w:val="superscript"/>
              </w:rPr>
              <w:t>(1),(5),(9)</w:t>
            </w:r>
          </w:p>
        </w:tc>
        <w:tc>
          <w:tcPr>
            <w:tcW w:w="120" w:type="dxa"/>
            <w:vAlign w:val="bottom"/>
          </w:tcPr>
          <w:p>
            <w:pPr>
              <w:spacing w:after="0"/>
              <w:rPr>
                <w:sz w:val="11"/>
                <w:szCs w:val="11"/>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140" w:type="dxa"/>
            <w:vAlign w:val="bottom"/>
          </w:tcPr>
          <w:p>
            <w:pPr>
              <w:spacing w:after="0"/>
              <w:rPr>
                <w:sz w:val="11"/>
                <w:szCs w:val="11"/>
                <w:color w:val="auto"/>
              </w:rPr>
            </w:pPr>
          </w:p>
        </w:tc>
        <w:tc>
          <w:tcPr>
            <w:tcW w:w="1380" w:type="dxa"/>
            <w:vAlign w:val="bottom"/>
            <w:gridSpan w:val="3"/>
            <w:vMerge w:val="restart"/>
          </w:tcPr>
          <w:p>
            <w:pPr>
              <w:jc w:val="center"/>
              <w:ind w:right="417"/>
              <w:spacing w:after="0"/>
              <w:rPr>
                <w:sz w:val="20"/>
                <w:szCs w:val="20"/>
                <w:color w:val="auto"/>
              </w:rPr>
            </w:pPr>
            <w:r>
              <w:rPr>
                <w:rFonts w:ascii="Arial" w:cs="Arial" w:eastAsia="Arial" w:hAnsi="Arial"/>
                <w:sz w:val="14"/>
                <w:szCs w:val="14"/>
                <w:b w:val="1"/>
                <w:bCs w:val="1"/>
                <w:color w:val="auto"/>
                <w:w w:val="89"/>
              </w:rPr>
              <w:t>Shares</w:t>
            </w:r>
          </w:p>
        </w:tc>
        <w:tc>
          <w:tcPr>
            <w:tcW w:w="820" w:type="dxa"/>
            <w:vAlign w:val="bottom"/>
            <w:vMerge w:val="restart"/>
          </w:tcPr>
          <w:p>
            <w:pPr>
              <w:jc w:val="right"/>
              <w:ind w:right="336"/>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w w:val="86"/>
              </w:rPr>
              <w:t>Fair Value</w:t>
            </w:r>
            <w:r>
              <w:rPr>
                <w:rFonts w:ascii="Arial" w:cs="Arial" w:eastAsia="Arial" w:hAnsi="Arial"/>
                <w:sz w:val="19"/>
                <w:szCs w:val="19"/>
                <w:b w:val="1"/>
                <w:bCs w:val="1"/>
                <w:color w:val="auto"/>
                <w:w w:val="86"/>
                <w:vertAlign w:val="superscript"/>
              </w:rPr>
              <w:t>(2),(6)</w:t>
            </w:r>
          </w:p>
        </w:tc>
        <w:tc>
          <w:tcPr>
            <w:tcW w:w="22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2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22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3"/>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76"/>
              </w:rPr>
              <w:t>es</w:t>
            </w:r>
          </w:p>
        </w:tc>
        <w:tc>
          <w:tcPr>
            <w:tcW w:w="0" w:type="dxa"/>
            <w:vAlign w:val="bottom"/>
          </w:tcPr>
          <w:p>
            <w:pPr>
              <w:spacing w:after="0"/>
              <w:rPr>
                <w:sz w:val="1"/>
                <w:szCs w:val="1"/>
                <w:color w:val="auto"/>
              </w:rPr>
            </w:pPr>
          </w:p>
        </w:tc>
      </w:tr>
      <w:tr>
        <w:trPr>
          <w:trHeight w:val="115"/>
        </w:trPr>
        <w:tc>
          <w:tcPr>
            <w:tcW w:w="2260" w:type="dxa"/>
            <w:vAlign w:val="bottom"/>
            <w:tcBorders>
              <w:top w:val="single" w:sz="8" w:color="auto"/>
              <w:left w:val="single" w:sz="8" w:color="CFF0FC"/>
            </w:tcBorders>
            <w:gridSpan w:val="3"/>
            <w:shd w:val="clear" w:color="auto" w:fill="CFF0FC"/>
          </w:tcPr>
          <w:p>
            <w:pPr>
              <w:ind w:left="20"/>
              <w:spacing w:after="0" w:line="115" w:lineRule="exact"/>
              <w:rPr>
                <w:sz w:val="20"/>
                <w:szCs w:val="20"/>
                <w:color w:val="auto"/>
              </w:rPr>
            </w:pPr>
            <w:r>
              <w:rPr>
                <w:rFonts w:ascii="Arial" w:cs="Arial" w:eastAsia="Arial" w:hAnsi="Arial"/>
                <w:sz w:val="13"/>
                <w:szCs w:val="13"/>
                <w:b w:val="1"/>
                <w:bCs w:val="1"/>
                <w:color w:val="auto"/>
              </w:rPr>
              <w:t>Control Investments</w:t>
            </w:r>
          </w:p>
        </w:tc>
        <w:tc>
          <w:tcPr>
            <w:tcW w:w="140" w:type="dxa"/>
            <w:vAlign w:val="bottom"/>
            <w:shd w:val="clear" w:color="auto" w:fill="CFF0FC"/>
          </w:tcPr>
          <w:p>
            <w:pPr>
              <w:spacing w:after="0"/>
              <w:rPr>
                <w:sz w:val="10"/>
                <w:szCs w:val="10"/>
                <w:color w:val="auto"/>
              </w:rPr>
            </w:pPr>
          </w:p>
        </w:tc>
        <w:tc>
          <w:tcPr>
            <w:tcW w:w="226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80" w:type="dxa"/>
            <w:vAlign w:val="bottom"/>
            <w:tcBorders>
              <w:top w:val="single" w:sz="8" w:color="auto"/>
            </w:tcBorders>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9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tcBorders>
              <w:top w:val="single" w:sz="8" w:color="auto"/>
            </w:tcBorders>
            <w:shd w:val="clear" w:color="auto" w:fill="CFF0FC"/>
          </w:tcPr>
          <w:p>
            <w:pPr>
              <w:spacing w:after="0"/>
              <w:rPr>
                <w:sz w:val="10"/>
                <w:szCs w:val="10"/>
                <w:color w:val="auto"/>
              </w:rPr>
            </w:pPr>
          </w:p>
        </w:tc>
        <w:tc>
          <w:tcPr>
            <w:tcW w:w="8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100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560" w:type="dxa"/>
            <w:vAlign w:val="bottom"/>
            <w:tcBorders>
              <w:top w:val="single" w:sz="8" w:color="auto"/>
            </w:tcBorders>
            <w:shd w:val="clear" w:color="auto" w:fill="CFF0FC"/>
          </w:tcPr>
          <w:p>
            <w:pPr>
              <w:ind w:left="20"/>
              <w:spacing w:after="0" w:line="115" w:lineRule="exact"/>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27"/>
        </w:trPr>
        <w:tc>
          <w:tcPr>
            <w:tcW w:w="1120" w:type="dxa"/>
            <w:vAlign w:val="bottom"/>
            <w:tcBorders>
              <w:left w:val="single" w:sz="8" w:color="CFF0FC"/>
            </w:tcBorders>
            <w:shd w:val="clear" w:color="auto" w:fill="000000"/>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2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0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82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00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56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b w:val="1"/>
                <w:bCs w:val="1"/>
                <w:color w:val="auto"/>
              </w:rPr>
              <w:t>Senior Secured Term Loans</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b w:val="1"/>
                <w:bCs w:val="1"/>
                <w:color w:val="auto"/>
                <w:w w:val="89"/>
              </w:rPr>
              <w:t>Data Processing &amp; Outsourced Services</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gridSpan w:val="3"/>
            <w:vMerge w:val="restart"/>
          </w:tcPr>
          <w:p>
            <w:pPr>
              <w:ind w:left="20"/>
              <w:spacing w:after="0"/>
              <w:rPr>
                <w:sz w:val="20"/>
                <w:szCs w:val="20"/>
                <w:color w:val="auto"/>
              </w:rPr>
            </w:pPr>
            <w:r>
              <w:rPr>
                <w:rFonts w:ascii="Arial" w:cs="Arial" w:eastAsia="Arial" w:hAnsi="Arial"/>
                <w:sz w:val="13"/>
                <w:szCs w:val="13"/>
                <w:color w:val="auto"/>
              </w:rPr>
              <w:t>Pivot3 Holdings, Inc.</w:t>
            </w:r>
          </w:p>
        </w:tc>
        <w:tc>
          <w:tcPr>
            <w:tcW w:w="140" w:type="dxa"/>
            <w:vAlign w:val="bottom"/>
          </w:tcPr>
          <w:p>
            <w:pPr>
              <w:spacing w:after="0"/>
              <w:rPr>
                <w:sz w:val="9"/>
                <w:szCs w:val="9"/>
                <w:color w:val="auto"/>
              </w:rPr>
            </w:pPr>
          </w:p>
        </w:tc>
        <w:tc>
          <w:tcPr>
            <w:tcW w:w="2260" w:type="dxa"/>
            <w:vAlign w:val="bottom"/>
          </w:tcPr>
          <w:p>
            <w:pPr>
              <w:ind w:left="20"/>
              <w:spacing w:after="0" w:line="108" w:lineRule="exact"/>
              <w:rPr>
                <w:sz w:val="20"/>
                <w:szCs w:val="20"/>
                <w:color w:val="auto"/>
              </w:rPr>
            </w:pPr>
            <w:r>
              <w:rPr>
                <w:rFonts w:ascii="Arial" w:cs="Arial" w:eastAsia="Arial" w:hAnsi="Arial"/>
                <w:sz w:val="12"/>
                <w:szCs w:val="12"/>
                <w:color w:val="auto"/>
              </w:rPr>
              <w:t>LIBOR+8.50% PIK, 11.00% floor, 4.00%</w:t>
            </w:r>
          </w:p>
        </w:tc>
        <w:tc>
          <w:tcPr>
            <w:tcW w:w="920" w:type="dxa"/>
            <w:vAlign w:val="bottom"/>
            <w:gridSpan w:val="2"/>
            <w:vMerge w:val="restart"/>
          </w:tcPr>
          <w:p>
            <w:pPr>
              <w:jc w:val="center"/>
              <w:ind w:left="57"/>
              <w:spacing w:after="0"/>
              <w:rPr>
                <w:sz w:val="20"/>
                <w:szCs w:val="20"/>
                <w:color w:val="auto"/>
              </w:rPr>
            </w:pPr>
            <w:r>
              <w:rPr>
                <w:rFonts w:ascii="Arial" w:cs="Arial" w:eastAsia="Arial" w:hAnsi="Arial"/>
                <w:sz w:val="13"/>
                <w:szCs w:val="13"/>
                <w:color w:val="auto"/>
                <w:w w:val="89"/>
              </w:rPr>
              <w:t>5/13/2019</w:t>
            </w:r>
          </w:p>
        </w:tc>
        <w:tc>
          <w:tcPr>
            <w:tcW w:w="1220" w:type="dxa"/>
            <w:vAlign w:val="bottom"/>
            <w:gridSpan w:val="2"/>
            <w:vMerge w:val="restart"/>
          </w:tcPr>
          <w:p>
            <w:pPr>
              <w:jc w:val="center"/>
              <w:ind w:left="77"/>
              <w:spacing w:after="0"/>
              <w:rPr>
                <w:sz w:val="20"/>
                <w:szCs w:val="20"/>
                <w:color w:val="auto"/>
              </w:rPr>
            </w:pPr>
            <w:r>
              <w:rPr>
                <w:rFonts w:ascii="Arial" w:cs="Arial" w:eastAsia="Arial" w:hAnsi="Arial"/>
                <w:sz w:val="13"/>
                <w:szCs w:val="13"/>
                <w:color w:val="auto"/>
                <w:w w:val="86"/>
              </w:rPr>
              <w:t>11/15/2022</w:t>
            </w:r>
          </w:p>
        </w:tc>
        <w:tc>
          <w:tcPr>
            <w:tcW w:w="1060" w:type="dxa"/>
            <w:vAlign w:val="bottom"/>
            <w:gridSpan w:val="2"/>
            <w:vMerge w:val="restart"/>
          </w:tcPr>
          <w:p>
            <w:pPr>
              <w:jc w:val="right"/>
              <w:spacing w:after="0"/>
              <w:rPr>
                <w:sz w:val="20"/>
                <w:szCs w:val="20"/>
                <w:color w:val="auto"/>
              </w:rPr>
            </w:pPr>
            <w:r>
              <w:rPr>
                <w:rFonts w:ascii="Arial" w:cs="Arial" w:eastAsia="Arial" w:hAnsi="Arial"/>
                <w:sz w:val="13"/>
                <w:szCs w:val="13"/>
                <w:color w:val="auto"/>
              </w:rPr>
              <w:t>18,598,265</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19,172,352</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14,649,788</w:t>
            </w:r>
          </w:p>
        </w:tc>
        <w:tc>
          <w:tcPr>
            <w:tcW w:w="780" w:type="dxa"/>
            <w:vAlign w:val="bottom"/>
            <w:gridSpan w:val="2"/>
            <w:vMerge w:val="restart"/>
          </w:tcPr>
          <w:p>
            <w:pPr>
              <w:ind w:left="240"/>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48"/>
        </w:trPr>
        <w:tc>
          <w:tcPr>
            <w:tcW w:w="22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ETP</w:t>
            </w:r>
          </w:p>
        </w:tc>
        <w:tc>
          <w:tcPr>
            <w:tcW w:w="9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260" w:type="dxa"/>
            <w:vAlign w:val="bottom"/>
            <w:tcBorders>
              <w:left w:val="single" w:sz="8" w:color="CFF0FC"/>
            </w:tcBorders>
            <w:gridSpan w:val="3"/>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Data Processing &amp; Outsourced</w:t>
            </w:r>
          </w:p>
        </w:tc>
        <w:tc>
          <w:tcPr>
            <w:tcW w:w="140" w:type="dxa"/>
            <w:vAlign w:val="bottom"/>
            <w:shd w:val="clear" w:color="auto" w:fill="CFF0FC"/>
          </w:tcPr>
          <w:p>
            <w:pPr>
              <w:spacing w:after="0"/>
              <w:rPr>
                <w:sz w:val="8"/>
                <w:szCs w:val="8"/>
                <w:color w:val="auto"/>
              </w:rPr>
            </w:pPr>
          </w:p>
        </w:tc>
        <w:tc>
          <w:tcPr>
            <w:tcW w:w="22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108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2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19,172,352</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14,649,788</w:t>
            </w:r>
          </w:p>
        </w:tc>
        <w:tc>
          <w:tcPr>
            <w:tcW w:w="220" w:type="dxa"/>
            <w:vAlign w:val="bottom"/>
            <w:shd w:val="clear" w:color="auto" w:fill="CFF0FC"/>
          </w:tcPr>
          <w:p>
            <w:pPr>
              <w:spacing w:after="0"/>
              <w:rPr>
                <w:sz w:val="8"/>
                <w:szCs w:val="8"/>
                <w:color w:val="auto"/>
              </w:rPr>
            </w:pPr>
          </w:p>
        </w:tc>
        <w:tc>
          <w:tcPr>
            <w:tcW w:w="5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226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Services - 2.42%*</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60" w:type="dxa"/>
            <w:vAlign w:val="bottom"/>
            <w:tcBorders>
              <w:left w:val="single" w:sz="8" w:color="CFF0FC"/>
            </w:tcBorders>
            <w:gridSpan w:val="3"/>
            <w:shd w:val="clear" w:color="auto" w:fill="CFF0FC"/>
          </w:tcPr>
          <w:p>
            <w:pPr>
              <w:ind w:left="20"/>
              <w:spacing w:after="0" w:line="108" w:lineRule="exact"/>
              <w:rPr>
                <w:sz w:val="20"/>
                <w:szCs w:val="20"/>
                <w:color w:val="auto"/>
              </w:rPr>
            </w:pPr>
            <w:r>
              <w:rPr>
                <w:rFonts w:ascii="Arial" w:cs="Arial" w:eastAsia="Arial" w:hAnsi="Arial"/>
                <w:sz w:val="12"/>
                <w:szCs w:val="12"/>
                <w:b w:val="1"/>
                <w:bCs w:val="1"/>
                <w:color w:val="auto"/>
              </w:rPr>
              <w:t>Total Senior Secured Term Loans -</w:t>
            </w:r>
          </w:p>
        </w:tc>
        <w:tc>
          <w:tcPr>
            <w:tcW w:w="140" w:type="dxa"/>
            <w:vAlign w:val="bottom"/>
            <w:shd w:val="clear" w:color="auto" w:fill="CFF0FC"/>
          </w:tcPr>
          <w:p>
            <w:pPr>
              <w:spacing w:after="0"/>
              <w:rPr>
                <w:sz w:val="9"/>
                <w:szCs w:val="9"/>
                <w:color w:val="auto"/>
              </w:rPr>
            </w:pPr>
          </w:p>
        </w:tc>
        <w:tc>
          <w:tcPr>
            <w:tcW w:w="22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30,827,679</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28,259,976</w:t>
            </w:r>
          </w:p>
        </w:tc>
        <w:tc>
          <w:tcPr>
            <w:tcW w:w="220" w:type="dxa"/>
            <w:vAlign w:val="bottom"/>
            <w:shd w:val="clear" w:color="auto" w:fill="CFF0FC"/>
          </w:tcPr>
          <w:p>
            <w:pPr>
              <w:spacing w:after="0"/>
              <w:rPr>
                <w:sz w:val="9"/>
                <w:szCs w:val="9"/>
                <w:color w:val="auto"/>
              </w:rPr>
            </w:pPr>
          </w:p>
        </w:tc>
        <w:tc>
          <w:tcPr>
            <w:tcW w:w="5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120" w:type="dxa"/>
            <w:vAlign w:val="bottom"/>
            <w:tcBorders>
              <w:left w:val="single" w:sz="8" w:color="CFF0FC"/>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4.66%*</w:t>
            </w:r>
          </w:p>
        </w:tc>
        <w:tc>
          <w:tcPr>
            <w:tcW w:w="8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Preferred Stocks</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b w:val="1"/>
                <w:bCs w:val="1"/>
                <w:color w:val="auto"/>
              </w:rPr>
              <w:t>Application Software</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Mojix, Inc.</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Series A-1</w:t>
            </w:r>
          </w:p>
        </w:tc>
        <w:tc>
          <w:tcPr>
            <w:tcW w:w="920" w:type="dxa"/>
            <w:vAlign w:val="bottom"/>
            <w:tcBorders>
              <w:bottom w:val="single" w:sz="8" w:color="CFF0FC"/>
            </w:tcBorders>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9"/>
              </w:rPr>
              <w:t>12/14/2020</w:t>
            </w: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67,114,092</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800,000</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870,395</w:t>
            </w:r>
          </w:p>
        </w:tc>
        <w:tc>
          <w:tcPr>
            <w:tcW w:w="7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2"/>
        </w:trPr>
        <w:tc>
          <w:tcPr>
            <w:tcW w:w="2260" w:type="dxa"/>
            <w:vAlign w:val="bottom"/>
            <w:gridSpan w:val="3"/>
          </w:tcPr>
          <w:p>
            <w:pPr>
              <w:ind w:left="20"/>
              <w:spacing w:after="0" w:line="142" w:lineRule="exact"/>
              <w:rPr>
                <w:sz w:val="20"/>
                <w:szCs w:val="20"/>
                <w:color w:val="auto"/>
              </w:rPr>
            </w:pPr>
            <w:r>
              <w:rPr>
                <w:rFonts w:ascii="Arial" w:cs="Arial" w:eastAsia="Arial" w:hAnsi="Arial"/>
                <w:sz w:val="13"/>
                <w:szCs w:val="13"/>
                <w:b w:val="1"/>
                <w:bCs w:val="1"/>
                <w:color w:val="auto"/>
              </w:rPr>
              <w:t>Total Application Software - 0.14%*</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800,000</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870,395</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Borders>
              <w:lef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b w:val="1"/>
                <w:bCs w:val="1"/>
                <w:color w:val="auto"/>
                <w:w w:val="89"/>
              </w:rPr>
              <w:t>Data Processing &amp; Outsourced Services</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tcBorders>
              <w:left w:val="single" w:sz="8" w:color="CFF0FC"/>
              <w:bottom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color w:val="auto"/>
              </w:rPr>
              <w:t>Pivot3 Holdings, Inc.</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Series 1</w:t>
            </w:r>
          </w:p>
        </w:tc>
        <w:tc>
          <w:tcPr>
            <w:tcW w:w="920" w:type="dxa"/>
            <w:vAlign w:val="bottom"/>
            <w:tcBorders>
              <w:bottom w:val="single" w:sz="8" w:color="CFF0FC"/>
            </w:tcBorders>
            <w:gridSpan w:val="2"/>
            <w:shd w:val="clear" w:color="auto" w:fill="CFF0FC"/>
          </w:tcPr>
          <w:p>
            <w:pPr>
              <w:jc w:val="center"/>
              <w:ind w:left="57"/>
              <w:spacing w:after="0"/>
              <w:rPr>
                <w:sz w:val="20"/>
                <w:szCs w:val="20"/>
                <w:color w:val="auto"/>
              </w:rPr>
            </w:pPr>
            <w:r>
              <w:rPr>
                <w:rFonts w:ascii="Arial" w:cs="Arial" w:eastAsia="Arial" w:hAnsi="Arial"/>
                <w:sz w:val="13"/>
                <w:szCs w:val="13"/>
                <w:color w:val="auto"/>
                <w:w w:val="89"/>
              </w:rPr>
              <w:t>1/27/2021</w:t>
            </w: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3"/>
                <w:szCs w:val="13"/>
                <w:color w:val="auto"/>
              </w:rPr>
              <w:t>2,675,585</w:t>
            </w: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2,000,000</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CFF0FC"/>
            </w:tcBorders>
            <w:gridSpan w:val="2"/>
            <w:shd w:val="clear" w:color="auto" w:fill="CFF0FC"/>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01"/>
        </w:trPr>
        <w:tc>
          <w:tcPr>
            <w:tcW w:w="2260" w:type="dxa"/>
            <w:vAlign w:val="bottom"/>
            <w:gridSpan w:val="3"/>
          </w:tcPr>
          <w:p>
            <w:pPr>
              <w:ind w:left="20"/>
              <w:spacing w:after="0" w:line="102" w:lineRule="exact"/>
              <w:rPr>
                <w:sz w:val="20"/>
                <w:szCs w:val="20"/>
                <w:color w:val="auto"/>
              </w:rPr>
            </w:pPr>
            <w:r>
              <w:rPr>
                <w:rFonts w:ascii="Arial" w:cs="Arial" w:eastAsia="Arial" w:hAnsi="Arial"/>
                <w:sz w:val="10"/>
                <w:szCs w:val="10"/>
                <w:b w:val="1"/>
                <w:bCs w:val="1"/>
                <w:color w:val="auto"/>
              </w:rPr>
              <w:t>Total Data Processing &amp; Outsourced</w:t>
            </w:r>
          </w:p>
        </w:tc>
        <w:tc>
          <w:tcPr>
            <w:tcW w:w="14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2,000,000</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260" w:type="dxa"/>
            <w:vAlign w:val="bottom"/>
            <w:gridSpan w:val="3"/>
          </w:tcPr>
          <w:p>
            <w:pPr>
              <w:ind w:left="20"/>
              <w:spacing w:after="0"/>
              <w:rPr>
                <w:sz w:val="20"/>
                <w:szCs w:val="20"/>
                <w:color w:val="auto"/>
              </w:rPr>
            </w:pPr>
            <w:r>
              <w:rPr>
                <w:rFonts w:ascii="Arial" w:cs="Arial" w:eastAsia="Arial" w:hAnsi="Arial"/>
                <w:sz w:val="13"/>
                <w:szCs w:val="13"/>
                <w:b w:val="1"/>
                <w:bCs w:val="1"/>
                <w:color w:val="auto"/>
              </w:rPr>
              <w:t>Services - 0.00%*</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Borders>
              <w:lef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b w:val="1"/>
                <w:bCs w:val="1"/>
                <w:color w:val="auto"/>
              </w:rPr>
              <w:t>Total Preferred Stocks - 0.14%*</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2,800,000</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870,395</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Borders>
              <w:lef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b w:val="1"/>
                <w:bCs w:val="1"/>
                <w:color w:val="auto"/>
              </w:rPr>
              <w:t>Warrants</w:t>
            </w: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Application Software</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gridSpan w:val="3"/>
          </w:tcPr>
          <w:p>
            <w:pPr>
              <w:ind w:left="20"/>
              <w:spacing w:after="0"/>
              <w:rPr>
                <w:sz w:val="20"/>
                <w:szCs w:val="20"/>
                <w:color w:val="auto"/>
              </w:rPr>
            </w:pPr>
            <w:r>
              <w:rPr>
                <w:rFonts w:ascii="Arial" w:cs="Arial" w:eastAsia="Arial" w:hAnsi="Arial"/>
                <w:sz w:val="13"/>
                <w:szCs w:val="13"/>
                <w:color w:val="auto"/>
              </w:rPr>
              <w:t>Mojix, Inc.</w:t>
            </w: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12/14/2020</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12/13/2030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2,349</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119,320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1120" w:type="dxa"/>
            <w:vAlign w:val="bottom"/>
            <w:tcBorders>
              <w:left w:val="single" w:sz="8" w:color="CFF0FC"/>
            </w:tcBorders>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9"/>
              </w:rPr>
              <w:t>12/14/2020</w:t>
            </w:r>
          </w:p>
        </w:tc>
        <w:tc>
          <w:tcPr>
            <w:tcW w:w="1220" w:type="dxa"/>
            <w:vAlign w:val="bottom"/>
            <w:gridSpan w:val="2"/>
            <w:shd w:val="clear" w:color="auto" w:fill="CFF0FC"/>
          </w:tcPr>
          <w:p>
            <w:pPr>
              <w:jc w:val="center"/>
              <w:ind w:left="77"/>
              <w:spacing w:after="0"/>
              <w:rPr>
                <w:sz w:val="20"/>
                <w:szCs w:val="20"/>
                <w:color w:val="auto"/>
              </w:rPr>
            </w:pPr>
            <w:r>
              <w:rPr>
                <w:rFonts w:ascii="Arial" w:cs="Arial" w:eastAsia="Arial" w:hAnsi="Arial"/>
                <w:sz w:val="13"/>
                <w:szCs w:val="13"/>
                <w:color w:val="auto"/>
                <w:w w:val="86"/>
              </w:rPr>
              <w:t>12/13/2030</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5,873</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298,325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FF0FC"/>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Common Stock</w:t>
            </w:r>
          </w:p>
        </w:tc>
        <w:tc>
          <w:tcPr>
            <w:tcW w:w="9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12/14/2020</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6"/>
              </w:rPr>
              <w:t>12/13/2030</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394,733</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828,522</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2"/>
        </w:trPr>
        <w:tc>
          <w:tcPr>
            <w:tcW w:w="2260" w:type="dxa"/>
            <w:vAlign w:val="bottom"/>
            <w:tcBorders>
              <w:left w:val="single" w:sz="8" w:color="CFF0FC"/>
              <w:bottom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Total Application Software - 0.00%*</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1,246,167</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60" w:type="dxa"/>
            <w:vAlign w:val="bottom"/>
            <w:tcBorders>
              <w:left w:val="single" w:sz="8" w:color="CFF0FC"/>
            </w:tcBorders>
            <w:gridSpan w:val="3"/>
            <w:shd w:val="clear" w:color="auto" w:fill="CFF0FC"/>
          </w:tcPr>
          <w:p>
            <w:pPr>
              <w:ind w:left="20"/>
              <w:spacing w:after="0" w:line="135" w:lineRule="exact"/>
              <w:rPr>
                <w:sz w:val="20"/>
                <w:szCs w:val="20"/>
                <w:color w:val="auto"/>
              </w:rPr>
            </w:pPr>
            <w:r>
              <w:rPr>
                <w:rFonts w:ascii="Arial" w:cs="Arial" w:eastAsia="Arial" w:hAnsi="Arial"/>
                <w:sz w:val="13"/>
                <w:szCs w:val="13"/>
                <w:b w:val="1"/>
                <w:bCs w:val="1"/>
                <w:color w:val="auto"/>
              </w:rPr>
              <w:t>Total Control Investments - 4.81%*</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33,627,679</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jc w:val="right"/>
              <w:spacing w:after="0" w:line="135" w:lineRule="exact"/>
              <w:rPr>
                <w:sz w:val="20"/>
                <w:szCs w:val="20"/>
                <w:color w:val="auto"/>
              </w:rPr>
            </w:pPr>
            <w:r>
              <w:rPr>
                <w:rFonts w:ascii="Arial" w:cs="Arial" w:eastAsia="Arial" w:hAnsi="Arial"/>
                <w:sz w:val="13"/>
                <w:szCs w:val="13"/>
                <w:color w:val="auto"/>
              </w:rPr>
              <w:t>29,130,371</w:t>
            </w: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226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108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spacing w:after="0"/>
              <w:rPr>
                <w:sz w:val="12"/>
                <w:szCs w:val="12"/>
                <w:color w:val="auto"/>
              </w:rPr>
            </w:pPr>
          </w:p>
        </w:tc>
        <w:tc>
          <w:tcPr>
            <w:tcW w:w="920" w:type="dxa"/>
            <w:vAlign w:val="bottom"/>
            <w:tcBorders>
              <w:top w:val="single" w:sz="8" w:color="CFF0FC"/>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5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60" w:type="dxa"/>
            <w:vAlign w:val="bottom"/>
            <w:tcBorders>
              <w:left w:val="single" w:sz="8" w:color="CFF0FC"/>
            </w:tcBorders>
            <w:gridSpan w:val="3"/>
            <w:shd w:val="clear" w:color="auto" w:fill="CFF0FC"/>
          </w:tcPr>
          <w:p>
            <w:pPr>
              <w:ind w:left="20"/>
              <w:spacing w:after="0"/>
              <w:rPr>
                <w:sz w:val="20"/>
                <w:szCs w:val="20"/>
                <w:color w:val="auto"/>
              </w:rPr>
            </w:pPr>
            <w:r>
              <w:rPr>
                <w:rFonts w:ascii="Arial" w:cs="Arial" w:eastAsia="Arial" w:hAnsi="Arial"/>
                <w:sz w:val="13"/>
                <w:szCs w:val="13"/>
                <w:b w:val="1"/>
                <w:bCs w:val="1"/>
                <w:color w:val="auto"/>
              </w:rPr>
              <w:t>U.S. Treasury</w:t>
            </w:r>
          </w:p>
        </w:tc>
        <w:tc>
          <w:tcPr>
            <w:tcW w:w="140" w:type="dxa"/>
            <w:vAlign w:val="bottom"/>
            <w:shd w:val="clear" w:color="auto" w:fill="CFF0FC"/>
          </w:tcPr>
          <w:p>
            <w:pPr>
              <w:spacing w:after="0"/>
              <w:rPr>
                <w:sz w:val="12"/>
                <w:szCs w:val="12"/>
                <w:color w:val="auto"/>
              </w:rPr>
            </w:pPr>
          </w:p>
        </w:tc>
        <w:tc>
          <w:tcPr>
            <w:tcW w:w="2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ind w:left="20"/>
              <w:spacing w:after="0"/>
              <w:rPr>
                <w:sz w:val="20"/>
                <w:szCs w:val="20"/>
                <w:color w:val="auto"/>
              </w:rPr>
            </w:pPr>
            <w:r>
              <w:rPr>
                <w:rFonts w:ascii="Arial" w:cs="Arial" w:eastAsia="Arial" w:hAnsi="Arial"/>
                <w:sz w:val="13"/>
                <w:szCs w:val="13"/>
                <w:color w:val="auto"/>
              </w:rPr>
              <w:t>U.S. Treasury Bill, 0.033%</w:t>
            </w:r>
          </w:p>
        </w:tc>
        <w:tc>
          <w:tcPr>
            <w:tcW w:w="9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12/30/2021</w:t>
            </w:r>
          </w:p>
        </w:tc>
        <w:tc>
          <w:tcPr>
            <w:tcW w:w="1220" w:type="dxa"/>
            <w:vAlign w:val="bottom"/>
            <w:gridSpan w:val="2"/>
          </w:tcPr>
          <w:p>
            <w:pPr>
              <w:jc w:val="center"/>
              <w:ind w:left="77"/>
              <w:spacing w:after="0"/>
              <w:rPr>
                <w:sz w:val="20"/>
                <w:szCs w:val="20"/>
                <w:color w:val="auto"/>
              </w:rPr>
            </w:pPr>
            <w:r>
              <w:rPr>
                <w:rFonts w:ascii="Arial" w:cs="Arial" w:eastAsia="Arial" w:hAnsi="Arial"/>
                <w:sz w:val="13"/>
                <w:szCs w:val="13"/>
                <w:color w:val="auto"/>
                <w:w w:val="89"/>
              </w:rPr>
              <w:t>1/11/2022</w:t>
            </w:r>
          </w:p>
        </w:tc>
        <w:tc>
          <w:tcPr>
            <w:tcW w:w="1060" w:type="dxa"/>
            <w:vAlign w:val="bottom"/>
            <w:gridSpan w:val="2"/>
          </w:tcPr>
          <w:p>
            <w:pPr>
              <w:jc w:val="right"/>
              <w:spacing w:after="0"/>
              <w:rPr>
                <w:sz w:val="20"/>
                <w:szCs w:val="20"/>
                <w:color w:val="auto"/>
              </w:rPr>
            </w:pPr>
            <w:r>
              <w:rPr>
                <w:rFonts w:ascii="Arial" w:cs="Arial" w:eastAsia="Arial" w:hAnsi="Arial"/>
                <w:sz w:val="13"/>
                <w:szCs w:val="13"/>
                <w:color w:val="auto"/>
              </w:rPr>
              <w:t>45,000,000</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45,001,250</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45,001,500</w:t>
            </w:r>
          </w:p>
        </w:tc>
        <w:tc>
          <w:tcPr>
            <w:tcW w:w="780" w:type="dxa"/>
            <w:vAlign w:val="bottom"/>
            <w:gridSpan w:val="2"/>
          </w:tcPr>
          <w:p>
            <w:pPr>
              <w:ind w:left="240"/>
              <w:spacing w:after="0"/>
              <w:rPr>
                <w:sz w:val="20"/>
                <w:szCs w:val="20"/>
                <w:color w:val="auto"/>
              </w:rPr>
            </w:pPr>
            <w:r>
              <w:rPr>
                <w:rFonts w:ascii="Arial" w:cs="Arial" w:eastAsia="Arial" w:hAnsi="Arial"/>
                <w:sz w:val="13"/>
                <w:szCs w:val="13"/>
                <w:color w:val="auto"/>
              </w:rPr>
              <w:t>(9)</w:t>
            </w:r>
          </w:p>
        </w:tc>
        <w:tc>
          <w:tcPr>
            <w:tcW w:w="0" w:type="dxa"/>
            <w:vAlign w:val="bottom"/>
          </w:tcPr>
          <w:p>
            <w:pPr>
              <w:spacing w:after="0"/>
              <w:rPr>
                <w:sz w:val="1"/>
                <w:szCs w:val="1"/>
                <w:color w:val="auto"/>
              </w:rPr>
            </w:pPr>
          </w:p>
        </w:tc>
      </w:tr>
      <w:tr>
        <w:trPr>
          <w:trHeight w:val="142"/>
        </w:trPr>
        <w:tc>
          <w:tcPr>
            <w:tcW w:w="2260" w:type="dxa"/>
            <w:vAlign w:val="bottom"/>
            <w:tcBorders>
              <w:left w:val="single" w:sz="8" w:color="CFF0FC"/>
              <w:bottom w:val="single" w:sz="8" w:color="CFF0FC"/>
            </w:tcBorders>
            <w:gridSpan w:val="3"/>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Total U.S. Treasury - 7.42%*</w:t>
            </w:r>
          </w:p>
        </w:tc>
        <w:tc>
          <w:tcPr>
            <w:tcW w:w="140" w:type="dxa"/>
            <w:vAlign w:val="bottom"/>
            <w:tcBorders>
              <w:bottom w:val="single" w:sz="8" w:color="CFF0FC"/>
            </w:tcBorders>
            <w:shd w:val="clear" w:color="auto" w:fill="CFF0FC"/>
          </w:tcPr>
          <w:p>
            <w:pPr>
              <w:spacing w:after="0"/>
              <w:rPr>
                <w:sz w:val="12"/>
                <w:szCs w:val="12"/>
                <w:color w:val="auto"/>
              </w:rPr>
            </w:pPr>
          </w:p>
        </w:tc>
        <w:tc>
          <w:tcPr>
            <w:tcW w:w="22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10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92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82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45,001,250</w:t>
            </w: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45,001,500</w:t>
            </w:r>
          </w:p>
        </w:tc>
        <w:tc>
          <w:tcPr>
            <w:tcW w:w="22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80" w:type="dxa"/>
            <w:vAlign w:val="bottom"/>
            <w:gridSpan w:val="3"/>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60" w:type="dxa"/>
            <w:vAlign w:val="bottom"/>
            <w:tcBorders>
              <w:left w:val="single" w:sz="8" w:color="CFF0FC"/>
              <w:bottom w:val="single" w:sz="8" w:color="CFF0FC"/>
            </w:tcBorders>
            <w:gridSpan w:val="3"/>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Total Total Investments - 120.34%*</w:t>
            </w:r>
          </w:p>
        </w:tc>
        <w:tc>
          <w:tcPr>
            <w:tcW w:w="140" w:type="dxa"/>
            <w:vAlign w:val="bottom"/>
            <w:tcBorders>
              <w:bottom w:val="single" w:sz="8" w:color="CFF0FC"/>
            </w:tcBorders>
            <w:shd w:val="clear" w:color="auto" w:fill="CFF0FC"/>
          </w:tcPr>
          <w:p>
            <w:pPr>
              <w:spacing w:after="0"/>
              <w:rPr>
                <w:sz w:val="15"/>
                <w:szCs w:val="15"/>
                <w:color w:val="auto"/>
              </w:rPr>
            </w:pPr>
          </w:p>
        </w:tc>
        <w:tc>
          <w:tcPr>
            <w:tcW w:w="2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CFF0FC"/>
            </w:tcBorders>
            <w:shd w:val="clear" w:color="auto" w:fill="CFF0FC"/>
          </w:tcPr>
          <w:p>
            <w:pPr>
              <w:spacing w:after="0"/>
              <w:rPr>
                <w:sz w:val="15"/>
                <w:szCs w:val="15"/>
                <w:color w:val="auto"/>
              </w:rPr>
            </w:pPr>
          </w:p>
        </w:tc>
        <w:tc>
          <w:tcPr>
            <w:tcW w:w="1280" w:type="dxa"/>
            <w:vAlign w:val="bottom"/>
            <w:tcBorders>
              <w:bottom w:val="single" w:sz="8" w:color="CFF0FC"/>
            </w:tcBorders>
            <w:gridSpan w:val="3"/>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97"/>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726,077,824</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729,516,274</w:t>
            </w:r>
          </w:p>
        </w:tc>
        <w:tc>
          <w:tcPr>
            <w:tcW w:w="220" w:type="dxa"/>
            <w:vAlign w:val="bottom"/>
            <w:tcBorders>
              <w:bottom w:val="single" w:sz="8" w:color="CFF0FC"/>
            </w:tcBorders>
            <w:shd w:val="clear" w:color="auto" w:fill="CFF0FC"/>
          </w:tcPr>
          <w:p>
            <w:pPr>
              <w:spacing w:after="0"/>
              <w:rPr>
                <w:sz w:val="15"/>
                <w:szCs w:val="15"/>
                <w:color w:val="auto"/>
              </w:rPr>
            </w:pPr>
          </w:p>
        </w:tc>
        <w:tc>
          <w:tcPr>
            <w:tcW w:w="5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-2910840</wp:posOffset>
            </wp:positionV>
            <wp:extent cx="6858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-2910840</wp:posOffset>
            </wp:positionV>
            <wp:extent cx="6858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-2645410</wp:posOffset>
            </wp:positionV>
            <wp:extent cx="6858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-2645410</wp:posOffset>
            </wp:positionV>
            <wp:extent cx="6858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-2259330</wp:posOffset>
            </wp:positionV>
            <wp:extent cx="6858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-2259330</wp:posOffset>
            </wp:positionV>
            <wp:extent cx="6858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-1864995</wp:posOffset>
            </wp:positionV>
            <wp:extent cx="6858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-1864995</wp:posOffset>
            </wp:positionV>
            <wp:extent cx="6858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-819150</wp:posOffset>
            </wp:positionV>
            <wp:extent cx="6858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-819150</wp:posOffset>
            </wp:positionV>
            <wp:extent cx="6858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-622300</wp:posOffset>
            </wp:positionV>
            <wp:extent cx="6858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-622300</wp:posOffset>
            </wp:positionV>
            <wp:extent cx="6858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-227965</wp:posOffset>
            </wp:positionV>
            <wp:extent cx="6858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-227965</wp:posOffset>
            </wp:positionV>
            <wp:extent cx="6858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-24765</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6858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-24765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6640195</wp:posOffset>
            </wp:positionH>
            <wp:positionV relativeFrom="paragraph">
              <wp:posOffset>-8255</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ind w:left="760" w:hanging="374"/>
        <w:spacing w:after="0" w:line="169" w:lineRule="exact"/>
        <w:tabs>
          <w:tab w:leader="none" w:pos="76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w:t>
      </w:r>
      <w:r>
        <w:rPr>
          <w:rFonts w:ascii="MS PGothic" w:cs="MS PGothic" w:eastAsia="MS PGothic" w:hAnsi="MS PGothic"/>
          <w:sz w:val="14"/>
          <w:szCs w:val="14"/>
          <w:color w:val="auto"/>
        </w:rPr>
        <w:t>‑</w:t>
      </w:r>
      <w:r>
        <w:rPr>
          <w:rFonts w:ascii="Arial" w:cs="Arial" w:eastAsia="Arial" w:hAnsi="Arial"/>
          <w:sz w:val="14"/>
          <w:szCs w:val="14"/>
          <w:color w:val="auto"/>
        </w:rPr>
        <w:t>Month London Interbank Offered Rate (“LIBOR”) or the U.S. Prime Rate. At December 31, 2021, the 3</w:t>
      </w:r>
      <w:r>
        <w:rPr>
          <w:rFonts w:ascii="MS PGothic" w:cs="MS PGothic" w:eastAsia="MS PGothic" w:hAnsi="MS PGothic"/>
          <w:sz w:val="14"/>
          <w:szCs w:val="14"/>
          <w:color w:val="auto"/>
        </w:rPr>
        <w:t>‑</w:t>
      </w:r>
      <w:r>
        <w:rPr>
          <w:rFonts w:ascii="Arial" w:cs="Arial" w:eastAsia="Arial" w:hAnsi="Arial"/>
          <w:sz w:val="14"/>
          <w:szCs w:val="14"/>
          <w:color w:val="auto"/>
        </w:rPr>
        <w:t>Month LIBOR was 0.21% and the U.S. Prime Rate was 3.25%.</w:t>
      </w:r>
    </w:p>
    <w:p>
      <w:pPr>
        <w:spacing w:after="0" w:line="170" w:lineRule="exact"/>
        <w:rPr>
          <w:rFonts w:ascii="Arial" w:cs="Arial" w:eastAsia="Arial" w:hAnsi="Arial"/>
          <w:sz w:val="19"/>
          <w:szCs w:val="19"/>
          <w:color w:val="auto"/>
          <w:vertAlign w:val="superscript"/>
        </w:rPr>
      </w:pPr>
    </w:p>
    <w:p>
      <w:pPr>
        <w:jc w:val="both"/>
        <w:ind w:left="760" w:hanging="374"/>
        <w:spacing w:after="0" w:line="224" w:lineRule="auto"/>
        <w:tabs>
          <w:tab w:leader="none" w:pos="76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The Company’s investments are generally acquired in private transactions exempt from registration under the Securities Act of 1933, as amended (the “Securities Act”) and, therefore, except as otherwise noted, are subject to limitation on resale, may be deemed to be “restricted securities” under the Securities Act, and were valued at fair value as determined in good faith by the Company’s Board of Directors.</w:t>
      </w:r>
    </w:p>
    <w:p>
      <w:pPr>
        <w:spacing w:after="0" w:line="157" w:lineRule="exact"/>
        <w:rPr>
          <w:rFonts w:ascii="Arial" w:cs="Arial" w:eastAsia="Arial" w:hAnsi="Arial"/>
          <w:sz w:val="19"/>
          <w:szCs w:val="19"/>
          <w:color w:val="auto"/>
          <w:vertAlign w:val="superscript"/>
        </w:rPr>
      </w:pPr>
    </w:p>
    <w:p>
      <w:pPr>
        <w:jc w:val="both"/>
        <w:ind w:left="760" w:hanging="374"/>
        <w:spacing w:after="0" w:line="228" w:lineRule="auto"/>
        <w:tabs>
          <w:tab w:leader="none" w:pos="76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Investment is not a qualifying asset as defined under Section 55(a) of the Investment Company Act of 1940, as amended (the “1940 Act”). Non-qualifying assets at fair value represent 12.35% of total assets as of December 31, 2021.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 of the 1940 Act.</w:t>
      </w:r>
    </w:p>
    <w:p>
      <w:pPr>
        <w:spacing w:after="0" w:line="120" w:lineRule="exact"/>
        <w:rPr>
          <w:rFonts w:ascii="Arial" w:cs="Arial" w:eastAsia="Arial" w:hAnsi="Arial"/>
          <w:sz w:val="19"/>
          <w:szCs w:val="19"/>
          <w:color w:val="auto"/>
          <w:vertAlign w:val="superscript"/>
        </w:rPr>
      </w:pPr>
    </w:p>
    <w:p>
      <w:pPr>
        <w:ind w:left="760" w:hanging="374"/>
        <w:spacing w:after="0"/>
        <w:tabs>
          <w:tab w:leader="none" w:pos="76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Represents a PIK security. PIK interest is accrued and will be paid at maturity.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10" w:lineRule="exact"/>
        <w:rPr>
          <w:sz w:val="20"/>
          <w:szCs w:val="20"/>
          <w:color w:val="auto"/>
        </w:rPr>
      </w:pPr>
    </w:p>
    <w:p>
      <w:pPr>
        <w:ind w:left="760" w:hanging="374"/>
        <w:spacing w:after="0"/>
        <w:tabs>
          <w:tab w:leader="none" w:pos="76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Disclosures of end-of-term-payments (“ETP”) are one-time payments stated as a percentage of original principal amount.</w:t>
      </w:r>
    </w:p>
    <w:p>
      <w:pPr>
        <w:spacing w:after="0" w:line="132" w:lineRule="exact"/>
        <w:rPr>
          <w:rFonts w:ascii="Arial" w:cs="Arial" w:eastAsia="Arial" w:hAnsi="Arial"/>
          <w:sz w:val="19"/>
          <w:szCs w:val="19"/>
          <w:color w:val="auto"/>
          <w:vertAlign w:val="superscript"/>
        </w:rPr>
      </w:pPr>
    </w:p>
    <w:p>
      <w:pPr>
        <w:ind w:left="760" w:hanging="374"/>
        <w:spacing w:after="0"/>
        <w:tabs>
          <w:tab w:leader="none" w:pos="76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Investments are held at Fair Value net of the Fair Value of Unfunded Commitments. See Note 3 for additional detail.</w:t>
      </w:r>
    </w:p>
    <w:p>
      <w:pPr>
        <w:jc w:val="center"/>
        <w:ind w:right="-19"/>
        <w:spacing w:after="0"/>
        <w:rPr>
          <w:sz w:val="20"/>
          <w:szCs w:val="20"/>
          <w:color w:val="auto"/>
        </w:rPr>
      </w:pPr>
      <w:r>
        <w:rPr>
          <w:rFonts w:ascii="Arial" w:cs="Arial" w:eastAsia="Arial" w:hAnsi="Arial"/>
          <w:sz w:val="18"/>
          <w:szCs w:val="18"/>
          <w:color w:val="auto"/>
        </w:rPr>
        <w:t>See notes to financial statements</w:t>
      </w:r>
      <w:r>
        <w:rPr>
          <w:rFonts w:ascii="Arial" w:cs="Arial" w:eastAsia="Arial" w:hAnsi="Arial"/>
          <w:sz w:val="14"/>
          <w:szCs w:val="14"/>
          <w:color w:val="auto"/>
        </w:rPr>
        <w:t>.</w:t>
      </w:r>
    </w:p>
    <w:p>
      <w:pPr>
        <w:spacing w:after="0" w:line="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RUNWAY GROWTH FINANCE CORP.</w:t>
      </w:r>
    </w:p>
    <w:p>
      <w:pPr>
        <w:spacing w:after="0" w:line="21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December 31, 2021</w:t>
      </w:r>
    </w:p>
    <w:p>
      <w:pPr>
        <w:spacing w:after="0" w:line="155" w:lineRule="exact"/>
        <w:rPr>
          <w:sz w:val="20"/>
          <w:szCs w:val="20"/>
          <w:color w:val="auto"/>
        </w:rPr>
      </w:pPr>
    </w:p>
    <w:p>
      <w:pPr>
        <w:ind w:left="760" w:hanging="374"/>
        <w:spacing w:after="0"/>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Investments are non-income producing.</w:t>
      </w:r>
    </w:p>
    <w:p>
      <w:pPr>
        <w:spacing w:after="0" w:line="155" w:lineRule="exact"/>
        <w:rPr>
          <w:rFonts w:ascii="Arial" w:cs="Arial" w:eastAsia="Arial" w:hAnsi="Arial"/>
          <w:sz w:val="19"/>
          <w:szCs w:val="19"/>
          <w:color w:val="auto"/>
          <w:vertAlign w:val="superscript"/>
        </w:rPr>
      </w:pPr>
    </w:p>
    <w:p>
      <w:pPr>
        <w:ind w:left="760" w:hanging="374"/>
        <w:spacing w:after="0" w:line="217" w:lineRule="auto"/>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The Credit Agreement (as defined in Note 10) is secured by a perfected first priority security interest in each of the Company’s senior secured term loan investments, except for Pivot3 Holdings, Inc., Marley Spoon AG, Mojix, Inc., and The Kairn Corporation senior secured term loans.</w:t>
      </w:r>
    </w:p>
    <w:p>
      <w:pPr>
        <w:spacing w:after="0" w:line="156" w:lineRule="exact"/>
        <w:rPr>
          <w:rFonts w:ascii="Arial" w:cs="Arial" w:eastAsia="Arial" w:hAnsi="Arial"/>
          <w:sz w:val="19"/>
          <w:szCs w:val="19"/>
          <w:color w:val="auto"/>
          <w:vertAlign w:val="superscript"/>
        </w:rPr>
      </w:pPr>
    </w:p>
    <w:p>
      <w:pPr>
        <w:ind w:left="760" w:hanging="374"/>
        <w:spacing w:after="0" w:line="239" w:lineRule="auto"/>
        <w:tabs>
          <w:tab w:leader="none" w:pos="760"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Treasury bill with $45,000,000 par value purchased pursuant to a 0.25% reverse repurchase agreement with Goldman Sachs, dated December 30, 2021, due January 6, 2022, with a repurchase price of $44,774,963 collateralized by a 0.033% U.S. Treasury Bill due January 11, 2022 with a par value of $45,000,000 and fair value of $45,001,560.</w:t>
      </w:r>
    </w:p>
    <w:p>
      <w:pPr>
        <w:spacing w:after="0" w:line="133" w:lineRule="exact"/>
        <w:rPr>
          <w:rFonts w:ascii="Arial" w:cs="Arial" w:eastAsia="Arial" w:hAnsi="Arial"/>
          <w:sz w:val="17"/>
          <w:szCs w:val="17"/>
          <w:color w:val="auto"/>
          <w:vertAlign w:val="superscript"/>
        </w:rPr>
      </w:pPr>
    </w:p>
    <w:p>
      <w:pPr>
        <w:ind w:left="760" w:hanging="374"/>
        <w:spacing w:after="0"/>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All investments are domiciled in the United States, unless otherwise noted.</w:t>
      </w:r>
    </w:p>
    <w:p>
      <w:pPr>
        <w:spacing w:after="0" w:line="119" w:lineRule="exact"/>
        <w:rPr>
          <w:rFonts w:ascii="Arial" w:cs="Arial" w:eastAsia="Arial" w:hAnsi="Arial"/>
          <w:sz w:val="19"/>
          <w:szCs w:val="19"/>
          <w:color w:val="auto"/>
          <w:vertAlign w:val="superscript"/>
        </w:rPr>
      </w:pPr>
    </w:p>
    <w:p>
      <w:pPr>
        <w:ind w:left="760" w:hanging="374"/>
        <w:spacing w:after="0"/>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Investment is domiciled in Canada.</w:t>
      </w:r>
    </w:p>
    <w:p>
      <w:pPr>
        <w:spacing w:after="0" w:line="119" w:lineRule="exact"/>
        <w:rPr>
          <w:rFonts w:ascii="Arial" w:cs="Arial" w:eastAsia="Arial" w:hAnsi="Arial"/>
          <w:sz w:val="19"/>
          <w:szCs w:val="19"/>
          <w:color w:val="auto"/>
          <w:vertAlign w:val="superscript"/>
        </w:rPr>
      </w:pPr>
    </w:p>
    <w:p>
      <w:pPr>
        <w:ind w:left="760" w:hanging="374"/>
        <w:spacing w:after="0"/>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Investment is domiciled in Germany.</w:t>
      </w:r>
    </w:p>
    <w:p>
      <w:pPr>
        <w:spacing w:after="0" w:line="132" w:lineRule="exact"/>
        <w:rPr>
          <w:rFonts w:ascii="Arial" w:cs="Arial" w:eastAsia="Arial" w:hAnsi="Arial"/>
          <w:sz w:val="19"/>
          <w:szCs w:val="19"/>
          <w:color w:val="auto"/>
          <w:vertAlign w:val="superscript"/>
        </w:rPr>
      </w:pPr>
    </w:p>
    <w:p>
      <w:pPr>
        <w:ind w:left="760" w:hanging="374"/>
        <w:spacing w:after="0"/>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Investment is domiciled in the United Kingdom.</w:t>
      </w:r>
    </w:p>
    <w:p>
      <w:pPr>
        <w:spacing w:after="0" w:line="119" w:lineRule="exact"/>
        <w:rPr>
          <w:rFonts w:ascii="Arial" w:cs="Arial" w:eastAsia="Arial" w:hAnsi="Arial"/>
          <w:sz w:val="19"/>
          <w:szCs w:val="19"/>
          <w:color w:val="auto"/>
          <w:vertAlign w:val="superscript"/>
        </w:rPr>
      </w:pPr>
    </w:p>
    <w:p>
      <w:pPr>
        <w:ind w:left="760" w:hanging="374"/>
        <w:spacing w:after="0"/>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Investment is either a cash success fee payable or earnout of shares based on the consummation of certain trigger events.</w:t>
      </w:r>
    </w:p>
    <w:p>
      <w:pPr>
        <w:spacing w:after="0" w:line="155" w:lineRule="exact"/>
        <w:rPr>
          <w:rFonts w:ascii="Arial" w:cs="Arial" w:eastAsia="Arial" w:hAnsi="Arial"/>
          <w:sz w:val="19"/>
          <w:szCs w:val="19"/>
          <w:color w:val="auto"/>
          <w:vertAlign w:val="superscript"/>
        </w:rPr>
      </w:pPr>
    </w:p>
    <w:p>
      <w:pPr>
        <w:ind w:left="760" w:hanging="374"/>
        <w:spacing w:after="0" w:line="217" w:lineRule="auto"/>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Control investment, as defined under the 1940 Act, in which the Company owns more than 25% of the investment’s voting securities or has greater than 50% representation on its board.</w:t>
      </w:r>
    </w:p>
    <w:p>
      <w:pPr>
        <w:spacing w:after="0" w:line="133" w:lineRule="exact"/>
        <w:rPr>
          <w:rFonts w:ascii="Arial" w:cs="Arial" w:eastAsia="Arial" w:hAnsi="Arial"/>
          <w:sz w:val="19"/>
          <w:szCs w:val="19"/>
          <w:color w:val="auto"/>
          <w:vertAlign w:val="superscript"/>
        </w:rPr>
      </w:pPr>
    </w:p>
    <w:p>
      <w:pPr>
        <w:ind w:left="760" w:hanging="374"/>
        <w:spacing w:after="0"/>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Investment is publicly traded and listed on NASDAQ.</w:t>
      </w:r>
    </w:p>
    <w:p>
      <w:pPr>
        <w:spacing w:after="0" w:line="119" w:lineRule="exact"/>
        <w:rPr>
          <w:rFonts w:ascii="Arial" w:cs="Arial" w:eastAsia="Arial" w:hAnsi="Arial"/>
          <w:sz w:val="19"/>
          <w:szCs w:val="19"/>
          <w:color w:val="auto"/>
          <w:vertAlign w:val="superscript"/>
        </w:rPr>
      </w:pPr>
    </w:p>
    <w:p>
      <w:pPr>
        <w:ind w:left="760" w:hanging="374"/>
        <w:spacing w:after="0"/>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The warrant count is based upon a percentage of ownership of Fidelis Cybersecurity, Inc.</w:t>
      </w:r>
    </w:p>
    <w:p>
      <w:pPr>
        <w:spacing w:after="0" w:line="155" w:lineRule="exact"/>
        <w:rPr>
          <w:rFonts w:ascii="Arial" w:cs="Arial" w:eastAsia="Arial" w:hAnsi="Arial"/>
          <w:sz w:val="19"/>
          <w:szCs w:val="19"/>
          <w:color w:val="auto"/>
          <w:vertAlign w:val="superscript"/>
        </w:rPr>
      </w:pPr>
    </w:p>
    <w:p>
      <w:pPr>
        <w:jc w:val="both"/>
        <w:ind w:left="760" w:hanging="374"/>
        <w:spacing w:after="0" w:line="224" w:lineRule="auto"/>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As a result of Brilliant Earth Group Inc.'s (the Public Company) IPO through an Up-C structure, the Company received a share of Class B common stock in Brilliant Earth Group, Inc. for every Class P unit it held in Brilliant Earth, LLC. On a one-to-one basis, both the Class B common stock and Class P unit can be surrendered for Class A common stock in the Public Company.</w:t>
      </w:r>
    </w:p>
    <w:p>
      <w:pPr>
        <w:spacing w:after="0" w:line="134" w:lineRule="exact"/>
        <w:rPr>
          <w:rFonts w:ascii="Arial" w:cs="Arial" w:eastAsia="Arial" w:hAnsi="Arial"/>
          <w:sz w:val="19"/>
          <w:szCs w:val="19"/>
          <w:color w:val="auto"/>
          <w:vertAlign w:val="superscript"/>
        </w:rPr>
      </w:pPr>
    </w:p>
    <w:p>
      <w:pPr>
        <w:ind w:left="760" w:hanging="374"/>
        <w:spacing w:after="0"/>
        <w:tabs>
          <w:tab w:leader="none" w:pos="76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Investment is not a “restricted security” under the Securities Act.</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21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December 31, 2021</w:t>
      </w:r>
    </w:p>
    <w:p>
      <w:pPr>
        <w:spacing w:after="0" w:line="19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The Company classifies its investment portfolio in accordance with the requirements of the 1940 Act. Control investments are investments in which the Company owns more than 25% of the voting securities or maintains greater than 50% of the board representation. Affiliate investments are investments in which the Company owns between 5% and 25% (inclusive) of the voting securities and does not have rights to maintain greater than 50% of the board representation. The Company’s affiliate and control investments as of December 31, 2021, along with the transactions during the year ended December 31, 2021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8"/>
          </w:tcPr>
          <w:p>
            <w:pPr>
              <w:jc w:val="right"/>
              <w:ind w:right="238"/>
              <w:spacing w:after="0"/>
              <w:rPr>
                <w:sz w:val="20"/>
                <w:szCs w:val="20"/>
                <w:color w:val="auto"/>
              </w:rPr>
            </w:pPr>
            <w:r>
              <w:rPr>
                <w:rFonts w:ascii="Arial" w:cs="Arial" w:eastAsia="Arial" w:hAnsi="Arial"/>
                <w:sz w:val="13"/>
                <w:szCs w:val="13"/>
                <w:b w:val="1"/>
                <w:bCs w:val="1"/>
                <w:color w:val="auto"/>
              </w:rPr>
              <w:t>For the Year Ended December 31, 2021</w:t>
            </w: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3"/>
        </w:trPr>
        <w:tc>
          <w:tcPr>
            <w:tcW w:w="2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3"/>
          </w:tcPr>
          <w:p>
            <w:pPr>
              <w:jc w:val="center"/>
              <w:ind w:right="218"/>
              <w:spacing w:after="0" w:line="103" w:lineRule="exact"/>
              <w:rPr>
                <w:sz w:val="20"/>
                <w:szCs w:val="20"/>
                <w:color w:val="auto"/>
              </w:rPr>
            </w:pPr>
            <w:r>
              <w:rPr>
                <w:rFonts w:ascii="Arial" w:cs="Arial" w:eastAsia="Arial" w:hAnsi="Arial"/>
                <w:sz w:val="10"/>
                <w:szCs w:val="10"/>
                <w:b w:val="1"/>
                <w:bCs w:val="1"/>
                <w:color w:val="auto"/>
              </w:rPr>
              <w:t>Net Change</w:t>
            </w: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58"/>
              <w:spacing w:after="0" w:line="144" w:lineRule="exact"/>
              <w:rPr>
                <w:sz w:val="20"/>
                <w:szCs w:val="20"/>
                <w:color w:val="auto"/>
              </w:rPr>
            </w:pPr>
            <w:r>
              <w:rPr>
                <w:rFonts w:ascii="Arial" w:cs="Arial" w:eastAsia="Arial" w:hAnsi="Arial"/>
                <w:sz w:val="13"/>
                <w:szCs w:val="13"/>
                <w:b w:val="1"/>
                <w:bCs w:val="1"/>
                <w:color w:val="auto"/>
                <w:w w:val="86"/>
              </w:rPr>
              <w:t>in</w:t>
            </w: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93"/>
              </w:rPr>
              <w:t>Fair Value</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Net Realized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58"/>
              <w:spacing w:after="0"/>
              <w:rPr>
                <w:sz w:val="20"/>
                <w:szCs w:val="20"/>
                <w:color w:val="auto"/>
              </w:rPr>
            </w:pPr>
            <w:r>
              <w:rPr>
                <w:rFonts w:ascii="Arial" w:cs="Arial" w:eastAsia="Arial" w:hAnsi="Arial"/>
                <w:sz w:val="13"/>
                <w:szCs w:val="13"/>
                <w:b w:val="1"/>
                <w:bCs w:val="1"/>
                <w:color w:val="auto"/>
                <w:w w:val="88"/>
              </w:rPr>
              <w:t>Unrealized</w:t>
            </w:r>
          </w:p>
        </w:tc>
        <w:tc>
          <w:tcPr>
            <w:tcW w:w="80" w:type="dxa"/>
            <w:vAlign w:val="bottom"/>
          </w:tcPr>
          <w:p>
            <w:pPr>
              <w:spacing w:after="0"/>
              <w:rPr>
                <w:sz w:val="12"/>
                <w:szCs w:val="12"/>
                <w:color w:val="auto"/>
              </w:rPr>
            </w:pPr>
          </w:p>
        </w:tc>
        <w:tc>
          <w:tcPr>
            <w:tcW w:w="1200" w:type="dxa"/>
            <w:vAlign w:val="bottom"/>
          </w:tcPr>
          <w:p>
            <w:pPr>
              <w:jc w:val="center"/>
              <w:ind w:right="17"/>
              <w:spacing w:after="0"/>
              <w:rPr>
                <w:sz w:val="20"/>
                <w:szCs w:val="20"/>
                <w:color w:val="auto"/>
              </w:rPr>
            </w:pPr>
            <w:r>
              <w:rPr>
                <w:rFonts w:ascii="Arial" w:cs="Arial" w:eastAsia="Arial" w:hAnsi="Arial"/>
                <w:sz w:val="13"/>
                <w:szCs w:val="13"/>
                <w:b w:val="1"/>
                <w:bCs w:val="1"/>
                <w:color w:val="auto"/>
                <w:w w:val="90"/>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as of</w:t>
            </w:r>
          </w:p>
        </w:tc>
        <w:tc>
          <w:tcPr>
            <w:tcW w:w="140" w:type="dxa"/>
            <w:vAlign w:val="bottom"/>
          </w:tcPr>
          <w:p>
            <w:pPr>
              <w:spacing w:after="0"/>
              <w:rPr>
                <w:sz w:val="12"/>
                <w:szCs w:val="12"/>
                <w:color w:val="auto"/>
              </w:rPr>
            </w:pPr>
          </w:p>
        </w:tc>
        <w:tc>
          <w:tcPr>
            <w:tcW w:w="560" w:type="dxa"/>
            <w:vAlign w:val="bottom"/>
          </w:tcPr>
          <w:p>
            <w:pPr>
              <w:jc w:val="right"/>
              <w:ind w:right="138"/>
              <w:spacing w:after="0"/>
              <w:rPr>
                <w:sz w:val="20"/>
                <w:szCs w:val="20"/>
                <w:color w:val="auto"/>
              </w:rPr>
            </w:pPr>
            <w:r>
              <w:rPr>
                <w:rFonts w:ascii="Arial" w:cs="Arial" w:eastAsia="Arial" w:hAnsi="Arial"/>
                <w:sz w:val="13"/>
                <w:szCs w:val="13"/>
                <w:b w:val="1"/>
                <w:bCs w:val="1"/>
                <w:color w:val="auto"/>
                <w:w w:val="90"/>
              </w:rPr>
              <w:t>Gross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w w:val="90"/>
              </w:rPr>
              <w:t>Gross</w:t>
            </w:r>
          </w:p>
        </w:tc>
        <w:tc>
          <w:tcPr>
            <w:tcW w:w="80" w:type="dxa"/>
            <w:vAlign w:val="bottom"/>
          </w:tcPr>
          <w:p>
            <w:pPr>
              <w:spacing w:after="0"/>
              <w:rPr>
                <w:sz w:val="12"/>
                <w:szCs w:val="12"/>
                <w:color w:val="auto"/>
              </w:rPr>
            </w:pPr>
          </w:p>
        </w:tc>
        <w:tc>
          <w:tcPr>
            <w:tcW w:w="780" w:type="dxa"/>
            <w:vAlign w:val="bottom"/>
          </w:tcPr>
          <w:p>
            <w:pPr>
              <w:jc w:val="center"/>
              <w:ind w:right="37"/>
              <w:spacing w:after="0"/>
              <w:rPr>
                <w:sz w:val="20"/>
                <w:szCs w:val="20"/>
                <w:color w:val="auto"/>
              </w:rPr>
            </w:pPr>
            <w:r>
              <w:rPr>
                <w:rFonts w:ascii="Arial" w:cs="Arial" w:eastAsia="Arial" w:hAnsi="Arial"/>
                <w:sz w:val="13"/>
                <w:szCs w:val="13"/>
                <w:b w:val="1"/>
                <w:bCs w:val="1"/>
                <w:color w:val="auto"/>
                <w:w w:val="88"/>
              </w:rPr>
              <w:t>Gains</w:t>
            </w:r>
          </w:p>
        </w:tc>
        <w:tc>
          <w:tcPr>
            <w:tcW w:w="220" w:type="dxa"/>
            <w:vAlign w:val="bottom"/>
          </w:tcPr>
          <w:p>
            <w:pPr>
              <w:spacing w:after="0"/>
              <w:rPr>
                <w:sz w:val="12"/>
                <w:szCs w:val="12"/>
                <w:color w:val="auto"/>
              </w:rPr>
            </w:pPr>
          </w:p>
        </w:tc>
        <w:tc>
          <w:tcPr>
            <w:tcW w:w="1000" w:type="dxa"/>
            <w:vAlign w:val="bottom"/>
            <w:gridSpan w:val="3"/>
          </w:tcPr>
          <w:p>
            <w:pPr>
              <w:jc w:val="center"/>
              <w:ind w:right="178"/>
              <w:spacing w:after="0"/>
              <w:rPr>
                <w:sz w:val="20"/>
                <w:szCs w:val="20"/>
                <w:color w:val="auto"/>
              </w:rPr>
            </w:pPr>
            <w:r>
              <w:rPr>
                <w:rFonts w:ascii="Arial" w:cs="Arial" w:eastAsia="Arial" w:hAnsi="Arial"/>
                <w:sz w:val="13"/>
                <w:szCs w:val="13"/>
                <w:b w:val="1"/>
                <w:bCs w:val="1"/>
                <w:color w:val="auto"/>
                <w:w w:val="88"/>
              </w:rPr>
              <w:t>Appreciation</w:t>
            </w:r>
          </w:p>
        </w:tc>
        <w:tc>
          <w:tcPr>
            <w:tcW w:w="80" w:type="dxa"/>
            <w:vAlign w:val="bottom"/>
          </w:tcPr>
          <w:p>
            <w:pPr>
              <w:spacing w:after="0"/>
              <w:rPr>
                <w:sz w:val="12"/>
                <w:szCs w:val="12"/>
                <w:color w:val="auto"/>
              </w:rPr>
            </w:pPr>
          </w:p>
        </w:tc>
        <w:tc>
          <w:tcPr>
            <w:tcW w:w="1200" w:type="dxa"/>
            <w:vAlign w:val="bottom"/>
          </w:tcPr>
          <w:p>
            <w:pPr>
              <w:jc w:val="center"/>
              <w:ind w:right="17"/>
              <w:spacing w:after="0"/>
              <w:rPr>
                <w:sz w:val="20"/>
                <w:szCs w:val="20"/>
                <w:color w:val="auto"/>
              </w:rPr>
            </w:pPr>
            <w:r>
              <w:rPr>
                <w:rFonts w:ascii="Arial" w:cs="Arial" w:eastAsia="Arial" w:hAnsi="Arial"/>
                <w:sz w:val="13"/>
                <w:szCs w:val="13"/>
                <w:b w:val="1"/>
                <w:bCs w:val="1"/>
                <w:color w:val="auto"/>
                <w:w w:val="78"/>
              </w:rPr>
              <w:t>as of</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Portfolio Company</w:t>
            </w:r>
            <w:r>
              <w:rPr>
                <w:rFonts w:ascii="Arial" w:cs="Arial" w:eastAsia="Arial" w:hAnsi="Arial"/>
                <w:sz w:val="16"/>
                <w:szCs w:val="16"/>
                <w:b w:val="1"/>
                <w:bCs w:val="1"/>
                <w:color w:val="auto"/>
                <w:vertAlign w:val="superscript"/>
              </w:rPr>
              <w:t>(4)</w:t>
            </w:r>
          </w:p>
        </w:tc>
        <w:tc>
          <w:tcPr>
            <w:tcW w:w="140" w:type="dxa"/>
            <w:vAlign w:val="bottom"/>
          </w:tcPr>
          <w:p>
            <w:pPr>
              <w:spacing w:after="0"/>
              <w:rPr>
                <w:sz w:val="14"/>
                <w:szCs w:val="14"/>
                <w:color w:val="auto"/>
              </w:rPr>
            </w:pPr>
          </w:p>
        </w:tc>
        <w:tc>
          <w:tcPr>
            <w:tcW w:w="2160" w:type="dxa"/>
            <w:vAlign w:val="bottom"/>
            <w:vMerge w:val="restart"/>
          </w:tcPr>
          <w:p>
            <w:pPr>
              <w:spacing w:after="0"/>
              <w:rPr>
                <w:sz w:val="20"/>
                <w:szCs w:val="20"/>
                <w:color w:val="auto"/>
              </w:rPr>
            </w:pPr>
            <w:r>
              <w:rPr>
                <w:rFonts w:ascii="Arial" w:cs="Arial" w:eastAsia="Arial" w:hAnsi="Arial"/>
                <w:sz w:val="13"/>
                <w:szCs w:val="13"/>
                <w:b w:val="1"/>
                <w:bCs w:val="1"/>
                <w:color w:val="auto"/>
              </w:rPr>
              <w:t>Investment Description</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December 31,</w:t>
            </w:r>
          </w:p>
        </w:tc>
        <w:tc>
          <w:tcPr>
            <w:tcW w:w="7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87"/>
              </w:rPr>
              <w:t>Additions</w:t>
            </w:r>
            <w:r>
              <w:rPr>
                <w:rFonts w:ascii="Arial" w:cs="Arial" w:eastAsia="Arial" w:hAnsi="Arial"/>
                <w:sz w:val="16"/>
                <w:szCs w:val="16"/>
                <w:b w:val="1"/>
                <w:bCs w:val="1"/>
                <w:color w:val="auto"/>
                <w:w w:val="87"/>
                <w:vertAlign w:val="superscript"/>
              </w:rPr>
              <w:t>(1)</w:t>
            </w:r>
          </w:p>
        </w:tc>
        <w:tc>
          <w:tcPr>
            <w:tcW w:w="220" w:type="dxa"/>
            <w:vAlign w:val="bottom"/>
          </w:tcPr>
          <w:p>
            <w:pPr>
              <w:spacing w:after="0"/>
              <w:rPr>
                <w:sz w:val="14"/>
                <w:szCs w:val="14"/>
                <w:color w:val="auto"/>
              </w:rPr>
            </w:pPr>
          </w:p>
        </w:tc>
        <w:tc>
          <w:tcPr>
            <w:tcW w:w="920" w:type="dxa"/>
            <w:vAlign w:val="bottom"/>
            <w:gridSpan w:val="3"/>
          </w:tcPr>
          <w:p>
            <w:pPr>
              <w:ind w:left="20"/>
              <w:spacing w:after="0" w:line="167" w:lineRule="exact"/>
              <w:rPr>
                <w:sz w:val="20"/>
                <w:szCs w:val="20"/>
                <w:color w:val="auto"/>
              </w:rPr>
            </w:pPr>
            <w:r>
              <w:rPr>
                <w:rFonts w:ascii="Arial" w:cs="Arial" w:eastAsia="Arial" w:hAnsi="Arial"/>
                <w:sz w:val="13"/>
                <w:szCs w:val="13"/>
                <w:b w:val="1"/>
                <w:bCs w:val="1"/>
                <w:color w:val="auto"/>
              </w:rPr>
              <w:t>Reductions</w:t>
            </w:r>
            <w:r>
              <w:rPr>
                <w:rFonts w:ascii="Arial" w:cs="Arial" w:eastAsia="Arial" w:hAnsi="Arial"/>
                <w:sz w:val="16"/>
                <w:szCs w:val="16"/>
                <w:b w:val="1"/>
                <w:bCs w:val="1"/>
                <w:color w:val="auto"/>
                <w:vertAlign w:val="superscript"/>
              </w:rPr>
              <w:t>(</w:t>
            </w:r>
          </w:p>
        </w:tc>
        <w:tc>
          <w:tcPr>
            <w:tcW w:w="80" w:type="dxa"/>
            <w:vAlign w:val="bottom"/>
          </w:tcPr>
          <w:p>
            <w:pPr>
              <w:spacing w:after="0"/>
              <w:rPr>
                <w:sz w:val="14"/>
                <w:szCs w:val="14"/>
                <w:color w:val="auto"/>
              </w:rPr>
            </w:pPr>
          </w:p>
        </w:tc>
        <w:tc>
          <w:tcPr>
            <w:tcW w:w="780" w:type="dxa"/>
            <w:vAlign w:val="bottom"/>
            <w:vMerge w:val="restart"/>
          </w:tcPr>
          <w:p>
            <w:pPr>
              <w:jc w:val="center"/>
              <w:ind w:right="37"/>
              <w:spacing w:after="0"/>
              <w:rPr>
                <w:sz w:val="20"/>
                <w:szCs w:val="20"/>
                <w:color w:val="auto"/>
              </w:rPr>
            </w:pPr>
            <w:r>
              <w:rPr>
                <w:rFonts w:ascii="Arial" w:cs="Arial" w:eastAsia="Arial" w:hAnsi="Arial"/>
                <w:sz w:val="13"/>
                <w:szCs w:val="13"/>
                <w:b w:val="1"/>
                <w:bCs w:val="1"/>
                <w:color w:val="auto"/>
                <w:w w:val="82"/>
              </w:rPr>
              <w:t>(Losses)</w:t>
            </w:r>
          </w:p>
        </w:tc>
        <w:tc>
          <w:tcPr>
            <w:tcW w:w="220" w:type="dxa"/>
            <w:vAlign w:val="bottom"/>
          </w:tcPr>
          <w:p>
            <w:pPr>
              <w:spacing w:after="0"/>
              <w:rPr>
                <w:sz w:val="14"/>
                <w:szCs w:val="14"/>
                <w:color w:val="auto"/>
              </w:rPr>
            </w:pPr>
          </w:p>
        </w:tc>
        <w:tc>
          <w:tcPr>
            <w:tcW w:w="1000" w:type="dxa"/>
            <w:vAlign w:val="bottom"/>
            <w:gridSpan w:val="3"/>
          </w:tcPr>
          <w:p>
            <w:pPr>
              <w:jc w:val="center"/>
              <w:ind w:right="178"/>
              <w:spacing w:after="0"/>
              <w:rPr>
                <w:sz w:val="20"/>
                <w:szCs w:val="20"/>
                <w:color w:val="auto"/>
              </w:rPr>
            </w:pPr>
            <w:r>
              <w:rPr>
                <w:rFonts w:ascii="Arial" w:cs="Arial" w:eastAsia="Arial" w:hAnsi="Arial"/>
                <w:sz w:val="13"/>
                <w:szCs w:val="13"/>
                <w:b w:val="1"/>
                <w:bCs w:val="1"/>
                <w:color w:val="auto"/>
                <w:w w:val="89"/>
              </w:rPr>
              <w:t>(Depreciation</w:t>
            </w:r>
          </w:p>
        </w:tc>
        <w:tc>
          <w:tcPr>
            <w:tcW w:w="80" w:type="dxa"/>
            <w:vAlign w:val="bottom"/>
          </w:tcPr>
          <w:p>
            <w:pPr>
              <w:spacing w:after="0"/>
              <w:rPr>
                <w:sz w:val="14"/>
                <w:szCs w:val="14"/>
                <w:color w:val="auto"/>
              </w:rPr>
            </w:pPr>
          </w:p>
        </w:tc>
        <w:tc>
          <w:tcPr>
            <w:tcW w:w="1200" w:type="dxa"/>
            <w:vAlign w:val="bottom"/>
            <w:vMerge w:val="restart"/>
          </w:tcPr>
          <w:p>
            <w:pPr>
              <w:jc w:val="center"/>
              <w:ind w:right="17"/>
              <w:spacing w:after="0"/>
              <w:rPr>
                <w:sz w:val="20"/>
                <w:szCs w:val="20"/>
                <w:color w:val="auto"/>
              </w:rPr>
            </w:pPr>
            <w:r>
              <w:rPr>
                <w:rFonts w:ascii="Arial" w:cs="Arial" w:eastAsia="Arial" w:hAnsi="Arial"/>
                <w:sz w:val="13"/>
                <w:szCs w:val="13"/>
                <w:b w:val="1"/>
                <w:bCs w:val="1"/>
                <w:color w:val="auto"/>
                <w:w w:val="86"/>
              </w:rPr>
              <w:t>December 31, 2021</w:t>
            </w:r>
            <w:r>
              <w:rPr>
                <w:rFonts w:ascii="Arial" w:cs="Arial" w:eastAsia="Arial" w:hAnsi="Arial"/>
                <w:sz w:val="16"/>
                <w:szCs w:val="16"/>
                <w:b w:val="1"/>
                <w:bCs w:val="1"/>
                <w:color w:val="auto"/>
                <w:w w:val="86"/>
                <w:vertAlign w:val="superscript"/>
              </w:rPr>
              <w:t>(3)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280" w:type="dxa"/>
            <w:vAlign w:val="bottom"/>
            <w:tcBorders>
              <w:bottom w:val="single" w:sz="8" w:color="auto"/>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216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center"/>
              <w:ind w:right="37"/>
              <w:spacing w:after="0" w:line="122" w:lineRule="exact"/>
              <w:rPr>
                <w:sz w:val="20"/>
                <w:szCs w:val="20"/>
                <w:color w:val="auto"/>
              </w:rPr>
            </w:pPr>
            <w:r>
              <w:rPr>
                <w:rFonts w:ascii="Arial" w:cs="Arial" w:eastAsia="Arial" w:hAnsi="Arial"/>
                <w:sz w:val="13"/>
                <w:szCs w:val="13"/>
                <w:b w:val="1"/>
                <w:bCs w:val="1"/>
                <w:color w:val="auto"/>
                <w:w w:val="89"/>
              </w:rPr>
              <w:t>2020</w:t>
            </w:r>
          </w:p>
        </w:tc>
        <w:tc>
          <w:tcPr>
            <w:tcW w:w="240" w:type="dxa"/>
            <w:vAlign w:val="bottom"/>
          </w:tcPr>
          <w:p>
            <w:pPr>
              <w:spacing w:after="0"/>
              <w:rPr>
                <w:sz w:val="10"/>
                <w:szCs w:val="10"/>
                <w:color w:val="auto"/>
              </w:rPr>
            </w:pPr>
          </w:p>
        </w:tc>
        <w:tc>
          <w:tcPr>
            <w:tcW w:w="700" w:type="dxa"/>
            <w:vAlign w:val="bottom"/>
            <w:tcBorders>
              <w:bottom w:val="single" w:sz="8" w:color="auto"/>
            </w:tcBorders>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239"/>
              <w:spacing w:after="0"/>
              <w:rPr>
                <w:sz w:val="20"/>
                <w:szCs w:val="20"/>
                <w:color w:val="auto"/>
              </w:rPr>
            </w:pPr>
            <w:r>
              <w:rPr>
                <w:rFonts w:ascii="Arial" w:cs="Arial" w:eastAsia="Arial" w:hAnsi="Arial"/>
                <w:sz w:val="8"/>
                <w:szCs w:val="8"/>
                <w:b w:val="1"/>
                <w:bCs w:val="1"/>
                <w:color w:val="auto"/>
              </w:rPr>
              <w:t>2)</w:t>
            </w: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center"/>
              <w:ind w:right="38"/>
              <w:spacing w:after="0" w:line="122" w:lineRule="exact"/>
              <w:rPr>
                <w:sz w:val="20"/>
                <w:szCs w:val="20"/>
                <w:color w:val="auto"/>
              </w:rPr>
            </w:pPr>
            <w:r>
              <w:rPr>
                <w:rFonts w:ascii="Arial" w:cs="Arial" w:eastAsia="Arial" w:hAnsi="Arial"/>
                <w:sz w:val="13"/>
                <w:szCs w:val="13"/>
                <w:b w:val="1"/>
                <w:bCs w:val="1"/>
                <w:color w:val="auto"/>
                <w:w w:val="91"/>
              </w:rPr>
              <w:t>)</w:t>
            </w:r>
          </w:p>
        </w:tc>
        <w:tc>
          <w:tcPr>
            <w:tcW w:w="2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28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Control Investments</w:t>
            </w:r>
          </w:p>
        </w:tc>
        <w:tc>
          <w:tcPr>
            <w:tcW w:w="14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20"/>
              <w:spacing w:after="0"/>
              <w:rPr>
                <w:sz w:val="20"/>
                <w:szCs w:val="20"/>
                <w:color w:val="auto"/>
              </w:rPr>
            </w:pPr>
            <w:r>
              <w:rPr>
                <w:rFonts w:ascii="Arial" w:cs="Arial" w:eastAsia="Arial" w:hAnsi="Arial"/>
                <w:sz w:val="13"/>
                <w:szCs w:val="13"/>
                <w:b w:val="1"/>
                <w:bCs w:val="1"/>
                <w:color w:val="auto"/>
              </w:rPr>
              <w:t>Senior Secured Term Loans</w:t>
            </w:r>
          </w:p>
        </w:tc>
        <w:tc>
          <w:tcPr>
            <w:tcW w:w="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8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Mojix, Inc.</w:t>
            </w:r>
          </w:p>
        </w:tc>
        <w:tc>
          <w:tcPr>
            <w:tcW w:w="140" w:type="dxa"/>
            <w:vAlign w:val="bottom"/>
            <w:shd w:val="clear" w:color="auto" w:fill="CFF0FC"/>
          </w:tcPr>
          <w:p>
            <w:pPr>
              <w:spacing w:after="0"/>
              <w:rPr>
                <w:sz w:val="9"/>
                <w:szCs w:val="9"/>
                <w:color w:val="auto"/>
              </w:rPr>
            </w:pPr>
          </w:p>
        </w:tc>
        <w:tc>
          <w:tcPr>
            <w:tcW w:w="2160" w:type="dxa"/>
            <w:vAlign w:val="bottom"/>
            <w:shd w:val="clear" w:color="auto" w:fill="CFF0FC"/>
          </w:tcPr>
          <w:p>
            <w:pPr>
              <w:spacing w:after="0" w:line="108" w:lineRule="exact"/>
              <w:rPr>
                <w:sz w:val="20"/>
                <w:szCs w:val="20"/>
                <w:color w:val="auto"/>
              </w:rPr>
            </w:pPr>
            <w:r>
              <w:rPr>
                <w:rFonts w:ascii="Arial" w:cs="Arial" w:eastAsia="Arial" w:hAnsi="Arial"/>
                <w:sz w:val="12"/>
                <w:szCs w:val="12"/>
                <w:color w:val="auto"/>
              </w:rPr>
              <w:t>LIBOR+12.00% PIK, 12.00% floor, 5%</w:t>
            </w: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4,913,150</w:t>
            </w:r>
          </w:p>
        </w:tc>
        <w:tc>
          <w:tcPr>
            <w:tcW w:w="24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2"/>
            <w:vMerge w:val="restart"/>
            <w:shd w:val="clear" w:color="auto" w:fill="CFF0FC"/>
          </w:tcPr>
          <w:p>
            <w:pPr>
              <w:ind w:left="24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vMerge w:val="restart"/>
            <w:shd w:val="clear" w:color="auto" w:fill="CFF0FC"/>
          </w:tcPr>
          <w:p>
            <w:pPr>
              <w:ind w:left="640"/>
              <w:spacing w:after="0"/>
              <w:rPr>
                <w:sz w:val="20"/>
                <w:szCs w:val="20"/>
                <w:color w:val="auto"/>
              </w:rPr>
            </w:pPr>
            <w:r>
              <w:rPr>
                <w:rFonts w:ascii="Arial" w:cs="Arial" w:eastAsia="Arial" w:hAnsi="Arial"/>
                <w:sz w:val="13"/>
                <w:szCs w:val="13"/>
                <w:color w:val="auto"/>
                <w:w w:val="91"/>
              </w:rPr>
              <w:t>—</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2,654,460</w:t>
            </w:r>
          </w:p>
        </w:tc>
        <w:tc>
          <w:tcPr>
            <w:tcW w:w="220" w:type="dxa"/>
            <w:vAlign w:val="bottom"/>
            <w:shd w:val="clear" w:color="auto" w:fill="CFF0FC"/>
          </w:tcPr>
          <w:p>
            <w:pPr>
              <w:spacing w:after="0"/>
              <w:rPr>
                <w:sz w:val="9"/>
                <w:szCs w:val="9"/>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7,567,610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line="162" w:lineRule="exact"/>
              <w:rPr>
                <w:sz w:val="20"/>
                <w:szCs w:val="20"/>
                <w:color w:val="auto"/>
              </w:rPr>
            </w:pPr>
            <w:r>
              <w:rPr>
                <w:rFonts w:ascii="Arial" w:cs="Arial" w:eastAsia="Arial" w:hAnsi="Arial"/>
                <w:sz w:val="13"/>
                <w:szCs w:val="13"/>
                <w:color w:val="auto"/>
              </w:rPr>
              <w:t>ETP, due 1/15/2022</w:t>
            </w:r>
            <w:r>
              <w:rPr>
                <w:rFonts w:ascii="Arial" w:cs="Arial" w:eastAsia="Arial" w:hAnsi="Arial"/>
                <w:sz w:val="16"/>
                <w:szCs w:val="16"/>
                <w:color w:val="auto"/>
                <w:vertAlign w:val="superscript"/>
              </w:rPr>
              <w:t>(4)</w:t>
            </w:r>
          </w:p>
        </w:tc>
        <w:tc>
          <w:tcPr>
            <w:tcW w:w="200" w:type="dxa"/>
            <w:vAlign w:val="bottom"/>
            <w:gridSpan w:val="2"/>
            <w:vMerge w:val="continue"/>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tcPr>
          <w:p>
            <w:pPr>
              <w:spacing w:after="0" w:line="108" w:lineRule="exact"/>
              <w:rPr>
                <w:sz w:val="20"/>
                <w:szCs w:val="20"/>
                <w:color w:val="auto"/>
              </w:rPr>
            </w:pPr>
            <w:r>
              <w:rPr>
                <w:rFonts w:ascii="Arial" w:cs="Arial" w:eastAsia="Arial" w:hAnsi="Arial"/>
                <w:sz w:val="12"/>
                <w:szCs w:val="12"/>
                <w:color w:val="auto"/>
              </w:rPr>
              <w:t>LIBOR+12.00% PIK, 12.00% floor, 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1,637,717</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80" w:type="dxa"/>
            <w:vAlign w:val="bottom"/>
            <w:vMerge w:val="restart"/>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884,820</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2,522,537</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spacing w:after="0" w:line="162" w:lineRule="exact"/>
              <w:rPr>
                <w:sz w:val="20"/>
                <w:szCs w:val="20"/>
                <w:color w:val="auto"/>
              </w:rPr>
            </w:pPr>
            <w:r>
              <w:rPr>
                <w:rFonts w:ascii="Arial" w:cs="Arial" w:eastAsia="Arial" w:hAnsi="Arial"/>
                <w:sz w:val="13"/>
                <w:szCs w:val="13"/>
                <w:color w:val="auto"/>
              </w:rPr>
              <w:t>ETP, due 1/15/2022</w:t>
            </w:r>
            <w:r>
              <w:rPr>
                <w:rFonts w:ascii="Arial" w:cs="Arial" w:eastAsia="Arial" w:hAnsi="Arial"/>
                <w:sz w:val="16"/>
                <w:szCs w:val="16"/>
                <w:color w:val="auto"/>
                <w:vertAlign w:val="superscript"/>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160" w:type="dxa"/>
            <w:vAlign w:val="bottom"/>
            <w:shd w:val="clear" w:color="auto" w:fill="CFF0FC"/>
          </w:tcPr>
          <w:p>
            <w:pPr>
              <w:spacing w:after="0" w:line="108" w:lineRule="exact"/>
              <w:rPr>
                <w:sz w:val="20"/>
                <w:szCs w:val="20"/>
                <w:color w:val="auto"/>
              </w:rPr>
            </w:pPr>
            <w:r>
              <w:rPr>
                <w:rFonts w:ascii="Arial" w:cs="Arial" w:eastAsia="Arial" w:hAnsi="Arial"/>
                <w:sz w:val="12"/>
                <w:szCs w:val="12"/>
                <w:color w:val="auto"/>
              </w:rPr>
              <w:t>LIBOR+12.00% PIK, 12.00% floor, 5%</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409,016</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220,981</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629,997</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line="162" w:lineRule="exact"/>
              <w:rPr>
                <w:sz w:val="20"/>
                <w:szCs w:val="20"/>
                <w:color w:val="auto"/>
              </w:rPr>
            </w:pPr>
            <w:r>
              <w:rPr>
                <w:rFonts w:ascii="Arial" w:cs="Arial" w:eastAsia="Arial" w:hAnsi="Arial"/>
                <w:sz w:val="13"/>
                <w:szCs w:val="13"/>
                <w:color w:val="auto"/>
              </w:rPr>
              <w:t>ETP, due 1/15/2022</w:t>
            </w:r>
            <w:r>
              <w:rPr>
                <w:rFonts w:ascii="Arial" w:cs="Arial" w:eastAsia="Arial" w:hAnsi="Arial"/>
                <w:sz w:val="16"/>
                <w:szCs w:val="16"/>
                <w:color w:val="auto"/>
                <w:vertAlign w:val="superscript"/>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tcPr>
          <w:p>
            <w:pPr>
              <w:spacing w:after="0" w:line="108" w:lineRule="exact"/>
              <w:rPr>
                <w:sz w:val="20"/>
                <w:szCs w:val="20"/>
                <w:color w:val="auto"/>
              </w:rPr>
            </w:pPr>
            <w:r>
              <w:rPr>
                <w:rFonts w:ascii="Arial" w:cs="Arial" w:eastAsia="Arial" w:hAnsi="Arial"/>
                <w:sz w:val="12"/>
                <w:szCs w:val="12"/>
                <w:color w:val="auto"/>
              </w:rPr>
              <w:t>LIBOR+12.00% PIK, 12.00% floor, 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408,445</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80" w:type="dxa"/>
            <w:vAlign w:val="bottom"/>
            <w:vMerge w:val="restart"/>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220,673</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629,118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spacing w:after="0" w:line="162" w:lineRule="exact"/>
              <w:rPr>
                <w:sz w:val="20"/>
                <w:szCs w:val="20"/>
                <w:color w:val="auto"/>
              </w:rPr>
            </w:pPr>
            <w:r>
              <w:rPr>
                <w:rFonts w:ascii="Arial" w:cs="Arial" w:eastAsia="Arial" w:hAnsi="Arial"/>
                <w:sz w:val="13"/>
                <w:szCs w:val="13"/>
                <w:color w:val="auto"/>
              </w:rPr>
              <w:t>ETP, due 1/15/2022</w:t>
            </w:r>
            <w:r>
              <w:rPr>
                <w:rFonts w:ascii="Arial" w:cs="Arial" w:eastAsia="Arial" w:hAnsi="Arial"/>
                <w:sz w:val="16"/>
                <w:szCs w:val="16"/>
                <w:color w:val="auto"/>
                <w:vertAlign w:val="superscript"/>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160" w:type="dxa"/>
            <w:vAlign w:val="bottom"/>
            <w:shd w:val="clear" w:color="auto" w:fill="CFF0FC"/>
          </w:tcPr>
          <w:p>
            <w:pPr>
              <w:spacing w:after="0" w:line="108" w:lineRule="exact"/>
              <w:rPr>
                <w:sz w:val="20"/>
                <w:szCs w:val="20"/>
                <w:color w:val="auto"/>
              </w:rPr>
            </w:pPr>
            <w:r>
              <w:rPr>
                <w:rFonts w:ascii="Arial" w:cs="Arial" w:eastAsia="Arial" w:hAnsi="Arial"/>
                <w:sz w:val="12"/>
                <w:szCs w:val="12"/>
                <w:color w:val="auto"/>
              </w:rPr>
              <w:t>LIBOR+12.00% PIK, 12.00% floor, 5%</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813,382</w:t>
            </w:r>
          </w:p>
        </w:tc>
        <w:tc>
          <w:tcPr>
            <w:tcW w:w="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439,451</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1,252,833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line="162" w:lineRule="exact"/>
              <w:rPr>
                <w:sz w:val="20"/>
                <w:szCs w:val="20"/>
                <w:color w:val="auto"/>
              </w:rPr>
            </w:pPr>
            <w:r>
              <w:rPr>
                <w:rFonts w:ascii="Arial" w:cs="Arial" w:eastAsia="Arial" w:hAnsi="Arial"/>
                <w:sz w:val="13"/>
                <w:szCs w:val="13"/>
                <w:color w:val="auto"/>
              </w:rPr>
              <w:t>ETP, due 1/15/2022</w:t>
            </w:r>
            <w:r>
              <w:rPr>
                <w:rFonts w:ascii="Arial" w:cs="Arial" w:eastAsia="Arial" w:hAnsi="Arial"/>
                <w:sz w:val="16"/>
                <w:szCs w:val="16"/>
                <w:color w:val="auto"/>
                <w:vertAlign w:val="superscript"/>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tcPr>
          <w:p>
            <w:pPr>
              <w:spacing w:after="0" w:line="108" w:lineRule="exact"/>
              <w:rPr>
                <w:sz w:val="20"/>
                <w:szCs w:val="20"/>
                <w:color w:val="auto"/>
              </w:rPr>
            </w:pPr>
            <w:r>
              <w:rPr>
                <w:rFonts w:ascii="Arial" w:cs="Arial" w:eastAsia="Arial" w:hAnsi="Arial"/>
                <w:sz w:val="12"/>
                <w:szCs w:val="12"/>
                <w:color w:val="auto"/>
              </w:rPr>
              <w:t>LIBOR+12.00% PIK, 12.00% floor, 5%</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779,370</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2"/>
                <w:szCs w:val="12"/>
                <w:color w:val="auto"/>
              </w:rPr>
              <w:t>(210,00</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438,723</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1,008,093</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spacing w:after="0" w:line="162" w:lineRule="exact"/>
              <w:rPr>
                <w:sz w:val="20"/>
                <w:szCs w:val="20"/>
                <w:color w:val="auto"/>
              </w:rPr>
            </w:pPr>
            <w:r>
              <w:rPr>
                <w:rFonts w:ascii="Arial" w:cs="Arial" w:eastAsia="Arial" w:hAnsi="Arial"/>
                <w:sz w:val="13"/>
                <w:szCs w:val="13"/>
                <w:color w:val="auto"/>
              </w:rPr>
              <w:t>ETP, due 1/31/2022</w:t>
            </w:r>
            <w:r>
              <w:rPr>
                <w:rFonts w:ascii="Arial" w:cs="Arial" w:eastAsia="Arial" w:hAnsi="Arial"/>
                <w:sz w:val="16"/>
                <w:szCs w:val="16"/>
                <w:color w:val="auto"/>
                <w:vertAlign w:val="superscript"/>
              </w:rPr>
              <w:t>(4)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0 )</w:t>
            </w: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160" w:type="dxa"/>
            <w:vAlign w:val="bottom"/>
            <w:shd w:val="clear" w:color="auto" w:fill="CFF0FC"/>
          </w:tcPr>
          <w:p>
            <w:pPr>
              <w:spacing w:after="0" w:line="108" w:lineRule="exact"/>
              <w:rPr>
                <w:sz w:val="20"/>
                <w:szCs w:val="20"/>
                <w:color w:val="auto"/>
              </w:rPr>
            </w:pPr>
            <w:r>
              <w:rPr>
                <w:rFonts w:ascii="Arial" w:cs="Arial" w:eastAsia="Arial" w:hAnsi="Arial"/>
                <w:sz w:val="12"/>
                <w:szCs w:val="12"/>
                <w:color w:val="auto"/>
              </w:rPr>
              <w:t>LIBOR+12.00% PIK, 12.00% floor, 5%</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500,000</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08" w:lineRule="exact"/>
              <w:rPr>
                <w:sz w:val="20"/>
                <w:szCs w:val="20"/>
                <w:color w:val="auto"/>
              </w:rPr>
            </w:pPr>
            <w:r>
              <w:rPr>
                <w:rFonts w:ascii="Arial" w:cs="Arial" w:eastAsia="Arial" w:hAnsi="Arial"/>
                <w:sz w:val="12"/>
                <w:szCs w:val="12"/>
                <w:color w:val="auto"/>
              </w:rPr>
              <w:t>(500,00</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20" w:type="dxa"/>
            <w:vAlign w:val="bottom"/>
            <w:gridSpan w:val="2"/>
            <w:vMerge w:val="restart"/>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line="162" w:lineRule="exact"/>
              <w:rPr>
                <w:sz w:val="20"/>
                <w:szCs w:val="20"/>
                <w:color w:val="auto"/>
              </w:rPr>
            </w:pPr>
            <w:r>
              <w:rPr>
                <w:rFonts w:ascii="Arial" w:cs="Arial" w:eastAsia="Arial" w:hAnsi="Arial"/>
                <w:sz w:val="13"/>
                <w:szCs w:val="13"/>
                <w:color w:val="auto"/>
              </w:rPr>
              <w:t>ETP, due 4/30/2021</w:t>
            </w:r>
            <w:r>
              <w:rPr>
                <w:rFonts w:ascii="Arial" w:cs="Arial" w:eastAsia="Arial" w:hAnsi="Arial"/>
                <w:sz w:val="16"/>
                <w:szCs w:val="16"/>
                <w:color w:val="auto"/>
                <w:vertAlign w:val="superscript"/>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0 )</w:t>
            </w: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tcPr>
          <w:p>
            <w:pPr>
              <w:ind w:left="20"/>
              <w:spacing w:after="0" w:line="108" w:lineRule="exact"/>
              <w:rPr>
                <w:sz w:val="20"/>
                <w:szCs w:val="20"/>
                <w:color w:val="auto"/>
              </w:rPr>
            </w:pPr>
            <w:r>
              <w:rPr>
                <w:rFonts w:ascii="Arial" w:cs="Arial" w:eastAsia="Arial" w:hAnsi="Arial"/>
                <w:sz w:val="12"/>
                <w:szCs w:val="12"/>
                <w:color w:val="auto"/>
              </w:rPr>
              <w:t>Pivot3 Holdings, Inc.</w:t>
            </w:r>
          </w:p>
        </w:tc>
        <w:tc>
          <w:tcPr>
            <w:tcW w:w="140" w:type="dxa"/>
            <w:vAlign w:val="bottom"/>
          </w:tcPr>
          <w:p>
            <w:pPr>
              <w:spacing w:after="0"/>
              <w:rPr>
                <w:sz w:val="9"/>
                <w:szCs w:val="9"/>
                <w:color w:val="auto"/>
              </w:rPr>
            </w:pPr>
          </w:p>
        </w:tc>
        <w:tc>
          <w:tcPr>
            <w:tcW w:w="2160" w:type="dxa"/>
            <w:vAlign w:val="bottom"/>
          </w:tcPr>
          <w:p>
            <w:pPr>
              <w:spacing w:after="0" w:line="108" w:lineRule="exact"/>
              <w:rPr>
                <w:sz w:val="20"/>
                <w:szCs w:val="20"/>
                <w:color w:val="auto"/>
              </w:rPr>
            </w:pPr>
            <w:r>
              <w:rPr>
                <w:rFonts w:ascii="Arial" w:cs="Arial" w:eastAsia="Arial" w:hAnsi="Arial"/>
                <w:sz w:val="12"/>
                <w:szCs w:val="12"/>
                <w:color w:val="auto"/>
                <w:w w:val="99"/>
              </w:rPr>
              <w:t>LIBOR+8.50% PIK, 11.00% floor, 4.00%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2"/>
                <w:szCs w:val="12"/>
                <w:color w:val="auto"/>
              </w:rPr>
              <w:t>12,015,8</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2"/>
                <w:szCs w:val="12"/>
                <w:color w:val="auto"/>
              </w:rPr>
              <w:t>(3,994,</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6,628,841</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14,649,788</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3"/>
                <w:szCs w:val="13"/>
                <w:color w:val="auto"/>
              </w:rPr>
              <w:t>ETP, due 11/15/2022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32</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885 )</w:t>
            </w: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160" w:type="dxa"/>
            <w:vAlign w:val="bottom"/>
            <w:shd w:val="clear" w:color="auto" w:fill="CFF0FC"/>
          </w:tcPr>
          <w:p>
            <w:pPr>
              <w:spacing w:after="0" w:line="109" w:lineRule="exact"/>
              <w:rPr>
                <w:sz w:val="20"/>
                <w:szCs w:val="20"/>
                <w:color w:val="auto"/>
              </w:rPr>
            </w:pPr>
            <w:r>
              <w:rPr>
                <w:rFonts w:ascii="Arial" w:cs="Arial" w:eastAsia="Arial" w:hAnsi="Arial"/>
                <w:sz w:val="12"/>
                <w:szCs w:val="12"/>
                <w:color w:val="auto"/>
              </w:rPr>
              <w:t>LIBOR+8.50% PIK, 11.00% floor, due</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569,181</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shd w:val="clear" w:color="auto" w:fill="CFF0FC"/>
          </w:tcPr>
          <w:p>
            <w:pPr>
              <w:jc w:val="right"/>
              <w:spacing w:after="0" w:line="109" w:lineRule="exact"/>
              <w:rPr>
                <w:sz w:val="20"/>
                <w:szCs w:val="20"/>
                <w:color w:val="auto"/>
              </w:rPr>
            </w:pPr>
            <w:r>
              <w:rPr>
                <w:rFonts w:ascii="Arial" w:cs="Arial" w:eastAsia="Arial" w:hAnsi="Arial"/>
                <w:sz w:val="12"/>
                <w:szCs w:val="12"/>
                <w:color w:val="auto"/>
              </w:rPr>
              <w:t>(1,080,</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511,803</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FF0FC"/>
          </w:tcPr>
          <w:p>
            <w:pPr>
              <w:spacing w:after="0"/>
              <w:rPr>
                <w:sz w:val="14"/>
                <w:szCs w:val="14"/>
                <w:color w:val="auto"/>
              </w:rPr>
            </w:pPr>
          </w:p>
        </w:tc>
        <w:tc>
          <w:tcPr>
            <w:tcW w:w="230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11/15/2022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984 )</w:t>
            </w: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tcPr>
          <w:p>
            <w:pPr>
              <w:spacing w:after="0" w:line="108" w:lineRule="exact"/>
              <w:rPr>
                <w:sz w:val="20"/>
                <w:szCs w:val="20"/>
                <w:color w:val="auto"/>
              </w:rPr>
            </w:pPr>
            <w:r>
              <w:rPr>
                <w:rFonts w:ascii="Arial" w:cs="Arial" w:eastAsia="Arial" w:hAnsi="Arial"/>
                <w:sz w:val="12"/>
                <w:szCs w:val="12"/>
                <w:color w:val="auto"/>
                <w:w w:val="99"/>
              </w:rPr>
              <w:t>LIBOR+8.50% PIK, 11.00% floor, 4.00%</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Arial" w:cs="Arial" w:eastAsia="Arial" w:hAnsi="Arial"/>
                <w:sz w:val="12"/>
                <w:szCs w:val="12"/>
                <w:color w:val="auto"/>
              </w:rPr>
              <w:t>1,330,53</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jc w:val="right"/>
              <w:spacing w:after="0" w:line="108" w:lineRule="exact"/>
              <w:rPr>
                <w:sz w:val="20"/>
                <w:szCs w:val="20"/>
                <w:color w:val="auto"/>
              </w:rPr>
            </w:pPr>
            <w:r>
              <w:rPr>
                <w:rFonts w:ascii="Arial" w:cs="Arial" w:eastAsia="Arial" w:hAnsi="Arial"/>
                <w:sz w:val="12"/>
                <w:szCs w:val="12"/>
                <w:color w:val="auto"/>
              </w:rPr>
              <w:t>(2,531,</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1,200,502</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2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60" w:type="dxa"/>
            <w:vAlign w:val="bottom"/>
          </w:tcPr>
          <w:p>
            <w:pPr>
              <w:spacing w:after="0"/>
              <w:rPr>
                <w:sz w:val="20"/>
                <w:szCs w:val="20"/>
                <w:color w:val="auto"/>
              </w:rPr>
            </w:pPr>
            <w:r>
              <w:rPr>
                <w:rFonts w:ascii="Arial" w:cs="Arial" w:eastAsia="Arial" w:hAnsi="Arial"/>
                <w:sz w:val="13"/>
                <w:szCs w:val="13"/>
                <w:color w:val="auto"/>
              </w:rPr>
              <w:t>ETP, due 11/15/2022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8</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3"/>
                <w:szCs w:val="13"/>
                <w:color w:val="auto"/>
              </w:rPr>
              <w:t>040 )</w:t>
            </w:r>
          </w:p>
        </w:tc>
        <w:tc>
          <w:tcPr>
            <w:tcW w:w="8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280" w:type="dxa"/>
            <w:vAlign w:val="bottom"/>
            <w:shd w:val="clear" w:color="auto" w:fill="CFF0FC"/>
          </w:tcPr>
          <w:p>
            <w:pPr>
              <w:ind w:left="20"/>
              <w:spacing w:after="0" w:line="104" w:lineRule="exact"/>
              <w:rPr>
                <w:sz w:val="20"/>
                <w:szCs w:val="20"/>
                <w:color w:val="auto"/>
              </w:rPr>
            </w:pPr>
            <w:r>
              <w:rPr>
                <w:rFonts w:ascii="Arial" w:cs="Arial" w:eastAsia="Arial" w:hAnsi="Arial"/>
                <w:sz w:val="10"/>
                <w:szCs w:val="10"/>
                <w:b w:val="1"/>
                <w:bCs w:val="1"/>
                <w:color w:val="auto"/>
              </w:rPr>
              <w:t>Total Senior Secured Term Loans</w:t>
            </w:r>
          </w:p>
        </w:tc>
        <w:tc>
          <w:tcPr>
            <w:tcW w:w="140" w:type="dxa"/>
            <w:vAlign w:val="bottom"/>
            <w:shd w:val="clear" w:color="auto" w:fill="CFF0FC"/>
          </w:tcPr>
          <w:p>
            <w:pPr>
              <w:spacing w:after="0"/>
              <w:rPr>
                <w:sz w:val="8"/>
                <w:szCs w:val="8"/>
                <w:color w:val="auto"/>
              </w:rPr>
            </w:pPr>
          </w:p>
        </w:tc>
        <w:tc>
          <w:tcPr>
            <w:tcW w:w="2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9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8,961,080</w:t>
            </w:r>
          </w:p>
        </w:tc>
        <w:tc>
          <w:tcPr>
            <w:tcW w:w="24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560" w:type="dxa"/>
            <w:vAlign w:val="bottom"/>
            <w:tcBorders>
              <w:top w:val="single" w:sz="8" w:color="auto"/>
            </w:tcBorders>
            <w:shd w:val="clear" w:color="auto" w:fill="CFF0FC"/>
          </w:tcPr>
          <w:p>
            <w:pPr>
              <w:jc w:val="right"/>
              <w:spacing w:after="0" w:line="104" w:lineRule="exact"/>
              <w:rPr>
                <w:sz w:val="20"/>
                <w:szCs w:val="20"/>
                <w:color w:val="auto"/>
              </w:rPr>
            </w:pPr>
            <w:r>
              <w:rPr>
                <w:rFonts w:ascii="Arial" w:cs="Arial" w:eastAsia="Arial" w:hAnsi="Arial"/>
                <w:sz w:val="10"/>
                <w:szCs w:val="10"/>
                <w:color w:val="auto"/>
              </w:rPr>
              <w:t>14,415,5</w:t>
            </w:r>
          </w:p>
        </w:tc>
        <w:tc>
          <w:tcPr>
            <w:tcW w:w="22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jc w:val="right"/>
              <w:spacing w:after="0" w:line="104" w:lineRule="exact"/>
              <w:rPr>
                <w:sz w:val="20"/>
                <w:szCs w:val="20"/>
                <w:color w:val="auto"/>
              </w:rPr>
            </w:pPr>
            <w:r>
              <w:rPr>
                <w:rFonts w:ascii="Arial" w:cs="Arial" w:eastAsia="Arial" w:hAnsi="Arial"/>
                <w:sz w:val="10"/>
                <w:szCs w:val="10"/>
                <w:color w:val="auto"/>
              </w:rPr>
              <w:t>(8,316,</w:t>
            </w:r>
          </w:p>
        </w:tc>
        <w:tc>
          <w:tcPr>
            <w:tcW w:w="24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780" w:type="dxa"/>
            <w:vAlign w:val="bottom"/>
            <w:tcBorders>
              <w:top w:val="single" w:sz="8" w:color="auto"/>
            </w:tcBorders>
            <w:vMerge w:val="restart"/>
            <w:shd w:val="clear" w:color="auto" w:fill="CFF0FC"/>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700" w:type="dxa"/>
            <w:vAlign w:val="bottom"/>
            <w:tcBorders>
              <w:top w:val="single" w:sz="8" w:color="auto"/>
            </w:tcBorders>
            <w:shd w:val="clear" w:color="auto" w:fill="CFF0FC"/>
          </w:tcPr>
          <w:p>
            <w:pPr>
              <w:jc w:val="right"/>
              <w:spacing w:after="0" w:line="104" w:lineRule="exact"/>
              <w:rPr>
                <w:sz w:val="20"/>
                <w:szCs w:val="20"/>
                <w:color w:val="auto"/>
              </w:rPr>
            </w:pPr>
            <w:r>
              <w:rPr>
                <w:rFonts w:ascii="Arial" w:cs="Arial" w:eastAsia="Arial" w:hAnsi="Arial"/>
                <w:sz w:val="10"/>
                <w:szCs w:val="10"/>
                <w:color w:val="auto"/>
              </w:rPr>
              <w:t>13,200,25</w:t>
            </w:r>
          </w:p>
        </w:tc>
        <w:tc>
          <w:tcPr>
            <w:tcW w:w="22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3"/>
                <w:szCs w:val="13"/>
                <w:color w:val="auto"/>
              </w:rPr>
              <w:t>28,259,976</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2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909 )</w:t>
            </w: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280" w:type="dxa"/>
            <w:vAlign w:val="bottom"/>
            <w:tcBorders>
              <w:top w:val="single" w:sz="8" w:color="CFF0FC"/>
            </w:tcBorders>
          </w:tcPr>
          <w:p>
            <w:pPr>
              <w:ind w:left="20"/>
              <w:spacing w:after="0" w:line="143" w:lineRule="exact"/>
              <w:rPr>
                <w:sz w:val="20"/>
                <w:szCs w:val="20"/>
                <w:color w:val="auto"/>
              </w:rPr>
            </w:pPr>
            <w:r>
              <w:rPr>
                <w:rFonts w:ascii="Arial" w:cs="Arial" w:eastAsia="Arial" w:hAnsi="Arial"/>
                <w:sz w:val="13"/>
                <w:szCs w:val="13"/>
                <w:b w:val="1"/>
                <w:bCs w:val="1"/>
                <w:color w:val="auto"/>
              </w:rPr>
              <w:t>Preferred Stocks</w:t>
            </w:r>
          </w:p>
        </w:tc>
        <w:tc>
          <w:tcPr>
            <w:tcW w:w="140" w:type="dxa"/>
            <w:vAlign w:val="bottom"/>
            <w:tcBorders>
              <w:top w:val="single" w:sz="8" w:color="CFF0FC"/>
            </w:tcBorders>
          </w:tcPr>
          <w:p>
            <w:pPr>
              <w:spacing w:after="0"/>
              <w:rPr>
                <w:sz w:val="12"/>
                <w:szCs w:val="12"/>
                <w:color w:val="auto"/>
              </w:rPr>
            </w:pPr>
          </w:p>
        </w:tc>
        <w:tc>
          <w:tcPr>
            <w:tcW w:w="2160" w:type="dxa"/>
            <w:vAlign w:val="bottom"/>
            <w:tcBorders>
              <w:top w:val="single" w:sz="8" w:color="CFF0FC"/>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FF0FC"/>
          </w:tcPr>
          <w:p>
            <w:pPr>
              <w:ind w:left="20"/>
              <w:spacing w:after="0"/>
              <w:rPr>
                <w:sz w:val="20"/>
                <w:szCs w:val="20"/>
                <w:color w:val="auto"/>
              </w:rPr>
            </w:pPr>
            <w:r>
              <w:rPr>
                <w:rFonts w:ascii="Arial" w:cs="Arial" w:eastAsia="Arial" w:hAnsi="Arial"/>
                <w:sz w:val="13"/>
                <w:szCs w:val="13"/>
                <w:color w:val="auto"/>
              </w:rPr>
              <w:t>Mojix, Inc.</w:t>
            </w:r>
          </w:p>
        </w:tc>
        <w:tc>
          <w:tcPr>
            <w:tcW w:w="140" w:type="dxa"/>
            <w:vAlign w:val="bottom"/>
            <w:shd w:val="clear" w:color="auto" w:fill="CFF0FC"/>
          </w:tcPr>
          <w:p>
            <w:pPr>
              <w:spacing w:after="0"/>
              <w:rPr>
                <w:sz w:val="12"/>
                <w:szCs w:val="12"/>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rPr>
              <w:t>Series A-1 Preferred Stock</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884,774</w:t>
            </w: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780" w:type="dxa"/>
            <w:vAlign w:val="bottom"/>
            <w:shd w:val="clear" w:color="auto" w:fill="CFF0FC"/>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gridSpan w:val="2"/>
            <w:shd w:val="clear" w:color="auto" w:fill="CFF0FC"/>
          </w:tcPr>
          <w:p>
            <w:pPr>
              <w:jc w:val="right"/>
              <w:ind w:right="138"/>
              <w:spacing w:after="0"/>
              <w:rPr>
                <w:sz w:val="20"/>
                <w:szCs w:val="20"/>
                <w:color w:val="auto"/>
              </w:rPr>
            </w:pPr>
            <w:r>
              <w:rPr>
                <w:rFonts w:ascii="Arial" w:cs="Arial" w:eastAsia="Arial" w:hAnsi="Arial"/>
                <w:sz w:val="13"/>
                <w:szCs w:val="13"/>
                <w:color w:val="auto"/>
              </w:rPr>
              <w:t>(14,379 )</w:t>
            </w:r>
          </w:p>
        </w:tc>
        <w:tc>
          <w:tcPr>
            <w:tcW w:w="8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870,395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20"/>
              <w:spacing w:after="0"/>
              <w:rPr>
                <w:sz w:val="20"/>
                <w:szCs w:val="20"/>
                <w:color w:val="auto"/>
              </w:rPr>
            </w:pPr>
            <w:r>
              <w:rPr>
                <w:rFonts w:ascii="Arial" w:cs="Arial" w:eastAsia="Arial" w:hAnsi="Arial"/>
                <w:sz w:val="13"/>
                <w:szCs w:val="13"/>
                <w:color w:val="auto"/>
              </w:rPr>
              <w:t>Pivot3 Holdings, Inc.</w:t>
            </w:r>
          </w:p>
        </w:tc>
        <w:tc>
          <w:tcPr>
            <w:tcW w:w="140" w:type="dxa"/>
            <w:vAlign w:val="bottom"/>
          </w:tcPr>
          <w:p>
            <w:pPr>
              <w:spacing w:after="0"/>
              <w:rPr>
                <w:sz w:val="12"/>
                <w:szCs w:val="12"/>
                <w:color w:val="auto"/>
              </w:rPr>
            </w:pPr>
          </w:p>
        </w:tc>
        <w:tc>
          <w:tcPr>
            <w:tcW w:w="2160" w:type="dxa"/>
            <w:vAlign w:val="bottom"/>
          </w:tcPr>
          <w:p>
            <w:pPr>
              <w:spacing w:after="0"/>
              <w:rPr>
                <w:sz w:val="20"/>
                <w:szCs w:val="20"/>
                <w:color w:val="auto"/>
              </w:rPr>
            </w:pPr>
            <w:r>
              <w:rPr>
                <w:rFonts w:ascii="Arial" w:cs="Arial" w:eastAsia="Arial" w:hAnsi="Arial"/>
                <w:sz w:val="13"/>
                <w:szCs w:val="13"/>
                <w:color w:val="auto"/>
              </w:rPr>
              <w:t>Series 1 Preferred Stock</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80" w:type="dxa"/>
            <w:vAlign w:val="bottom"/>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1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Total Preferred Stocks</w:t>
            </w:r>
          </w:p>
        </w:tc>
        <w:tc>
          <w:tcPr>
            <w:tcW w:w="140" w:type="dxa"/>
            <w:vAlign w:val="bottom"/>
            <w:tcBorders>
              <w:bottom w:val="single" w:sz="8" w:color="CFF0FC"/>
            </w:tcBorders>
            <w:shd w:val="clear" w:color="auto" w:fill="CFF0FC"/>
          </w:tcPr>
          <w:p>
            <w:pPr>
              <w:spacing w:after="0"/>
              <w:rPr>
                <w:sz w:val="12"/>
                <w:szCs w:val="12"/>
                <w:color w:val="auto"/>
              </w:rPr>
            </w:pPr>
          </w:p>
        </w:tc>
        <w:tc>
          <w:tcPr>
            <w:tcW w:w="2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top w:val="single" w:sz="8" w:color="auto"/>
              <w:bottom w:val="single" w:sz="8" w:color="auto"/>
            </w:tcBorders>
            <w:shd w:val="clear" w:color="auto" w:fill="CFF0FC"/>
          </w:tcPr>
          <w:p>
            <w:pPr>
              <w:spacing w:after="0"/>
              <w:rPr>
                <w:sz w:val="12"/>
                <w:szCs w:val="12"/>
                <w:color w:val="auto"/>
              </w:rPr>
            </w:pPr>
          </w:p>
        </w:tc>
        <w:tc>
          <w:tcPr>
            <w:tcW w:w="9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884,774</w:t>
            </w:r>
          </w:p>
        </w:tc>
        <w:tc>
          <w:tcPr>
            <w:tcW w:w="2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top w:val="single" w:sz="8" w:color="auto"/>
              <w:bottom w:val="single" w:sz="8" w:color="auto"/>
            </w:tcBorders>
            <w:shd w:val="clear" w:color="auto" w:fill="CFF0FC"/>
          </w:tcPr>
          <w:p>
            <w:pPr>
              <w:spacing w:after="0"/>
              <w:rPr>
                <w:sz w:val="12"/>
                <w:szCs w:val="12"/>
                <w:color w:val="auto"/>
              </w:rPr>
            </w:pPr>
          </w:p>
        </w:tc>
        <w:tc>
          <w:tcPr>
            <w:tcW w:w="5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80" w:type="dxa"/>
            <w:vAlign w:val="bottom"/>
            <w:tcBorders>
              <w:top w:val="single" w:sz="8" w:color="auto"/>
              <w:bottom w:val="single" w:sz="8" w:color="auto"/>
            </w:tcBorders>
            <w:shd w:val="clear" w:color="auto" w:fill="CFF0FC"/>
          </w:tcPr>
          <w:p>
            <w:pPr>
              <w:ind w:left="640"/>
              <w:spacing w:after="0" w:line="142" w:lineRule="exact"/>
              <w:rPr>
                <w:sz w:val="20"/>
                <w:szCs w:val="20"/>
                <w:color w:val="auto"/>
              </w:rPr>
            </w:pPr>
            <w:r>
              <w:rPr>
                <w:rFonts w:ascii="Arial" w:cs="Arial" w:eastAsia="Arial" w:hAnsi="Arial"/>
                <w:sz w:val="13"/>
                <w:szCs w:val="13"/>
                <w:color w:val="auto"/>
                <w:w w:val="91"/>
              </w:rPr>
              <w:t>—</w:t>
            </w: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7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(14,379</w:t>
            </w:r>
          </w:p>
        </w:tc>
        <w:tc>
          <w:tcPr>
            <w:tcW w:w="220" w:type="dxa"/>
            <w:vAlign w:val="bottom"/>
            <w:tcBorders>
              <w:bottom w:val="single" w:sz="8" w:color="CFF0FC"/>
            </w:tcBorders>
            <w:shd w:val="clear" w:color="auto" w:fill="CFF0FC"/>
          </w:tcPr>
          <w:p>
            <w:pPr>
              <w:jc w:val="right"/>
              <w:ind w:right="138"/>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shd w:val="clear" w:color="auto" w:fill="CFF0FC"/>
          </w:tcPr>
          <w:p>
            <w:pPr>
              <w:spacing w:after="0"/>
              <w:rPr>
                <w:sz w:val="12"/>
                <w:szCs w:val="12"/>
                <w:color w:val="auto"/>
              </w:rPr>
            </w:pPr>
          </w:p>
        </w:tc>
        <w:tc>
          <w:tcPr>
            <w:tcW w:w="12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870,395</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Warrants</w:t>
            </w:r>
          </w:p>
        </w:tc>
        <w:tc>
          <w:tcPr>
            <w:tcW w:w="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28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color w:val="auto"/>
              </w:rPr>
              <w:t>Mojix, Inc.</w:t>
            </w:r>
          </w:p>
        </w:tc>
        <w:tc>
          <w:tcPr>
            <w:tcW w:w="140" w:type="dxa"/>
            <w:vAlign w:val="bottom"/>
            <w:shd w:val="clear" w:color="auto" w:fill="CFF0FC"/>
          </w:tcPr>
          <w:p>
            <w:pPr>
              <w:spacing w:after="0"/>
              <w:rPr>
                <w:sz w:val="9"/>
                <w:szCs w:val="9"/>
                <w:color w:val="auto"/>
              </w:rPr>
            </w:pPr>
          </w:p>
        </w:tc>
        <w:tc>
          <w:tcPr>
            <w:tcW w:w="2160" w:type="dxa"/>
            <w:vAlign w:val="bottom"/>
            <w:shd w:val="clear" w:color="auto" w:fill="CFF0FC"/>
          </w:tcPr>
          <w:p>
            <w:pPr>
              <w:spacing w:after="0" w:line="108" w:lineRule="exact"/>
              <w:rPr>
                <w:sz w:val="20"/>
                <w:szCs w:val="20"/>
                <w:color w:val="auto"/>
              </w:rPr>
            </w:pPr>
            <w:r>
              <w:rPr>
                <w:rFonts w:ascii="Arial" w:cs="Arial" w:eastAsia="Arial" w:hAnsi="Arial"/>
                <w:sz w:val="12"/>
                <w:szCs w:val="12"/>
                <w:color w:val="auto"/>
              </w:rPr>
              <w:t>Warrant for Common Stock, exercise</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160" w:type="dxa"/>
            <w:vAlign w:val="bottom"/>
            <w:gridSpan w:val="2"/>
            <w:vMerge w:val="restart"/>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20" w:type="dxa"/>
            <w:vAlign w:val="bottom"/>
            <w:gridSpan w:val="2"/>
            <w:vMerge w:val="restart"/>
            <w:shd w:val="clear" w:color="auto" w:fill="CFF0FC"/>
          </w:tcPr>
          <w:p>
            <w:pPr>
              <w:jc w:val="right"/>
              <w:ind w:right="198"/>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160" w:type="dxa"/>
            <w:vAlign w:val="bottom"/>
            <w:shd w:val="clear" w:color="auto" w:fill="CFF0FC"/>
          </w:tcPr>
          <w:p>
            <w:pPr>
              <w:spacing w:after="0"/>
              <w:rPr>
                <w:sz w:val="20"/>
                <w:szCs w:val="20"/>
                <w:color w:val="auto"/>
              </w:rPr>
            </w:pPr>
            <w:r>
              <w:rPr>
                <w:rFonts w:ascii="Arial" w:cs="Arial" w:eastAsia="Arial" w:hAnsi="Arial"/>
                <w:sz w:val="13"/>
                <w:szCs w:val="13"/>
                <w:color w:val="auto"/>
                <w:w w:val="94"/>
              </w:rPr>
              <w:t>price $1.286/share, expires 12/13/2030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6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60" w:type="dxa"/>
            <w:vAlign w:val="bottom"/>
          </w:tcPr>
          <w:p>
            <w:pPr>
              <w:spacing w:after="0" w:line="108" w:lineRule="exact"/>
              <w:rPr>
                <w:sz w:val="20"/>
                <w:szCs w:val="20"/>
                <w:color w:val="auto"/>
              </w:rPr>
            </w:pPr>
            <w:r>
              <w:rPr>
                <w:rFonts w:ascii="Arial" w:cs="Arial" w:eastAsia="Arial" w:hAnsi="Arial"/>
                <w:sz w:val="12"/>
                <w:szCs w:val="12"/>
                <w:color w:val="auto"/>
              </w:rPr>
              <w:t>Warrant for Common Stock, exercise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780" w:type="dxa"/>
            <w:vAlign w:val="bottom"/>
            <w:vMerge w:val="restart"/>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2"/>
            <w:vMerge w:val="restart"/>
          </w:tcPr>
          <w:p>
            <w:pPr>
              <w:jc w:val="right"/>
              <w:ind w:right="198"/>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9"/>
                <w:szCs w:val="9"/>
                <w:color w:val="auto"/>
              </w:rPr>
            </w:pP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60" w:type="dxa"/>
            <w:vAlign w:val="bottom"/>
          </w:tcPr>
          <w:p>
            <w:pPr>
              <w:spacing w:after="0"/>
              <w:rPr>
                <w:sz w:val="20"/>
                <w:szCs w:val="20"/>
                <w:color w:val="auto"/>
              </w:rPr>
            </w:pPr>
            <w:r>
              <w:rPr>
                <w:rFonts w:ascii="Arial" w:cs="Arial" w:eastAsia="Arial" w:hAnsi="Arial"/>
                <w:sz w:val="13"/>
                <w:szCs w:val="13"/>
                <w:color w:val="auto"/>
                <w:w w:val="91"/>
              </w:rPr>
              <w:t>price $2.1286/share, expires 12/13/2030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2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160" w:type="dxa"/>
            <w:vAlign w:val="bottom"/>
            <w:shd w:val="clear" w:color="auto" w:fill="CFF0FC"/>
          </w:tcPr>
          <w:p>
            <w:pPr>
              <w:spacing w:after="0" w:line="109" w:lineRule="exact"/>
              <w:rPr>
                <w:sz w:val="20"/>
                <w:szCs w:val="20"/>
                <w:color w:val="auto"/>
              </w:rPr>
            </w:pPr>
            <w:r>
              <w:rPr>
                <w:rFonts w:ascii="Arial" w:cs="Arial" w:eastAsia="Arial" w:hAnsi="Arial"/>
                <w:sz w:val="12"/>
                <w:szCs w:val="12"/>
                <w:color w:val="auto"/>
              </w:rPr>
              <w:t>Warrant for Common Stock, exercise</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80" w:type="dxa"/>
            <w:vAlign w:val="bottom"/>
            <w:vMerge w:val="restart"/>
            <w:shd w:val="clear" w:color="auto" w:fill="CFF0FC"/>
          </w:tcPr>
          <w:p>
            <w:pPr>
              <w:ind w:left="640"/>
              <w:spacing w:after="0"/>
              <w:rPr>
                <w:sz w:val="20"/>
                <w:szCs w:val="20"/>
                <w:color w:val="auto"/>
              </w:rPr>
            </w:pPr>
            <w:r>
              <w:rPr>
                <w:rFonts w:ascii="Arial" w:cs="Arial" w:eastAsia="Arial" w:hAnsi="Arial"/>
                <w:sz w:val="13"/>
                <w:szCs w:val="13"/>
                <w:color w:val="auto"/>
                <w:w w:val="91"/>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2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CFF0FC"/>
            </w:tcBorders>
            <w:shd w:val="clear" w:color="auto" w:fill="CFF0FC"/>
          </w:tcPr>
          <w:p>
            <w:pPr>
              <w:spacing w:after="0"/>
              <w:rPr>
                <w:sz w:val="12"/>
                <w:szCs w:val="12"/>
                <w:color w:val="auto"/>
              </w:rPr>
            </w:pPr>
          </w:p>
        </w:tc>
        <w:tc>
          <w:tcPr>
            <w:tcW w:w="2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3"/>
                <w:szCs w:val="13"/>
                <w:color w:val="auto"/>
                <w:w w:val="89"/>
              </w:rPr>
              <w:t>price $5.57338/share, expires 12/13/2030</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vMerge w:val="continue"/>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540" w:type="dxa"/>
            <w:vAlign w:val="bottom"/>
            <w:tcBorders>
              <w:bottom w:val="single" w:sz="8" w:color="auto"/>
            </w:tcBorders>
            <w:vMerge w:val="continue"/>
            <w:shd w:val="clear" w:color="auto" w:fill="CFF0FC"/>
          </w:tcPr>
          <w:p>
            <w:pPr>
              <w:spacing w:after="0"/>
              <w:rPr>
                <w:sz w:val="12"/>
                <w:szCs w:val="12"/>
                <w:color w:val="auto"/>
              </w:rPr>
            </w:pPr>
          </w:p>
        </w:tc>
        <w:tc>
          <w:tcPr>
            <w:tcW w:w="24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8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vMerge w:val="continue"/>
            <w:shd w:val="clear" w:color="auto" w:fill="CFF0FC"/>
          </w:tcPr>
          <w:p>
            <w:pPr>
              <w:spacing w:after="0"/>
              <w:rPr>
                <w:sz w:val="12"/>
                <w:szCs w:val="12"/>
                <w:color w:val="auto"/>
              </w:rPr>
            </w:pPr>
          </w:p>
        </w:tc>
        <w:tc>
          <w:tcPr>
            <w:tcW w:w="220" w:type="dxa"/>
            <w:vAlign w:val="bottom"/>
            <w:tcBorders>
              <w:bottom w:val="single" w:sz="8" w:color="CFF0FC"/>
            </w:tcBorders>
            <w:vMerge w:val="continue"/>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vMerge w:val="continue"/>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Total Warrants</w:t>
            </w:r>
          </w:p>
        </w:tc>
        <w:tc>
          <w:tcPr>
            <w:tcW w:w="1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ind w:left="640"/>
              <w:spacing w:after="0" w:line="142" w:lineRule="exact"/>
              <w:rPr>
                <w:sz w:val="20"/>
                <w:szCs w:val="20"/>
                <w:color w:val="auto"/>
              </w:rPr>
            </w:pPr>
            <w:r>
              <w:rPr>
                <w:rFonts w:ascii="Arial" w:cs="Arial" w:eastAsia="Arial" w:hAnsi="Arial"/>
                <w:sz w:val="13"/>
                <w:szCs w:val="13"/>
                <w:color w:val="auto"/>
                <w:w w:val="91"/>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280" w:type="dxa"/>
            <w:vAlign w:val="bottom"/>
            <w:shd w:val="clear" w:color="auto" w:fill="CFF0FC"/>
          </w:tcPr>
          <w:p>
            <w:pPr>
              <w:ind w:left="20"/>
              <w:spacing w:after="0" w:line="102" w:lineRule="exact"/>
              <w:rPr>
                <w:sz w:val="20"/>
                <w:szCs w:val="20"/>
                <w:color w:val="auto"/>
              </w:rPr>
            </w:pPr>
            <w:r>
              <w:rPr>
                <w:rFonts w:ascii="Arial" w:cs="Arial" w:eastAsia="Arial" w:hAnsi="Arial"/>
                <w:sz w:val="10"/>
                <w:szCs w:val="10"/>
                <w:b w:val="1"/>
                <w:bCs w:val="1"/>
                <w:color w:val="auto"/>
              </w:rPr>
              <w:t>Total Control investments</w:t>
            </w:r>
          </w:p>
        </w:tc>
        <w:tc>
          <w:tcPr>
            <w:tcW w:w="140" w:type="dxa"/>
            <w:vAlign w:val="bottom"/>
            <w:shd w:val="clear" w:color="auto" w:fill="CFF0FC"/>
          </w:tcPr>
          <w:p>
            <w:pPr>
              <w:spacing w:after="0"/>
              <w:rPr>
                <w:sz w:val="8"/>
                <w:szCs w:val="8"/>
                <w:color w:val="auto"/>
              </w:rPr>
            </w:pPr>
          </w:p>
        </w:tc>
        <w:tc>
          <w:tcPr>
            <w:tcW w:w="2160" w:type="dxa"/>
            <w:vAlign w:val="bottom"/>
            <w:shd w:val="clear" w:color="auto" w:fill="CFF0FC"/>
          </w:tcPr>
          <w:p>
            <w:pPr>
              <w:spacing w:after="0"/>
              <w:rPr>
                <w:sz w:val="8"/>
                <w:szCs w:val="8"/>
                <w:color w:val="auto"/>
              </w:rPr>
            </w:pPr>
          </w:p>
        </w:tc>
        <w:tc>
          <w:tcPr>
            <w:tcW w:w="100" w:type="dxa"/>
            <w:vAlign w:val="bottom"/>
            <w:vMerge w:val="restart"/>
            <w:shd w:val="clear" w:color="auto" w:fill="CFF0FC"/>
          </w:tcPr>
          <w:p>
            <w:pPr>
              <w:spacing w:after="0"/>
              <w:rPr>
                <w:sz w:val="8"/>
                <w:szCs w:val="8"/>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9,845,854</w:t>
            </w:r>
          </w:p>
        </w:tc>
        <w:tc>
          <w:tcPr>
            <w:tcW w:w="240" w:type="dxa"/>
            <w:vAlign w:val="bottom"/>
            <w:shd w:val="clear" w:color="auto" w:fill="CFF0FC"/>
          </w:tcPr>
          <w:p>
            <w:pPr>
              <w:spacing w:after="0"/>
              <w:rPr>
                <w:sz w:val="8"/>
                <w:szCs w:val="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color w:val="auto"/>
              </w:rPr>
              <w:t>14,415,5</w:t>
            </w:r>
          </w:p>
        </w:tc>
        <w:tc>
          <w:tcPr>
            <w:tcW w:w="220" w:type="dxa"/>
            <w:vAlign w:val="bottom"/>
            <w:vMerge w:val="restart"/>
            <w:shd w:val="clear" w:color="auto" w:fill="CFF0FC"/>
          </w:tcPr>
          <w:p>
            <w:pPr>
              <w:spacing w:after="0"/>
              <w:rPr>
                <w:sz w:val="8"/>
                <w:szCs w:val="8"/>
                <w:color w:val="auto"/>
              </w:rPr>
            </w:pPr>
          </w:p>
        </w:tc>
        <w:tc>
          <w:tcPr>
            <w:tcW w:w="14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rPr>
              <w:t>$</w:t>
            </w:r>
          </w:p>
        </w:tc>
        <w:tc>
          <w:tcPr>
            <w:tcW w:w="54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color w:val="auto"/>
              </w:rPr>
              <w:t>(8,316,</w:t>
            </w:r>
          </w:p>
        </w:tc>
        <w:tc>
          <w:tcPr>
            <w:tcW w:w="240" w:type="dxa"/>
            <w:vAlign w:val="bottom"/>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vMerge w:val="restart"/>
            <w:shd w:val="clear" w:color="auto" w:fill="CFF0FC"/>
          </w:tcPr>
          <w:p>
            <w:pPr>
              <w:ind w:left="640"/>
              <w:spacing w:after="0"/>
              <w:rPr>
                <w:sz w:val="20"/>
                <w:szCs w:val="20"/>
                <w:color w:val="auto"/>
              </w:rPr>
            </w:pPr>
            <w:r>
              <w:rPr>
                <w:rFonts w:ascii="Arial" w:cs="Arial" w:eastAsia="Arial" w:hAnsi="Arial"/>
                <w:sz w:val="13"/>
                <w:szCs w:val="13"/>
                <w:color w:val="auto"/>
                <w:w w:val="91"/>
              </w:rPr>
              <w:t>—</w:t>
            </w:r>
          </w:p>
        </w:tc>
        <w:tc>
          <w:tcPr>
            <w:tcW w:w="3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line="102" w:lineRule="exact"/>
              <w:rPr>
                <w:sz w:val="20"/>
                <w:szCs w:val="20"/>
                <w:color w:val="auto"/>
              </w:rPr>
            </w:pPr>
            <w:r>
              <w:rPr>
                <w:rFonts w:ascii="Arial" w:cs="Arial" w:eastAsia="Arial" w:hAnsi="Arial"/>
                <w:sz w:val="10"/>
                <w:szCs w:val="10"/>
                <w:color w:val="auto"/>
              </w:rPr>
              <w:t>13,185,87</w:t>
            </w:r>
          </w:p>
        </w:tc>
        <w:tc>
          <w:tcPr>
            <w:tcW w:w="220" w:type="dxa"/>
            <w:vAlign w:val="bottom"/>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29,130,371</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2160" w:type="dxa"/>
            <w:vAlign w:val="bottom"/>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100" w:type="dxa"/>
            <w:vAlign w:val="bottom"/>
            <w:vMerge w:val="continue"/>
            <w:shd w:val="clear" w:color="auto" w:fill="CFF0FC"/>
          </w:tcPr>
          <w:p>
            <w:pPr>
              <w:spacing w:after="0"/>
              <w:rPr>
                <w:sz w:val="15"/>
                <w:szCs w:val="15"/>
                <w:color w:val="auto"/>
              </w:rPr>
            </w:pPr>
          </w:p>
        </w:tc>
        <w:tc>
          <w:tcPr>
            <w:tcW w:w="920" w:type="dxa"/>
            <w:vAlign w:val="bottom"/>
            <w:vMerge w:val="continue"/>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w:t>
            </w:r>
          </w:p>
        </w:tc>
        <w:tc>
          <w:tcPr>
            <w:tcW w:w="220" w:type="dxa"/>
            <w:vAlign w:val="bottom"/>
            <w:vMerge w:val="continue"/>
            <w:shd w:val="clear" w:color="auto" w:fill="CFF0FC"/>
          </w:tcPr>
          <w:p>
            <w:pPr>
              <w:spacing w:after="0"/>
              <w:rPr>
                <w:sz w:val="15"/>
                <w:szCs w:val="15"/>
                <w:color w:val="auto"/>
              </w:rPr>
            </w:pPr>
          </w:p>
        </w:tc>
        <w:tc>
          <w:tcPr>
            <w:tcW w:w="140" w:type="dxa"/>
            <w:vAlign w:val="bottom"/>
            <w:vMerge w:val="continue"/>
            <w:shd w:val="clear" w:color="auto" w:fill="CFF0FC"/>
          </w:tcPr>
          <w:p>
            <w:pPr>
              <w:spacing w:after="0"/>
              <w:rPr>
                <w:sz w:val="15"/>
                <w:szCs w:val="15"/>
                <w:color w:val="auto"/>
              </w:rPr>
            </w:pPr>
          </w:p>
        </w:tc>
        <w:tc>
          <w:tcPr>
            <w:tcW w:w="7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909 )</w:t>
            </w:r>
          </w:p>
        </w:tc>
        <w:tc>
          <w:tcPr>
            <w:tcW w:w="80" w:type="dxa"/>
            <w:vAlign w:val="bottom"/>
            <w:vMerge w:val="continue"/>
            <w:shd w:val="clear" w:color="auto" w:fill="CFF0FC"/>
          </w:tcPr>
          <w:p>
            <w:pPr>
              <w:spacing w:after="0"/>
              <w:rPr>
                <w:sz w:val="15"/>
                <w:szCs w:val="15"/>
                <w:color w:val="auto"/>
              </w:rPr>
            </w:pPr>
          </w:p>
        </w:tc>
        <w:tc>
          <w:tcPr>
            <w:tcW w:w="780" w:type="dxa"/>
            <w:vAlign w:val="bottom"/>
            <w:vMerge w:val="continue"/>
            <w:shd w:val="clear" w:color="auto" w:fill="CFF0FC"/>
          </w:tcPr>
          <w:p>
            <w:pPr>
              <w:spacing w:after="0"/>
              <w:rPr>
                <w:sz w:val="15"/>
                <w:szCs w:val="15"/>
                <w:color w:val="auto"/>
              </w:rPr>
            </w:pPr>
          </w:p>
        </w:tc>
        <w:tc>
          <w:tcPr>
            <w:tcW w:w="300" w:type="dxa"/>
            <w:vAlign w:val="bottom"/>
            <w:gridSpan w:val="2"/>
            <w:vMerge w:val="continue"/>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20" w:type="dxa"/>
            <w:vAlign w:val="bottom"/>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120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3622675</wp:posOffset>
            </wp:positionH>
            <wp:positionV relativeFrom="paragraph">
              <wp:posOffset>-1308100</wp:posOffset>
            </wp:positionV>
            <wp:extent cx="76835"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-1308100</wp:posOffset>
            </wp:positionV>
            <wp:extent cx="7747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-1308100</wp:posOffset>
            </wp:positionV>
            <wp:extent cx="6858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-1308100</wp:posOffset>
            </wp:positionV>
            <wp:extent cx="685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-1308100</wp:posOffset>
            </wp:positionV>
            <wp:extent cx="6858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-1308100</wp:posOffset>
            </wp:positionV>
            <wp:extent cx="685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-913765</wp:posOffset>
            </wp:positionV>
            <wp:extent cx="7683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-913765</wp:posOffset>
            </wp:positionV>
            <wp:extent cx="7747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-913765</wp:posOffset>
            </wp:positionV>
            <wp:extent cx="6858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-913765</wp:posOffset>
            </wp:positionV>
            <wp:extent cx="6858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-913765</wp:posOffset>
            </wp:positionV>
            <wp:extent cx="685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-913765</wp:posOffset>
            </wp:positionV>
            <wp:extent cx="6858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-304800</wp:posOffset>
            </wp:positionV>
            <wp:extent cx="76835"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-304800</wp:posOffset>
            </wp:positionV>
            <wp:extent cx="7747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-304800</wp:posOffset>
            </wp:positionV>
            <wp:extent cx="6858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-304800</wp:posOffset>
            </wp:positionV>
            <wp:extent cx="6858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-304800</wp:posOffset>
            </wp:positionV>
            <wp:extent cx="6858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-304800</wp:posOffset>
            </wp:positionV>
            <wp:extent cx="6858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768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-24765</wp:posOffset>
            </wp:positionV>
            <wp:extent cx="774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-7620</wp:posOffset>
            </wp:positionV>
            <wp:extent cx="7747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2" w:lineRule="exact"/>
        <w:rPr>
          <w:sz w:val="20"/>
          <w:szCs w:val="20"/>
          <w:color w:val="auto"/>
        </w:rPr>
      </w:pPr>
    </w:p>
    <w:p>
      <w:pPr>
        <w:ind w:left="380" w:hanging="372"/>
        <w:spacing w:after="0" w:line="217" w:lineRule="auto"/>
        <w:tabs>
          <w:tab w:leader="none" w:pos="38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Gross additions includes increases in the basis of investments resulting from new portfolio investments, PIK interest, accretion of original issue discount (“OID”), the exchange of one or more existing investments for one or more new investments and the movement of an existing portfolio company into this category from a different category.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21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December 31, 2021</w:t>
      </w:r>
    </w:p>
    <w:p>
      <w:pPr>
        <w:spacing w:after="0" w:line="191" w:lineRule="exact"/>
        <w:rPr>
          <w:sz w:val="20"/>
          <w:szCs w:val="20"/>
          <w:color w:val="auto"/>
        </w:rPr>
      </w:pPr>
    </w:p>
    <w:p>
      <w:pPr>
        <w:ind w:left="380" w:hanging="372"/>
        <w:spacing w:after="0" w:line="217" w:lineRule="auto"/>
        <w:tabs>
          <w:tab w:leader="none" w:pos="38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Gross reductions include decreases in the basis of investments resulting from principal collections related to investment repayments or sales, the exchange of one or more existing Investments for one or more new investments and the movement of an existing portfolio company out of this category into a different category.</w:t>
      </w:r>
    </w:p>
    <w:p>
      <w:pPr>
        <w:spacing w:after="0" w:line="156" w:lineRule="exact"/>
        <w:rPr>
          <w:rFonts w:ascii="Arial" w:cs="Arial" w:eastAsia="Arial" w:hAnsi="Arial"/>
          <w:sz w:val="19"/>
          <w:szCs w:val="19"/>
          <w:color w:val="auto"/>
          <w:vertAlign w:val="superscript"/>
        </w:rPr>
      </w:pPr>
    </w:p>
    <w:p>
      <w:pPr>
        <w:ind w:left="380" w:right="20" w:hanging="372"/>
        <w:spacing w:after="0" w:line="217" w:lineRule="auto"/>
        <w:tabs>
          <w:tab w:leader="none" w:pos="38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All investments in the portfolio company, which as of December 31, 2021 represented 4.81% of the Company’s net assets, are restricted as to resale and were valued at fair value as determined in good faith by the Company’s Board of Directors.</w:t>
      </w:r>
    </w:p>
    <w:p>
      <w:pPr>
        <w:spacing w:after="0" w:line="133" w:lineRule="exact"/>
        <w:rPr>
          <w:rFonts w:ascii="Arial" w:cs="Arial" w:eastAsia="Arial" w:hAnsi="Arial"/>
          <w:sz w:val="19"/>
          <w:szCs w:val="19"/>
          <w:color w:val="auto"/>
          <w:vertAlign w:val="superscript"/>
        </w:rPr>
      </w:pPr>
    </w:p>
    <w:p>
      <w:pPr>
        <w:ind w:left="380" w:hanging="372"/>
        <w:spacing w:after="0"/>
        <w:tabs>
          <w:tab w:leader="none" w:pos="38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For the year ended December 31, 2021, the Company earned no investment income from control investments, except for $117,340 from Pivot3 Holdings, Inc.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financial statements.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RUNWAY GROWTH FINANCE CORP.</w:t>
      </w:r>
    </w:p>
    <w:p>
      <w:pPr>
        <w:spacing w:after="0" w:line="21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Schedule of Investments – (continued)</w:t>
      </w:r>
    </w:p>
    <w:p>
      <w:pPr>
        <w:spacing w:after="0" w:line="16"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December 31, 2021</w:t>
      </w:r>
    </w:p>
    <w:p>
      <w:pPr>
        <w:spacing w:after="0" w:line="196"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jc w:val="right"/>
              <w:ind w:right="1098"/>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160"/>
        </w:trPr>
        <w:tc>
          <w:tcPr>
            <w:tcW w:w="6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154"/>
              <w:spacing w:after="0" w:line="160" w:lineRule="exact"/>
              <w:rPr>
                <w:sz w:val="20"/>
                <w:szCs w:val="20"/>
                <w:color w:val="auto"/>
              </w:rPr>
            </w:pPr>
            <w:r>
              <w:rPr>
                <w:rFonts w:ascii="Arial" w:cs="Arial" w:eastAsia="Arial" w:hAnsi="Arial"/>
                <w:sz w:val="14"/>
                <w:szCs w:val="14"/>
                <w:b w:val="1"/>
                <w:bCs w:val="1"/>
                <w:color w:val="auto"/>
                <w:w w:val="89"/>
              </w:rPr>
              <w:t>Investments at</w:t>
            </w:r>
          </w:p>
        </w:tc>
        <w:tc>
          <w:tcPr>
            <w:tcW w:w="300" w:type="dxa"/>
            <w:vAlign w:val="bottom"/>
          </w:tcPr>
          <w:p>
            <w:pPr>
              <w:spacing w:after="0"/>
              <w:rPr>
                <w:sz w:val="13"/>
                <w:szCs w:val="13"/>
                <w:color w:val="auto"/>
              </w:rPr>
            </w:pPr>
          </w:p>
        </w:tc>
        <w:tc>
          <w:tcPr>
            <w:tcW w:w="1840" w:type="dxa"/>
            <w:vAlign w:val="bottom"/>
          </w:tcPr>
          <w:p>
            <w:pPr>
              <w:jc w:val="center"/>
              <w:ind w:left="218"/>
              <w:spacing w:after="0" w:line="160" w:lineRule="exact"/>
              <w:rPr>
                <w:sz w:val="20"/>
                <w:szCs w:val="20"/>
                <w:color w:val="auto"/>
              </w:rPr>
            </w:pPr>
            <w:r>
              <w:rPr>
                <w:rFonts w:ascii="Arial" w:cs="Arial" w:eastAsia="Arial" w:hAnsi="Arial"/>
                <w:sz w:val="14"/>
                <w:szCs w:val="14"/>
                <w:b w:val="1"/>
                <w:bCs w:val="1"/>
                <w:color w:val="auto"/>
                <w:w w:val="88"/>
              </w:rPr>
              <w:t>Percentage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5"/>
        </w:trPr>
        <w:tc>
          <w:tcPr>
            <w:tcW w:w="7120" w:type="dxa"/>
            <w:vAlign w:val="bottom"/>
            <w:gridSpan w:val="2"/>
          </w:tcPr>
          <w:p>
            <w:pPr>
              <w:ind w:left="20"/>
              <w:spacing w:after="0"/>
              <w:rPr>
                <w:sz w:val="20"/>
                <w:szCs w:val="20"/>
                <w:color w:val="auto"/>
              </w:rPr>
            </w:pPr>
            <w:r>
              <w:rPr>
                <w:rFonts w:ascii="Arial" w:cs="Arial" w:eastAsia="Arial" w:hAnsi="Arial"/>
                <w:sz w:val="14"/>
                <w:szCs w:val="14"/>
                <w:b w:val="1"/>
                <w:bCs w:val="1"/>
                <w:color w:val="auto"/>
              </w:rPr>
              <w:t>Geographic Region</w:t>
            </w:r>
          </w:p>
        </w:tc>
        <w:tc>
          <w:tcPr>
            <w:tcW w:w="240" w:type="dxa"/>
            <w:vAlign w:val="bottom"/>
          </w:tcPr>
          <w:p>
            <w:pPr>
              <w:spacing w:after="0"/>
              <w:rPr>
                <w:sz w:val="16"/>
                <w:szCs w:val="16"/>
                <w:color w:val="auto"/>
              </w:rPr>
            </w:pPr>
          </w:p>
        </w:tc>
        <w:tc>
          <w:tcPr>
            <w:tcW w:w="1440" w:type="dxa"/>
            <w:vAlign w:val="bottom"/>
          </w:tcPr>
          <w:p>
            <w:pPr>
              <w:jc w:val="center"/>
              <w:ind w:right="154"/>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6"/>
                <w:szCs w:val="16"/>
                <w:color w:val="auto"/>
              </w:rPr>
            </w:pPr>
          </w:p>
        </w:tc>
        <w:tc>
          <w:tcPr>
            <w:tcW w:w="1840" w:type="dxa"/>
            <w:vAlign w:val="bottom"/>
          </w:tcPr>
          <w:p>
            <w:pPr>
              <w:jc w:val="center"/>
              <w:ind w:left="238"/>
              <w:spacing w:after="0"/>
              <w:rPr>
                <w:sz w:val="20"/>
                <w:szCs w:val="20"/>
                <w:color w:val="auto"/>
              </w:rPr>
            </w:pPr>
            <w:r>
              <w:rPr>
                <w:rFonts w:ascii="Arial" w:cs="Arial" w:eastAsia="Arial" w:hAnsi="Arial"/>
                <w:sz w:val="14"/>
                <w:szCs w:val="14"/>
                <w:b w:val="1"/>
                <w:bCs w:val="1"/>
                <w:color w:val="auto"/>
                <w:w w:val="88"/>
              </w:rPr>
              <w:t>Net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69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Western United States</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226,578,920</w:t>
            </w:r>
          </w:p>
        </w:tc>
        <w:tc>
          <w:tcPr>
            <w:tcW w:w="300" w:type="dxa"/>
            <w:vAlign w:val="bottom"/>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37.38</w:t>
            </w:r>
          </w:p>
        </w:tc>
        <w:tc>
          <w:tcPr>
            <w:tcW w:w="3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7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Northeastern United States</w:t>
            </w: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170,983,403</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1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South Central United States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75,155,555</w:t>
            </w:r>
          </w:p>
        </w:tc>
        <w:tc>
          <w:tcPr>
            <w:tcW w:w="2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12.40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Southeastern United States</w:t>
            </w: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66,823,245</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11.02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1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Northwestern United States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41,659,696</w:t>
            </w:r>
          </w:p>
        </w:tc>
        <w:tc>
          <w:tcPr>
            <w:tcW w:w="2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6.87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United Kingdom</w:t>
            </w: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35,687,298</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1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Germany</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34,080,598</w:t>
            </w:r>
          </w:p>
        </w:tc>
        <w:tc>
          <w:tcPr>
            <w:tcW w:w="2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5.62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Midwestern United States</w:t>
            </w: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20,098,640</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120" w:type="dxa"/>
            <w:vAlign w:val="bottom"/>
            <w:tcBorders>
              <w:bottom w:val="single" w:sz="8" w:color="CFF0FC"/>
            </w:tcBorders>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Canada</w:t>
            </w:r>
          </w:p>
        </w:tc>
        <w:tc>
          <w:tcPr>
            <w:tcW w:w="24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13,447,419</w:t>
            </w:r>
          </w:p>
        </w:tc>
        <w:tc>
          <w:tcPr>
            <w:tcW w:w="300" w:type="dxa"/>
            <w:vAlign w:val="bottom"/>
            <w:tcBorders>
              <w:bottom w:val="single" w:sz="8" w:color="CFF0FC"/>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2.22</w:t>
            </w:r>
          </w:p>
        </w:tc>
        <w:tc>
          <w:tcPr>
            <w:tcW w:w="1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r>
      <w:tr>
        <w:trPr>
          <w:trHeight w:val="196"/>
        </w:trPr>
        <w:tc>
          <w:tcPr>
            <w:tcW w:w="7120" w:type="dxa"/>
            <w:vAlign w:val="bottom"/>
            <w:gridSpan w:val="2"/>
          </w:tcPr>
          <w:p>
            <w:pPr>
              <w:ind w:left="20"/>
              <w:spacing w:after="0" w:line="182" w:lineRule="exact"/>
              <w:rPr>
                <w:sz w:val="20"/>
                <w:szCs w:val="20"/>
                <w:color w:val="auto"/>
              </w:rPr>
            </w:pPr>
            <w:r>
              <w:rPr>
                <w:rFonts w:ascii="Arial" w:cs="Arial" w:eastAsia="Arial" w:hAnsi="Arial"/>
                <w:sz w:val="18"/>
                <w:szCs w:val="18"/>
                <w:b w:val="1"/>
                <w:bCs w:val="1"/>
                <w:color w:val="auto"/>
              </w:rPr>
              <w:t>Total</w:t>
            </w:r>
          </w:p>
        </w:tc>
        <w:tc>
          <w:tcPr>
            <w:tcW w:w="240" w:type="dxa"/>
            <w:vAlign w:val="bottom"/>
            <w:tcBorders>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684,514,774</w:t>
            </w:r>
          </w:p>
        </w:tc>
        <w:tc>
          <w:tcPr>
            <w:tcW w:w="300" w:type="dxa"/>
            <w:vAlign w:val="bottom"/>
          </w:tcPr>
          <w:p>
            <w:pPr>
              <w:spacing w:after="0"/>
              <w:rPr>
                <w:sz w:val="17"/>
                <w:szCs w:val="17"/>
                <w:color w:val="auto"/>
              </w:rPr>
            </w:pPr>
          </w:p>
        </w:tc>
        <w:tc>
          <w:tcPr>
            <w:tcW w:w="18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112.92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7"/>
              </w:rPr>
              <w:t>%</w:t>
            </w:r>
          </w:p>
        </w:tc>
      </w:tr>
      <w:tr>
        <w:trPr>
          <w:trHeight w:val="20"/>
        </w:trPr>
        <w:tc>
          <w:tcPr>
            <w:tcW w:w="6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358"/>
        </w:trPr>
        <w:tc>
          <w:tcPr>
            <w:tcW w:w="6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3"/>
          </w:tcPr>
          <w:p>
            <w:pPr>
              <w:jc w:val="right"/>
              <w:ind w:right="1098"/>
              <w:spacing w:after="0"/>
              <w:rPr>
                <w:sz w:val="20"/>
                <w:szCs w:val="20"/>
                <w:color w:val="auto"/>
              </w:rPr>
            </w:pPr>
            <w:r>
              <w:rPr>
                <w:rFonts w:ascii="Arial" w:cs="Arial" w:eastAsia="Arial" w:hAnsi="Arial"/>
                <w:sz w:val="14"/>
                <w:szCs w:val="14"/>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160"/>
        </w:trPr>
        <w:tc>
          <w:tcPr>
            <w:tcW w:w="6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154"/>
              <w:spacing w:after="0" w:line="160" w:lineRule="exact"/>
              <w:rPr>
                <w:sz w:val="20"/>
                <w:szCs w:val="20"/>
                <w:color w:val="auto"/>
              </w:rPr>
            </w:pPr>
            <w:r>
              <w:rPr>
                <w:rFonts w:ascii="Arial" w:cs="Arial" w:eastAsia="Arial" w:hAnsi="Arial"/>
                <w:sz w:val="14"/>
                <w:szCs w:val="14"/>
                <w:b w:val="1"/>
                <w:bCs w:val="1"/>
                <w:color w:val="auto"/>
                <w:w w:val="89"/>
              </w:rPr>
              <w:t>Investments at</w:t>
            </w:r>
          </w:p>
        </w:tc>
        <w:tc>
          <w:tcPr>
            <w:tcW w:w="300" w:type="dxa"/>
            <w:vAlign w:val="bottom"/>
          </w:tcPr>
          <w:p>
            <w:pPr>
              <w:spacing w:after="0"/>
              <w:rPr>
                <w:sz w:val="13"/>
                <w:szCs w:val="13"/>
                <w:color w:val="auto"/>
              </w:rPr>
            </w:pPr>
          </w:p>
        </w:tc>
        <w:tc>
          <w:tcPr>
            <w:tcW w:w="1840" w:type="dxa"/>
            <w:vAlign w:val="bottom"/>
          </w:tcPr>
          <w:p>
            <w:pPr>
              <w:jc w:val="center"/>
              <w:ind w:left="218"/>
              <w:spacing w:after="0" w:line="160" w:lineRule="exact"/>
              <w:rPr>
                <w:sz w:val="20"/>
                <w:szCs w:val="20"/>
                <w:color w:val="auto"/>
              </w:rPr>
            </w:pPr>
            <w:r>
              <w:rPr>
                <w:rFonts w:ascii="Arial" w:cs="Arial" w:eastAsia="Arial" w:hAnsi="Arial"/>
                <w:sz w:val="14"/>
                <w:szCs w:val="14"/>
                <w:b w:val="1"/>
                <w:bCs w:val="1"/>
                <w:color w:val="auto"/>
                <w:w w:val="88"/>
              </w:rPr>
              <w:t>Percentage of</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185"/>
        </w:trPr>
        <w:tc>
          <w:tcPr>
            <w:tcW w:w="7120" w:type="dxa"/>
            <w:vAlign w:val="bottom"/>
            <w:gridSpan w:val="2"/>
          </w:tcPr>
          <w:p>
            <w:pPr>
              <w:ind w:left="20"/>
              <w:spacing w:after="0"/>
              <w:rPr>
                <w:sz w:val="20"/>
                <w:szCs w:val="20"/>
                <w:color w:val="auto"/>
              </w:rPr>
            </w:pPr>
            <w:r>
              <w:rPr>
                <w:rFonts w:ascii="Arial" w:cs="Arial" w:eastAsia="Arial" w:hAnsi="Arial"/>
                <w:sz w:val="14"/>
                <w:szCs w:val="14"/>
                <w:b w:val="1"/>
                <w:bCs w:val="1"/>
                <w:color w:val="auto"/>
              </w:rPr>
              <w:t>Industry</w:t>
            </w:r>
          </w:p>
        </w:tc>
        <w:tc>
          <w:tcPr>
            <w:tcW w:w="240" w:type="dxa"/>
            <w:vAlign w:val="bottom"/>
          </w:tcPr>
          <w:p>
            <w:pPr>
              <w:spacing w:after="0"/>
              <w:rPr>
                <w:sz w:val="16"/>
                <w:szCs w:val="16"/>
                <w:color w:val="auto"/>
              </w:rPr>
            </w:pPr>
          </w:p>
        </w:tc>
        <w:tc>
          <w:tcPr>
            <w:tcW w:w="1440" w:type="dxa"/>
            <w:vAlign w:val="bottom"/>
          </w:tcPr>
          <w:p>
            <w:pPr>
              <w:jc w:val="center"/>
              <w:ind w:right="154"/>
              <w:spacing w:after="0"/>
              <w:rPr>
                <w:sz w:val="20"/>
                <w:szCs w:val="20"/>
                <w:color w:val="auto"/>
              </w:rPr>
            </w:pPr>
            <w:r>
              <w:rPr>
                <w:rFonts w:ascii="Arial" w:cs="Arial" w:eastAsia="Arial" w:hAnsi="Arial"/>
                <w:sz w:val="14"/>
                <w:szCs w:val="14"/>
                <w:b w:val="1"/>
                <w:bCs w:val="1"/>
                <w:color w:val="auto"/>
                <w:w w:val="95"/>
              </w:rPr>
              <w:t>Fair Value</w:t>
            </w:r>
          </w:p>
        </w:tc>
        <w:tc>
          <w:tcPr>
            <w:tcW w:w="300" w:type="dxa"/>
            <w:vAlign w:val="bottom"/>
          </w:tcPr>
          <w:p>
            <w:pPr>
              <w:spacing w:after="0"/>
              <w:rPr>
                <w:sz w:val="16"/>
                <w:szCs w:val="16"/>
                <w:color w:val="auto"/>
              </w:rPr>
            </w:pPr>
          </w:p>
        </w:tc>
        <w:tc>
          <w:tcPr>
            <w:tcW w:w="1840" w:type="dxa"/>
            <w:vAlign w:val="bottom"/>
          </w:tcPr>
          <w:p>
            <w:pPr>
              <w:jc w:val="center"/>
              <w:ind w:left="238"/>
              <w:spacing w:after="0"/>
              <w:rPr>
                <w:sz w:val="20"/>
                <w:szCs w:val="20"/>
                <w:color w:val="auto"/>
              </w:rPr>
            </w:pPr>
            <w:r>
              <w:rPr>
                <w:rFonts w:ascii="Arial" w:cs="Arial" w:eastAsia="Arial" w:hAnsi="Arial"/>
                <w:sz w:val="14"/>
                <w:szCs w:val="14"/>
                <w:b w:val="1"/>
                <w:bCs w:val="1"/>
                <w:color w:val="auto"/>
                <w:w w:val="88"/>
              </w:rPr>
              <w:t>Net Assets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196"/>
        </w:trPr>
        <w:tc>
          <w:tcPr>
            <w:tcW w:w="6920" w:type="dxa"/>
            <w:vAlign w:val="bottom"/>
            <w:tcBorders>
              <w:top w:val="single" w:sz="8" w:color="auto"/>
            </w:tcBorders>
            <w:shd w:val="clear" w:color="auto" w:fill="CFF0FC"/>
          </w:tcPr>
          <w:p>
            <w:pPr>
              <w:ind w:left="20"/>
              <w:spacing w:after="0" w:line="196" w:lineRule="exact"/>
              <w:rPr>
                <w:sz w:val="20"/>
                <w:szCs w:val="20"/>
                <w:color w:val="auto"/>
              </w:rPr>
            </w:pPr>
            <w:r>
              <w:rPr>
                <w:rFonts w:ascii="Arial" w:cs="Arial" w:eastAsia="Arial" w:hAnsi="Arial"/>
                <w:sz w:val="18"/>
                <w:szCs w:val="18"/>
                <w:color w:val="auto"/>
              </w:rPr>
              <w:t>Application Software</w:t>
            </w:r>
          </w:p>
        </w:tc>
        <w:tc>
          <w:tcPr>
            <w:tcW w:w="20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182,660,314</w:t>
            </w:r>
          </w:p>
        </w:tc>
        <w:tc>
          <w:tcPr>
            <w:tcW w:w="300" w:type="dxa"/>
            <w:vAlign w:val="bottom"/>
            <w:shd w:val="clear" w:color="auto" w:fill="CFF0FC"/>
          </w:tcPr>
          <w:p>
            <w:pPr>
              <w:spacing w:after="0"/>
              <w:rPr>
                <w:sz w:val="17"/>
                <w:szCs w:val="17"/>
                <w:color w:val="auto"/>
              </w:rPr>
            </w:pPr>
          </w:p>
        </w:tc>
        <w:tc>
          <w:tcPr>
            <w:tcW w:w="18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30.13</w:t>
            </w:r>
          </w:p>
        </w:tc>
        <w:tc>
          <w:tcPr>
            <w:tcW w:w="300" w:type="dxa"/>
            <w:vAlign w:val="bottom"/>
            <w:tcBorders>
              <w:top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7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Healthcare Technology</w:t>
            </w: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146,756,439</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24.21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1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Internet Retail</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109,560,343</w:t>
            </w:r>
          </w:p>
        </w:tc>
        <w:tc>
          <w:tcPr>
            <w:tcW w:w="2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18.07</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Internet Software &amp; Services</w:t>
            </w: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76,238,876</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12.58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1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Human Resource &amp; Employment Services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72,869,269</w:t>
            </w:r>
          </w:p>
        </w:tc>
        <w:tc>
          <w:tcPr>
            <w:tcW w:w="2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12.02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2"/>
        </w:trPr>
        <w:tc>
          <w:tcPr>
            <w:tcW w:w="7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Data Processing &amp; Outsourced Services</w:t>
            </w: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38,925,165</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1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Education Services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20,100,640</w:t>
            </w:r>
          </w:p>
        </w:tc>
        <w:tc>
          <w:tcPr>
            <w:tcW w:w="2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Electronic Equipment &amp; Instruments</w:t>
            </w: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18,755,837</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1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System Software</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13,447,419</w:t>
            </w:r>
          </w:p>
        </w:tc>
        <w:tc>
          <w:tcPr>
            <w:tcW w:w="2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Technology Hardware, Storage &amp; Peripherals</w:t>
            </w: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2,537,654</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712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Specialized Consumer Services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2,477,351</w:t>
            </w:r>
          </w:p>
        </w:tc>
        <w:tc>
          <w:tcPr>
            <w:tcW w:w="21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0.41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r>
      <w:tr>
        <w:trPr>
          <w:trHeight w:val="203"/>
        </w:trPr>
        <w:tc>
          <w:tcPr>
            <w:tcW w:w="7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Computer &amp; Electronics Retail</w:t>
            </w:r>
          </w:p>
        </w:tc>
        <w:tc>
          <w:tcPr>
            <w:tcW w:w="24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185,467</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6"/>
        </w:trPr>
        <w:tc>
          <w:tcPr>
            <w:tcW w:w="7120" w:type="dxa"/>
            <w:vAlign w:val="bottom"/>
            <w:tcBorders>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w:t>
            </w: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684,514,774</w:t>
            </w:r>
          </w:p>
        </w:tc>
        <w:tc>
          <w:tcPr>
            <w:tcW w:w="300" w:type="dxa"/>
            <w:vAlign w:val="bottom"/>
            <w:tcBorders>
              <w:bottom w:val="single" w:sz="8" w:color="CFF0FC"/>
            </w:tcBorders>
            <w:shd w:val="clear" w:color="auto" w:fill="CFF0FC"/>
          </w:tcPr>
          <w:p>
            <w:pPr>
              <w:spacing w:after="0"/>
              <w:rPr>
                <w:sz w:val="20"/>
                <w:szCs w:val="20"/>
                <w:color w:val="auto"/>
              </w:rPr>
            </w:pPr>
          </w:p>
        </w:tc>
        <w:tc>
          <w:tcPr>
            <w:tcW w:w="18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112.92</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-2345055</wp:posOffset>
            </wp:positionV>
            <wp:extent cx="7747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-2345055</wp:posOffset>
            </wp:positionV>
            <wp:extent cx="6858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774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774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RUNWAY GROWTH FINANCE CORP.</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16"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Runway Growth Finance Corp. (formerly known as Runway Growth Credit Fund Inc.) (the “Company”), is a Maryland corporation that was formed on August 31, 2015. On August 18, 2021, the Company changed its name to “Runway Growth Finance Corp.” from “Runway Growth Credit Fund Inc.” The Company is an externally managed, non-diversified, closed-end investment company that has elected to be regulated as a business development company (“BDC”) under the Investment Company Act of 1940, as amended (the “1940 Act”). In addition, the Company has elected to be treated, has qualified, and intends to continue to qualify annually as a regulated investment company (“RIC”) under Subchapter M of the Internal Revenue Code of 1986, as amended (the “Code”).</w:t>
      </w:r>
    </w:p>
    <w:p>
      <w:pPr>
        <w:spacing w:after="0" w:line="189"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7"/>
          <w:szCs w:val="17"/>
          <w:color w:val="auto"/>
        </w:rPr>
        <w:t>The Company was formed primarily to lend to, and selectively invest in, high growth-potential companies in technology, life sciences, healthcare information and services, business services, select consumer services and products in other high-growth industries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75"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On December 1, 2017, the Company completed its initial private offering (“Initial Private Offering”), in which the Company issued 18,241,157 shares of its common stock to stockholders for a total purchase price of $275,000,000 in reliance on exemptions from the registration requirements of the Securities Act, and other applicable securities laws.</w:t>
      </w:r>
    </w:p>
    <w:p>
      <w:pPr>
        <w:spacing w:after="0" w:line="18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As of June 30, 2022, the Company had completed multiple closings under its second private offering (the “Second Private Offering”) and had accepted aggregate capital commitments of $181,673,500. As of June 30, 2022, in connection with the Second Private Offering the Company has issued 9,617,379 shares of its common stock for a total purchase price of $144,260,683. Concurrent with the IPO (as defined below), all undrawn commitments under the Second Private Offering were cancelled.</w:t>
      </w:r>
    </w:p>
    <w:p>
      <w:pPr>
        <w:spacing w:after="0" w:line="18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On October 25, 2021, the Company closed its initial public offering ("IPO"), issuing 6,850,000 shares of its common stock at a public offering price of $14.60 per share. Net of underwriting fees and offering costs, the Company received net cash proceeds of $93.0 million. The Company’s common stock began trading on the Nasdaq Global Select Market under the symbol “RWAY” on October 21, 2021.</w:t>
      </w:r>
    </w:p>
    <w:p>
      <w:pPr>
        <w:spacing w:after="0" w:line="18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As of June 30, 2022, the Company has issued 22,564 shares as an additional direct investment by Runway Growth Holdings LLC, an affiliate of RGC, at a per-share price of $15.00 for total proceeds of $338,453 in a private offering pursuant to an exemption from registration under Regulation D of the Securities Act.</w:t>
      </w:r>
    </w:p>
    <w:p>
      <w:pPr>
        <w:spacing w:after="0" w:line="18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As of June 30, 2022, the Company has issued an additional 6,647,847 shares as part of the dividend reinvestment plan. For more information, see “Note 6 – Net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jc w:val="both"/>
        <w:ind w:firstLine="749"/>
        <w:spacing w:after="0" w:line="208" w:lineRule="exact"/>
        <w:rPr>
          <w:sz w:val="20"/>
          <w:szCs w:val="20"/>
          <w:color w:val="auto"/>
        </w:rPr>
      </w:pPr>
      <w:r>
        <w:rPr>
          <w:rFonts w:ascii="Arial" w:cs="Arial" w:eastAsia="Arial" w:hAnsi="Arial"/>
          <w:sz w:val="18"/>
          <w:szCs w:val="18"/>
          <w:color w:val="auto"/>
        </w:rPr>
        <w:t>The accompanying interim unaudited financial statements of the Company are prepared on the accrual basis of accounting in conformity with U.S. Generally Accepted Accounting Principles (“U.S. GAAP”) and pursuant to the requirements for reporting on Form 10</w:t>
      </w:r>
      <w:r>
        <w:rPr>
          <w:rFonts w:ascii="MS PGothic" w:cs="MS PGothic" w:eastAsia="MS PGothic" w:hAnsi="MS PGothic"/>
          <w:sz w:val="18"/>
          <w:szCs w:val="18"/>
          <w:color w:val="auto"/>
        </w:rPr>
        <w:t>‑</w:t>
      </w:r>
      <w:r>
        <w:rPr>
          <w:rFonts w:ascii="Arial" w:cs="Arial" w:eastAsia="Arial" w:hAnsi="Arial"/>
          <w:sz w:val="18"/>
          <w:szCs w:val="18"/>
          <w:color w:val="auto"/>
        </w:rPr>
        <w:t>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18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31, 2022, including the impact of the coronavirus (“COVID 19”) pandemic thereon. The interim unaudited financial statements and notes hereto should be read in conjunction with the audited financial statements and notes thereto contained in the Company’s annual report on Form 10-K, as modified by the annual report on Form 10-K/A for the year ended December 31, 2021, filed with the SEC on March 2, 2022 and March 14, 2022, respectively.</w:t>
      </w:r>
    </w:p>
    <w:p>
      <w:pPr>
        <w:spacing w:after="0" w:line="147"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Certain items in the June 30, 2021 financial statements have been reclassified to conform to the June 30, 2022 presentation with no net effect on the net increase in net assets resulting from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1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Cash represents deposits held at financial institutions, while cash equivalents are highly liquid investments held at financial institutions with an original maturity of three months or less at the date of acquisition. From time to time,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Debt Costs</w:t>
      </w:r>
    </w:p>
    <w:p>
      <w:pPr>
        <w:spacing w:after="0" w:line="21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7"/>
          <w:szCs w:val="17"/>
          <w:color w:val="auto"/>
        </w:rPr>
        <w:t xml:space="preserve">The fees and expenses associated with opening the KeyBank credit facilities, including entering into the Credit Agreement (as defined below) (see “Note 10 – Borrowings”), and the issuance of the 2026 Senior Notes (as defined below) pursuant to the Note Purchase Agreement (as defined below) (See “Note 10 –Borrowings”) are being deferred and amortized as part of interest expense using the effective interest method over the term of the Credit Agreement and the Note Purchase Agreement in accordance with ASC 470, </w:t>
      </w:r>
      <w:r>
        <w:rPr>
          <w:rFonts w:ascii="Arial" w:cs="Arial" w:eastAsia="Arial" w:hAnsi="Arial"/>
          <w:sz w:val="17"/>
          <w:szCs w:val="17"/>
          <w:i w:val="1"/>
          <w:iCs w:val="1"/>
          <w:color w:val="auto"/>
        </w:rPr>
        <w:t>Debt</w:t>
      </w:r>
      <w:r>
        <w:rPr>
          <w:rFonts w:ascii="Arial" w:cs="Arial" w:eastAsia="Arial" w:hAnsi="Arial"/>
          <w:sz w:val="17"/>
          <w:szCs w:val="17"/>
          <w:color w:val="auto"/>
        </w:rPr>
        <w:t>. Debt issuance costs associated with the Credit Agreement and the Note Purchase Agreement are classified as a direct reduction of the carrying amount of borrowings with the Credit Agreement and the Note Purchase Agreement, unless there are no outstanding borrowings, in which case the debt issuance costs are presented as an asset.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w:t>
      </w:r>
    </w:p>
    <w:p>
      <w:pPr>
        <w:spacing w:after="0" w:line="21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6"/>
          <w:szCs w:val="16"/>
          <w:color w:val="auto"/>
        </w:rPr>
        <w:t>The Company has, and may in the future, enter into reverse repurchase agreements, under the terms of a Master Repurchase Agreement (the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reverse repurchase agreements. The Company requires the custodian to take possession, to have legally segregated in the Federal Reserve Book Entry System, or to have segregated within the custodian’s vault, all securities held as collateral for reverse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reverse repurchase agreement of one-day duration and 102 percent of the repurchase price in the case of all other reverse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17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The Company had no outstanding reverse repurchase agreements at June 30, 2022. Pursuant to a reverse repurchase agreement with Goldman Sachs which expired on January 6, 2022, the Company purchased a U.S. Treasury Bill, due January 11, 2022. The value of the related collateral that the Company received for this agreement was $45,001,500 at December 31, 2021. At December 31, 2021, the repurchase liability was $44,774,963, which is reflected as “Reverse repurchase agreement” on the Statement of Assets and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1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Security transactions, if any, are recorded on a trade-date basis. Realized gains or losses from the repayment or sale of investments are measured using the specific identification method. The amortized cost basis of investments represents the original cost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adjusted for 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on the Statements of Operations.</w:t>
      </w:r>
    </w:p>
    <w:p>
      <w:pPr>
        <w:spacing w:after="0" w:line="18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6"/>
          <w:szCs w:val="16"/>
          <w:color w:val="auto"/>
        </w:rPr>
        <w:t>Dividends are recorded on the applicable ex-dividend date. Interest income, if any, adjusted for amortization of market premium and accretion of market discount, is recorded on an accrual basis to the extent that the Company expects to collect such amounts. Original issue discount (“OID”), principally representing the estimated fair value of detachable equity, warrants or contractual success fees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end-of-term payments, and unamortized market discounts are recorded as interest income.</w:t>
      </w:r>
    </w:p>
    <w:p>
      <w:pPr>
        <w:spacing w:after="0" w:line="168"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of income the Company is required to distribute to stockholders to maintain its qualification as a RIC for U.S. federal income tax purposes, even though the Company has not yet collected the cash.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Non-Accrual of Investments</w:t>
      </w:r>
    </w:p>
    <w:p>
      <w:pPr>
        <w:spacing w:after="0" w:line="21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Debt investments are placed on non-accrual status when principal, interest, and other obligations become materially past due or when there is reasonable doubt that principal, interest, and other obligations will be collected in full. At the point of non-accrual, the Company will generally cease recognizing interest income on the debt investment until all principal and interest due have been paid or the Company believes the borrower has demonstrated the ability to repay its current and future contractual obligations. Additionally, any OID associated with the debt investment is no longer accreted to interest income as of the date the loan is placed on non-accrual status. Any payments received on non-accrual loans are first applied to principal prior to recovery of any foregone interest or end of term payment fees. Non-accrual loans are restored to accrual status when past due principal or interest are paid, and, in management’s judgment are likely to remain current. The Company may make exceptions to this policy if the investment has sufficient collateral value and is in the process of collection such that the Company will be made whole on the investment, inclusive of interest and end of term payment fees.</w:t>
      </w:r>
    </w:p>
    <w:p>
      <w:pPr>
        <w:spacing w:after="0" w:line="19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7"/>
          <w:szCs w:val="17"/>
          <w:color w:val="auto"/>
        </w:rPr>
        <w:t>As of June 30, 2022, and December 31, 2021, the Company has not written off any accrued and uncollected PIK interest and dividends. As of June 30, 2022, the Company had one loan to Pivot3 Holdings, Inc., representing an aggregate principal funded of $19,172,353 at a fair value of $5,521,301, on non-accrual status, which represents 0.7% of the Company’s total investment portfolio. The non-accrual loan as of June 30, 2022 had total interest of $2,480,364 that would have been accrued into income. Had the loan not been on non-accrual status, $2,263,836 would be payable, and $216,528 would be OID. As of December 31, 2021, the Company had six loans to Mojix, Inc. and one loan to Pivot3 Holdings, Inc., representing an aggregate principal funded of $30,278,707 at a fair market value of $28,259,976, on non-accrual status, which represents 3.9% of the Company’s total investment portfolio. The non-accrual loans as of December 31, 2021 had total interest of $4,760,387 that would have been accrued into income. Had the loans not been on non-accrual status, $4,064,620 would be payable, and $695,767 would be OID. For the three and six months ended June 30, 2022, approximately 14.7% and 11.5%, respectively, of the Company’s total investment income was attributable to non-cash PIK interest and dividend income. For the three and six months ended June 30, 2021, approximately 5.6% and 5.7%, respectively, of the Company’s total investment income was attributable to non-cash PIK interest and dividend income.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 xml:space="preserve">The Company measures the value of its investments at fair value in accordance with ASC </w:t>
      </w:r>
      <w:r>
        <w:rPr>
          <w:rFonts w:ascii="Arial" w:cs="Arial" w:eastAsia="Arial" w:hAnsi="Arial"/>
          <w:sz w:val="18"/>
          <w:szCs w:val="18"/>
          <w:i w:val="1"/>
          <w:iCs w:val="1"/>
          <w:color w:val="auto"/>
        </w:rPr>
        <w:t>Topic 820, Fair Value Measurements and Disclosure</w:t>
      </w:r>
      <w:r>
        <w:rPr>
          <w:rFonts w:ascii="Arial" w:cs="Arial" w:eastAsia="Arial" w:hAnsi="Arial"/>
          <w:sz w:val="18"/>
          <w:szCs w:val="18"/>
          <w:color w:val="auto"/>
        </w:rPr>
        <w:t xml:space="preserve"> (“ASC Topic 820”), issued by the FASB. Fair value is the price that would be received to sell an asset or paid to transfer a liability in an orderly transaction between market participants at the measurement date.</w:t>
      </w:r>
    </w:p>
    <w:p>
      <w:pPr>
        <w:spacing w:after="0" w:line="18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The audit committee of the Company’s Board of Directors (the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valuation agents, is responsible for determining, in good faith, the fair value of such investments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89"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9"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72" w:lineRule="exact"/>
        <w:rPr>
          <w:sz w:val="20"/>
          <w:szCs w:val="20"/>
          <w:color w:val="auto"/>
        </w:rPr>
      </w:pPr>
    </w:p>
    <w:p>
      <w:pPr>
        <w:ind w:left="680" w:hanging="372"/>
        <w:spacing w:after="0"/>
        <w:tabs>
          <w:tab w:leader="none" w:pos="6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Level 1—Valuations are based on quoted prices in active markets for identical assets or liabilities that are accessible at the measurement date.</w:t>
      </w:r>
    </w:p>
    <w:p>
      <w:pPr>
        <w:spacing w:after="0" w:line="194" w:lineRule="exact"/>
        <w:rPr>
          <w:rFonts w:ascii="Arial" w:cs="Arial" w:eastAsia="Arial" w:hAnsi="Arial"/>
          <w:sz w:val="16"/>
          <w:szCs w:val="16"/>
          <w:color w:val="auto"/>
        </w:rPr>
      </w:pPr>
    </w:p>
    <w:p>
      <w:pPr>
        <w:ind w:left="680" w:hanging="372"/>
        <w:spacing w:after="0" w:line="261"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43" w:lineRule="exact"/>
        <w:rPr>
          <w:rFonts w:ascii="Arial" w:cs="Arial" w:eastAsia="Arial" w:hAnsi="Arial"/>
          <w:sz w:val="18"/>
          <w:szCs w:val="18"/>
          <w:color w:val="auto"/>
        </w:rPr>
      </w:pPr>
    </w:p>
    <w:p>
      <w:pPr>
        <w:jc w:val="both"/>
        <w:ind w:left="680" w:hanging="372"/>
        <w:spacing w:after="0" w:line="243" w:lineRule="auto"/>
        <w:tabs>
          <w:tab w:leader="none" w:pos="6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8"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47"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With respect to investments for which market quotations are not readily available, the Company undertakes a multi-step valuation process each quarter, as described below:</w:t>
      </w:r>
    </w:p>
    <w:p>
      <w:pPr>
        <w:spacing w:after="0" w:line="130" w:lineRule="exact"/>
        <w:rPr>
          <w:sz w:val="20"/>
          <w:szCs w:val="20"/>
          <w:color w:val="auto"/>
        </w:rPr>
      </w:pPr>
    </w:p>
    <w:p>
      <w:pPr>
        <w:ind w:left="680" w:hanging="372"/>
        <w:spacing w:after="0" w:line="261"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investment being initially valued by RGC’s investment professionals that are responsible for the portfolio investment;</w:t>
      </w:r>
    </w:p>
    <w:p>
      <w:pPr>
        <w:spacing w:after="0" w:line="130" w:lineRule="exact"/>
        <w:rPr>
          <w:rFonts w:ascii="Arial" w:cs="Arial" w:eastAsia="Arial" w:hAnsi="Arial"/>
          <w:sz w:val="18"/>
          <w:szCs w:val="18"/>
          <w:color w:val="auto"/>
        </w:rPr>
      </w:pPr>
    </w:p>
    <w:p>
      <w:pPr>
        <w:ind w:left="680" w:hanging="372"/>
        <w:spacing w:after="0"/>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184" w:lineRule="exact"/>
        <w:rPr>
          <w:rFonts w:ascii="Arial" w:cs="Arial" w:eastAsia="Arial" w:hAnsi="Arial"/>
          <w:sz w:val="18"/>
          <w:szCs w:val="18"/>
          <w:color w:val="auto"/>
        </w:rPr>
      </w:pPr>
    </w:p>
    <w:p>
      <w:pPr>
        <w:jc w:val="both"/>
        <w:ind w:left="680" w:hanging="372"/>
        <w:spacing w:after="0" w:line="248"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41" w:lineRule="exact"/>
        <w:rPr>
          <w:rFonts w:ascii="Arial" w:cs="Arial" w:eastAsia="Arial" w:hAnsi="Arial"/>
          <w:sz w:val="18"/>
          <w:szCs w:val="18"/>
          <w:color w:val="auto"/>
        </w:rPr>
      </w:pPr>
    </w:p>
    <w:p>
      <w:pPr>
        <w:ind w:left="680" w:hanging="372"/>
        <w:spacing w:after="0" w:line="261" w:lineRule="auto"/>
        <w:tabs>
          <w:tab w:leader="none" w:pos="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the Company’s Board of Directors regarding such valuations;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680" w:right="20" w:hanging="372"/>
        <w:spacing w:after="0" w:line="291" w:lineRule="auto"/>
        <w:tabs>
          <w:tab w:leader="none" w:pos="680" w:val="left"/>
        </w:tabs>
        <w:numPr>
          <w:ilvl w:val="0"/>
          <w:numId w:val="13"/>
        </w:numPr>
        <w:rPr>
          <w:rFonts w:ascii="Arial" w:cs="Arial" w:eastAsia="Arial" w:hAnsi="Arial"/>
          <w:sz w:val="17"/>
          <w:szCs w:val="17"/>
          <w:color w:val="auto"/>
        </w:rPr>
      </w:pPr>
      <w:r>
        <w:rPr>
          <w:rFonts w:ascii="Arial" w:cs="Arial" w:eastAsia="Arial" w:hAnsi="Arial"/>
          <w:sz w:val="17"/>
          <w:szCs w:val="17"/>
          <w:color w:val="231F20"/>
        </w:rPr>
        <w:t>The Company’s Board of Directors reviews the recommended preliminary valuations and determines the fair value of each investment in the Company’s portfolio, in good faith, based on the input of RGC, the independent valuation firm and the Audit Committee.</w:t>
      </w:r>
    </w:p>
    <w:p>
      <w:pPr>
        <w:spacing w:after="0" w:line="147"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231F20"/>
        </w:rPr>
        <w:t>The Company’s investments are primarily loans made to and equity and warrants of high growth-potential companies focused in technology, life sciences, healthcare information and services, business services, select consumer services and products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Rule 2a-5 under the 1940 Act was adopted by the SEC in December 2020 and establishes a framework for determining fair value in good faith for purposes of the 1940 Act. The Company is evaluating the impact of adopting Rule 2a-5 on the financial statements and intends to comply with the new rule’s requirements on or before the compliance date in September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1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89"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i w:val="1"/>
          <w:iCs w:val="1"/>
          <w:color w:val="auto"/>
        </w:rPr>
        <w:t xml:space="preserve">Debt Investments: </w:t>
      </w:r>
      <w:r>
        <w:rPr>
          <w:rFonts w:ascii="Arial" w:cs="Arial" w:eastAsia="Arial" w:hAnsi="Arial"/>
          <w:sz w:val="16"/>
          <w:szCs w:val="16"/>
          <w:color w:val="auto"/>
        </w:rPr>
        <w:t>To determine the fair value of the Company’s debt investments, the Company compares the cost basis of the debt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includes original issue discount, if any,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62"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w:t>
      </w:r>
    </w:p>
    <w:p>
      <w:pPr>
        <w:spacing w:after="0" w:line="15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88"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Fair value of warrants is primarily determined using a Black Scholes option-pricing model. Privately held warrants and equity-related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valued based on an analysis of various factors including, but not limited to, the following:</w:t>
      </w:r>
    </w:p>
    <w:p>
      <w:pPr>
        <w:spacing w:after="0" w:line="130" w:lineRule="exact"/>
        <w:rPr>
          <w:sz w:val="20"/>
          <w:szCs w:val="20"/>
          <w:color w:val="auto"/>
        </w:rPr>
      </w:pPr>
    </w:p>
    <w:p>
      <w:pPr>
        <w:jc w:val="both"/>
        <w:ind w:left="680" w:hanging="372"/>
        <w:spacing w:after="0" w:line="238"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66" w:lineRule="exact"/>
        <w:rPr>
          <w:rFonts w:ascii="Arial" w:cs="Arial" w:eastAsia="Arial" w:hAnsi="Arial"/>
          <w:sz w:val="18"/>
          <w:szCs w:val="18"/>
          <w:color w:val="auto"/>
        </w:rPr>
      </w:pPr>
    </w:p>
    <w:p>
      <w:pPr>
        <w:jc w:val="both"/>
        <w:ind w:left="680" w:hanging="372"/>
        <w:spacing w:after="0" w:line="248" w:lineRule="auto"/>
        <w:tabs>
          <w:tab w:leader="none" w:pos="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680"/>
        <w:spacing w:after="0" w:line="261" w:lineRule="auto"/>
        <w:rPr>
          <w:sz w:val="20"/>
          <w:szCs w:val="20"/>
          <w:color w:val="auto"/>
        </w:rPr>
      </w:pPr>
      <w:r>
        <w:rPr>
          <w:rFonts w:ascii="Arial" w:cs="Arial" w:eastAsia="Arial" w:hAnsi="Arial"/>
          <w:sz w:val="18"/>
          <w:szCs w:val="18"/>
          <w:color w:val="auto"/>
        </w:rPr>
        <w:t>fair value measurement of any of the Company’s portfolio investments may occur regardless of whether there is a significant increase or decrease in this unobservable input.</w:t>
      </w:r>
    </w:p>
    <w:p>
      <w:pPr>
        <w:spacing w:after="0" w:line="130" w:lineRule="exact"/>
        <w:rPr>
          <w:sz w:val="20"/>
          <w:szCs w:val="20"/>
          <w:color w:val="auto"/>
        </w:rPr>
      </w:pPr>
    </w:p>
    <w:p>
      <w:pPr>
        <w:jc w:val="both"/>
        <w:ind w:left="680" w:hanging="372"/>
        <w:spacing w:after="0" w:line="284" w:lineRule="auto"/>
        <w:tabs>
          <w:tab w:leader="none" w:pos="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28" w:lineRule="exact"/>
        <w:rPr>
          <w:rFonts w:ascii="Arial" w:cs="Arial" w:eastAsia="Arial" w:hAnsi="Arial"/>
          <w:sz w:val="16"/>
          <w:szCs w:val="16"/>
          <w:color w:val="auto"/>
        </w:rPr>
      </w:pPr>
    </w:p>
    <w:p>
      <w:pPr>
        <w:jc w:val="both"/>
        <w:ind w:left="680" w:hanging="372"/>
        <w:spacing w:after="0" w:line="243" w:lineRule="auto"/>
        <w:tabs>
          <w:tab w:leader="none" w:pos="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47" w:lineRule="exact"/>
        <w:rPr>
          <w:rFonts w:ascii="Arial" w:cs="Arial" w:eastAsia="Arial" w:hAnsi="Arial"/>
          <w:sz w:val="18"/>
          <w:szCs w:val="18"/>
          <w:color w:val="auto"/>
        </w:rPr>
      </w:pPr>
    </w:p>
    <w:p>
      <w:pPr>
        <w:jc w:val="both"/>
        <w:ind w:left="680" w:hanging="372"/>
        <w:spacing w:after="0" w:line="257" w:lineRule="auto"/>
        <w:tabs>
          <w:tab w:leader="none" w:pos="6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72"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 amount invested.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The carrying amounts of the Company’s financial instruments, including cash and accrued liabilities, approximate fair value due to their short-term nature. Fair value of the Company’s Credit Agreement is estimated by discounting remaining payments using applicable market rates or market quotes for similar instruments at the measurement date, if applicable. As of both June 30, 2022 and December 31, 2021, the Company believes that the carrying value of its Credit Agreement approximates fair value. The 2026 Senior Notes are carried at cost and with their longer maturity dates, fair value is estimated by discounting remaining payments using current market rates for similar instruments and considering such factors as the legal maturity date and the ability of market participants to prepay the notes. As of June 30, 2022, the Company believes that the carrying value of the 2026 Senior Notes approximates fair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21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 investor has the ability or power to exercise a controlling influence over the management or policies of a company. Control is generally deemed to exist when a company or individual possesses, or has the right to acquire within 60 days or less, beneficial ownership of more than 25.0% of the voting securities of a company or maintains greater than 50% of the board representation. Affiliated investments and affiliated companies are defined by a lesser degree of influence and are deemed to exist through the possession outright, or via the right to acquire within 60 days or less, beneficial ownership between 5% and 25% (inclusive) of the voting securities and does not have rights to maintain greater than 50% of the board representation.</w:t>
      </w:r>
    </w:p>
    <w:p>
      <w:pPr>
        <w:spacing w:after="0" w:line="191"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6"/>
          <w:szCs w:val="16"/>
          <w:color w:val="auto"/>
        </w:rPr>
        <w:t>The Company elected to be treated as a RIC under Subchapter M of the Code beginning with its taxable year ended December 31, 2016, and has qualified and intends to continue to qualify for the tax treatment applicable to RICs. Generally, a RIC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pay corporate-level U.S. federal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U.S. federal income taxes in the future.</w:t>
      </w:r>
    </w:p>
    <w:p>
      <w:pPr>
        <w:spacing w:after="0" w:line="168"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7"/>
          <w:szCs w:val="17"/>
          <w:color w:val="auto"/>
        </w:rPr>
        <w:t>The Company accounts for income taxes in conformity with ASC Topic 740, Income Taxes ("ASC 740"). ASC 740 provides guidelines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Statements of Operations. There were no material uncertain income tax positions at June 30, 2022 or December 31, 2021. Although we file federal and state tax returns, our major tax jurisdiction is federal. The previous three tax year-ends and the interim tax period since then remain subject to examination by the Internal Revenue Service.</w:t>
      </w:r>
    </w:p>
    <w:p>
      <w:pPr>
        <w:spacing w:after="0" w:line="181"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6"/>
          <w:szCs w:val="16"/>
          <w:color w:val="auto"/>
        </w:rPr>
        <w:t>If the Company does not timely distribute (or is not deemed to have distributed) each calendar year the sum of (1) at least 98% of its net ordinary income (not taking into account any capital gains or losses) for each calendar year, (2) at least 98.2% of the amount by which the Company’s capital gains exceed its capital losses (adjusted for certain ordinary losses) for a one-year period generally ending on October 31 in that calendar year (unless the Company makes an election to use its taxable year) and (3) any net ordinary income and net capital gain recognized in preceding years on which the Company paid no U.S. federal income tax (the “Minimum Distribution Amount”), the Company will generally be required to pay a nondeductible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6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7"/>
          <w:szCs w:val="17"/>
          <w:color w:val="auto"/>
        </w:rPr>
        <w:t>If the Company does not qualify to be treated as a RIC for any taxable year, the Company will be taxed as a regular corporation (a “C corporation”) under subchapter C of the Code for such taxable year. If the Company has previously qualified to be treated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corporate-level U.S. federal income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1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Basic and diluted earnings per common share is calculated using the weighted-average number of common shares outstanding for the period presented. For the three and six months ended June 30, 2022 and 2021, basic and diluted earnings per share of common stock were the same because there were no potentially dilutive securities outstanding. Per share data is based on the weighted-average shares outstanding.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1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The Company generally intends to distribute, out of assets legally available for distribution, substantially all of its available earnings, on a quarterly basis, subject to the discretion of the Board of Directors. For the three and six months ended June 30, 2022, the Company declared and paid dividends in the amount of $12,382,340 and $23,555,007, respectively, of which $10,172,229 and $13,925,314, respectively, was distributed in cash and the remainder distributed in shares to stockholders, purchased in the open market pursuant to the Company’s dividend reinvestment plan. For the three and six months ended June 30, 2021, the Company declared dividends in the amount of $11,859,731 and $23,482,930, respectively, of which $2,449,360 and $4,889,338, respectively, was distributable in cash and the remainder distributable in shares to stockholders pursuant to the Company’s dividend reinvestment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7"/>
          <w:szCs w:val="17"/>
          <w:color w:val="auto"/>
        </w:rPr>
        <w:t xml:space="preserve">Organization costs include, among other things, the cost of organizing as a Maryland corporation, including the cost of legal services and other fees pertaining to the Company’s organization, all of which are expensed as incurred. Offering costs include, among other things, legal fees and other costs pertaining to the preparation of the Company’s public and private offering materials as well as travel-related expenses related to the Company’s public and private offerings. Pursuant to the investment advisory agreement in place between the Company and RGC at the time of the Initial Private Offering,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 costs incurred in connection with the Initial Private Offering. </w:t>
      </w:r>
      <w:r>
        <w:rPr>
          <w:rFonts w:ascii="Arial" w:cs="Arial" w:eastAsia="Arial" w:hAnsi="Arial"/>
          <w:sz w:val="17"/>
          <w:szCs w:val="17"/>
          <w:color w:val="231F20"/>
        </w:rPr>
        <w:t>As a result, for the three and six months ended June 30, 2022 and 2021, the Company did not incur any organization or offering expenses in</w:t>
      </w:r>
      <w:r>
        <w:rPr>
          <w:rFonts w:ascii="Arial" w:cs="Arial" w:eastAsia="Arial" w:hAnsi="Arial"/>
          <w:sz w:val="17"/>
          <w:szCs w:val="17"/>
          <w:color w:val="auto"/>
        </w:rPr>
        <w:t xml:space="preserve"> </w:t>
      </w:r>
      <w:r>
        <w:rPr>
          <w:rFonts w:ascii="Arial" w:cs="Arial" w:eastAsia="Arial" w:hAnsi="Arial"/>
          <w:sz w:val="17"/>
          <w:szCs w:val="17"/>
          <w:color w:val="231F20"/>
        </w:rPr>
        <w:t>connection with the Initial Private Offering.</w:t>
      </w:r>
    </w:p>
    <w:p>
      <w:pPr>
        <w:spacing w:after="0" w:line="184"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Offering costs related to the Second Private Offering were accumulated and charged to additional paid in capital at the time of closing beginning in 2019. These offering costs related to the Second Private Offering are subject to a cap of $600,000, excluding placement agent fees which have no cap, of which the Company will bear the cost. As of each of June 30, 2022 and December 31, 2021, the Company had accumulated and recorded $651,991 of offering costs related to the Second Private Offering. As of each of June 30, 2022 and December 31, 2021, $186,198 in placement agent fees had been incurred. Under the terms of the Second Private Offering, offering costs in excess of $600,000, excluding placement agent fees, will be reimbursed by RGC.</w:t>
      </w:r>
    </w:p>
    <w:p>
      <w:pPr>
        <w:spacing w:after="0" w:line="18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Offering costs related to the IPO were accumulated and charged to additional paid in capital at the time of closing in October 2021. As of June 30, 2022 and December 31, 2021, we had accumulated and recorded $6,970,599 and $6,970,599, respectively, of offering costs related to the Company’s IPO. The offering costs are fully born by the Company and include underwriting fees, legal fees, and other costs pertaining to the preparation of the Company’s offering materials as well as travel-related expenses.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1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6"/>
          <w:szCs w:val="16"/>
          <w:color w:val="auto"/>
        </w:rPr>
        <w:t>In March 2020, the FASB issued ASU No. 2020-04, “Reference Rate Reform (Topic 848),” which provides optional expedients and exceptions for applying U.S. GAAP to contracts, hedging relationships, and other transactions affected by reference rate reform if certain criteria are met. The amendments apply only to contracts, hedging relationships, and other transactions that reference London Interbank Offered Rate (“LIBOR”) or another reference rate expected to be discontinued because of reference rate reform. In January 2021, the FASB issued ASU No. 2021-01, “Reference Rate Reform (Topic 848),” which expanded the scope of Topic 848 to include derivative instruments impacted by discounting transition. ASU 2020-04 and ASU 2021-01 are effective for all entities through December 31, 2022. ASU No. 2021-01 provides increased clarity as the Company continues to evaluate the transition of reference rates and is currently evaluating the impact of adopting ASU No. 2020-04 and 2021-01 on the financial statements. The Company did not utilize the optional expedients and exceptions provided in this guidance during the three and six months ended June 30, 2022 and 2021.</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and Contingencies</w:t>
      </w:r>
    </w:p>
    <w:p>
      <w:pPr>
        <w:spacing w:after="0" w:line="21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At June 30, 2022, the Company had $274,284,615 in unfunded loan commitments to provide debt financing to its portfolio companies. Unfunded commitments may be subject to portfolio companies achieving certain performance milestones to access unfunded availability. The balance of unfunded commitments to extend financing as of June 30, 2022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220" w:type="dxa"/>
            <w:vAlign w:val="bottom"/>
          </w:tcPr>
          <w:p>
            <w:pPr>
              <w:spacing w:after="0"/>
              <w:rPr>
                <w:sz w:val="16"/>
                <w:szCs w:val="16"/>
                <w:color w:val="auto"/>
              </w:rPr>
            </w:pPr>
          </w:p>
        </w:tc>
        <w:tc>
          <w:tcPr>
            <w:tcW w:w="312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Investment Type</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June 30, 2022</w:t>
            </w:r>
          </w:p>
        </w:tc>
        <w:tc>
          <w:tcPr>
            <w:tcW w:w="100" w:type="dxa"/>
            <w:vAlign w:val="bottom"/>
          </w:tcPr>
          <w:p>
            <w:pPr>
              <w:spacing w:after="0"/>
              <w:rPr>
                <w:sz w:val="16"/>
                <w:szCs w:val="16"/>
                <w:color w:val="auto"/>
              </w:rPr>
            </w:pPr>
          </w:p>
        </w:tc>
      </w:tr>
      <w:tr>
        <w:trPr>
          <w:trHeight w:val="196"/>
        </w:trPr>
        <w:tc>
          <w:tcPr>
            <w:tcW w:w="55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Allurion Technologies, Inc.</w:t>
            </w:r>
          </w:p>
        </w:tc>
        <w:tc>
          <w:tcPr>
            <w:tcW w:w="220" w:type="dxa"/>
            <w:vAlign w:val="bottom"/>
            <w:shd w:val="clear" w:color="auto" w:fill="CFF0FC"/>
          </w:tcPr>
          <w:p>
            <w:pPr>
              <w:spacing w:after="0"/>
              <w:rPr>
                <w:sz w:val="17"/>
                <w:szCs w:val="17"/>
                <w:color w:val="auto"/>
              </w:rPr>
            </w:pPr>
          </w:p>
        </w:tc>
        <w:tc>
          <w:tcPr>
            <w:tcW w:w="3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Senior Secured Term Loan</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7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10,000,000</w:t>
            </w:r>
          </w:p>
        </w:tc>
        <w:tc>
          <w:tcPr>
            <w:tcW w:w="100" w:type="dxa"/>
            <w:vAlign w:val="bottom"/>
            <w:shd w:val="clear" w:color="auto" w:fill="CFF0FC"/>
          </w:tcPr>
          <w:p>
            <w:pPr>
              <w:spacing w:after="0"/>
              <w:rPr>
                <w:sz w:val="17"/>
                <w:szCs w:val="17"/>
                <w:color w:val="auto"/>
              </w:rPr>
            </w:pPr>
          </w:p>
        </w:tc>
      </w:tr>
      <w:tr>
        <w:trPr>
          <w:trHeight w:val="202"/>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Dtex Systems, Inc.</w:t>
            </w:r>
          </w:p>
        </w:tc>
        <w:tc>
          <w:tcPr>
            <w:tcW w:w="220" w:type="dxa"/>
            <w:vAlign w:val="bottom"/>
          </w:tcPr>
          <w:p>
            <w:pPr>
              <w:spacing w:after="0"/>
              <w:rPr>
                <w:sz w:val="17"/>
                <w:szCs w:val="17"/>
                <w:color w:val="auto"/>
              </w:rPr>
            </w:pPr>
          </w:p>
        </w:tc>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EBR Systems, Inc.</w:t>
            </w:r>
          </w:p>
        </w:tc>
        <w:tc>
          <w:tcPr>
            <w:tcW w:w="220" w:type="dxa"/>
            <w:vAlign w:val="bottom"/>
            <w:shd w:val="clear" w:color="auto" w:fill="CFF0FC"/>
          </w:tcPr>
          <w:p>
            <w:pPr>
              <w:spacing w:after="0"/>
              <w:rPr>
                <w:sz w:val="17"/>
                <w:szCs w:val="17"/>
                <w:color w:val="auto"/>
              </w:rPr>
            </w:pPr>
          </w:p>
        </w:tc>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30,000,000</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Gynesonics, Inc.</w:t>
            </w:r>
          </w:p>
        </w:tc>
        <w:tc>
          <w:tcPr>
            <w:tcW w:w="220" w:type="dxa"/>
            <w:vAlign w:val="bottom"/>
          </w:tcPr>
          <w:p>
            <w:pPr>
              <w:spacing w:after="0"/>
              <w:rPr>
                <w:sz w:val="17"/>
                <w:szCs w:val="17"/>
                <w:color w:val="auto"/>
              </w:rPr>
            </w:pPr>
          </w:p>
        </w:tc>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20,000,000</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INRIX, Inc.</w:t>
            </w:r>
          </w:p>
        </w:tc>
        <w:tc>
          <w:tcPr>
            <w:tcW w:w="220" w:type="dxa"/>
            <w:vAlign w:val="bottom"/>
            <w:shd w:val="clear" w:color="auto" w:fill="CFF0FC"/>
          </w:tcPr>
          <w:p>
            <w:pPr>
              <w:spacing w:after="0"/>
              <w:rPr>
                <w:sz w:val="17"/>
                <w:szCs w:val="17"/>
                <w:color w:val="auto"/>
              </w:rPr>
            </w:pPr>
          </w:p>
        </w:tc>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5,000,000</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Intellisite Holdings, Inc. (dba Epic IO Technologies, Inc.)</w:t>
            </w:r>
          </w:p>
        </w:tc>
        <w:tc>
          <w:tcPr>
            <w:tcW w:w="220" w:type="dxa"/>
            <w:vAlign w:val="bottom"/>
          </w:tcPr>
          <w:p>
            <w:pPr>
              <w:spacing w:after="0"/>
              <w:rPr>
                <w:sz w:val="17"/>
                <w:szCs w:val="17"/>
                <w:color w:val="auto"/>
              </w:rPr>
            </w:pPr>
          </w:p>
        </w:tc>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Interactions Corporation</w:t>
            </w:r>
          </w:p>
        </w:tc>
        <w:tc>
          <w:tcPr>
            <w:tcW w:w="220" w:type="dxa"/>
            <w:vAlign w:val="bottom"/>
            <w:shd w:val="clear" w:color="auto" w:fill="CFF0FC"/>
          </w:tcPr>
          <w:p>
            <w:pPr>
              <w:spacing w:after="0"/>
              <w:rPr>
                <w:sz w:val="17"/>
                <w:szCs w:val="17"/>
                <w:color w:val="auto"/>
              </w:rPr>
            </w:pPr>
          </w:p>
        </w:tc>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10,000,000</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Moximed, Inc.</w:t>
            </w:r>
          </w:p>
        </w:tc>
        <w:tc>
          <w:tcPr>
            <w:tcW w:w="220" w:type="dxa"/>
            <w:vAlign w:val="bottom"/>
          </w:tcPr>
          <w:p>
            <w:pPr>
              <w:spacing w:after="0"/>
              <w:rPr>
                <w:sz w:val="17"/>
                <w:szCs w:val="17"/>
                <w:color w:val="auto"/>
              </w:rPr>
            </w:pPr>
          </w:p>
        </w:tc>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Mustang Bio, Inc.</w:t>
            </w:r>
          </w:p>
        </w:tc>
        <w:tc>
          <w:tcPr>
            <w:tcW w:w="220" w:type="dxa"/>
            <w:vAlign w:val="bottom"/>
            <w:shd w:val="clear" w:color="auto" w:fill="CFF0FC"/>
          </w:tcPr>
          <w:p>
            <w:pPr>
              <w:spacing w:after="0"/>
              <w:rPr>
                <w:sz w:val="17"/>
                <w:szCs w:val="17"/>
                <w:color w:val="auto"/>
              </w:rPr>
            </w:pPr>
          </w:p>
        </w:tc>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45,000,000</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Revelle Aesthetics, Inc.</w:t>
            </w:r>
          </w:p>
        </w:tc>
        <w:tc>
          <w:tcPr>
            <w:tcW w:w="220" w:type="dxa"/>
            <w:vAlign w:val="bottom"/>
          </w:tcPr>
          <w:p>
            <w:pPr>
              <w:spacing w:after="0"/>
              <w:rPr>
                <w:sz w:val="17"/>
                <w:szCs w:val="17"/>
                <w:color w:val="auto"/>
              </w:rPr>
            </w:pPr>
          </w:p>
        </w:tc>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12,500,000</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Route 92 Medical, Inc.</w:t>
            </w:r>
          </w:p>
        </w:tc>
        <w:tc>
          <w:tcPr>
            <w:tcW w:w="220" w:type="dxa"/>
            <w:vAlign w:val="bottom"/>
            <w:shd w:val="clear" w:color="auto" w:fill="CFF0FC"/>
          </w:tcPr>
          <w:p>
            <w:pPr>
              <w:spacing w:after="0"/>
              <w:rPr>
                <w:sz w:val="17"/>
                <w:szCs w:val="17"/>
                <w:color w:val="auto"/>
              </w:rPr>
            </w:pPr>
          </w:p>
        </w:tc>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42,000,000</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SetPoint Medical Corporation</w:t>
            </w:r>
          </w:p>
        </w:tc>
        <w:tc>
          <w:tcPr>
            <w:tcW w:w="220" w:type="dxa"/>
            <w:vAlign w:val="bottom"/>
          </w:tcPr>
          <w:p>
            <w:pPr>
              <w:spacing w:after="0"/>
              <w:rPr>
                <w:sz w:val="17"/>
                <w:szCs w:val="17"/>
                <w:color w:val="auto"/>
              </w:rPr>
            </w:pPr>
          </w:p>
        </w:tc>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ShareThis, Inc.</w:t>
            </w:r>
          </w:p>
        </w:tc>
        <w:tc>
          <w:tcPr>
            <w:tcW w:w="220" w:type="dxa"/>
            <w:vAlign w:val="bottom"/>
            <w:shd w:val="clear" w:color="auto" w:fill="CFF0FC"/>
          </w:tcPr>
          <w:p>
            <w:pPr>
              <w:spacing w:after="0"/>
              <w:rPr>
                <w:sz w:val="17"/>
                <w:szCs w:val="17"/>
                <w:color w:val="auto"/>
              </w:rPr>
            </w:pPr>
          </w:p>
        </w:tc>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3,000,000</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Snagajob.com, Inc.</w:t>
            </w:r>
          </w:p>
        </w:tc>
        <w:tc>
          <w:tcPr>
            <w:tcW w:w="220" w:type="dxa"/>
            <w:vAlign w:val="bottom"/>
          </w:tcPr>
          <w:p>
            <w:pPr>
              <w:spacing w:after="0"/>
              <w:rPr>
                <w:sz w:val="17"/>
                <w:szCs w:val="17"/>
                <w:color w:val="auto"/>
              </w:rPr>
            </w:pPr>
          </w:p>
        </w:tc>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18"/>
                <w:szCs w:val="18"/>
                <w:color w:val="auto"/>
              </w:rPr>
              <w:t>6,784,615</w:t>
            </w:r>
          </w:p>
        </w:tc>
        <w:tc>
          <w:tcPr>
            <w:tcW w:w="100" w:type="dxa"/>
            <w:vAlign w:val="bottom"/>
          </w:tcPr>
          <w:p>
            <w:pPr>
              <w:spacing w:after="0"/>
              <w:rPr>
                <w:sz w:val="17"/>
                <w:szCs w:val="17"/>
                <w:color w:val="auto"/>
              </w:rPr>
            </w:pPr>
          </w:p>
        </w:tc>
      </w:tr>
      <w:tr>
        <w:trPr>
          <w:trHeight w:val="203"/>
        </w:trPr>
        <w:tc>
          <w:tcPr>
            <w:tcW w:w="55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Synack, Inc.</w:t>
            </w:r>
          </w:p>
        </w:tc>
        <w:tc>
          <w:tcPr>
            <w:tcW w:w="220" w:type="dxa"/>
            <w:vAlign w:val="bottom"/>
            <w:shd w:val="clear" w:color="auto" w:fill="CFF0FC"/>
          </w:tcPr>
          <w:p>
            <w:pPr>
              <w:spacing w:after="0"/>
              <w:rPr>
                <w:sz w:val="17"/>
                <w:szCs w:val="17"/>
                <w:color w:val="auto"/>
              </w:rPr>
            </w:pPr>
          </w:p>
        </w:tc>
        <w:tc>
          <w:tcPr>
            <w:tcW w:w="3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25,000,000</w:t>
            </w:r>
          </w:p>
        </w:tc>
        <w:tc>
          <w:tcPr>
            <w:tcW w:w="100" w:type="dxa"/>
            <w:vAlign w:val="bottom"/>
            <w:shd w:val="clear" w:color="auto" w:fill="CFF0FC"/>
          </w:tcPr>
          <w:p>
            <w:pPr>
              <w:spacing w:after="0"/>
              <w:rPr>
                <w:sz w:val="17"/>
                <w:szCs w:val="17"/>
                <w:color w:val="auto"/>
              </w:rPr>
            </w:pPr>
          </w:p>
        </w:tc>
      </w:tr>
      <w:tr>
        <w:trPr>
          <w:trHeight w:val="203"/>
        </w:trPr>
        <w:tc>
          <w:tcPr>
            <w:tcW w:w="5540" w:type="dxa"/>
            <w:vAlign w:val="bottom"/>
          </w:tcPr>
          <w:p>
            <w:pPr>
              <w:ind w:left="20"/>
              <w:spacing w:after="0" w:line="202" w:lineRule="exact"/>
              <w:rPr>
                <w:sz w:val="20"/>
                <w:szCs w:val="20"/>
                <w:color w:val="auto"/>
              </w:rPr>
            </w:pPr>
            <w:r>
              <w:rPr>
                <w:rFonts w:ascii="Arial" w:cs="Arial" w:eastAsia="Arial" w:hAnsi="Arial"/>
                <w:sz w:val="18"/>
                <w:szCs w:val="18"/>
                <w:color w:val="auto"/>
              </w:rPr>
              <w:t>VERO Biotech LLC</w:t>
            </w:r>
          </w:p>
        </w:tc>
        <w:tc>
          <w:tcPr>
            <w:tcW w:w="220" w:type="dxa"/>
            <w:vAlign w:val="bottom"/>
          </w:tcPr>
          <w:p>
            <w:pPr>
              <w:spacing w:after="0"/>
              <w:rPr>
                <w:sz w:val="17"/>
                <w:szCs w:val="17"/>
                <w:color w:val="auto"/>
              </w:rPr>
            </w:pPr>
          </w:p>
        </w:tc>
        <w:tc>
          <w:tcPr>
            <w:tcW w:w="3120" w:type="dxa"/>
            <w:vAlign w:val="bottom"/>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7"/>
                <w:szCs w:val="17"/>
                <w:color w:val="auto"/>
              </w:rPr>
            </w:pPr>
          </w:p>
        </w:tc>
      </w:tr>
      <w:tr>
        <w:trPr>
          <w:trHeight w:val="236"/>
        </w:trPr>
        <w:tc>
          <w:tcPr>
            <w:tcW w:w="554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unused commitments to extend financing</w:t>
            </w:r>
          </w:p>
        </w:tc>
        <w:tc>
          <w:tcPr>
            <w:tcW w:w="220" w:type="dxa"/>
            <w:vAlign w:val="bottom"/>
            <w:tcBorders>
              <w:bottom w:val="single" w:sz="8" w:color="CFF0FC"/>
            </w:tcBorders>
            <w:shd w:val="clear" w:color="auto" w:fill="CFF0FC"/>
          </w:tcPr>
          <w:p>
            <w:pPr>
              <w:spacing w:after="0"/>
              <w:rPr>
                <w:sz w:val="20"/>
                <w:szCs w:val="20"/>
                <w:color w:val="auto"/>
              </w:rPr>
            </w:pPr>
          </w:p>
        </w:tc>
        <w:tc>
          <w:tcPr>
            <w:tcW w:w="31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274,284,615</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At December 31, 2021, the Company had $186,984,615 in unfunded loan commitments to provide debt financing to its portfolio companies. Unfunded commitments may be subject to portfolio companies achieving certain performance milestones to access unfunded availability. The balance of unfunded commitments to extend financing as of December 31, 2021 was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Portfolio Company</w:t>
            </w:r>
          </w:p>
        </w:tc>
        <w:tc>
          <w:tcPr>
            <w:tcW w:w="200" w:type="dxa"/>
            <w:vAlign w:val="bottom"/>
          </w:tcPr>
          <w:p>
            <w:pPr>
              <w:spacing w:after="0"/>
              <w:rPr>
                <w:sz w:val="16"/>
                <w:szCs w:val="16"/>
                <w:color w:val="auto"/>
              </w:rPr>
            </w:pPr>
          </w:p>
        </w:tc>
        <w:tc>
          <w:tcPr>
            <w:tcW w:w="320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Investment Type</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99"/>
              </w:rPr>
              <w:t>December 31, 2021</w:t>
            </w:r>
          </w:p>
        </w:tc>
        <w:tc>
          <w:tcPr>
            <w:tcW w:w="100" w:type="dxa"/>
            <w:vAlign w:val="bottom"/>
          </w:tcPr>
          <w:p>
            <w:pPr>
              <w:spacing w:after="0"/>
              <w:rPr>
                <w:sz w:val="16"/>
                <w:szCs w:val="16"/>
                <w:color w:val="auto"/>
              </w:rPr>
            </w:pPr>
          </w:p>
        </w:tc>
      </w:tr>
      <w:tr>
        <w:trPr>
          <w:trHeight w:val="196"/>
        </w:trPr>
        <w:tc>
          <w:tcPr>
            <w:tcW w:w="56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Allurion Technologies, Inc.</w:t>
            </w:r>
          </w:p>
        </w:tc>
        <w:tc>
          <w:tcPr>
            <w:tcW w:w="200" w:type="dxa"/>
            <w:vAlign w:val="bottom"/>
            <w:shd w:val="clear" w:color="auto" w:fill="CFF0FC"/>
          </w:tcPr>
          <w:p>
            <w:pPr>
              <w:spacing w:after="0"/>
              <w:rPr>
                <w:sz w:val="17"/>
                <w:szCs w:val="17"/>
                <w:color w:val="auto"/>
              </w:rPr>
            </w:pPr>
          </w:p>
        </w:tc>
        <w:tc>
          <w:tcPr>
            <w:tcW w:w="3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Senior Secured Term Loan</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6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15,000,000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CloudPay, Inc.</w:t>
            </w:r>
          </w:p>
        </w:tc>
        <w:tc>
          <w:tcPr>
            <w:tcW w:w="200" w:type="dxa"/>
            <w:vAlign w:val="bottom"/>
          </w:tcPr>
          <w:p>
            <w:pPr>
              <w:spacing w:after="0"/>
              <w:rPr>
                <w:sz w:val="17"/>
                <w:szCs w:val="17"/>
                <w:color w:val="auto"/>
              </w:rPr>
            </w:pPr>
          </w:p>
        </w:tc>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CrossRoads Extremity Systems, LLC</w:t>
            </w:r>
          </w:p>
        </w:tc>
        <w:tc>
          <w:tcPr>
            <w:tcW w:w="200" w:type="dxa"/>
            <w:vAlign w:val="bottom"/>
            <w:shd w:val="clear" w:color="auto" w:fill="CFF0FC"/>
          </w:tcPr>
          <w:p>
            <w:pPr>
              <w:spacing w:after="0"/>
              <w:rPr>
                <w:sz w:val="17"/>
                <w:szCs w:val="17"/>
                <w:color w:val="auto"/>
              </w:rPr>
            </w:pPr>
          </w:p>
        </w:tc>
        <w:tc>
          <w:tcPr>
            <w:tcW w:w="3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7,500,000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Dtex Systems, Inc.</w:t>
            </w:r>
          </w:p>
        </w:tc>
        <w:tc>
          <w:tcPr>
            <w:tcW w:w="200" w:type="dxa"/>
            <w:vAlign w:val="bottom"/>
          </w:tcPr>
          <w:p>
            <w:pPr>
              <w:spacing w:after="0"/>
              <w:rPr>
                <w:sz w:val="17"/>
                <w:szCs w:val="17"/>
                <w:color w:val="auto"/>
              </w:rPr>
            </w:pPr>
          </w:p>
        </w:tc>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15,000,000</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Gynesonics, Inc.</w:t>
            </w:r>
          </w:p>
        </w:tc>
        <w:tc>
          <w:tcPr>
            <w:tcW w:w="200" w:type="dxa"/>
            <w:vAlign w:val="bottom"/>
            <w:shd w:val="clear" w:color="auto" w:fill="CFF0FC"/>
          </w:tcPr>
          <w:p>
            <w:pPr>
              <w:spacing w:after="0"/>
              <w:rPr>
                <w:sz w:val="17"/>
                <w:szCs w:val="17"/>
                <w:color w:val="auto"/>
              </w:rPr>
            </w:pPr>
          </w:p>
        </w:tc>
        <w:tc>
          <w:tcPr>
            <w:tcW w:w="3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20,000,000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INRIX, Inc.</w:t>
            </w:r>
          </w:p>
        </w:tc>
        <w:tc>
          <w:tcPr>
            <w:tcW w:w="200" w:type="dxa"/>
            <w:vAlign w:val="bottom"/>
          </w:tcPr>
          <w:p>
            <w:pPr>
              <w:spacing w:after="0"/>
              <w:rPr>
                <w:sz w:val="17"/>
                <w:szCs w:val="17"/>
                <w:color w:val="auto"/>
              </w:rPr>
            </w:pPr>
          </w:p>
        </w:tc>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Intellisite Holdings, Inc. (dba Epic IO Technologies, Inc.)</w:t>
            </w:r>
          </w:p>
        </w:tc>
        <w:tc>
          <w:tcPr>
            <w:tcW w:w="200" w:type="dxa"/>
            <w:vAlign w:val="bottom"/>
            <w:shd w:val="clear" w:color="auto" w:fill="CFF0FC"/>
          </w:tcPr>
          <w:p>
            <w:pPr>
              <w:spacing w:after="0"/>
              <w:rPr>
                <w:sz w:val="17"/>
                <w:szCs w:val="17"/>
                <w:color w:val="auto"/>
              </w:rPr>
            </w:pPr>
          </w:p>
        </w:tc>
        <w:tc>
          <w:tcPr>
            <w:tcW w:w="3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11,000,000</w:t>
            </w:r>
          </w:p>
        </w:tc>
        <w:tc>
          <w:tcPr>
            <w:tcW w:w="100" w:type="dxa"/>
            <w:vAlign w:val="bottom"/>
            <w:shd w:val="clear" w:color="auto" w:fill="CFF0FC"/>
          </w:tcPr>
          <w:p>
            <w:pPr>
              <w:spacing w:after="0"/>
              <w:rPr>
                <w:sz w:val="17"/>
                <w:szCs w:val="17"/>
                <w:color w:val="auto"/>
              </w:rPr>
            </w:pPr>
          </w:p>
        </w:tc>
      </w:tr>
      <w:tr>
        <w:trPr>
          <w:trHeight w:val="202"/>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Marley Spoon AG</w:t>
            </w:r>
          </w:p>
        </w:tc>
        <w:tc>
          <w:tcPr>
            <w:tcW w:w="200" w:type="dxa"/>
            <w:vAlign w:val="bottom"/>
          </w:tcPr>
          <w:p>
            <w:pPr>
              <w:spacing w:after="0"/>
              <w:rPr>
                <w:sz w:val="17"/>
                <w:szCs w:val="17"/>
                <w:color w:val="auto"/>
              </w:rPr>
            </w:pPr>
          </w:p>
        </w:tc>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11,700,000</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Route 92 Medical, Inc.</w:t>
            </w:r>
          </w:p>
        </w:tc>
        <w:tc>
          <w:tcPr>
            <w:tcW w:w="200" w:type="dxa"/>
            <w:vAlign w:val="bottom"/>
            <w:shd w:val="clear" w:color="auto" w:fill="CFF0FC"/>
          </w:tcPr>
          <w:p>
            <w:pPr>
              <w:spacing w:after="0"/>
              <w:rPr>
                <w:sz w:val="17"/>
                <w:szCs w:val="17"/>
                <w:color w:val="auto"/>
              </w:rPr>
            </w:pPr>
          </w:p>
        </w:tc>
        <w:tc>
          <w:tcPr>
            <w:tcW w:w="3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42,000,000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SetPoint Medical Corporation</w:t>
            </w:r>
          </w:p>
        </w:tc>
        <w:tc>
          <w:tcPr>
            <w:tcW w:w="200" w:type="dxa"/>
            <w:vAlign w:val="bottom"/>
          </w:tcPr>
          <w:p>
            <w:pPr>
              <w:spacing w:after="0"/>
              <w:rPr>
                <w:sz w:val="17"/>
                <w:szCs w:val="17"/>
                <w:color w:val="auto"/>
              </w:rPr>
            </w:pPr>
          </w:p>
        </w:tc>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7"/>
                <w:szCs w:val="17"/>
                <w:color w:val="auto"/>
              </w:rPr>
            </w:pPr>
          </w:p>
        </w:tc>
      </w:tr>
      <w:tr>
        <w:trPr>
          <w:trHeight w:val="203"/>
        </w:trPr>
        <w:tc>
          <w:tcPr>
            <w:tcW w:w="56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ShareThis, Inc.</w:t>
            </w:r>
          </w:p>
        </w:tc>
        <w:tc>
          <w:tcPr>
            <w:tcW w:w="200" w:type="dxa"/>
            <w:vAlign w:val="bottom"/>
            <w:shd w:val="clear" w:color="auto" w:fill="CFF0FC"/>
          </w:tcPr>
          <w:p>
            <w:pPr>
              <w:spacing w:after="0"/>
              <w:rPr>
                <w:sz w:val="17"/>
                <w:szCs w:val="17"/>
                <w:color w:val="auto"/>
              </w:rPr>
            </w:pPr>
          </w:p>
        </w:tc>
        <w:tc>
          <w:tcPr>
            <w:tcW w:w="32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3,000,000</w:t>
            </w:r>
          </w:p>
        </w:tc>
        <w:tc>
          <w:tcPr>
            <w:tcW w:w="100" w:type="dxa"/>
            <w:vAlign w:val="bottom"/>
            <w:shd w:val="clear" w:color="auto" w:fill="CFF0FC"/>
          </w:tcPr>
          <w:p>
            <w:pPr>
              <w:spacing w:after="0"/>
              <w:rPr>
                <w:sz w:val="17"/>
                <w:szCs w:val="17"/>
                <w:color w:val="auto"/>
              </w:rPr>
            </w:pPr>
          </w:p>
        </w:tc>
      </w:tr>
      <w:tr>
        <w:trPr>
          <w:trHeight w:val="203"/>
        </w:trPr>
        <w:tc>
          <w:tcPr>
            <w:tcW w:w="5660" w:type="dxa"/>
            <w:vAlign w:val="bottom"/>
          </w:tcPr>
          <w:p>
            <w:pPr>
              <w:ind w:left="20"/>
              <w:spacing w:after="0" w:line="202" w:lineRule="exact"/>
              <w:rPr>
                <w:sz w:val="20"/>
                <w:szCs w:val="20"/>
                <w:color w:val="auto"/>
              </w:rPr>
            </w:pPr>
            <w:r>
              <w:rPr>
                <w:rFonts w:ascii="Arial" w:cs="Arial" w:eastAsia="Arial" w:hAnsi="Arial"/>
                <w:sz w:val="18"/>
                <w:szCs w:val="18"/>
                <w:color w:val="auto"/>
              </w:rPr>
              <w:t>Snagajob.com, Inc.</w:t>
            </w:r>
          </w:p>
        </w:tc>
        <w:tc>
          <w:tcPr>
            <w:tcW w:w="200" w:type="dxa"/>
            <w:vAlign w:val="bottom"/>
          </w:tcPr>
          <w:p>
            <w:pPr>
              <w:spacing w:after="0"/>
              <w:rPr>
                <w:sz w:val="17"/>
                <w:szCs w:val="17"/>
                <w:color w:val="auto"/>
              </w:rPr>
            </w:pPr>
          </w:p>
        </w:tc>
        <w:tc>
          <w:tcPr>
            <w:tcW w:w="3200" w:type="dxa"/>
            <w:vAlign w:val="bottom"/>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jc w:val="right"/>
              <w:spacing w:after="0" w:line="202" w:lineRule="exact"/>
              <w:rPr>
                <w:sz w:val="20"/>
                <w:szCs w:val="20"/>
                <w:color w:val="auto"/>
              </w:rPr>
            </w:pPr>
            <w:r>
              <w:rPr>
                <w:rFonts w:ascii="Arial" w:cs="Arial" w:eastAsia="Arial" w:hAnsi="Arial"/>
                <w:sz w:val="18"/>
                <w:szCs w:val="18"/>
                <w:color w:val="auto"/>
              </w:rPr>
              <w:t>6,784,615</w:t>
            </w:r>
          </w:p>
        </w:tc>
        <w:tc>
          <w:tcPr>
            <w:tcW w:w="100" w:type="dxa"/>
            <w:vAlign w:val="bottom"/>
          </w:tcPr>
          <w:p>
            <w:pPr>
              <w:spacing w:after="0"/>
              <w:rPr>
                <w:sz w:val="17"/>
                <w:szCs w:val="17"/>
                <w:color w:val="auto"/>
              </w:rPr>
            </w:pPr>
          </w:p>
        </w:tc>
      </w:tr>
      <w:tr>
        <w:trPr>
          <w:trHeight w:val="203"/>
        </w:trPr>
        <w:tc>
          <w:tcPr>
            <w:tcW w:w="566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VERO Biotech LLC</w:t>
            </w:r>
          </w:p>
        </w:tc>
        <w:tc>
          <w:tcPr>
            <w:tcW w:w="200" w:type="dxa"/>
            <w:vAlign w:val="bottom"/>
            <w:tcBorders>
              <w:bottom w:val="single" w:sz="8" w:color="CFF0FC"/>
            </w:tcBorders>
            <w:shd w:val="clear" w:color="auto" w:fill="CFF0FC"/>
          </w:tcPr>
          <w:p>
            <w:pPr>
              <w:spacing w:after="0"/>
              <w:rPr>
                <w:sz w:val="17"/>
                <w:szCs w:val="17"/>
                <w:color w:val="auto"/>
              </w:rPr>
            </w:pPr>
          </w:p>
        </w:tc>
        <w:tc>
          <w:tcPr>
            <w:tcW w:w="32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Senior Secured Term Loan</w:t>
            </w:r>
          </w:p>
        </w:tc>
        <w:tc>
          <w:tcPr>
            <w:tcW w:w="20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10,000,000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6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Total unused commitments to extend financing</w:t>
            </w:r>
          </w:p>
        </w:tc>
        <w:tc>
          <w:tcPr>
            <w:tcW w:w="2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44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182" w:lineRule="exact"/>
              <w:rPr>
                <w:sz w:val="20"/>
                <w:szCs w:val="20"/>
                <w:color w:val="auto"/>
              </w:rPr>
            </w:pPr>
            <w:r>
              <w:rPr>
                <w:rFonts w:ascii="Arial" w:cs="Arial" w:eastAsia="Arial" w:hAnsi="Arial"/>
                <w:sz w:val="18"/>
                <w:szCs w:val="18"/>
                <w:color w:val="auto"/>
              </w:rPr>
              <w:t>186,984,615</w:t>
            </w:r>
          </w:p>
        </w:tc>
        <w:tc>
          <w:tcPr>
            <w:tcW w:w="100" w:type="dxa"/>
            <w:vAlign w:val="bottom"/>
          </w:tcPr>
          <w:p>
            <w:pPr>
              <w:spacing w:after="0"/>
              <w:rPr>
                <w:sz w:val="17"/>
                <w:szCs w:val="17"/>
                <w:color w:val="auto"/>
              </w:rPr>
            </w:pPr>
          </w:p>
        </w:tc>
      </w:tr>
      <w:tr>
        <w:trPr>
          <w:trHeight w:val="20"/>
        </w:trPr>
        <w:tc>
          <w:tcPr>
            <w:tcW w:w="5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Company’s management believes that its available cash balances, availability under the Credit Agreement provides sufficient funds to cover its unfunded commitments as of June 30, 2022. The Company has evaluated the expected net future cash flows related to unfunded commitments and determined the fair value to be zero as of June 30, 2022 and December 31, 2021.</w:t>
      </w:r>
    </w:p>
    <w:p>
      <w:pPr>
        <w:spacing w:after="0" w:line="182"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any such legal proceedings cannot be predicted with certainty, the Company does not expect that any such proceedings will have a material effect upon its business, financial condition or results of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 and Contingencies</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On February 24, 2022, the Board of Directors approved a repurchase program (the “Repurchase Program”) under which the Company may repurchase up to $25 million of its outstanding common stock. Under the Repurchase Program, purchases may be made at management’s discretion from time to time in open-market transactions, in accordance with all applicable securities laws and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91" w:lineRule="auto"/>
        <w:rPr>
          <w:sz w:val="20"/>
          <w:szCs w:val="20"/>
          <w:color w:val="auto"/>
        </w:rPr>
      </w:pPr>
      <w:r>
        <w:rPr>
          <w:rFonts w:ascii="Arial" w:cs="Arial" w:eastAsia="Arial" w:hAnsi="Arial"/>
          <w:sz w:val="17"/>
          <w:szCs w:val="17"/>
          <w:color w:val="auto"/>
        </w:rPr>
        <w:t>regulations. Unless extended by the Board of Directors, the repurchase program will terminate 12 months from the date it was approved. As of June 30, 2022, 413,492 shares of our common stock were repurchased under the Repurchase Program for an aggregate repurchase price of $5,279,237.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Concentration of Credit Risk</w:t>
      </w:r>
    </w:p>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The Company’s management monitors the financial condition of those financial institutions and does not currently anticipate any losses from these counterparties.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Increase in Net Assets Resulting from Operations per Common Share</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information sets forth the computation of basic income per common share for the three and six months ended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w w:val="99"/>
              </w:rPr>
              <w:t>Three Months Ended June 30,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 June 30,</w:t>
            </w:r>
          </w:p>
        </w:tc>
        <w:tc>
          <w:tcPr>
            <w:tcW w:w="100" w:type="dxa"/>
            <w:vAlign w:val="bottom"/>
          </w:tcPr>
          <w:p>
            <w:pPr>
              <w:spacing w:after="0"/>
              <w:rPr>
                <w:sz w:val="15"/>
                <w:szCs w:val="15"/>
                <w:color w:val="auto"/>
              </w:rPr>
            </w:pPr>
          </w:p>
        </w:tc>
      </w:tr>
      <w:tr>
        <w:trPr>
          <w:trHeight w:val="185"/>
        </w:trPr>
        <w:tc>
          <w:tcPr>
            <w:tcW w:w="5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r>
      <w:tr>
        <w:trPr>
          <w:trHeight w:val="169"/>
        </w:trPr>
        <w:tc>
          <w:tcPr>
            <w:tcW w:w="5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increase (decrease) in net assets resulting from operations</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(817,334</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6,711,343</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2,035,757</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16,082,671</w:t>
            </w:r>
          </w:p>
        </w:tc>
        <w:tc>
          <w:tcPr>
            <w:tcW w:w="100" w:type="dxa"/>
            <w:vAlign w:val="bottom"/>
            <w:shd w:val="clear" w:color="auto" w:fill="CFF0FC"/>
          </w:tcPr>
          <w:p>
            <w:pPr>
              <w:spacing w:after="0"/>
              <w:rPr>
                <w:sz w:val="14"/>
                <w:szCs w:val="14"/>
                <w:color w:val="auto"/>
              </w:rPr>
            </w:pPr>
          </w:p>
        </w:tc>
      </w:tr>
      <w:tr>
        <w:trPr>
          <w:trHeight w:val="175"/>
        </w:trPr>
        <w:tc>
          <w:tcPr>
            <w:tcW w:w="5820" w:type="dxa"/>
            <w:vAlign w:val="bottom"/>
          </w:tcPr>
          <w:p>
            <w:pPr>
              <w:ind w:left="20"/>
              <w:spacing w:after="0"/>
              <w:rPr>
                <w:sz w:val="20"/>
                <w:szCs w:val="20"/>
                <w:color w:val="auto"/>
              </w:rPr>
            </w:pPr>
            <w:r>
              <w:rPr>
                <w:rFonts w:ascii="Arial" w:cs="Arial" w:eastAsia="Arial" w:hAnsi="Arial"/>
                <w:sz w:val="14"/>
                <w:szCs w:val="14"/>
                <w:color w:val="auto"/>
              </w:rPr>
              <w:t>Weighted-average shares outstanding for the period</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41,215,664</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32,396,396</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41,294,985</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31,953,287</w:t>
            </w: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0"/>
              <w:spacing w:after="0"/>
              <w:rPr>
                <w:sz w:val="20"/>
                <w:szCs w:val="20"/>
                <w:color w:val="auto"/>
              </w:rPr>
            </w:pPr>
            <w:r>
              <w:rPr>
                <w:rFonts w:ascii="Arial" w:cs="Arial" w:eastAsia="Arial" w:hAnsi="Arial"/>
                <w:sz w:val="14"/>
                <w:szCs w:val="14"/>
                <w:color w:val="auto"/>
              </w:rPr>
              <w:t>Diluted</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41,215,664</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32,396,396</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41,294,985</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31,953,287</w:t>
            </w:r>
          </w:p>
        </w:tc>
        <w:tc>
          <w:tcPr>
            <w:tcW w:w="100" w:type="dxa"/>
            <w:vAlign w:val="bottom"/>
          </w:tcPr>
          <w:p>
            <w:pPr>
              <w:spacing w:after="0"/>
              <w:rPr>
                <w:sz w:val="15"/>
                <w:szCs w:val="15"/>
                <w:color w:val="auto"/>
              </w:rPr>
            </w:pPr>
          </w:p>
        </w:tc>
      </w:tr>
      <w:tr>
        <w:trPr>
          <w:trHeight w:val="176"/>
        </w:trPr>
        <w:tc>
          <w:tcPr>
            <w:tcW w:w="582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b w:val="1"/>
                <w:bCs w:val="1"/>
                <w:color w:val="auto"/>
              </w:rPr>
              <w:t>Per Share Data</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w:t>
            </w:r>
          </w:p>
        </w:tc>
        <w:tc>
          <w:tcPr>
            <w:tcW w:w="2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5820" w:type="dxa"/>
            <w:vAlign w:val="bottom"/>
          </w:tcPr>
          <w:p>
            <w:pPr>
              <w:ind w:left="20"/>
              <w:spacing w:after="0"/>
              <w:rPr>
                <w:sz w:val="20"/>
                <w:szCs w:val="20"/>
                <w:color w:val="auto"/>
              </w:rPr>
            </w:pPr>
            <w:r>
              <w:rPr>
                <w:rFonts w:ascii="Arial" w:cs="Arial" w:eastAsia="Arial" w:hAnsi="Arial"/>
                <w:sz w:val="14"/>
                <w:szCs w:val="14"/>
                <w:color w:val="auto"/>
              </w:rPr>
              <w:t>Basic and diluted income (loss) per common share</w:t>
            </w: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5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Basic</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(0.02 )</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0.21</w:t>
            </w:r>
          </w:p>
        </w:tc>
        <w:tc>
          <w:tcPr>
            <w:tcW w:w="5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0.05</w:t>
            </w:r>
          </w:p>
        </w:tc>
        <w:tc>
          <w:tcPr>
            <w:tcW w:w="50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0.50</w:t>
            </w:r>
          </w:p>
        </w:tc>
        <w:tc>
          <w:tcPr>
            <w:tcW w:w="100" w:type="dxa"/>
            <w:vAlign w:val="bottom"/>
            <w:shd w:val="clear" w:color="auto" w:fill="CFF0FC"/>
          </w:tcPr>
          <w:p>
            <w:pPr>
              <w:spacing w:after="0"/>
              <w:rPr>
                <w:sz w:val="15"/>
                <w:szCs w:val="15"/>
                <w:color w:val="auto"/>
              </w:rPr>
            </w:pPr>
          </w:p>
        </w:tc>
      </w:tr>
      <w:tr>
        <w:trPr>
          <w:trHeight w:val="182"/>
        </w:trPr>
        <w:tc>
          <w:tcPr>
            <w:tcW w:w="5820" w:type="dxa"/>
            <w:vAlign w:val="bottom"/>
          </w:tcPr>
          <w:p>
            <w:pPr>
              <w:ind w:left="200"/>
              <w:spacing w:after="0"/>
              <w:rPr>
                <w:sz w:val="20"/>
                <w:szCs w:val="20"/>
                <w:color w:val="auto"/>
              </w:rPr>
            </w:pPr>
            <w:r>
              <w:rPr>
                <w:rFonts w:ascii="Arial" w:cs="Arial" w:eastAsia="Arial" w:hAnsi="Arial"/>
                <w:sz w:val="14"/>
                <w:szCs w:val="14"/>
                <w:color w:val="auto"/>
              </w:rPr>
              <w:t>Diluted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8"/>
              <w:spacing w:after="0"/>
              <w:rPr>
                <w:sz w:val="20"/>
                <w:szCs w:val="20"/>
                <w:color w:val="auto"/>
              </w:rPr>
            </w:pPr>
            <w:r>
              <w:rPr>
                <w:rFonts w:ascii="Arial" w:cs="Arial" w:eastAsia="Arial" w:hAnsi="Arial"/>
                <w:sz w:val="14"/>
                <w:szCs w:val="14"/>
                <w:color w:val="auto"/>
              </w:rPr>
              <w:t>(0.02 )</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0.21</w:t>
            </w:r>
          </w:p>
        </w:tc>
        <w:tc>
          <w:tcPr>
            <w:tcW w:w="5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0.05</w:t>
            </w:r>
          </w:p>
        </w:tc>
        <w:tc>
          <w:tcPr>
            <w:tcW w:w="5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0.50</w:t>
            </w:r>
          </w:p>
        </w:tc>
        <w:tc>
          <w:tcPr>
            <w:tcW w:w="10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1" w:lineRule="exact"/>
        <w:rPr>
          <w:sz w:val="20"/>
          <w:szCs w:val="20"/>
          <w:color w:val="auto"/>
        </w:rPr>
      </w:pPr>
    </w:p>
    <w:p>
      <w:pPr>
        <w:ind w:left="760" w:hanging="374"/>
        <w:spacing w:after="0"/>
        <w:tabs>
          <w:tab w:leader="none" w:pos="760" w:val="left"/>
        </w:tabs>
        <w:numPr>
          <w:ilvl w:val="0"/>
          <w:numId w:val="16"/>
        </w:numPr>
        <w:rPr>
          <w:rFonts w:ascii="Arial" w:cs="Arial" w:eastAsia="Arial" w:hAnsi="Arial"/>
          <w:sz w:val="24"/>
          <w:szCs w:val="24"/>
          <w:color w:val="auto"/>
          <w:vertAlign w:val="superscript"/>
        </w:rPr>
      </w:pPr>
      <w:r>
        <w:rPr>
          <w:rFonts w:ascii="Arial" w:cs="Arial" w:eastAsia="Arial" w:hAnsi="Arial"/>
          <w:sz w:val="14"/>
          <w:szCs w:val="14"/>
          <w:color w:val="auto"/>
        </w:rPr>
        <w:t>Per share data is based on average weighted shares outstanding.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Net Assets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has the authority to issue 100,000,000 shares of common stock, $0.01 par value per share.</w:t>
      </w:r>
    </w:p>
    <w:p>
      <w:pPr>
        <w:spacing w:after="0" w:line="212" w:lineRule="exact"/>
        <w:rPr>
          <w:sz w:val="20"/>
          <w:szCs w:val="20"/>
          <w:color w:val="auto"/>
        </w:rPr>
      </w:pPr>
    </w:p>
    <w:p>
      <w:pPr>
        <w:jc w:val="both"/>
        <w:ind w:right="20" w:firstLine="749"/>
        <w:spacing w:after="0" w:line="248" w:lineRule="auto"/>
        <w:rPr>
          <w:sz w:val="20"/>
          <w:szCs w:val="20"/>
          <w:color w:val="auto"/>
        </w:rPr>
      </w:pPr>
      <w:r>
        <w:rPr>
          <w:rFonts w:ascii="Arial" w:cs="Arial" w:eastAsia="Arial" w:hAnsi="Arial"/>
          <w:sz w:val="18"/>
          <w:szCs w:val="18"/>
          <w:color w:val="auto"/>
        </w:rPr>
        <w:t>On October 25, 2021, the Company closed its IPO, issuing 6,850,000 shares of its common stock at a public offering price of $14.60 per share. Net of underwriting fees and offering costs, the Company received net cash proceeds of approximately $93 million. The Company’s common stock began trading on the Nasdaq Global Select Market under the symbol “RWAY” on October 21, 2021.</w:t>
      </w:r>
    </w:p>
    <w:p>
      <w:pPr>
        <w:spacing w:after="0" w:line="18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Prior to October 25, 2021, the Company entered into subscription agreements (the “Subscription Agreements”) with investors providing for the private placement of the Company’s common shares. Under the terms of the Subscription Agreements, investors were required to fund drawdowns to purchase the Company’s common shares up to the amount of their respective capital commitment on an as-needed basis each time the Company delivered a drawdown notice to its investors.</w:t>
      </w:r>
    </w:p>
    <w:p>
      <w:pPr>
        <w:spacing w:after="0" w:line="188"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In connection with the Initial Private Offering, the Company issued 18,241,157 shares of our common stock to stockholders for a total purchase price of $275,000,000. Between June 14, 2019 and June 30, 2022, the Company accepted $181,673,500 in capital commitments under its Second Private Offering. As of June 30, 2022 and December 31, 2021, the Company had issued 9,617,379 shares of common stock for aggregate proceeds of $144,260,683 under the Second Private Offering. Concurrent with the IPO, all undrawn commitments under the Second Private Offering were cancelled.</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As of June 30, 2022, the Company has issued 22,564 shares as an additional direct investment by Runway Growth Holdings LLC, an affiliate of RGC, at $15.00 per share for total proceeds of $338,453 in a private offering pursuant to an exemption from registration under Regulation D of the Securities Act.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During the three months ended June 30, 2022, the Company repurchased 381,710 shares for an aggregate purchase price of $4,870,014 in connection with its Repurchase Program and no shares were issued in connection with the reinvestment of dividends. The following table summarizes capital activity during the three months ended June 30,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2440" w:type="dxa"/>
            <w:vAlign w:val="bottom"/>
            <w:gridSpan w:val="4"/>
            <w:vMerge w:val="restart"/>
          </w:tcPr>
          <w:p>
            <w:pPr>
              <w:jc w:val="right"/>
              <w:ind w:right="66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2580" w:type="dxa"/>
            <w:vAlign w:val="bottom"/>
            <w:gridSpan w:val="5"/>
            <w:vMerge w:val="restart"/>
          </w:tcPr>
          <w:p>
            <w:pPr>
              <w:jc w:val="right"/>
              <w:ind w:right="86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5"/>
              </w:rPr>
              <w:t>Distributable</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244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86"/>
              </w:rPr>
              <w:t>(Losses)</w:t>
            </w:r>
          </w:p>
        </w:tc>
        <w:tc>
          <w:tcPr>
            <w:tcW w:w="2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10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40" w:type="dxa"/>
            <w:vAlign w:val="bottom"/>
            <w:tcBorders>
              <w:top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69"/>
        </w:trPr>
        <w:tc>
          <w:tcPr>
            <w:tcW w:w="2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beginning of period</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41,380,614</w:t>
            </w:r>
          </w:p>
        </w:tc>
        <w:tc>
          <w:tcPr>
            <w:tcW w:w="2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413,806</w:t>
            </w:r>
          </w:p>
        </w:tc>
        <w:tc>
          <w:tcPr>
            <w:tcW w:w="28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(31,782</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(409,223</w:t>
            </w:r>
          </w:p>
        </w:tc>
        <w:tc>
          <w:tcPr>
            <w:tcW w:w="24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606,047,671</w:t>
            </w:r>
          </w:p>
        </w:tc>
        <w:tc>
          <w:tcPr>
            <w:tcW w:w="2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(8,586,562</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597,465,692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0"/>
              <w:spacing w:after="0"/>
              <w:rPr>
                <w:sz w:val="20"/>
                <w:szCs w:val="20"/>
                <w:color w:val="auto"/>
              </w:rPr>
            </w:pPr>
            <w:r>
              <w:rPr>
                <w:rFonts w:ascii="Arial" w:cs="Arial" w:eastAsia="Arial" w:hAnsi="Arial"/>
                <w:sz w:val="14"/>
                <w:szCs w:val="14"/>
                <w:color w:val="auto"/>
              </w:rPr>
              <w:t>Acquisition of treasury shares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128"/>
              <w:spacing w:after="0"/>
              <w:rPr>
                <w:sz w:val="20"/>
                <w:szCs w:val="20"/>
                <w:color w:val="auto"/>
              </w:rPr>
            </w:pPr>
            <w:r>
              <w:rPr>
                <w:rFonts w:ascii="Arial" w:cs="Arial" w:eastAsia="Arial" w:hAnsi="Arial"/>
                <w:sz w:val="14"/>
                <w:szCs w:val="14"/>
                <w:color w:val="auto"/>
              </w:rPr>
              <w:t>(381,710 )</w:t>
            </w:r>
          </w:p>
        </w:tc>
        <w:tc>
          <w:tcPr>
            <w:tcW w:w="180" w:type="dxa"/>
            <w:vAlign w:val="bottom"/>
          </w:tcPr>
          <w:p>
            <w:pPr>
              <w:spacing w:after="0"/>
              <w:rPr>
                <w:sz w:val="15"/>
                <w:szCs w:val="15"/>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(4,870,014 )</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(4,870,014 )</w:t>
            </w: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220" w:type="dxa"/>
            <w:vAlign w:val="bottom"/>
          </w:tcPr>
          <w:p>
            <w:pPr>
              <w:ind w:left="200"/>
              <w:spacing w:after="0"/>
              <w:rPr>
                <w:sz w:val="20"/>
                <w:szCs w:val="20"/>
                <w:color w:val="auto"/>
              </w:rPr>
            </w:pPr>
            <w:r>
              <w:rPr>
                <w:rFonts w:ascii="Arial" w:cs="Arial" w:eastAsia="Arial" w:hAnsi="Arial"/>
                <w:sz w:val="14"/>
                <w:szCs w:val="14"/>
                <w:color w:val="auto"/>
              </w:rPr>
              <w:t>Reinvestment of dividends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Offering costs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16,000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0"/>
              <w:spacing w:after="0"/>
              <w:rPr>
                <w:sz w:val="20"/>
                <w:szCs w:val="20"/>
                <w:color w:val="auto"/>
              </w:rPr>
            </w:pPr>
            <w:r>
              <w:rPr>
                <w:rFonts w:ascii="Arial" w:cs="Arial" w:eastAsia="Arial" w:hAnsi="Arial"/>
                <w:sz w:val="14"/>
                <w:szCs w:val="14"/>
                <w:color w:val="auto"/>
              </w:rPr>
              <w:t>Net investment income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14,478,582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14,478,582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Net realized gain (loss) on</w:t>
            </w: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investments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903,722</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903,722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20" w:type="dxa"/>
            <w:vAlign w:val="bottom"/>
          </w:tcPr>
          <w:p>
            <w:pPr>
              <w:ind w:left="200"/>
              <w:spacing w:after="0" w:line="143" w:lineRule="exact"/>
              <w:rPr>
                <w:sz w:val="20"/>
                <w:szCs w:val="20"/>
                <w:color w:val="auto"/>
              </w:rPr>
            </w:pPr>
            <w:r>
              <w:rPr>
                <w:rFonts w:ascii="Arial" w:cs="Arial" w:eastAsia="Arial" w:hAnsi="Arial"/>
                <w:sz w:val="14"/>
                <w:szCs w:val="14"/>
                <w:color w:val="auto"/>
              </w:rPr>
              <w:t>Net change in unrealized</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rPr>
              <w:t>appreciation (depreciation) on</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20" w:type="dxa"/>
            <w:vAlign w:val="bottom"/>
          </w:tcPr>
          <w:p>
            <w:pPr>
              <w:ind w:left="200"/>
              <w:spacing w:after="0"/>
              <w:rPr>
                <w:sz w:val="20"/>
                <w:szCs w:val="20"/>
                <w:color w:val="auto"/>
              </w:rPr>
            </w:pPr>
            <w:r>
              <w:rPr>
                <w:rFonts w:ascii="Arial" w:cs="Arial" w:eastAsia="Arial" w:hAnsi="Arial"/>
                <w:sz w:val="14"/>
                <w:szCs w:val="14"/>
                <w:color w:val="auto"/>
              </w:rPr>
              <w:t>investments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Arial" w:cs="Arial" w:eastAsia="Arial" w:hAnsi="Arial"/>
                <w:sz w:val="14"/>
                <w:szCs w:val="14"/>
                <w:color w:val="auto"/>
              </w:rPr>
              <w:t>(16,199,638 )</w:t>
            </w:r>
          </w:p>
        </w:tc>
        <w:tc>
          <w:tcPr>
            <w:tcW w:w="2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(16,199,638 )</w:t>
            </w:r>
          </w:p>
        </w:tc>
        <w:tc>
          <w:tcPr>
            <w:tcW w:w="0" w:type="dxa"/>
            <w:vAlign w:val="bottom"/>
          </w:tcPr>
          <w:p>
            <w:pPr>
              <w:spacing w:after="0"/>
              <w:rPr>
                <w:sz w:val="1"/>
                <w:szCs w:val="1"/>
                <w:color w:val="auto"/>
              </w:rPr>
            </w:pPr>
          </w:p>
        </w:tc>
      </w:tr>
      <w:tr>
        <w:trPr>
          <w:trHeight w:val="176"/>
        </w:trPr>
        <w:tc>
          <w:tcPr>
            <w:tcW w:w="2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declared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(12,382,340 )</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(12,382,340 )</w:t>
            </w:r>
          </w:p>
        </w:tc>
        <w:tc>
          <w:tcPr>
            <w:tcW w:w="0" w:type="dxa"/>
            <w:vAlign w:val="bottom"/>
          </w:tcPr>
          <w:p>
            <w:pPr>
              <w:spacing w:after="0"/>
              <w:rPr>
                <w:sz w:val="1"/>
                <w:szCs w:val="1"/>
                <w:color w:val="auto"/>
              </w:rPr>
            </w:pPr>
          </w:p>
        </w:tc>
      </w:tr>
      <w:tr>
        <w:trPr>
          <w:trHeight w:val="143"/>
        </w:trPr>
        <w:tc>
          <w:tcPr>
            <w:tcW w:w="2220" w:type="dxa"/>
            <w:vAlign w:val="bottom"/>
          </w:tcPr>
          <w:p>
            <w:pPr>
              <w:ind w:left="200"/>
              <w:spacing w:after="0" w:line="143" w:lineRule="exact"/>
              <w:rPr>
                <w:sz w:val="20"/>
                <w:szCs w:val="20"/>
                <w:color w:val="auto"/>
              </w:rPr>
            </w:pPr>
            <w:r>
              <w:rPr>
                <w:rFonts w:ascii="Arial" w:cs="Arial" w:eastAsia="Arial" w:hAnsi="Arial"/>
                <w:sz w:val="14"/>
                <w:szCs w:val="14"/>
                <w:color w:val="auto"/>
              </w:rPr>
              <w:t>Tax reconciliation of</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rPr>
              <w:t>stockholders' equity in</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40" w:type="dxa"/>
            <w:vAlign w:val="bottom"/>
            <w:gridSpan w:val="2"/>
            <w:vMerge w:val="restart"/>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60" w:type="dxa"/>
            <w:vAlign w:val="bottom"/>
            <w:gridSpan w:val="2"/>
            <w:vMerge w:val="restart"/>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220" w:type="dxa"/>
            <w:vAlign w:val="bottom"/>
          </w:tcPr>
          <w:p>
            <w:pPr>
              <w:ind w:left="200"/>
              <w:spacing w:after="0"/>
              <w:rPr>
                <w:sz w:val="20"/>
                <w:szCs w:val="20"/>
                <w:color w:val="auto"/>
              </w:rPr>
            </w:pPr>
            <w:r>
              <w:rPr>
                <w:rFonts w:ascii="Arial" w:cs="Arial" w:eastAsia="Arial" w:hAnsi="Arial"/>
                <w:sz w:val="14"/>
                <w:szCs w:val="14"/>
                <w:color w:val="auto"/>
              </w:rPr>
              <w:t>accordance with U.S. GAAP</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end of period</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41,380,614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413,806</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(413,492</w:t>
            </w:r>
          </w:p>
        </w:tc>
        <w:tc>
          <w:tcPr>
            <w:tcW w:w="260" w:type="dxa"/>
            <w:vAlign w:val="bottom"/>
            <w:tcBorders>
              <w:bottom w:val="single" w:sz="8" w:color="CFF0FC"/>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(5,279,237</w:t>
            </w:r>
          </w:p>
        </w:tc>
        <w:tc>
          <w:tcPr>
            <w:tcW w:w="240" w:type="dxa"/>
            <w:vAlign w:val="bottom"/>
            <w:tcBorders>
              <w:bottom w:val="single" w:sz="8" w:color="CFF0FC"/>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606,063,671</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(21,786,236</w:t>
            </w:r>
          </w:p>
        </w:tc>
        <w:tc>
          <w:tcPr>
            <w:tcW w:w="260" w:type="dxa"/>
            <w:vAlign w:val="bottom"/>
            <w:tcBorders>
              <w:bottom w:val="single" w:sz="8" w:color="CFF0FC"/>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579,412,004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-25400</wp:posOffset>
            </wp:positionV>
            <wp:extent cx="7683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-7620</wp:posOffset>
            </wp:positionV>
            <wp:extent cx="7683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-25400</wp:posOffset>
            </wp:positionV>
            <wp:extent cx="7683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-7620</wp:posOffset>
            </wp:positionV>
            <wp:extent cx="768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-25400</wp:posOffset>
            </wp:positionV>
            <wp:extent cx="6858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-25400</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-25400</wp:posOffset>
            </wp:positionV>
            <wp:extent cx="6858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During the six months ended June 30, 2022, the Company repurchased 413,492 shares for an aggregate purchase price of $5,279,237 in connection with its Repurchase Program and no shares were issued in connection with the reinvestment of dividends. The following table summarizes capital activity during the six months ended June 30,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2440" w:type="dxa"/>
            <w:vAlign w:val="bottom"/>
            <w:gridSpan w:val="4"/>
            <w:vMerge w:val="restart"/>
          </w:tcPr>
          <w:p>
            <w:pPr>
              <w:jc w:val="right"/>
              <w:ind w:right="66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2580" w:type="dxa"/>
            <w:vAlign w:val="bottom"/>
            <w:gridSpan w:val="5"/>
            <w:vMerge w:val="restart"/>
          </w:tcPr>
          <w:p>
            <w:pPr>
              <w:jc w:val="right"/>
              <w:ind w:right="868"/>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rPr>
              <w:t>Additional</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5"/>
              </w:rPr>
              <w:t>Distributable</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4"/>
        </w:trPr>
        <w:tc>
          <w:tcPr>
            <w:tcW w:w="2220" w:type="dxa"/>
            <w:vAlign w:val="bottom"/>
          </w:tcPr>
          <w:p>
            <w:pPr>
              <w:spacing w:after="0"/>
              <w:rPr>
                <w:sz w:val="15"/>
                <w:szCs w:val="15"/>
                <w:color w:val="auto"/>
              </w:rPr>
            </w:pPr>
          </w:p>
        </w:tc>
        <w:tc>
          <w:tcPr>
            <w:tcW w:w="244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gridSpan w:val="5"/>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Paid-in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86"/>
              </w:rPr>
              <w:t>(Losses)</w:t>
            </w:r>
          </w:p>
        </w:tc>
        <w:tc>
          <w:tcPr>
            <w:tcW w:w="200" w:type="dxa"/>
            <w:vAlign w:val="bottom"/>
          </w:tcPr>
          <w:p>
            <w:pPr>
              <w:spacing w:after="0"/>
              <w:rPr>
                <w:sz w:val="15"/>
                <w:szCs w:val="15"/>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10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2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40" w:type="dxa"/>
            <w:vAlign w:val="bottom"/>
            <w:tcBorders>
              <w:top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Capital</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68"/>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169"/>
        </w:trPr>
        <w:tc>
          <w:tcPr>
            <w:tcW w:w="222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beginning of period</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41,380,614</w:t>
            </w:r>
          </w:p>
        </w:tc>
        <w:tc>
          <w:tcPr>
            <w:tcW w:w="2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413,806</w:t>
            </w:r>
          </w:p>
        </w:tc>
        <w:tc>
          <w:tcPr>
            <w:tcW w:w="280" w:type="dxa"/>
            <w:vAlign w:val="bottom"/>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606,047,671</w:t>
            </w:r>
          </w:p>
        </w:tc>
        <w:tc>
          <w:tcPr>
            <w:tcW w:w="26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(266,986</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606,194,491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0"/>
              <w:spacing w:after="0"/>
              <w:rPr>
                <w:sz w:val="20"/>
                <w:szCs w:val="20"/>
                <w:color w:val="auto"/>
              </w:rPr>
            </w:pPr>
            <w:r>
              <w:rPr>
                <w:rFonts w:ascii="Arial" w:cs="Arial" w:eastAsia="Arial" w:hAnsi="Arial"/>
                <w:sz w:val="14"/>
                <w:szCs w:val="14"/>
                <w:color w:val="auto"/>
              </w:rPr>
              <w:t>Acquisition of treasury shares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1520" w:type="dxa"/>
            <w:vAlign w:val="bottom"/>
            <w:gridSpan w:val="3"/>
          </w:tcPr>
          <w:p>
            <w:pPr>
              <w:jc w:val="right"/>
              <w:ind w:right="128"/>
              <w:spacing w:after="0"/>
              <w:rPr>
                <w:sz w:val="20"/>
                <w:szCs w:val="20"/>
                <w:color w:val="auto"/>
              </w:rPr>
            </w:pPr>
            <w:r>
              <w:rPr>
                <w:rFonts w:ascii="Arial" w:cs="Arial" w:eastAsia="Arial" w:hAnsi="Arial"/>
                <w:sz w:val="14"/>
                <w:szCs w:val="14"/>
                <w:color w:val="auto"/>
              </w:rPr>
              <w:t>(413,492 )</w:t>
            </w:r>
          </w:p>
        </w:tc>
        <w:tc>
          <w:tcPr>
            <w:tcW w:w="180" w:type="dxa"/>
            <w:vAlign w:val="bottom"/>
          </w:tcPr>
          <w:p>
            <w:pPr>
              <w:spacing w:after="0"/>
              <w:rPr>
                <w:sz w:val="15"/>
                <w:szCs w:val="15"/>
                <w:color w:val="auto"/>
              </w:rPr>
            </w:pPr>
          </w:p>
        </w:tc>
        <w:tc>
          <w:tcPr>
            <w:tcW w:w="1160" w:type="dxa"/>
            <w:vAlign w:val="bottom"/>
            <w:gridSpan w:val="2"/>
          </w:tcPr>
          <w:p>
            <w:pPr>
              <w:jc w:val="right"/>
              <w:ind w:right="108"/>
              <w:spacing w:after="0"/>
              <w:rPr>
                <w:sz w:val="20"/>
                <w:szCs w:val="20"/>
                <w:color w:val="auto"/>
              </w:rPr>
            </w:pPr>
            <w:r>
              <w:rPr>
                <w:rFonts w:ascii="Arial" w:cs="Arial" w:eastAsia="Arial" w:hAnsi="Arial"/>
                <w:sz w:val="14"/>
                <w:szCs w:val="14"/>
                <w:color w:val="auto"/>
              </w:rPr>
              <w:t>(5,279,237 )</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(5,279,237 )</w:t>
            </w: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Issuance of common stock</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220" w:type="dxa"/>
            <w:vAlign w:val="bottom"/>
          </w:tcPr>
          <w:p>
            <w:pPr>
              <w:ind w:left="200"/>
              <w:spacing w:after="0"/>
              <w:rPr>
                <w:sz w:val="20"/>
                <w:szCs w:val="20"/>
                <w:color w:val="auto"/>
              </w:rPr>
            </w:pPr>
            <w:r>
              <w:rPr>
                <w:rFonts w:ascii="Arial" w:cs="Arial" w:eastAsia="Arial" w:hAnsi="Arial"/>
                <w:sz w:val="14"/>
                <w:szCs w:val="14"/>
                <w:color w:val="auto"/>
              </w:rPr>
              <w:t>Reinvestment of dividends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Offering costs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16,000</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220" w:type="dxa"/>
            <w:vAlign w:val="bottom"/>
          </w:tcPr>
          <w:p>
            <w:pPr>
              <w:ind w:left="200"/>
              <w:spacing w:after="0"/>
              <w:rPr>
                <w:sz w:val="20"/>
                <w:szCs w:val="20"/>
                <w:color w:val="auto"/>
              </w:rPr>
            </w:pPr>
            <w:r>
              <w:rPr>
                <w:rFonts w:ascii="Arial" w:cs="Arial" w:eastAsia="Arial" w:hAnsi="Arial"/>
                <w:sz w:val="14"/>
                <w:szCs w:val="14"/>
                <w:color w:val="auto"/>
              </w:rPr>
              <w:t>Net investment income</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26,938,470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26,938,470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2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Net realized gain (loss) on</w:t>
            </w: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investments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532,461</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532,461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220" w:type="dxa"/>
            <w:vAlign w:val="bottom"/>
          </w:tcPr>
          <w:p>
            <w:pPr>
              <w:ind w:left="200"/>
              <w:spacing w:after="0" w:line="143" w:lineRule="exact"/>
              <w:rPr>
                <w:sz w:val="20"/>
                <w:szCs w:val="20"/>
                <w:color w:val="auto"/>
              </w:rPr>
            </w:pPr>
            <w:r>
              <w:rPr>
                <w:rFonts w:ascii="Arial" w:cs="Arial" w:eastAsia="Arial" w:hAnsi="Arial"/>
                <w:sz w:val="14"/>
                <w:szCs w:val="14"/>
                <w:color w:val="auto"/>
              </w:rPr>
              <w:t>Net change in unrealized</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rPr>
              <w:t>appreciation (depreciation) on</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220" w:type="dxa"/>
            <w:vAlign w:val="bottom"/>
          </w:tcPr>
          <w:p>
            <w:pPr>
              <w:ind w:left="200"/>
              <w:spacing w:after="0"/>
              <w:rPr>
                <w:sz w:val="20"/>
                <w:szCs w:val="20"/>
                <w:color w:val="auto"/>
              </w:rPr>
            </w:pPr>
            <w:r>
              <w:rPr>
                <w:rFonts w:ascii="Arial" w:cs="Arial" w:eastAsia="Arial" w:hAnsi="Arial"/>
                <w:sz w:val="14"/>
                <w:szCs w:val="14"/>
                <w:color w:val="auto"/>
              </w:rPr>
              <w:t>investments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4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16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right"/>
              <w:ind w:right="108"/>
              <w:spacing w:after="0"/>
              <w:rPr>
                <w:sz w:val="20"/>
                <w:szCs w:val="20"/>
                <w:color w:val="auto"/>
              </w:rPr>
            </w:pPr>
            <w:r>
              <w:rPr>
                <w:rFonts w:ascii="Arial" w:cs="Arial" w:eastAsia="Arial" w:hAnsi="Arial"/>
                <w:sz w:val="14"/>
                <w:szCs w:val="14"/>
                <w:color w:val="auto"/>
              </w:rPr>
              <w:t>(25,435,174 )</w:t>
            </w:r>
          </w:p>
        </w:tc>
        <w:tc>
          <w:tcPr>
            <w:tcW w:w="200" w:type="dxa"/>
            <w:vAlign w:val="bottom"/>
          </w:tcPr>
          <w:p>
            <w:pPr>
              <w:spacing w:after="0"/>
              <w:rPr>
                <w:sz w:val="15"/>
                <w:szCs w:val="15"/>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(25,435,174 )</w:t>
            </w:r>
          </w:p>
        </w:tc>
        <w:tc>
          <w:tcPr>
            <w:tcW w:w="0" w:type="dxa"/>
            <w:vAlign w:val="bottom"/>
          </w:tcPr>
          <w:p>
            <w:pPr>
              <w:spacing w:after="0"/>
              <w:rPr>
                <w:sz w:val="1"/>
                <w:szCs w:val="1"/>
                <w:color w:val="auto"/>
              </w:rPr>
            </w:pPr>
          </w:p>
        </w:tc>
      </w:tr>
      <w:tr>
        <w:trPr>
          <w:trHeight w:val="175"/>
        </w:trPr>
        <w:tc>
          <w:tcPr>
            <w:tcW w:w="22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declared</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(23,555,007 )</w:t>
            </w:r>
          </w:p>
        </w:tc>
        <w:tc>
          <w:tcPr>
            <w:tcW w:w="20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(23,555,007 )</w:t>
            </w:r>
          </w:p>
        </w:tc>
        <w:tc>
          <w:tcPr>
            <w:tcW w:w="0" w:type="dxa"/>
            <w:vAlign w:val="bottom"/>
          </w:tcPr>
          <w:p>
            <w:pPr>
              <w:spacing w:after="0"/>
              <w:rPr>
                <w:sz w:val="1"/>
                <w:szCs w:val="1"/>
                <w:color w:val="auto"/>
              </w:rPr>
            </w:pPr>
          </w:p>
        </w:tc>
      </w:tr>
      <w:tr>
        <w:trPr>
          <w:trHeight w:val="143"/>
        </w:trPr>
        <w:tc>
          <w:tcPr>
            <w:tcW w:w="2220" w:type="dxa"/>
            <w:vAlign w:val="bottom"/>
          </w:tcPr>
          <w:p>
            <w:pPr>
              <w:ind w:left="200"/>
              <w:spacing w:after="0" w:line="143" w:lineRule="exact"/>
              <w:rPr>
                <w:sz w:val="20"/>
                <w:szCs w:val="20"/>
                <w:color w:val="auto"/>
              </w:rPr>
            </w:pPr>
            <w:r>
              <w:rPr>
                <w:rFonts w:ascii="Arial" w:cs="Arial" w:eastAsia="Arial" w:hAnsi="Arial"/>
                <w:sz w:val="14"/>
                <w:szCs w:val="14"/>
                <w:color w:val="auto"/>
              </w:rPr>
              <w:t>Tax reconciliation of</w:t>
            </w: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20" w:type="dxa"/>
            <w:vAlign w:val="bottom"/>
          </w:tcPr>
          <w:p>
            <w:pPr>
              <w:ind w:left="200"/>
              <w:spacing w:after="0" w:line="149" w:lineRule="exact"/>
              <w:rPr>
                <w:sz w:val="20"/>
                <w:szCs w:val="20"/>
                <w:color w:val="auto"/>
              </w:rPr>
            </w:pPr>
            <w:r>
              <w:rPr>
                <w:rFonts w:ascii="Arial" w:cs="Arial" w:eastAsia="Arial" w:hAnsi="Arial"/>
                <w:sz w:val="14"/>
                <w:szCs w:val="14"/>
                <w:color w:val="auto"/>
              </w:rPr>
              <w:t>stockholders' equity in</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1240" w:type="dxa"/>
            <w:vAlign w:val="bottom"/>
            <w:gridSpan w:val="2"/>
            <w:vMerge w:val="restart"/>
          </w:tcPr>
          <w:p>
            <w:pPr>
              <w:jc w:val="right"/>
              <w:ind w:right="20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160" w:type="dxa"/>
            <w:vAlign w:val="bottom"/>
            <w:gridSpan w:val="2"/>
            <w:vMerge w:val="restart"/>
          </w:tcPr>
          <w:p>
            <w:pPr>
              <w:jc w:val="right"/>
              <w:ind w:right="18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right"/>
              <w:ind w:right="18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7"/>
        </w:trPr>
        <w:tc>
          <w:tcPr>
            <w:tcW w:w="2220" w:type="dxa"/>
            <w:vAlign w:val="bottom"/>
          </w:tcPr>
          <w:p>
            <w:pPr>
              <w:ind w:left="200"/>
              <w:spacing w:after="0"/>
              <w:rPr>
                <w:sz w:val="20"/>
                <w:szCs w:val="20"/>
                <w:color w:val="auto"/>
              </w:rPr>
            </w:pPr>
            <w:r>
              <w:rPr>
                <w:rFonts w:ascii="Arial" w:cs="Arial" w:eastAsia="Arial" w:hAnsi="Arial"/>
                <w:sz w:val="14"/>
                <w:szCs w:val="14"/>
                <w:color w:val="auto"/>
              </w:rPr>
              <w:t>accordance with U.S. GAAP</w:t>
            </w: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2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Balance, end of period</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41,380,614</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413,806</w:t>
            </w:r>
          </w:p>
        </w:tc>
        <w:tc>
          <w:tcPr>
            <w:tcW w:w="2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(413,492</w:t>
            </w:r>
          </w:p>
        </w:tc>
        <w:tc>
          <w:tcPr>
            <w:tcW w:w="260" w:type="dxa"/>
            <w:vAlign w:val="bottom"/>
            <w:tcBorders>
              <w:bottom w:val="single" w:sz="8" w:color="CFF0FC"/>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(5,279,237</w:t>
            </w:r>
          </w:p>
        </w:tc>
        <w:tc>
          <w:tcPr>
            <w:tcW w:w="240" w:type="dxa"/>
            <w:vAlign w:val="bottom"/>
            <w:tcBorders>
              <w:bottom w:val="single" w:sz="8" w:color="CFF0FC"/>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606,063,671</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(21,786,236</w:t>
            </w:r>
          </w:p>
        </w:tc>
        <w:tc>
          <w:tcPr>
            <w:tcW w:w="260" w:type="dxa"/>
            <w:vAlign w:val="bottom"/>
            <w:tcBorders>
              <w:bottom w:val="single" w:sz="8" w:color="CFF0FC"/>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579,412,004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2053590</wp:posOffset>
            </wp:positionH>
            <wp:positionV relativeFrom="paragraph">
              <wp:posOffset>-24765</wp:posOffset>
            </wp:positionV>
            <wp:extent cx="768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2053590</wp:posOffset>
            </wp:positionH>
            <wp:positionV relativeFrom="paragraph">
              <wp:posOffset>-7620</wp:posOffset>
            </wp:positionV>
            <wp:extent cx="7683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-24765</wp:posOffset>
            </wp:positionV>
            <wp:extent cx="7683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-7620</wp:posOffset>
            </wp:positionV>
            <wp:extent cx="7683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-24765</wp:posOffset>
            </wp:positionV>
            <wp:extent cx="685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-7620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During the three months ended June 30, 2021, the Company issued 637,127 shares for $9,410,371 in connection with the reinvestment of dividends. The following table summarizes capital activity during the three months ended June 30,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480" w:type="dxa"/>
            <w:vAlign w:val="bottom"/>
            <w:gridSpan w:val="4"/>
            <w:vMerge w:val="restart"/>
          </w:tcPr>
          <w:p>
            <w:pPr>
              <w:jc w:val="right"/>
              <w:ind w:right="688"/>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6"/>
                <w:szCs w:val="16"/>
                <w:color w:val="auto"/>
              </w:rPr>
            </w:pPr>
          </w:p>
        </w:tc>
        <w:tc>
          <w:tcPr>
            <w:tcW w:w="1400" w:type="dxa"/>
            <w:vAlign w:val="bottom"/>
            <w:gridSpan w:val="2"/>
          </w:tcPr>
          <w:p>
            <w:pPr>
              <w:jc w:val="center"/>
              <w:ind w:right="348"/>
              <w:spacing w:after="0"/>
              <w:rPr>
                <w:sz w:val="20"/>
                <w:szCs w:val="20"/>
                <w:color w:val="auto"/>
              </w:rPr>
            </w:pPr>
            <w:r>
              <w:rPr>
                <w:rFonts w:ascii="Arial" w:cs="Arial" w:eastAsia="Arial" w:hAnsi="Arial"/>
                <w:sz w:val="14"/>
                <w:szCs w:val="14"/>
                <w:b w:val="1"/>
                <w:bCs w:val="1"/>
                <w:color w:val="auto"/>
                <w:w w:val="95"/>
              </w:rPr>
              <w:t>Distributable</w:t>
            </w:r>
          </w:p>
        </w:tc>
        <w:tc>
          <w:tcPr>
            <w:tcW w:w="320" w:type="dxa"/>
            <w:vAlign w:val="bottom"/>
          </w:tcPr>
          <w:p>
            <w:pPr>
              <w:spacing w:after="0"/>
              <w:rPr>
                <w:sz w:val="16"/>
                <w:szCs w:val="16"/>
                <w:color w:val="auto"/>
              </w:rPr>
            </w:pPr>
          </w:p>
        </w:tc>
        <w:tc>
          <w:tcPr>
            <w:tcW w:w="12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9"/>
        </w:trPr>
        <w:tc>
          <w:tcPr>
            <w:tcW w:w="3500" w:type="dxa"/>
            <w:vAlign w:val="bottom"/>
          </w:tcPr>
          <w:p>
            <w:pPr>
              <w:spacing w:after="0"/>
              <w:rPr>
                <w:sz w:val="15"/>
                <w:szCs w:val="15"/>
                <w:color w:val="auto"/>
              </w:rPr>
            </w:pPr>
          </w:p>
        </w:tc>
        <w:tc>
          <w:tcPr>
            <w:tcW w:w="2480" w:type="dxa"/>
            <w:vAlign w:val="bottom"/>
            <w:tcBorders>
              <w:bottom w:val="single" w:sz="8" w:color="auto"/>
            </w:tcBorders>
            <w:gridSpan w:val="4"/>
            <w:vMerge w:val="continue"/>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5"/>
                <w:szCs w:val="15"/>
                <w:color w:val="auto"/>
              </w:rPr>
            </w:pPr>
          </w:p>
        </w:tc>
        <w:tc>
          <w:tcPr>
            <w:tcW w:w="1400" w:type="dxa"/>
            <w:vAlign w:val="bottom"/>
            <w:gridSpan w:val="2"/>
          </w:tcPr>
          <w:p>
            <w:pPr>
              <w:jc w:val="center"/>
              <w:ind w:right="348"/>
              <w:spacing w:after="0"/>
              <w:rPr>
                <w:sz w:val="20"/>
                <w:szCs w:val="20"/>
                <w:color w:val="auto"/>
              </w:rPr>
            </w:pPr>
            <w:r>
              <w:rPr>
                <w:rFonts w:ascii="Arial" w:cs="Arial" w:eastAsia="Arial" w:hAnsi="Arial"/>
                <w:sz w:val="14"/>
                <w:szCs w:val="14"/>
                <w:b w:val="1"/>
                <w:bCs w:val="1"/>
                <w:color w:val="auto"/>
                <w:w w:val="86"/>
              </w:rPr>
              <w:t>(Losses)</w:t>
            </w:r>
          </w:p>
        </w:tc>
        <w:tc>
          <w:tcPr>
            <w:tcW w:w="320" w:type="dxa"/>
            <w:vAlign w:val="bottom"/>
          </w:tcPr>
          <w:p>
            <w:pPr>
              <w:spacing w:after="0"/>
              <w:rPr>
                <w:sz w:val="15"/>
                <w:szCs w:val="15"/>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1020" w:type="dxa"/>
            <w:vAlign w:val="bottom"/>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4"/>
                <w:szCs w:val="14"/>
                <w:color w:val="auto"/>
              </w:rPr>
            </w:pPr>
          </w:p>
        </w:tc>
        <w:tc>
          <w:tcPr>
            <w:tcW w:w="1400" w:type="dxa"/>
            <w:vAlign w:val="bottom"/>
            <w:gridSpan w:val="2"/>
          </w:tcPr>
          <w:p>
            <w:pPr>
              <w:jc w:val="center"/>
              <w:ind w:right="368"/>
              <w:spacing w:after="0"/>
              <w:rPr>
                <w:sz w:val="20"/>
                <w:szCs w:val="20"/>
                <w:color w:val="auto"/>
              </w:rPr>
            </w:pPr>
            <w:r>
              <w:rPr>
                <w:rFonts w:ascii="Arial" w:cs="Arial" w:eastAsia="Arial" w:hAnsi="Arial"/>
                <w:sz w:val="14"/>
                <w:szCs w:val="14"/>
                <w:b w:val="1"/>
                <w:bCs w:val="1"/>
                <w:color w:val="auto"/>
                <w:w w:val="93"/>
              </w:rPr>
              <w:t>Earnings</w:t>
            </w:r>
          </w:p>
        </w:tc>
        <w:tc>
          <w:tcPr>
            <w:tcW w:w="32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69"/>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beginning of period</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32,053,327</w:t>
            </w:r>
          </w:p>
        </w:tc>
        <w:tc>
          <w:tcPr>
            <w:tcW w:w="28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320,533</w:t>
            </w:r>
          </w:p>
        </w:tc>
        <w:tc>
          <w:tcPr>
            <w:tcW w:w="30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476,351,521</w:t>
            </w:r>
          </w:p>
        </w:tc>
        <w:tc>
          <w:tcPr>
            <w:tcW w:w="240" w:type="dxa"/>
            <w:vAlign w:val="bottom"/>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(3,194,630</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20" w:type="dxa"/>
            <w:vAlign w:val="bottom"/>
            <w:tcBorders>
              <w:top w:val="single" w:sz="8" w:color="auto"/>
            </w:tcBorders>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473,477,424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00" w:type="dxa"/>
            <w:vAlign w:val="bottom"/>
          </w:tcPr>
          <w:p>
            <w:pPr>
              <w:ind w:left="200"/>
              <w:spacing w:after="0"/>
              <w:rPr>
                <w:sz w:val="20"/>
                <w:szCs w:val="20"/>
                <w:color w:val="auto"/>
              </w:rPr>
            </w:pPr>
            <w:r>
              <w:rPr>
                <w:rFonts w:ascii="Arial" w:cs="Arial" w:eastAsia="Arial" w:hAnsi="Arial"/>
                <w:sz w:val="14"/>
                <w:szCs w:val="14"/>
                <w:color w:val="auto"/>
              </w:rPr>
              <w:t>Issuance of common stock</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Reinvestment of dividends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637,127</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6,371</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9,404,000</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9,410,371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0"/>
              <w:spacing w:after="0"/>
              <w:rPr>
                <w:sz w:val="20"/>
                <w:szCs w:val="20"/>
                <w:color w:val="auto"/>
              </w:rPr>
            </w:pPr>
            <w:r>
              <w:rPr>
                <w:rFonts w:ascii="Arial" w:cs="Arial" w:eastAsia="Arial" w:hAnsi="Arial"/>
                <w:sz w:val="14"/>
                <w:szCs w:val="14"/>
                <w:color w:val="auto"/>
              </w:rPr>
              <w:t>Offering costs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(310 )</w:t>
            </w:r>
          </w:p>
        </w:tc>
        <w:tc>
          <w:tcPr>
            <w:tcW w:w="180" w:type="dxa"/>
            <w:vAlign w:val="bottom"/>
          </w:tcPr>
          <w:p>
            <w:pPr>
              <w:spacing w:after="0"/>
              <w:rPr>
                <w:sz w:val="15"/>
                <w:szCs w:val="15"/>
                <w:color w:val="auto"/>
              </w:rPr>
            </w:pPr>
          </w:p>
        </w:tc>
        <w:tc>
          <w:tcPr>
            <w:tcW w:w="140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(310 )</w:t>
            </w:r>
          </w:p>
        </w:tc>
        <w:tc>
          <w:tcPr>
            <w:tcW w:w="0" w:type="dxa"/>
            <w:vAlign w:val="bottom"/>
          </w:tcPr>
          <w:p>
            <w:pPr>
              <w:spacing w:after="0"/>
              <w:rPr>
                <w:sz w:val="1"/>
                <w:szCs w:val="1"/>
                <w:color w:val="auto"/>
              </w:rPr>
            </w:pPr>
          </w:p>
        </w:tc>
      </w:tr>
      <w:tr>
        <w:trPr>
          <w:trHeight w:val="176"/>
        </w:trPr>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investment income</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11,340,477</w:t>
            </w:r>
          </w:p>
        </w:tc>
        <w:tc>
          <w:tcPr>
            <w:tcW w:w="2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11,340,477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0"/>
              <w:spacing w:after="0"/>
              <w:rPr>
                <w:sz w:val="20"/>
                <w:szCs w:val="20"/>
                <w:color w:val="auto"/>
              </w:rPr>
            </w:pPr>
            <w:r>
              <w:rPr>
                <w:rFonts w:ascii="Arial" w:cs="Arial" w:eastAsia="Arial" w:hAnsi="Arial"/>
                <w:sz w:val="14"/>
                <w:szCs w:val="14"/>
                <w:color w:val="auto"/>
              </w:rPr>
              <w:t>Net realized gain (loss) on investments</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0" w:type="dxa"/>
            <w:vAlign w:val="bottom"/>
            <w:gridSpan w:val="2"/>
          </w:tcPr>
          <w:p>
            <w:pPr>
              <w:jc w:val="right"/>
              <w:ind w:right="128"/>
              <w:spacing w:after="0"/>
              <w:rPr>
                <w:sz w:val="20"/>
                <w:szCs w:val="20"/>
                <w:color w:val="auto"/>
              </w:rPr>
            </w:pPr>
            <w:r>
              <w:rPr>
                <w:rFonts w:ascii="Arial" w:cs="Arial" w:eastAsia="Arial" w:hAnsi="Arial"/>
                <w:sz w:val="14"/>
                <w:szCs w:val="14"/>
                <w:color w:val="auto"/>
              </w:rPr>
              <w:t>(4,595,853 )</w:t>
            </w:r>
          </w:p>
        </w:tc>
        <w:tc>
          <w:tcPr>
            <w:tcW w:w="32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(4,595,853 )</w:t>
            </w:r>
          </w:p>
        </w:tc>
        <w:tc>
          <w:tcPr>
            <w:tcW w:w="0" w:type="dxa"/>
            <w:vAlign w:val="bottom"/>
          </w:tcPr>
          <w:p>
            <w:pPr>
              <w:spacing w:after="0"/>
              <w:rPr>
                <w:sz w:val="1"/>
                <w:szCs w:val="1"/>
                <w:color w:val="auto"/>
              </w:rPr>
            </w:pPr>
          </w:p>
        </w:tc>
      </w:tr>
      <w:tr>
        <w:trPr>
          <w:trHeight w:val="143"/>
        </w:trPr>
        <w:tc>
          <w:tcPr>
            <w:tcW w:w="35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Net change in unrealized appreciation (depreciation)</w:t>
            </w: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on investments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2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(33,281 )</w:t>
            </w: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(33,281 )</w:t>
            </w:r>
          </w:p>
        </w:tc>
        <w:tc>
          <w:tcPr>
            <w:tcW w:w="0" w:type="dxa"/>
            <w:vAlign w:val="bottom"/>
          </w:tcPr>
          <w:p>
            <w:pPr>
              <w:spacing w:after="0"/>
              <w:rPr>
                <w:sz w:val="1"/>
                <w:szCs w:val="1"/>
                <w:color w:val="auto"/>
              </w:rPr>
            </w:pPr>
          </w:p>
        </w:tc>
      </w:tr>
      <w:tr>
        <w:trPr>
          <w:trHeight w:val="176"/>
        </w:trPr>
        <w:tc>
          <w:tcPr>
            <w:tcW w:w="3500" w:type="dxa"/>
            <w:vAlign w:val="bottom"/>
          </w:tcPr>
          <w:p>
            <w:pPr>
              <w:ind w:left="200"/>
              <w:spacing w:after="0"/>
              <w:rPr>
                <w:sz w:val="20"/>
                <w:szCs w:val="20"/>
                <w:color w:val="auto"/>
              </w:rPr>
            </w:pPr>
            <w:r>
              <w:rPr>
                <w:rFonts w:ascii="Arial" w:cs="Arial" w:eastAsia="Arial" w:hAnsi="Arial"/>
                <w:sz w:val="14"/>
                <w:szCs w:val="14"/>
                <w:color w:val="auto"/>
              </w:rPr>
              <w:t>Dividends declared</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00" w:type="dxa"/>
            <w:vAlign w:val="bottom"/>
            <w:gridSpan w:val="2"/>
          </w:tcPr>
          <w:p>
            <w:pPr>
              <w:jc w:val="right"/>
              <w:ind w:right="128"/>
              <w:spacing w:after="0"/>
              <w:rPr>
                <w:sz w:val="20"/>
                <w:szCs w:val="20"/>
                <w:color w:val="auto"/>
              </w:rPr>
            </w:pPr>
            <w:r>
              <w:rPr>
                <w:rFonts w:ascii="Arial" w:cs="Arial" w:eastAsia="Arial" w:hAnsi="Arial"/>
                <w:sz w:val="14"/>
                <w:szCs w:val="14"/>
                <w:color w:val="auto"/>
              </w:rPr>
              <w:t>(11,859,731 )</w:t>
            </w:r>
          </w:p>
        </w:tc>
        <w:tc>
          <w:tcPr>
            <w:tcW w:w="320" w:type="dxa"/>
            <w:vAlign w:val="bottom"/>
          </w:tcPr>
          <w:p>
            <w:pPr>
              <w:spacing w:after="0"/>
              <w:rPr>
                <w:sz w:val="15"/>
                <w:szCs w:val="15"/>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4"/>
                <w:szCs w:val="14"/>
                <w:color w:val="auto"/>
              </w:rPr>
              <w:t>(11,859,731 )</w:t>
            </w:r>
          </w:p>
        </w:tc>
        <w:tc>
          <w:tcPr>
            <w:tcW w:w="0" w:type="dxa"/>
            <w:vAlign w:val="bottom"/>
          </w:tcPr>
          <w:p>
            <w:pPr>
              <w:spacing w:after="0"/>
              <w:rPr>
                <w:sz w:val="1"/>
                <w:szCs w:val="1"/>
                <w:color w:val="auto"/>
              </w:rPr>
            </w:pPr>
          </w:p>
        </w:tc>
      </w:tr>
      <w:tr>
        <w:trPr>
          <w:trHeight w:val="143"/>
        </w:trPr>
        <w:tc>
          <w:tcPr>
            <w:tcW w:w="35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Tax reconciliation of stockholders' equity in</w:t>
            </w:r>
          </w:p>
        </w:tc>
        <w:tc>
          <w:tcPr>
            <w:tcW w:w="10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accordance with U.S. GAAP</w:t>
            </w:r>
          </w:p>
        </w:tc>
        <w:tc>
          <w:tcPr>
            <w:tcW w:w="102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00" w:type="dxa"/>
            <w:vAlign w:val="bottom"/>
          </w:tcPr>
          <w:p>
            <w:pPr>
              <w:ind w:left="20"/>
              <w:spacing w:after="0" w:line="155" w:lineRule="exact"/>
              <w:rPr>
                <w:sz w:val="20"/>
                <w:szCs w:val="20"/>
                <w:color w:val="auto"/>
              </w:rPr>
            </w:pPr>
            <w:r>
              <w:rPr>
                <w:rFonts w:ascii="Arial" w:cs="Arial" w:eastAsia="Arial" w:hAnsi="Arial"/>
                <w:sz w:val="14"/>
                <w:szCs w:val="14"/>
                <w:color w:val="auto"/>
              </w:rPr>
              <w:t>Balance, end of period</w:t>
            </w:r>
          </w:p>
        </w:tc>
        <w:tc>
          <w:tcPr>
            <w:tcW w:w="1020" w:type="dxa"/>
            <w:vAlign w:val="bottom"/>
          </w:tcPr>
          <w:p>
            <w:pPr>
              <w:jc w:val="right"/>
              <w:spacing w:after="0" w:line="155" w:lineRule="exact"/>
              <w:rPr>
                <w:sz w:val="20"/>
                <w:szCs w:val="20"/>
                <w:color w:val="auto"/>
              </w:rPr>
            </w:pPr>
            <w:r>
              <w:rPr>
                <w:rFonts w:ascii="Arial" w:cs="Arial" w:eastAsia="Arial" w:hAnsi="Arial"/>
                <w:sz w:val="14"/>
                <w:szCs w:val="14"/>
                <w:color w:val="auto"/>
              </w:rPr>
              <w:t>32,690,454</w:t>
            </w:r>
          </w:p>
        </w:tc>
        <w:tc>
          <w:tcPr>
            <w:tcW w:w="50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326,904</w:t>
            </w:r>
          </w:p>
        </w:tc>
        <w:tc>
          <w:tcPr>
            <w:tcW w:w="560" w:type="dxa"/>
            <w:vAlign w:val="bottom"/>
            <w:gridSpan w:val="2"/>
          </w:tcPr>
          <w:p>
            <w:pPr>
              <w:jc w:val="right"/>
              <w:ind w:right="108"/>
              <w:spacing w:after="0" w:line="155" w:lineRule="exact"/>
              <w:rPr>
                <w:sz w:val="20"/>
                <w:szCs w:val="20"/>
                <w:color w:val="auto"/>
              </w:rPr>
            </w:pPr>
            <w:r>
              <w:rPr>
                <w:rFonts w:ascii="Arial" w:cs="Arial" w:eastAsia="Arial" w:hAnsi="Arial"/>
                <w:sz w:val="14"/>
                <w:szCs w:val="14"/>
                <w:color w:val="auto"/>
              </w:rPr>
              <w:t>$</w:t>
            </w:r>
          </w:p>
        </w:tc>
        <w:tc>
          <w:tcPr>
            <w:tcW w:w="1280" w:type="dxa"/>
            <w:vAlign w:val="bottom"/>
          </w:tcPr>
          <w:p>
            <w:pPr>
              <w:jc w:val="right"/>
              <w:spacing w:after="0" w:line="155" w:lineRule="exact"/>
              <w:rPr>
                <w:sz w:val="20"/>
                <w:szCs w:val="20"/>
                <w:color w:val="auto"/>
              </w:rPr>
            </w:pPr>
            <w:r>
              <w:rPr>
                <w:rFonts w:ascii="Arial" w:cs="Arial" w:eastAsia="Arial" w:hAnsi="Arial"/>
                <w:sz w:val="14"/>
                <w:szCs w:val="14"/>
                <w:color w:val="auto"/>
              </w:rPr>
              <w:t>485,755,211</w:t>
            </w:r>
          </w:p>
        </w:tc>
        <w:tc>
          <w:tcPr>
            <w:tcW w:w="240" w:type="dxa"/>
            <w:vAlign w:val="bottom"/>
          </w:tcPr>
          <w:p>
            <w:pPr>
              <w:spacing w:after="0"/>
              <w:rPr>
                <w:sz w:val="14"/>
                <w:szCs w:val="14"/>
                <w:color w:val="auto"/>
              </w:rPr>
            </w:pPr>
          </w:p>
        </w:tc>
        <w:tc>
          <w:tcPr>
            <w:tcW w:w="180" w:type="dxa"/>
            <w:vAlign w:val="bottom"/>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(8,343,018 )</w:t>
            </w:r>
          </w:p>
        </w:tc>
        <w:tc>
          <w:tcPr>
            <w:tcW w:w="320" w:type="dxa"/>
            <w:vAlign w:val="bottom"/>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477,739,097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-142240</wp:posOffset>
            </wp:positionV>
            <wp:extent cx="76835"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3802380</wp:posOffset>
            </wp:positionH>
            <wp:positionV relativeFrom="paragraph">
              <wp:posOffset>-142240</wp:posOffset>
            </wp:positionV>
            <wp:extent cx="7747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-142240</wp:posOffset>
            </wp:positionV>
            <wp:extent cx="6858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-142240</wp:posOffset>
            </wp:positionV>
            <wp:extent cx="6858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During the six months ended June 30, 2021, the Company issued 1,255,942 shares for $18,593,591 in connection with the reinvestment of dividends. The following table summarizes capital activity during the six months ended June 30,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620" w:type="dxa"/>
            <w:vAlign w:val="bottom"/>
            <w:gridSpan w:val="4"/>
            <w:vMerge w:val="restart"/>
          </w:tcPr>
          <w:p>
            <w:pPr>
              <w:jc w:val="right"/>
              <w:ind w:right="768"/>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6"/>
                <w:szCs w:val="16"/>
                <w:color w:val="auto"/>
              </w:rPr>
            </w:pPr>
          </w:p>
        </w:tc>
        <w:tc>
          <w:tcPr>
            <w:tcW w:w="138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5"/>
              </w:rPr>
              <w:t>Distributable</w:t>
            </w:r>
          </w:p>
        </w:tc>
        <w:tc>
          <w:tcPr>
            <w:tcW w:w="30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9"/>
        </w:trPr>
        <w:tc>
          <w:tcPr>
            <w:tcW w:w="3500" w:type="dxa"/>
            <w:vAlign w:val="bottom"/>
          </w:tcPr>
          <w:p>
            <w:pPr>
              <w:spacing w:after="0"/>
              <w:rPr>
                <w:sz w:val="15"/>
                <w:szCs w:val="15"/>
                <w:color w:val="auto"/>
              </w:rPr>
            </w:pPr>
          </w:p>
        </w:tc>
        <w:tc>
          <w:tcPr>
            <w:tcW w:w="2620" w:type="dxa"/>
            <w:vAlign w:val="bottom"/>
            <w:tcBorders>
              <w:bottom w:val="single" w:sz="8" w:color="auto"/>
            </w:tcBorders>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5"/>
                <w:szCs w:val="15"/>
                <w:color w:val="auto"/>
              </w:rPr>
            </w:pPr>
          </w:p>
        </w:tc>
        <w:tc>
          <w:tcPr>
            <w:tcW w:w="138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86"/>
              </w:rPr>
              <w:t>(Losses)</w:t>
            </w:r>
          </w:p>
        </w:tc>
        <w:tc>
          <w:tcPr>
            <w:tcW w:w="300" w:type="dxa"/>
            <w:vAlign w:val="bottom"/>
          </w:tcPr>
          <w:p>
            <w:pPr>
              <w:spacing w:after="0"/>
              <w:rPr>
                <w:sz w:val="15"/>
                <w:szCs w:val="15"/>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1160" w:type="dxa"/>
            <w:vAlign w:val="bottom"/>
          </w:tcPr>
          <w:p>
            <w:pPr>
              <w:jc w:val="right"/>
              <w:ind w:right="308"/>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68"/>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4"/>
                <w:szCs w:val="14"/>
                <w:color w:val="auto"/>
              </w:rPr>
            </w:pPr>
          </w:p>
        </w:tc>
        <w:tc>
          <w:tcPr>
            <w:tcW w:w="1380" w:type="dxa"/>
            <w:vAlign w:val="bottom"/>
            <w:gridSpan w:val="2"/>
          </w:tcPr>
          <w:p>
            <w:pPr>
              <w:jc w:val="center"/>
              <w:ind w:right="348"/>
              <w:spacing w:after="0"/>
              <w:rPr>
                <w:sz w:val="20"/>
                <w:szCs w:val="20"/>
                <w:color w:val="auto"/>
              </w:rPr>
            </w:pPr>
            <w:r>
              <w:rPr>
                <w:rFonts w:ascii="Arial" w:cs="Arial" w:eastAsia="Arial" w:hAnsi="Arial"/>
                <w:sz w:val="14"/>
                <w:szCs w:val="14"/>
                <w:b w:val="1"/>
                <w:bCs w:val="1"/>
                <w:color w:val="auto"/>
                <w:w w:val="93"/>
              </w:rPr>
              <w:t>Earnings</w:t>
            </w:r>
          </w:p>
        </w:tc>
        <w:tc>
          <w:tcPr>
            <w:tcW w:w="30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69"/>
        </w:trPr>
        <w:tc>
          <w:tcPr>
            <w:tcW w:w="3500" w:type="dxa"/>
            <w:vAlign w:val="bottom"/>
            <w:shd w:val="clear" w:color="auto" w:fill="CFF0FC"/>
          </w:tcPr>
          <w:p>
            <w:pPr>
              <w:ind w:left="20"/>
              <w:spacing w:after="0"/>
              <w:rPr>
                <w:sz w:val="20"/>
                <w:szCs w:val="20"/>
                <w:color w:val="auto"/>
              </w:rPr>
            </w:pPr>
            <w:r>
              <w:rPr>
                <w:rFonts w:ascii="Arial" w:cs="Arial" w:eastAsia="Arial" w:hAnsi="Arial"/>
                <w:sz w:val="14"/>
                <w:szCs w:val="14"/>
                <w:color w:val="auto"/>
              </w:rPr>
              <w:t>Balance, beginning of period</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31,414,051</w:t>
            </w:r>
          </w:p>
        </w:tc>
        <w:tc>
          <w:tcPr>
            <w:tcW w:w="2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314,140</w:t>
            </w:r>
          </w:p>
        </w:tc>
        <w:tc>
          <w:tcPr>
            <w:tcW w:w="28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466,872,304</w:t>
            </w:r>
          </w:p>
        </w:tc>
        <w:tc>
          <w:tcPr>
            <w:tcW w:w="24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(942,759</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466,243,685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0"/>
              <w:spacing w:after="0"/>
              <w:rPr>
                <w:sz w:val="20"/>
                <w:szCs w:val="20"/>
                <w:color w:val="auto"/>
              </w:rPr>
            </w:pPr>
            <w:r>
              <w:rPr>
                <w:rFonts w:ascii="Arial" w:cs="Arial" w:eastAsia="Arial" w:hAnsi="Arial"/>
                <w:sz w:val="14"/>
                <w:szCs w:val="14"/>
                <w:color w:val="auto"/>
              </w:rPr>
              <w:t>Issuance of common stock</w:t>
            </w:r>
          </w:p>
        </w:tc>
        <w:tc>
          <w:tcPr>
            <w:tcW w:w="1160" w:type="dxa"/>
            <w:vAlign w:val="bottom"/>
          </w:tcPr>
          <w:p>
            <w:pPr>
              <w:jc w:val="right"/>
              <w:spacing w:after="0"/>
              <w:rPr>
                <w:sz w:val="20"/>
                <w:szCs w:val="20"/>
                <w:color w:val="auto"/>
              </w:rPr>
            </w:pPr>
            <w:r>
              <w:rPr>
                <w:rFonts w:ascii="Arial" w:cs="Arial" w:eastAsia="Arial" w:hAnsi="Arial"/>
                <w:sz w:val="14"/>
                <w:szCs w:val="14"/>
                <w:color w:val="auto"/>
              </w:rPr>
              <w:t>20,461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205</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306,706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306,911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Reinvestment of dividends</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1,255,942</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12,559</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18,581,032</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8"/>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18,593,591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tcPr>
          <w:p>
            <w:pPr>
              <w:ind w:left="200"/>
              <w:spacing w:after="0"/>
              <w:rPr>
                <w:sz w:val="20"/>
                <w:szCs w:val="20"/>
                <w:color w:val="auto"/>
              </w:rPr>
            </w:pPr>
            <w:r>
              <w:rPr>
                <w:rFonts w:ascii="Arial" w:cs="Arial" w:eastAsia="Arial" w:hAnsi="Arial"/>
                <w:sz w:val="14"/>
                <w:szCs w:val="14"/>
                <w:color w:val="auto"/>
              </w:rPr>
              <w:t>Offering costs</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4"/>
                <w:szCs w:val="14"/>
                <w:color w:val="auto"/>
              </w:rPr>
              <w:t>(4,831 )</w:t>
            </w:r>
          </w:p>
        </w:tc>
        <w:tc>
          <w:tcPr>
            <w:tcW w:w="160" w:type="dxa"/>
            <w:vAlign w:val="bottom"/>
          </w:tcPr>
          <w:p>
            <w:pPr>
              <w:spacing w:after="0"/>
              <w:rPr>
                <w:sz w:val="15"/>
                <w:szCs w:val="15"/>
                <w:color w:val="auto"/>
              </w:rPr>
            </w:pPr>
          </w:p>
        </w:tc>
        <w:tc>
          <w:tcPr>
            <w:tcW w:w="1380" w:type="dxa"/>
            <w:vAlign w:val="bottom"/>
            <w:gridSpan w:val="2"/>
          </w:tcPr>
          <w:p>
            <w:pPr>
              <w:jc w:val="right"/>
              <w:ind w:right="20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(4,831 )</w:t>
            </w:r>
          </w:p>
        </w:tc>
        <w:tc>
          <w:tcPr>
            <w:tcW w:w="0" w:type="dxa"/>
            <w:vAlign w:val="bottom"/>
          </w:tcPr>
          <w:p>
            <w:pPr>
              <w:spacing w:after="0"/>
              <w:rPr>
                <w:sz w:val="1"/>
                <w:szCs w:val="1"/>
                <w:color w:val="auto"/>
              </w:rPr>
            </w:pPr>
          </w:p>
        </w:tc>
      </w:tr>
      <w:tr>
        <w:trPr>
          <w:trHeight w:val="176"/>
        </w:trPr>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investment income</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22,822,211</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22,822,211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tcPr>
          <w:p>
            <w:pPr>
              <w:ind w:left="200"/>
              <w:spacing w:after="0"/>
              <w:rPr>
                <w:sz w:val="20"/>
                <w:szCs w:val="20"/>
                <w:color w:val="auto"/>
              </w:rPr>
            </w:pPr>
            <w:r>
              <w:rPr>
                <w:rFonts w:ascii="Arial" w:cs="Arial" w:eastAsia="Arial" w:hAnsi="Arial"/>
                <w:sz w:val="14"/>
                <w:szCs w:val="14"/>
                <w:color w:val="auto"/>
              </w:rPr>
              <w:t>Net realized gain (loss) on investments</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80" w:type="dxa"/>
            <w:vAlign w:val="bottom"/>
            <w:gridSpan w:val="2"/>
          </w:tcPr>
          <w:p>
            <w:pPr>
              <w:jc w:val="right"/>
              <w:ind w:right="128"/>
              <w:spacing w:after="0"/>
              <w:rPr>
                <w:sz w:val="20"/>
                <w:szCs w:val="20"/>
                <w:color w:val="auto"/>
              </w:rPr>
            </w:pPr>
            <w:r>
              <w:rPr>
                <w:rFonts w:ascii="Arial" w:cs="Arial" w:eastAsia="Arial" w:hAnsi="Arial"/>
                <w:sz w:val="14"/>
                <w:szCs w:val="14"/>
                <w:color w:val="auto"/>
              </w:rPr>
              <w:t>(4,795,077 )</w:t>
            </w:r>
          </w:p>
        </w:tc>
        <w:tc>
          <w:tcPr>
            <w:tcW w:w="3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(4,795,077 )</w:t>
            </w:r>
          </w:p>
        </w:tc>
        <w:tc>
          <w:tcPr>
            <w:tcW w:w="0" w:type="dxa"/>
            <w:vAlign w:val="bottom"/>
          </w:tcPr>
          <w:p>
            <w:pPr>
              <w:spacing w:after="0"/>
              <w:rPr>
                <w:sz w:val="1"/>
                <w:szCs w:val="1"/>
                <w:color w:val="auto"/>
              </w:rPr>
            </w:pPr>
          </w:p>
        </w:tc>
      </w:tr>
      <w:tr>
        <w:trPr>
          <w:trHeight w:val="143"/>
        </w:trPr>
        <w:tc>
          <w:tcPr>
            <w:tcW w:w="35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Net change in unrealized appreciation (depreciation)</w:t>
            </w:r>
          </w:p>
        </w:tc>
        <w:tc>
          <w:tcPr>
            <w:tcW w:w="116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on investments</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(1,944,463 )</w:t>
            </w:r>
          </w:p>
        </w:tc>
        <w:tc>
          <w:tcPr>
            <w:tcW w:w="30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(1,944,463 )</w:t>
            </w:r>
          </w:p>
        </w:tc>
        <w:tc>
          <w:tcPr>
            <w:tcW w:w="0" w:type="dxa"/>
            <w:vAlign w:val="bottom"/>
          </w:tcPr>
          <w:p>
            <w:pPr>
              <w:spacing w:after="0"/>
              <w:rPr>
                <w:sz w:val="1"/>
                <w:szCs w:val="1"/>
                <w:color w:val="auto"/>
              </w:rPr>
            </w:pPr>
          </w:p>
        </w:tc>
      </w:tr>
      <w:tr>
        <w:trPr>
          <w:trHeight w:val="176"/>
        </w:trPr>
        <w:tc>
          <w:tcPr>
            <w:tcW w:w="3500" w:type="dxa"/>
            <w:vAlign w:val="bottom"/>
          </w:tcPr>
          <w:p>
            <w:pPr>
              <w:ind w:left="200"/>
              <w:spacing w:after="0"/>
              <w:rPr>
                <w:sz w:val="20"/>
                <w:szCs w:val="20"/>
                <w:color w:val="auto"/>
              </w:rPr>
            </w:pPr>
            <w:r>
              <w:rPr>
                <w:rFonts w:ascii="Arial" w:cs="Arial" w:eastAsia="Arial" w:hAnsi="Arial"/>
                <w:sz w:val="14"/>
                <w:szCs w:val="14"/>
                <w:color w:val="auto"/>
              </w:rPr>
              <w:t>Dividends declared</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380" w:type="dxa"/>
            <w:vAlign w:val="bottom"/>
            <w:gridSpan w:val="2"/>
          </w:tcPr>
          <w:p>
            <w:pPr>
              <w:jc w:val="right"/>
              <w:ind w:right="128"/>
              <w:spacing w:after="0"/>
              <w:rPr>
                <w:sz w:val="20"/>
                <w:szCs w:val="20"/>
                <w:color w:val="auto"/>
              </w:rPr>
            </w:pPr>
            <w:r>
              <w:rPr>
                <w:rFonts w:ascii="Arial" w:cs="Arial" w:eastAsia="Arial" w:hAnsi="Arial"/>
                <w:sz w:val="14"/>
                <w:szCs w:val="14"/>
                <w:color w:val="auto"/>
              </w:rPr>
              <w:t>(23,482,930 )</w:t>
            </w:r>
          </w:p>
        </w:tc>
        <w:tc>
          <w:tcPr>
            <w:tcW w:w="300" w:type="dxa"/>
            <w:vAlign w:val="bottom"/>
          </w:tcPr>
          <w:p>
            <w:pPr>
              <w:spacing w:after="0"/>
              <w:rPr>
                <w:sz w:val="15"/>
                <w:szCs w:val="15"/>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4"/>
                <w:szCs w:val="14"/>
                <w:color w:val="auto"/>
              </w:rPr>
              <w:t>(23,482,930 )</w:t>
            </w:r>
          </w:p>
        </w:tc>
        <w:tc>
          <w:tcPr>
            <w:tcW w:w="0" w:type="dxa"/>
            <w:vAlign w:val="bottom"/>
          </w:tcPr>
          <w:p>
            <w:pPr>
              <w:spacing w:after="0"/>
              <w:rPr>
                <w:sz w:val="1"/>
                <w:szCs w:val="1"/>
                <w:color w:val="auto"/>
              </w:rPr>
            </w:pPr>
          </w:p>
        </w:tc>
      </w:tr>
      <w:tr>
        <w:trPr>
          <w:trHeight w:val="143"/>
        </w:trPr>
        <w:tc>
          <w:tcPr>
            <w:tcW w:w="35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Tax reconciliation of stockholders' equity in</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vMerge w:val="restart"/>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5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accordance with U.S. GAAP</w:t>
            </w: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2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vMerge w:val="continue"/>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2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vMerge w:val="continue"/>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500" w:type="dxa"/>
            <w:vAlign w:val="bottom"/>
          </w:tcPr>
          <w:p>
            <w:pPr>
              <w:ind w:left="20"/>
              <w:spacing w:after="0" w:line="155" w:lineRule="exact"/>
              <w:rPr>
                <w:sz w:val="20"/>
                <w:szCs w:val="20"/>
                <w:color w:val="auto"/>
              </w:rPr>
            </w:pPr>
            <w:r>
              <w:rPr>
                <w:rFonts w:ascii="Arial" w:cs="Arial" w:eastAsia="Arial" w:hAnsi="Arial"/>
                <w:sz w:val="14"/>
                <w:szCs w:val="14"/>
                <w:color w:val="auto"/>
              </w:rPr>
              <w:t>Balance, end of period</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32,690,454</w:t>
            </w:r>
          </w:p>
        </w:tc>
        <w:tc>
          <w:tcPr>
            <w:tcW w:w="480" w:type="dxa"/>
            <w:vAlign w:val="bottom"/>
            <w:gridSpan w:val="2"/>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55" w:lineRule="exact"/>
              <w:rPr>
                <w:sz w:val="20"/>
                <w:szCs w:val="20"/>
                <w:color w:val="auto"/>
              </w:rPr>
            </w:pPr>
            <w:r>
              <w:rPr>
                <w:rFonts w:ascii="Arial" w:cs="Arial" w:eastAsia="Arial" w:hAnsi="Arial"/>
                <w:sz w:val="14"/>
                <w:szCs w:val="14"/>
                <w:color w:val="auto"/>
              </w:rPr>
              <w:t>326,904</w:t>
            </w:r>
          </w:p>
        </w:tc>
        <w:tc>
          <w:tcPr>
            <w:tcW w:w="54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485,755,211</w:t>
            </w:r>
          </w:p>
        </w:tc>
        <w:tc>
          <w:tcPr>
            <w:tcW w:w="240" w:type="dxa"/>
            <w:vAlign w:val="bottom"/>
          </w:tcPr>
          <w:p>
            <w:pPr>
              <w:spacing w:after="0"/>
              <w:rPr>
                <w:sz w:val="14"/>
                <w:szCs w:val="14"/>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(8,343,018 )</w:t>
            </w:r>
          </w:p>
        </w:tc>
        <w:tc>
          <w:tcPr>
            <w:tcW w:w="300" w:type="dxa"/>
            <w:vAlign w:val="bottom"/>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line="155" w:lineRule="exact"/>
              <w:rPr>
                <w:sz w:val="20"/>
                <w:szCs w:val="20"/>
                <w:color w:val="auto"/>
              </w:rPr>
            </w:pPr>
            <w:r>
              <w:rPr>
                <w:rFonts w:ascii="Arial" w:cs="Arial" w:eastAsia="Arial" w:hAnsi="Arial"/>
                <w:sz w:val="14"/>
                <w:szCs w:val="14"/>
                <w:color w:val="auto"/>
              </w:rPr>
              <w:t>477,739,097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-142240</wp:posOffset>
            </wp:positionV>
            <wp:extent cx="76835"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-142240</wp:posOffset>
            </wp:positionV>
            <wp:extent cx="7747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-142240</wp:posOffset>
            </wp:positionV>
            <wp:extent cx="6858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-142240</wp:posOffset>
            </wp:positionV>
            <wp:extent cx="6858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wp:posOffset>
            </wp:positionV>
            <wp:extent cx="6858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The shares of common stock issued, the price per share and the proceeds raised, from inception through June 30, 2022, are detailed in the following table: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jc w:val="right"/>
              <w:ind w:right="379"/>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5"/>
                <w:szCs w:val="15"/>
                <w:color w:val="auto"/>
              </w:rPr>
            </w:pPr>
          </w:p>
        </w:tc>
        <w:tc>
          <w:tcPr>
            <w:tcW w:w="1040" w:type="dxa"/>
            <w:vAlign w:val="bottom"/>
          </w:tcPr>
          <w:p>
            <w:pPr>
              <w:jc w:val="center"/>
              <w:ind w:left="362"/>
              <w:spacing w:after="0"/>
              <w:rPr>
                <w:sz w:val="20"/>
                <w:szCs w:val="20"/>
                <w:color w:val="auto"/>
              </w:rPr>
            </w:pPr>
            <w:r>
              <w:rPr>
                <w:rFonts w:ascii="Arial" w:cs="Arial" w:eastAsia="Arial" w:hAnsi="Arial"/>
                <w:sz w:val="14"/>
                <w:szCs w:val="14"/>
                <w:b w:val="1"/>
                <w:bCs w:val="1"/>
                <w:color w:val="auto"/>
                <w:w w:val="92"/>
              </w:rPr>
              <w:t>Price Per</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431"/>
              <w:spacing w:after="0"/>
              <w:rPr>
                <w:sz w:val="20"/>
                <w:szCs w:val="20"/>
                <w:color w:val="auto"/>
              </w:rPr>
            </w:pPr>
            <w:r>
              <w:rPr>
                <w:rFonts w:ascii="Arial" w:cs="Arial" w:eastAsia="Arial" w:hAnsi="Arial"/>
                <w:sz w:val="14"/>
                <w:szCs w:val="14"/>
                <w:b w:val="1"/>
                <w:bCs w:val="1"/>
                <w:color w:val="auto"/>
              </w:rPr>
              <w:t>Gross</w:t>
            </w:r>
          </w:p>
        </w:tc>
        <w:tc>
          <w:tcPr>
            <w:tcW w:w="100" w:type="dxa"/>
            <w:vAlign w:val="bottom"/>
          </w:tcPr>
          <w:p>
            <w:pPr>
              <w:spacing w:after="0"/>
              <w:rPr>
                <w:sz w:val="15"/>
                <w:szCs w:val="15"/>
                <w:color w:val="auto"/>
              </w:rPr>
            </w:pPr>
          </w:p>
        </w:tc>
      </w:tr>
      <w:tr>
        <w:trPr>
          <w:trHeight w:val="185"/>
        </w:trPr>
        <w:tc>
          <w:tcPr>
            <w:tcW w:w="6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Issuance Date</w:t>
            </w:r>
          </w:p>
        </w:tc>
        <w:tc>
          <w:tcPr>
            <w:tcW w:w="160" w:type="dxa"/>
            <w:vAlign w:val="bottom"/>
          </w:tcPr>
          <w:p>
            <w:pPr>
              <w:spacing w:after="0"/>
              <w:rPr>
                <w:sz w:val="16"/>
                <w:szCs w:val="16"/>
                <w:color w:val="auto"/>
              </w:rPr>
            </w:pPr>
          </w:p>
        </w:tc>
        <w:tc>
          <w:tcPr>
            <w:tcW w:w="134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Issued</w:t>
            </w:r>
          </w:p>
        </w:tc>
        <w:tc>
          <w:tcPr>
            <w:tcW w:w="240" w:type="dxa"/>
            <w:vAlign w:val="bottom"/>
          </w:tcPr>
          <w:p>
            <w:pPr>
              <w:spacing w:after="0"/>
              <w:rPr>
                <w:sz w:val="16"/>
                <w:szCs w:val="16"/>
                <w:color w:val="auto"/>
              </w:rPr>
            </w:pPr>
          </w:p>
        </w:tc>
        <w:tc>
          <w:tcPr>
            <w:tcW w:w="1040" w:type="dxa"/>
            <w:vAlign w:val="bottom"/>
            <w:tcBorders>
              <w:bottom w:val="single" w:sz="8" w:color="auto"/>
            </w:tcBorders>
          </w:tcPr>
          <w:p>
            <w:pPr>
              <w:jc w:val="center"/>
              <w:ind w:left="362"/>
              <w:spacing w:after="0"/>
              <w:rPr>
                <w:sz w:val="20"/>
                <w:szCs w:val="20"/>
                <w:color w:val="auto"/>
              </w:rPr>
            </w:pPr>
            <w:r>
              <w:rPr>
                <w:rFonts w:ascii="Arial" w:cs="Arial" w:eastAsia="Arial" w:hAnsi="Arial"/>
                <w:sz w:val="14"/>
                <w:szCs w:val="14"/>
                <w:b w:val="1"/>
                <w:bCs w:val="1"/>
                <w:color w:val="auto"/>
                <w:w w:val="92"/>
              </w:rPr>
              <w:t>Share</w:t>
            </w:r>
          </w:p>
        </w:tc>
        <w:tc>
          <w:tcPr>
            <w:tcW w:w="4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331"/>
              <w:spacing w:after="0"/>
              <w:rPr>
                <w:sz w:val="20"/>
                <w:szCs w:val="20"/>
                <w:color w:val="auto"/>
              </w:rPr>
            </w:pPr>
            <w:r>
              <w:rPr>
                <w:rFonts w:ascii="Arial" w:cs="Arial" w:eastAsia="Arial" w:hAnsi="Arial"/>
                <w:sz w:val="14"/>
                <w:szCs w:val="14"/>
                <w:b w:val="1"/>
                <w:bCs w:val="1"/>
                <w:color w:val="auto"/>
              </w:rPr>
              <w:t>Proceeds</w:t>
            </w:r>
          </w:p>
        </w:tc>
        <w:tc>
          <w:tcPr>
            <w:tcW w:w="100" w:type="dxa"/>
            <w:vAlign w:val="bottom"/>
          </w:tcPr>
          <w:p>
            <w:pPr>
              <w:spacing w:after="0"/>
              <w:rPr>
                <w:sz w:val="16"/>
                <w:szCs w:val="16"/>
                <w:color w:val="auto"/>
              </w:rPr>
            </w:pPr>
          </w:p>
        </w:tc>
      </w:tr>
      <w:tr>
        <w:trPr>
          <w:trHeight w:val="196"/>
        </w:trPr>
        <w:tc>
          <w:tcPr>
            <w:tcW w:w="6280" w:type="dxa"/>
            <w:vAlign w:val="bottom"/>
            <w:gridSpan w:val="2"/>
            <w:shd w:val="clear" w:color="auto" w:fill="CFF0FC"/>
          </w:tcPr>
          <w:p>
            <w:pPr>
              <w:ind w:left="20"/>
              <w:spacing w:after="0" w:line="196" w:lineRule="exact"/>
              <w:rPr>
                <w:sz w:val="20"/>
                <w:szCs w:val="20"/>
                <w:color w:val="auto"/>
              </w:rPr>
            </w:pPr>
            <w:r>
              <w:rPr>
                <w:rFonts w:ascii="Arial" w:cs="Arial" w:eastAsia="Arial" w:hAnsi="Arial"/>
                <w:sz w:val="18"/>
                <w:szCs w:val="18"/>
                <w:color w:val="auto"/>
              </w:rPr>
              <w:t>October 8, 2015</w:t>
            </w: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1,667</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842"/>
              <w:spacing w:after="0" w:line="196" w:lineRule="exact"/>
              <w:rPr>
                <w:sz w:val="20"/>
                <w:szCs w:val="20"/>
                <w:color w:val="auto"/>
              </w:rPr>
            </w:pPr>
            <w:r>
              <w:rPr>
                <w:rFonts w:ascii="Arial" w:cs="Arial" w:eastAsia="Arial" w:hAnsi="Arial"/>
                <w:sz w:val="18"/>
                <w:szCs w:val="18"/>
                <w:color w:val="auto"/>
                <w:w w:val="99"/>
              </w:rPr>
              <w:t>$</w:t>
            </w:r>
          </w:p>
        </w:tc>
        <w:tc>
          <w:tcPr>
            <w:tcW w:w="4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88"/>
              </w:rPr>
              <w:t>15.00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25,000</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December 22, 2016</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333,333</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15.00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7"/>
                <w:szCs w:val="17"/>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April 19, 2017</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1,000,000</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15.00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15,000,000</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June 26, 2017</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1,666,667</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15.00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25,000,000</w:t>
            </w:r>
          </w:p>
        </w:tc>
        <w:tc>
          <w:tcPr>
            <w:tcW w:w="100" w:type="dxa"/>
            <w:vAlign w:val="bottom"/>
          </w:tcPr>
          <w:p>
            <w:pPr>
              <w:spacing w:after="0"/>
              <w:rPr>
                <w:sz w:val="17"/>
                <w:szCs w:val="17"/>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September 12, 2017</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2,666,667</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15.00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40,000,000</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December 22, 2017</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3,000,000</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15.00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45,000,000</w:t>
            </w:r>
          </w:p>
        </w:tc>
        <w:tc>
          <w:tcPr>
            <w:tcW w:w="100" w:type="dxa"/>
            <w:vAlign w:val="bottom"/>
          </w:tcPr>
          <w:p>
            <w:pPr>
              <w:spacing w:after="0"/>
              <w:rPr>
                <w:sz w:val="17"/>
                <w:szCs w:val="17"/>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May 31, 2018</w:t>
            </w:r>
            <w:r>
              <w:rPr>
                <w:rFonts w:ascii="Arial" w:cs="Arial" w:eastAsia="Arial" w:hAnsi="Arial"/>
                <w:sz w:val="23"/>
                <w:szCs w:val="23"/>
                <w:color w:val="auto"/>
                <w:vertAlign w:val="superscript"/>
              </w:rPr>
              <w:t>(1)</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70,563</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14.82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1,045,570</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August 31, 2018</w:t>
            </w:r>
            <w:r>
              <w:rPr>
                <w:rFonts w:ascii="Arial" w:cs="Arial" w:eastAsia="Arial" w:hAnsi="Arial"/>
                <w:sz w:val="23"/>
                <w:szCs w:val="23"/>
                <w:color w:val="auto"/>
                <w:vertAlign w:val="superscript"/>
              </w:rPr>
              <w:t>(1)</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117,582</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14.92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1,754,244</w:t>
            </w:r>
          </w:p>
        </w:tc>
        <w:tc>
          <w:tcPr>
            <w:tcW w:w="100" w:type="dxa"/>
            <w:vAlign w:val="bottom"/>
          </w:tcPr>
          <w:p>
            <w:pPr>
              <w:spacing w:after="0"/>
              <w:rPr>
                <w:sz w:val="17"/>
                <w:szCs w:val="17"/>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September 27, 2018</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1,997,337</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15.02</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30,000,000</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November 15, 2018</w:t>
            </w:r>
            <w:r>
              <w:rPr>
                <w:rFonts w:ascii="Arial" w:cs="Arial" w:eastAsia="Arial" w:hAnsi="Arial"/>
                <w:sz w:val="23"/>
                <w:szCs w:val="23"/>
                <w:color w:val="auto"/>
                <w:vertAlign w:val="superscript"/>
              </w:rPr>
              <w:t>(1)</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202,779</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15.07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3,055,498</w:t>
            </w:r>
          </w:p>
        </w:tc>
        <w:tc>
          <w:tcPr>
            <w:tcW w:w="100" w:type="dxa"/>
            <w:vAlign w:val="bottom"/>
          </w:tcPr>
          <w:p>
            <w:pPr>
              <w:spacing w:after="0"/>
              <w:rPr>
                <w:sz w:val="17"/>
                <w:szCs w:val="17"/>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January 14, 2019</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4,344,964</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15.19</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66,000,000</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March 26, 2019</w:t>
            </w:r>
            <w:r>
              <w:rPr>
                <w:rFonts w:ascii="Arial" w:cs="Arial" w:eastAsia="Arial" w:hAnsi="Arial"/>
                <w:sz w:val="23"/>
                <w:szCs w:val="23"/>
                <w:color w:val="auto"/>
                <w:vertAlign w:val="superscript"/>
              </w:rPr>
              <w:t>(1)</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326,431</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15.14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4,942,168</w:t>
            </w:r>
          </w:p>
        </w:tc>
        <w:tc>
          <w:tcPr>
            <w:tcW w:w="100" w:type="dxa"/>
            <w:vAlign w:val="bottom"/>
          </w:tcPr>
          <w:p>
            <w:pPr>
              <w:spacing w:after="0"/>
              <w:rPr>
                <w:sz w:val="17"/>
                <w:szCs w:val="17"/>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May 21, 2019</w:t>
            </w:r>
            <w:r>
              <w:rPr>
                <w:rFonts w:ascii="Arial" w:cs="Arial" w:eastAsia="Arial" w:hAnsi="Arial"/>
                <w:sz w:val="23"/>
                <w:szCs w:val="23"/>
                <w:color w:val="auto"/>
                <w:vertAlign w:val="superscript"/>
              </w:rPr>
              <w:t>(1)</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374,783</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15.13</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5,670,467</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May 24, 2019</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3,232,189</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15.16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49,000,000</w:t>
            </w:r>
          </w:p>
        </w:tc>
        <w:tc>
          <w:tcPr>
            <w:tcW w:w="100" w:type="dxa"/>
            <w:vAlign w:val="bottom"/>
          </w:tcPr>
          <w:p>
            <w:pPr>
              <w:spacing w:after="0"/>
              <w:rPr>
                <w:sz w:val="17"/>
                <w:szCs w:val="17"/>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July 16, 2019</w:t>
            </w:r>
            <w:r>
              <w:rPr>
                <w:rFonts w:ascii="Arial" w:cs="Arial" w:eastAsia="Arial" w:hAnsi="Arial"/>
                <w:sz w:val="23"/>
                <w:szCs w:val="23"/>
                <w:color w:val="auto"/>
                <w:vertAlign w:val="superscript"/>
              </w:rPr>
              <w:t>(1)</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464,986</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15.13</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7,035,236</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August 26, 2019</w:t>
            </w:r>
            <w:r>
              <w:rPr>
                <w:rFonts w:ascii="Arial" w:cs="Arial" w:eastAsia="Arial" w:hAnsi="Arial"/>
                <w:sz w:val="23"/>
                <w:szCs w:val="23"/>
                <w:color w:val="auto"/>
                <w:vertAlign w:val="superscript"/>
              </w:rPr>
              <w:t>(1)</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480,121</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14.76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7,088,143</w:t>
            </w:r>
          </w:p>
        </w:tc>
        <w:tc>
          <w:tcPr>
            <w:tcW w:w="100" w:type="dxa"/>
            <w:vAlign w:val="bottom"/>
          </w:tcPr>
          <w:p>
            <w:pPr>
              <w:spacing w:after="0"/>
              <w:rPr>
                <w:sz w:val="17"/>
                <w:szCs w:val="17"/>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October 15, 2019</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1,666,667</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15.00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25,000,000</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November 12, 2019</w:t>
            </w:r>
            <w:r>
              <w:rPr>
                <w:rFonts w:ascii="Arial" w:cs="Arial" w:eastAsia="Arial" w:hAnsi="Arial"/>
                <w:sz w:val="23"/>
                <w:szCs w:val="23"/>
                <w:color w:val="auto"/>
                <w:vertAlign w:val="superscript"/>
              </w:rPr>
              <w:t>(1)</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43,979</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14.76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649,123</w:t>
            </w:r>
          </w:p>
        </w:tc>
        <w:tc>
          <w:tcPr>
            <w:tcW w:w="100" w:type="dxa"/>
            <w:vAlign w:val="bottom"/>
          </w:tcPr>
          <w:p>
            <w:pPr>
              <w:spacing w:after="0"/>
              <w:rPr>
                <w:sz w:val="17"/>
                <w:szCs w:val="17"/>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20, 2019</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3,333,333</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15.00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50,000,000</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December 23, 2019</w:t>
            </w:r>
            <w:r>
              <w:rPr>
                <w:rFonts w:ascii="Arial" w:cs="Arial" w:eastAsia="Arial" w:hAnsi="Arial"/>
                <w:sz w:val="23"/>
                <w:szCs w:val="23"/>
                <w:color w:val="auto"/>
                <w:vertAlign w:val="superscript"/>
              </w:rPr>
              <w:t>(1)</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487,166</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14.52</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7,073,650</w:t>
            </w:r>
          </w:p>
        </w:tc>
        <w:tc>
          <w:tcPr>
            <w:tcW w:w="100" w:type="dxa"/>
            <w:vAlign w:val="bottom"/>
          </w:tcPr>
          <w:p>
            <w:pPr>
              <w:spacing w:after="0"/>
              <w:rPr>
                <w:sz w:val="17"/>
                <w:szCs w:val="17"/>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March 20, 2020</w:t>
            </w:r>
            <w:r>
              <w:rPr>
                <w:rFonts w:ascii="Arial" w:cs="Arial" w:eastAsia="Arial" w:hAnsi="Arial"/>
                <w:sz w:val="23"/>
                <w:szCs w:val="23"/>
                <w:color w:val="auto"/>
                <w:vertAlign w:val="superscript"/>
              </w:rPr>
              <w:t>(1)</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575,132</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14.58</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8,385,423</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March 31, 2020</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21,021</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15.00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315,308</w:t>
            </w:r>
          </w:p>
        </w:tc>
        <w:tc>
          <w:tcPr>
            <w:tcW w:w="100" w:type="dxa"/>
            <w:vAlign w:val="bottom"/>
          </w:tcPr>
          <w:p>
            <w:pPr>
              <w:spacing w:after="0"/>
              <w:rPr>
                <w:sz w:val="17"/>
                <w:szCs w:val="17"/>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May 21, 2020</w:t>
            </w:r>
            <w:r>
              <w:rPr>
                <w:rFonts w:ascii="Arial" w:cs="Arial" w:eastAsia="Arial" w:hAnsi="Arial"/>
                <w:sz w:val="23"/>
                <w:szCs w:val="23"/>
                <w:color w:val="auto"/>
                <w:vertAlign w:val="superscript"/>
              </w:rPr>
              <w:t>(1)</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529,020</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14.25</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7,538,541</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August 6, 2020</w:t>
            </w:r>
            <w:r>
              <w:rPr>
                <w:rFonts w:ascii="Arial" w:cs="Arial" w:eastAsia="Arial" w:hAnsi="Arial"/>
                <w:sz w:val="23"/>
                <w:szCs w:val="23"/>
                <w:color w:val="auto"/>
                <w:vertAlign w:val="superscript"/>
              </w:rPr>
              <w:t>(1)</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550,639</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14.41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7,934,712</w:t>
            </w:r>
          </w:p>
        </w:tc>
        <w:tc>
          <w:tcPr>
            <w:tcW w:w="100" w:type="dxa"/>
            <w:vAlign w:val="bottom"/>
          </w:tcPr>
          <w:p>
            <w:pPr>
              <w:spacing w:after="0"/>
              <w:rPr>
                <w:sz w:val="17"/>
                <w:szCs w:val="17"/>
                <w:color w:val="auto"/>
              </w:rPr>
            </w:pPr>
          </w:p>
        </w:tc>
      </w:tr>
      <w:tr>
        <w:trPr>
          <w:trHeight w:val="202"/>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October 15, 2020</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3,333,333</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15.00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50,000,000</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November 12, 2020</w:t>
            </w:r>
            <w:r>
              <w:rPr>
                <w:rFonts w:ascii="Arial" w:cs="Arial" w:eastAsia="Arial" w:hAnsi="Arial"/>
                <w:sz w:val="23"/>
                <w:szCs w:val="23"/>
                <w:color w:val="auto"/>
                <w:vertAlign w:val="superscript"/>
              </w:rPr>
              <w:t>(1)</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593,692</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14.46</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8,584,772</w:t>
            </w:r>
          </w:p>
        </w:tc>
        <w:tc>
          <w:tcPr>
            <w:tcW w:w="100" w:type="dxa"/>
            <w:vAlign w:val="bottom"/>
          </w:tcPr>
          <w:p>
            <w:pPr>
              <w:spacing w:after="0"/>
              <w:rPr>
                <w:sz w:val="17"/>
                <w:szCs w:val="17"/>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March 19, 2021</w:t>
            </w:r>
            <w:r>
              <w:rPr>
                <w:rFonts w:ascii="Arial" w:cs="Arial" w:eastAsia="Arial" w:hAnsi="Arial"/>
                <w:sz w:val="23"/>
                <w:szCs w:val="23"/>
                <w:color w:val="auto"/>
                <w:vertAlign w:val="superscript"/>
              </w:rPr>
              <w:t>(1)</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618,815</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14.84</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9,183,220</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March 24, 2021</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20,461</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15.00</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306,911</w:t>
            </w:r>
          </w:p>
        </w:tc>
        <w:tc>
          <w:tcPr>
            <w:tcW w:w="100" w:type="dxa"/>
            <w:vAlign w:val="bottom"/>
          </w:tcPr>
          <w:p>
            <w:pPr>
              <w:spacing w:after="0"/>
              <w:rPr>
                <w:sz w:val="17"/>
                <w:szCs w:val="17"/>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7"/>
                <w:szCs w:val="17"/>
                <w:color w:val="auto"/>
              </w:rPr>
              <w:t>May 13, 2021</w:t>
            </w:r>
            <w:r>
              <w:rPr>
                <w:rFonts w:ascii="Arial" w:cs="Arial" w:eastAsia="Arial" w:hAnsi="Arial"/>
                <w:sz w:val="23"/>
                <w:szCs w:val="23"/>
                <w:color w:val="auto"/>
                <w:vertAlign w:val="superscript"/>
              </w:rPr>
              <w:t>(1)</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637,127</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14.77</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9,410,371</w:t>
            </w:r>
          </w:p>
        </w:tc>
        <w:tc>
          <w:tcPr>
            <w:tcW w:w="100" w:type="dxa"/>
            <w:vAlign w:val="bottom"/>
            <w:shd w:val="clear" w:color="auto" w:fill="CFF0FC"/>
          </w:tcPr>
          <w:p>
            <w:pPr>
              <w:spacing w:after="0"/>
              <w:rPr>
                <w:sz w:val="17"/>
                <w:szCs w:val="17"/>
                <w:color w:val="auto"/>
              </w:rPr>
            </w:pPr>
          </w:p>
        </w:tc>
      </w:tr>
      <w:tr>
        <w:trPr>
          <w:trHeight w:val="203"/>
        </w:trPr>
        <w:tc>
          <w:tcPr>
            <w:tcW w:w="6280" w:type="dxa"/>
            <w:vAlign w:val="bottom"/>
            <w:gridSpan w:val="2"/>
          </w:tcPr>
          <w:p>
            <w:pPr>
              <w:ind w:left="20"/>
              <w:spacing w:after="0" w:line="202" w:lineRule="exact"/>
              <w:rPr>
                <w:sz w:val="20"/>
                <w:szCs w:val="20"/>
                <w:color w:val="auto"/>
              </w:rPr>
            </w:pPr>
            <w:r>
              <w:rPr>
                <w:rFonts w:ascii="Arial" w:cs="Arial" w:eastAsia="Arial" w:hAnsi="Arial"/>
                <w:sz w:val="17"/>
                <w:szCs w:val="17"/>
                <w:color w:val="auto"/>
              </w:rPr>
              <w:t>August 12, 2021</w:t>
            </w:r>
            <w:r>
              <w:rPr>
                <w:rFonts w:ascii="Arial" w:cs="Arial" w:eastAsia="Arial" w:hAnsi="Arial"/>
                <w:sz w:val="23"/>
                <w:szCs w:val="23"/>
                <w:color w:val="auto"/>
                <w:vertAlign w:val="superscript"/>
              </w:rPr>
              <w:t>(1)</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575,032</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14.61</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8,401,215</w:t>
            </w:r>
          </w:p>
        </w:tc>
        <w:tc>
          <w:tcPr>
            <w:tcW w:w="100" w:type="dxa"/>
            <w:vAlign w:val="bottom"/>
          </w:tcPr>
          <w:p>
            <w:pPr>
              <w:spacing w:after="0"/>
              <w:rPr>
                <w:sz w:val="17"/>
                <w:szCs w:val="17"/>
                <w:color w:val="auto"/>
              </w:rPr>
            </w:pPr>
          </w:p>
        </w:tc>
      </w:tr>
      <w:tr>
        <w:trPr>
          <w:trHeight w:val="203"/>
        </w:trPr>
        <w:tc>
          <w:tcPr>
            <w:tcW w:w="6280" w:type="dxa"/>
            <w:vAlign w:val="bottom"/>
            <w:gridSpan w:val="2"/>
            <w:shd w:val="clear" w:color="auto" w:fill="CFF0FC"/>
          </w:tcPr>
          <w:p>
            <w:pPr>
              <w:ind w:left="20"/>
              <w:spacing w:after="0" w:line="202" w:lineRule="exact"/>
              <w:rPr>
                <w:sz w:val="20"/>
                <w:szCs w:val="20"/>
                <w:color w:val="auto"/>
              </w:rPr>
            </w:pPr>
            <w:r>
              <w:rPr>
                <w:rFonts w:ascii="Arial" w:cs="Arial" w:eastAsia="Arial" w:hAnsi="Arial"/>
                <w:sz w:val="18"/>
                <w:szCs w:val="18"/>
                <w:color w:val="auto"/>
              </w:rPr>
              <w:t>September 29, 2021</w:t>
            </w:r>
          </w:p>
        </w:tc>
        <w:tc>
          <w:tcPr>
            <w:tcW w:w="15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1,265,128</w:t>
            </w: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8"/>
              </w:rPr>
              <w:t>15.00</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18,976,917</w:t>
            </w:r>
          </w:p>
        </w:tc>
        <w:tc>
          <w:tcPr>
            <w:tcW w:w="100" w:type="dxa"/>
            <w:vAlign w:val="bottom"/>
            <w:shd w:val="clear" w:color="auto" w:fill="CFF0FC"/>
          </w:tcPr>
          <w:p>
            <w:pPr>
              <w:spacing w:after="0"/>
              <w:rPr>
                <w:sz w:val="17"/>
                <w:szCs w:val="17"/>
                <w:color w:val="auto"/>
              </w:rPr>
            </w:pPr>
          </w:p>
        </w:tc>
      </w:tr>
      <w:tr>
        <w:trPr>
          <w:trHeight w:val="223"/>
        </w:trPr>
        <w:tc>
          <w:tcPr>
            <w:tcW w:w="62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October 25, 2021</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6,850,000</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jc w:val="right"/>
              <w:spacing w:after="0" w:line="202" w:lineRule="exact"/>
              <w:rPr>
                <w:sz w:val="20"/>
                <w:szCs w:val="20"/>
                <w:color w:val="auto"/>
              </w:rPr>
            </w:pPr>
            <w:r>
              <w:rPr>
                <w:rFonts w:ascii="Arial" w:cs="Arial" w:eastAsia="Arial" w:hAnsi="Arial"/>
                <w:sz w:val="18"/>
                <w:szCs w:val="18"/>
                <w:color w:val="auto"/>
                <w:w w:val="88"/>
              </w:rPr>
              <w:t>14.60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100,010,000</w:t>
            </w:r>
          </w:p>
        </w:tc>
        <w:tc>
          <w:tcPr>
            <w:tcW w:w="100" w:type="dxa"/>
            <w:vAlign w:val="bottom"/>
          </w:tcPr>
          <w:p>
            <w:pPr>
              <w:spacing w:after="0"/>
              <w:rPr>
                <w:sz w:val="19"/>
                <w:szCs w:val="19"/>
                <w:color w:val="auto"/>
              </w:rPr>
            </w:pPr>
          </w:p>
        </w:tc>
      </w:tr>
      <w:tr>
        <w:trPr>
          <w:trHeight w:val="215"/>
        </w:trPr>
        <w:tc>
          <w:tcPr>
            <w:tcW w:w="6280" w:type="dxa"/>
            <w:vAlign w:val="bottom"/>
            <w:tcBorders>
              <w:top w:val="single" w:sz="8" w:color="CFF0FC"/>
              <w:bottom w:val="single" w:sz="8" w:color="CFF0FC"/>
            </w:tcBorders>
            <w:gridSpan w:val="2"/>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b w:val="1"/>
                <w:bCs w:val="1"/>
                <w:color w:val="auto"/>
              </w:rPr>
              <w:t>41,380,614</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CFF0FC"/>
              <w:bottom w:val="single" w:sz="8" w:color="CFF0FC"/>
            </w:tcBorders>
            <w:shd w:val="clear" w:color="auto" w:fill="CFF0FC"/>
          </w:tcPr>
          <w:p>
            <w:pPr>
              <w:spacing w:after="0"/>
              <w:rPr>
                <w:sz w:val="18"/>
                <w:szCs w:val="18"/>
                <w:color w:val="auto"/>
              </w:rPr>
            </w:pPr>
          </w:p>
        </w:tc>
        <w:tc>
          <w:tcPr>
            <w:tcW w:w="4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FF0FC"/>
          </w:tcPr>
          <w:p>
            <w:pPr>
              <w:jc w:val="right"/>
              <w:spacing w:after="0" w:line="176" w:lineRule="exact"/>
              <w:rPr>
                <w:sz w:val="20"/>
                <w:szCs w:val="20"/>
                <w:color w:val="auto"/>
              </w:rPr>
            </w:pPr>
            <w:r>
              <w:rPr>
                <w:rFonts w:ascii="Arial" w:cs="Arial" w:eastAsia="Arial" w:hAnsi="Arial"/>
                <w:sz w:val="18"/>
                <w:szCs w:val="18"/>
                <w:b w:val="1"/>
                <w:bCs w:val="1"/>
                <w:color w:val="auto"/>
              </w:rPr>
              <w:t>617,386,489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000" w:type="dxa"/>
            <w:vAlign w:val="bottom"/>
            <w:tcBorders>
              <w:top w:val="single" w:sz="8" w:color="CFF0FC"/>
            </w:tcBorders>
            <w:shd w:val="clear" w:color="auto" w:fill="000000"/>
          </w:tcPr>
          <w:p>
            <w:pPr>
              <w:spacing w:after="0" w:line="20" w:lineRule="exact"/>
              <w:rPr>
                <w:sz w:val="1"/>
                <w:szCs w:val="1"/>
                <w:color w:val="auto"/>
              </w:rPr>
            </w:pPr>
          </w:p>
        </w:tc>
        <w:tc>
          <w:tcPr>
            <w:tcW w:w="3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34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000000"/>
          </w:tcPr>
          <w:p>
            <w:pPr>
              <w:spacing w:after="0" w:line="20" w:lineRule="exact"/>
              <w:rPr>
                <w:sz w:val="1"/>
                <w:szCs w:val="1"/>
                <w:color w:val="auto"/>
              </w:rPr>
            </w:pPr>
          </w:p>
        </w:tc>
        <w:tc>
          <w:tcPr>
            <w:tcW w:w="126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-33655</wp:posOffset>
            </wp:positionV>
            <wp:extent cx="6858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-16510</wp:posOffset>
            </wp:positionV>
            <wp:extent cx="6858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-33655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wp:posOffset>
            </wp:positionV>
            <wp:extent cx="6858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680" w:hanging="285"/>
        <w:spacing w:after="0"/>
        <w:tabs>
          <w:tab w:leader="none" w:pos="680"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Shares were issued as part of the dividend reinvestment plan.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Agreements and Transactions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Advisory Agreement</w:t>
      </w:r>
    </w:p>
    <w:p>
      <w:pPr>
        <w:spacing w:after="0" w:line="21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7"/>
          <w:szCs w:val="17"/>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(together with a subsequent amendment thereto, the “Prior Agreement”). On August 3, 2017, the Board of Directors approved certain amendments to the Prior Agreement (the “First Amended and Restated Advisory Agreement”) and recommended that the Company’s stockholders approve the First Amended and Restated Advisory Agreement. The First Amended and Restated Advisory Agreement became effective on September 12, 2017 upon approval by the stockholders at a special meeting of stockholders of the Company. On April 7, 2021, the Board of Directors approved certain additional amendments to the advisory agreement (the “Advisory Agreement”) at a virtual meeting and recommended that the Company’s stockholders approve the Advisory Agreement. In reliance upon certain exemptive relief granted by the SEC in connection with the global COVID-19 pandemic, the Board of Directors undertook to ratify the Advisory Agreement at its next in-person meeting which was held in July 2021. The Advisory Agreement became effective on May 27, 2021 upon approval by the stockholders at a special meeting of stockholders of the Company. The Advisory Agreement amended the Prior Advisory Agreement to include certain revisions to the management and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incentive fee calculation mechanisms and clarify language relating to liquidity events. Under the terms of the Advisory Agreement, RGC:</w:t>
      </w:r>
    </w:p>
    <w:p>
      <w:pPr>
        <w:spacing w:after="0" w:line="171" w:lineRule="exact"/>
        <w:rPr>
          <w:sz w:val="20"/>
          <w:szCs w:val="20"/>
          <w:color w:val="auto"/>
        </w:rPr>
      </w:pPr>
    </w:p>
    <w:p>
      <w:pPr>
        <w:ind w:left="660" w:right="20" w:hanging="371"/>
        <w:spacing w:after="0" w:line="261"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determines the composition of the Company’s portfolio, the nature and timing of the changes to the portfolio and the manner of implementing such changes;</w:t>
      </w:r>
    </w:p>
    <w:p>
      <w:pPr>
        <w:spacing w:after="0" w:line="143" w:lineRule="exact"/>
        <w:rPr>
          <w:rFonts w:ascii="Arial" w:cs="Arial" w:eastAsia="Arial" w:hAnsi="Arial"/>
          <w:sz w:val="18"/>
          <w:szCs w:val="18"/>
          <w:color w:val="auto"/>
        </w:rPr>
      </w:pPr>
    </w:p>
    <w:p>
      <w:pPr>
        <w:ind w:left="680" w:hanging="372"/>
        <w:spacing w:after="0"/>
        <w:tabs>
          <w:tab w:leader="none" w:pos="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the Company makes;</w:t>
      </w:r>
    </w:p>
    <w:p>
      <w:pPr>
        <w:spacing w:after="0" w:line="171" w:lineRule="exact"/>
        <w:rPr>
          <w:rFonts w:ascii="Arial" w:cs="Arial" w:eastAsia="Arial" w:hAnsi="Arial"/>
          <w:sz w:val="18"/>
          <w:szCs w:val="18"/>
          <w:color w:val="auto"/>
        </w:rPr>
      </w:pPr>
    </w:p>
    <w:p>
      <w:pPr>
        <w:ind w:left="680" w:hanging="372"/>
        <w:spacing w:after="0"/>
        <w:tabs>
          <w:tab w:leader="none" w:pos="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executes, closes and monitors the investments the Company makes;</w:t>
      </w:r>
    </w:p>
    <w:p>
      <w:pPr>
        <w:spacing w:after="0" w:line="171" w:lineRule="exact"/>
        <w:rPr>
          <w:rFonts w:ascii="Arial" w:cs="Arial" w:eastAsia="Arial" w:hAnsi="Arial"/>
          <w:sz w:val="18"/>
          <w:szCs w:val="18"/>
          <w:color w:val="auto"/>
        </w:rPr>
      </w:pPr>
    </w:p>
    <w:p>
      <w:pPr>
        <w:ind w:left="680" w:hanging="372"/>
        <w:spacing w:after="0"/>
        <w:tabs>
          <w:tab w:leader="none" w:pos="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determines the securities and other assets that the Company will purchase, retain or sell;</w:t>
      </w:r>
    </w:p>
    <w:p>
      <w:pPr>
        <w:spacing w:after="0" w:line="184" w:lineRule="exact"/>
        <w:rPr>
          <w:rFonts w:ascii="Arial" w:cs="Arial" w:eastAsia="Arial" w:hAnsi="Arial"/>
          <w:sz w:val="18"/>
          <w:szCs w:val="18"/>
          <w:color w:val="auto"/>
        </w:rPr>
      </w:pPr>
    </w:p>
    <w:p>
      <w:pPr>
        <w:ind w:left="680" w:hanging="372"/>
        <w:spacing w:after="0"/>
        <w:tabs>
          <w:tab w:leader="none" w:pos="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171" w:lineRule="exact"/>
        <w:rPr>
          <w:rFonts w:ascii="Arial" w:cs="Arial" w:eastAsia="Arial" w:hAnsi="Arial"/>
          <w:sz w:val="18"/>
          <w:szCs w:val="18"/>
          <w:color w:val="auto"/>
        </w:rPr>
      </w:pPr>
    </w:p>
    <w:p>
      <w:pPr>
        <w:ind w:left="680" w:right="20" w:hanging="372"/>
        <w:spacing w:after="0" w:line="261" w:lineRule="auto"/>
        <w:tabs>
          <w:tab w:leader="none" w:pos="68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provides the Company with other such investment advisory, research and related services as the Company may, from time to time, reasonably require for the investment of its funds.</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Pursuant to the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Management Fee</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base management fee is payable on the first day of each calendar quarter.</w:t>
      </w:r>
    </w:p>
    <w:p>
      <w:pPr>
        <w:spacing w:after="0" w:line="212"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6"/>
          <w:szCs w:val="16"/>
          <w:color w:val="auto"/>
        </w:rPr>
        <w:t>For purposes of the Advisory Agreement, a “Spin-Off transaction” includes either a transaction whereby (a) the Company offers its stockholders the option to elect to either (i) retain their ownership of shares of the Company’s common stock, or (ii) exchange their shares of the Company’s common stock for shares of common stock in a newly formed entity (the “Public Fund”) that will elect to be regulated as a BDC under the 1940 Act and treated as a RIC under Subchapter M of the Code (the “Public Fund Spin Off”); or (b) the Company completes a listing of the Company’s securities on any securities exchange (an “Exchange Listing”). The base management fee will be an amount equal to 0.40% (1.60% annualized) of the Company’s average daily Gross Assets (defined below) during the most recently completed calendar quarter for so long as the aggregate amount of Gross Assets of the Company as of the end of the most recently completed calendar quarter is equal or greater than $500,000,000 but less than $1,000,000,000. For purposes of the Advisory Agreement, “Gross Assets” is defined as the Company’s gross assets, including assets purchased with borrowed funds or other forms of leverage, as well as any PIK interest, as of the end of the most recently completed fiscal quarter. If the aggregate amount of the Company’s Gross Assets as of the end of the most recently completed calendar quarter is less than $500,000,000 the base management fee will be an amount equal to 0.4375% (1.75%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16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RGC earned base management fees of $2,862,303 and $5,422,239, respectively, for the three and six months ended June 30, 2022, and $2,276,341 and $4,345,550, respectively, for the three and six months ended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Fee</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182"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6"/>
          <w:szCs w:val="16"/>
          <w:color w:val="auto"/>
        </w:rPr>
        <w:t>Under the investment-income component (the “Income Incentive Fee”), the Company pays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amended and restated administration agreement with the Administrator (the “Administration Agreement”), and any dividends paid on any issued and outstanding preferred stock, but excluding the incentive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fee). Pre-Incentive Fee net investment income includes, in the case of investments with a deferred interest feature (such as OID,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80" w:lineRule="exact"/>
        <w:rPr>
          <w:sz w:val="20"/>
          <w:szCs w:val="20"/>
          <w:color w:val="auto"/>
        </w:rPr>
      </w:pPr>
    </w:p>
    <w:p>
      <w:pPr>
        <w:jc w:val="both"/>
        <w:ind w:firstLine="749"/>
        <w:spacing w:after="0" w:line="269" w:lineRule="auto"/>
        <w:rPr>
          <w:sz w:val="20"/>
          <w:szCs w:val="20"/>
          <w:color w:val="auto"/>
        </w:rPr>
      </w:pPr>
      <w:r>
        <w:rPr>
          <w:rFonts w:ascii="Arial" w:cs="Arial" w:eastAsia="Arial" w:hAnsi="Arial"/>
          <w:sz w:val="16"/>
          <w:szCs w:val="16"/>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pays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w:t>
      </w:r>
    </w:p>
    <w:p>
      <w:pPr>
        <w:spacing w:after="0" w:line="1" w:lineRule="exact"/>
        <w:rPr>
          <w:sz w:val="20"/>
          <w:szCs w:val="20"/>
          <w:color w:val="auto"/>
        </w:rPr>
      </w:pPr>
    </w:p>
    <w:p>
      <w:pPr>
        <w:jc w:val="both"/>
        <w:ind w:firstLine="8"/>
        <w:spacing w:after="0" w:line="252" w:lineRule="auto"/>
        <w:tabs>
          <w:tab w:leader="none" w:pos="265" w:val="left"/>
        </w:tabs>
        <w:numPr>
          <w:ilvl w:val="0"/>
          <w:numId w:val="19"/>
        </w:numPr>
        <w:rPr>
          <w:rFonts w:ascii="Arial" w:cs="Arial" w:eastAsia="Arial" w:hAnsi="Arial"/>
          <w:sz w:val="17"/>
          <w:szCs w:val="17"/>
          <w:color w:val="auto"/>
        </w:rPr>
      </w:pPr>
      <w:r>
        <w:rPr>
          <w:rFonts w:ascii="Arial" w:cs="Arial" w:eastAsia="Arial" w:hAnsi="Arial"/>
          <w:sz w:val="17"/>
          <w:szCs w:val="17"/>
          <w:color w:val="auto"/>
        </w:rPr>
        <w:t>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8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7"/>
          <w:szCs w:val="17"/>
          <w:color w:val="auto"/>
        </w:rPr>
        <w:t>Prior to the consummation of the IPO, in the event that (a) the sum of the Company’s cumulative net realized losses since the date of the Company’s election to be regulated as a BDC exceeded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was less than 10.0%, no Income Incentive Fee would be payable for such quarter until the first subsequent quarter in which either (x) the sum of the Company’s cumulative net realized losses since the date of the Company’s election to be regulated as a BDC was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would any Income Incentive Fee be payable for any prior quarter after the three-year anniversary of the end of such quarter.</w:t>
      </w:r>
    </w:p>
    <w:p>
      <w:pPr>
        <w:spacing w:after="0" w:line="183"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For the foregoing purpose, the Company’s “aggregate cumulative realized capital gains” will not include any unrealized appreciation. If such amount is negative, then no Capital Gains Fee will be payable for such year.</w:t>
      </w:r>
    </w:p>
    <w:p>
      <w:pPr>
        <w:spacing w:after="0" w:line="189"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16"/>
          <w:szCs w:val="16"/>
          <w:color w:val="auto"/>
        </w:rPr>
        <w:t>RGC earned incentive fees of $3,621,139 and $4,965,135, respectively, for the three and six months ended June 30, 2022; $3,028,355 and $4,084,578, respectively, of the incentive fees for the three and six months ended June 30, 2022 were earned, payable in cash, and $592,784 and $880,557, respectively, of the incentive fees for the three and six months ended June 30, 2022 were accrued and generated from deferred interest (i.e., PIK interest and certain discount accretion) and are not payable pending receipt of cash by the Company. RGC earned incentive fees for the three and six months ended June 30, 2021 of $2,836,303 and $3,812,007, respectively; $2,229,639 and $2,968,870, respectively, of the incentive fees for the three and six months ended June 30, 2021 were earned, payable in cash, and $606,664 and $843,137, respectively, of the incentive fees for the three and six months ended June 30, 2021 were accrued and deferred (i.e., PIK interest and certain discount accretion) and are not payable pending receipt of cash by the Company. Both currently payable in cash, $3,852,055 and $2,493,508, and deferred incentive fees, $3,563,279 and $3,516,742, are included in accrued incentive fees on the Statements of Assets and Liabilities as of June 30, 2022 and December 31, 2021, respectively.</w:t>
      </w:r>
    </w:p>
    <w:p>
      <w:pPr>
        <w:spacing w:after="0" w:line="16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 be considered in calculating the fee actually payable under the Advisory Agreement. As of each of June 30, 2022 and December 31, 2021, there was no capital gains incentive fee accrued, earned or payable to RGC under the Advisory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Spin-Off Incentive Fee</w:t>
      </w:r>
    </w:p>
    <w:p>
      <w:pPr>
        <w:spacing w:after="0" w:line="21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7"/>
          <w:szCs w:val="17"/>
          <w:color w:val="auto"/>
        </w:rPr>
        <w:t>The Income Incentive Fee payable in connection with a Public Fund Spin-Off, including the IPO, as follows. The Income Incentive Fee is calculated as of the date of the completion of each Public Fund Spin-Off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the Public Fund Spin-Off (x) include the portion of the Income Incentive Fee attributable to deferred interest features of a particular investment that is not transferred pursuant to the Public Fund Spin-Off until such time as the deferred interest is received in cash, or (y) exceed 20.0% of the Company’s Pre-Incentive Fee net investment income accrued by the Company for the fiscal quarter as of the date of the completion of the Public-Fund Spin-Off. The Company will make the payment of the Income Incentive Fee paid in connection with the completion of the Public Fund Spin-Off in cash on or immediately following the date of the completion of the Public-Fund Spin-Off. After the Public Fund Spin-Off, all calculations relating to the incentive fee payable will be made beginning on the day immediately following the completion of the Public Fund Spin-Off without taking into account the exchanged shares of the Company’s common stock (or contributions, distributions or proceeds relating thereto).</w:t>
      </w:r>
    </w:p>
    <w:p>
      <w:pPr>
        <w:spacing w:after="0" w:line="18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Capital Gains Fee is payable in respect of the exchanged shares of the Company’s common stock in connection with the Public Fund Spin-Off and is calculated as of the date of the completion of the Public Fund Spin-Off as if such date were a calendar year-end for purposes of calculating and paying the Capital Gains Fee.</w:t>
      </w:r>
    </w:p>
    <w:p>
      <w:pPr>
        <w:spacing w:after="0" w:line="18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No Income Incentive Fee or Capital Gains Fee is payable in connection with the Public Fund Spin-Off unless, on the date of the completion of the Public Fund Spin-Off, the sum of the Company’s (i) Pre-Incentive Fee net investment income and (ii) realized capital gains less realized capital losses and unrealized capital depreciation from the date of the Company’s election to be regulated as a BDC through, and including, the date of the completion of the Public Fund Spin-Off, is greater than 8.0% of the cumulative net investments made by the Company since the Company’s election to be regulated as a BDC.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12"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7"/>
          <w:szCs w:val="17"/>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7"/>
          <w:szCs w:val="17"/>
          <w:color w:val="auto"/>
        </w:rPr>
        <w:t>The Company reimbursed the Administrator $274,283 and $562,391, respectively, during the three and six months ended June 30, 2022. As of June 30, 2022, the Company had accrued a net payable to the Administrator of $184,759. Of the total amount reimbursed and accrued during the three and six months ended June 30, 2022, $242,792 and $495,076, respectively, was related to overhead allocation expense. The Company reimbursed the Administrator $163,842 and $479,382 during the three and six months ended June 30, 2021. As of June 30, 2021, the Company accrued a net payable to the Administrator of $116,544. Of the total amount reimbursed and accrued during the three and six months ended June 30, 2021, $151,524 and $437,439, respectively, was related to overhead allocation expense. As of December 31, 2021, the Company had accrued a net payable to the Administrator of $221,243. Administration fees, which include fees payable by the Administrator to third-party service providers who provide additional administration services for the Company, were $168,078 and $336,651, respectively, for the three and six months ended June 30, 2022. Administration fees, which include fees payable by the Administrator to third-party service providers who provide additional administration services for the Company, were $92,760 and $240,860, respectively, for the three and six months ended June 30, 2021.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Company has entered into a license agreement with RGC (the “License Agreement”) pursuant to which RGC has granted the Company a personal, non-exclusive, royalty-free right and license to use the name “Runway Growth Finance”. Under the License Agreement, the Company has the right to use the “Runway Growth Finance” name for so long as RGC or one of its affiliates remains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investment adviser. Other than with respect to this limited license, the Company has no legal right to the “Runway Growth Finance” name.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Oaktree Strategic Relationship</w:t>
      </w:r>
    </w:p>
    <w:p>
      <w:pPr>
        <w:spacing w:after="0" w:line="21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In connection with the strategic relationship, OCM purchased an aggregate of 14,571,334 shares of our common stock for an aggregate purchase price of $219.3 million in our Initial Private Offering and our Second Private Offering. As of June 30, 2022, OCM owns 21,129,668 shares of our common stock or approximately 52% of our outstanding shares. OCM has granted a proxy to us pursuant to which the shares held by OCM will be voted in the same proportion as our other stockholders vote their shares.</w:t>
      </w:r>
    </w:p>
    <w:p>
      <w:pPr>
        <w:spacing w:after="0" w:line="18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7"/>
          <w:szCs w:val="17"/>
          <w:color w:val="auto"/>
        </w:rPr>
        <w:t>In connection with OCM’s commitment, the Company entered into a stockholder agreement, dated December 15, 2016, with OCM, pursuant to which OCM has a right to nominate a member of the Company’s Board of Directors for election for so long as OCM holds shares of the Company’s common stock in an amount equal to, in the aggregate, at least one-third (33%) of OCM’s initial $125 million capital commitment. Brian Laibow, Co-Head of North America &amp; Managing Director Opportunities Funds, serves on the Company’s Board of Directors as OCM’s director nominee and is considered an interested director. OCM also holds a minority interest in RGC and has the right to appoint a member of RGC’s board of managers and a member of RGC’s investment committee. Brian Laibow is OCM’s appointee to RGC’s board of managers and investment committee. OCM also purchased additional equity in RGC in connection with its commitment to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1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The Company’s assets and liabilities recorded at fair value have been categorized based upon a fair value hierarchy in accordance with ASC Topic 820. See Note 2 for discussion of the Company’s valuation policies.</w:t>
      </w:r>
    </w:p>
    <w:p>
      <w:pPr>
        <w:spacing w:after="0" w:line="171"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color w:val="auto"/>
        </w:rPr>
        <w:t>The following tables present information about the Company’s assets and liabilities measured at fair value as of June 30, 2022 and December 31, 2021,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6"/>
          </w:tcPr>
          <w:p>
            <w:pPr>
              <w:jc w:val="right"/>
              <w:ind w:right="312"/>
              <w:spacing w:after="0"/>
              <w:rPr>
                <w:sz w:val="20"/>
                <w:szCs w:val="20"/>
                <w:color w:val="auto"/>
              </w:rPr>
            </w:pPr>
            <w:r>
              <w:rPr>
                <w:rFonts w:ascii="Arial" w:cs="Arial" w:eastAsia="Arial" w:hAnsi="Arial"/>
                <w:sz w:val="14"/>
                <w:szCs w:val="14"/>
                <w:b w:val="1"/>
                <w:bCs w:val="1"/>
                <w:color w:val="auto"/>
                <w:w w:val="98"/>
              </w:rPr>
              <w:t>As of June 30, 2022 (Unaudited)</w:t>
            </w: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ind w:left="14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5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Portfolio Investments</w:t>
            </w: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Common Stock</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1,571,310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ind w:left="840"/>
              <w:spacing w:after="0" w:line="202" w:lineRule="exact"/>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1,324,707</w:t>
            </w:r>
          </w:p>
        </w:tc>
        <w:tc>
          <w:tcPr>
            <w:tcW w:w="4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2,896,017</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Senior Secured Term Loans</w:t>
            </w:r>
          </w:p>
        </w:tc>
        <w:tc>
          <w:tcPr>
            <w:tcW w:w="26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ind w:left="84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758,996,569</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758,996,569</w:t>
            </w:r>
          </w:p>
        </w:tc>
        <w:tc>
          <w:tcPr>
            <w:tcW w:w="100" w:type="dxa"/>
            <w:vAlign w:val="bottom"/>
            <w:shd w:val="clear" w:color="auto" w:fill="CFF0FC"/>
          </w:tcPr>
          <w:p>
            <w:pPr>
              <w:spacing w:after="0"/>
              <w:rPr>
                <w:sz w:val="17"/>
                <w:szCs w:val="17"/>
                <w:color w:val="auto"/>
              </w:rPr>
            </w:pPr>
          </w:p>
        </w:tc>
      </w:tr>
      <w:tr>
        <w:trPr>
          <w:trHeight w:val="202"/>
        </w:trPr>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Second Lien Term Loans</w:t>
            </w:r>
          </w:p>
        </w:tc>
        <w:tc>
          <w:tcPr>
            <w:tcW w:w="260" w:type="dxa"/>
            <w:vAlign w:val="bottom"/>
          </w:tcPr>
          <w:p>
            <w:pPr>
              <w:spacing w:after="0"/>
              <w:rPr>
                <w:sz w:val="17"/>
                <w:szCs w:val="17"/>
                <w:color w:val="auto"/>
              </w:rPr>
            </w:pPr>
          </w:p>
        </w:tc>
        <w:tc>
          <w:tcPr>
            <w:tcW w:w="12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84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13,247,638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13,247,638</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Preferred Stock</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12,230,834</w:t>
            </w: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ind w:left="84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408,727</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12,639,561</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17"/>
                <w:szCs w:val="17"/>
                <w:color w:val="auto"/>
              </w:rPr>
            </w:pPr>
          </w:p>
        </w:tc>
        <w:tc>
          <w:tcPr>
            <w:tcW w:w="126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ind w:left="840"/>
              <w:spacing w:after="0" w:line="202" w:lineRule="exact"/>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19,948,819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19,948,819</w:t>
            </w:r>
          </w:p>
        </w:tc>
        <w:tc>
          <w:tcPr>
            <w:tcW w:w="100" w:type="dxa"/>
            <w:vAlign w:val="bottom"/>
          </w:tcPr>
          <w:p>
            <w:pPr>
              <w:spacing w:after="0"/>
              <w:rPr>
                <w:sz w:val="17"/>
                <w:szCs w:val="17"/>
                <w:color w:val="auto"/>
              </w:rPr>
            </w:pPr>
          </w:p>
        </w:tc>
      </w:tr>
      <w:tr>
        <w:trPr>
          <w:trHeight w:val="196"/>
        </w:trPr>
        <w:tc>
          <w:tcPr>
            <w:tcW w:w="53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Portfolio Investments</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13,802,144</w:t>
            </w:r>
          </w:p>
        </w:tc>
        <w:tc>
          <w:tcPr>
            <w:tcW w:w="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1040" w:type="dxa"/>
            <w:vAlign w:val="bottom"/>
            <w:tcBorders>
              <w:top w:val="single" w:sz="8" w:color="auto"/>
              <w:bottom w:val="single" w:sz="8" w:color="auto"/>
            </w:tcBorders>
            <w:gridSpan w:val="2"/>
            <w:shd w:val="clear" w:color="auto" w:fill="CFF0FC"/>
          </w:tcPr>
          <w:p>
            <w:pPr>
              <w:ind w:left="840"/>
              <w:spacing w:after="0" w:line="196" w:lineRule="exact"/>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spacing w:after="0"/>
              <w:rPr>
                <w:sz w:val="17"/>
                <w:szCs w:val="17"/>
                <w:color w:val="auto"/>
              </w:rPr>
            </w:pPr>
          </w:p>
        </w:tc>
        <w:tc>
          <w:tcPr>
            <w:tcW w:w="102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793,926,460</w:t>
            </w:r>
          </w:p>
        </w:tc>
        <w:tc>
          <w:tcPr>
            <w:tcW w:w="2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10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807,728,604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536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Total Investments</w:t>
            </w: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13,802,144</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Borders>
              <w:bottom w:val="single" w:sz="8" w:color="auto"/>
            </w:tcBorders>
            <w:gridSpan w:val="2"/>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ind w:left="840"/>
              <w:spacing w:after="0" w:line="182" w:lineRule="exact"/>
              <w:rPr>
                <w:sz w:val="20"/>
                <w:szCs w:val="20"/>
                <w:color w:val="auto"/>
              </w:rPr>
            </w:pPr>
            <w:r>
              <w:rPr>
                <w:rFonts w:ascii="Arial" w:cs="Arial" w:eastAsia="Arial" w:hAnsi="Arial"/>
                <w:sz w:val="18"/>
                <w:szCs w:val="18"/>
                <w:color w:val="auto"/>
                <w:w w:val="99"/>
              </w:rPr>
              <w:t>—</w:t>
            </w:r>
          </w:p>
        </w:tc>
        <w:tc>
          <w:tcPr>
            <w:tcW w:w="240" w:type="dxa"/>
            <w:vAlign w:val="bottom"/>
            <w:gridSpan w:val="2"/>
          </w:tcPr>
          <w:p>
            <w:pPr>
              <w:spacing w:after="0"/>
              <w:rPr>
                <w:sz w:val="17"/>
                <w:szCs w:val="17"/>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7"/>
              </w:rPr>
              <w:t>793,926,460</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807,728,604</w:t>
            </w:r>
          </w:p>
        </w:tc>
        <w:tc>
          <w:tcPr>
            <w:tcW w:w="100" w:type="dxa"/>
            <w:vAlign w:val="bottom"/>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8"/>
        </w:trPr>
        <w:tc>
          <w:tcPr>
            <w:tcW w:w="53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532"/>
              <w:spacing w:after="0"/>
              <w:rPr>
                <w:sz w:val="20"/>
                <w:szCs w:val="20"/>
                <w:color w:val="auto"/>
              </w:rPr>
            </w:pPr>
            <w:r>
              <w:rPr>
                <w:rFonts w:ascii="Arial" w:cs="Arial" w:eastAsia="Arial" w:hAnsi="Arial"/>
                <w:sz w:val="14"/>
                <w:szCs w:val="14"/>
                <w:b w:val="1"/>
                <w:bCs w:val="1"/>
                <w:color w:val="auto"/>
              </w:rPr>
              <w:t>As of December 31, 2021</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3"/>
          </w:tcPr>
          <w:p>
            <w:pPr>
              <w:ind w:left="160"/>
              <w:spacing w:after="0"/>
              <w:rPr>
                <w:sz w:val="20"/>
                <w:szCs w:val="20"/>
                <w:color w:val="auto"/>
              </w:rPr>
            </w:pPr>
            <w:r>
              <w:rPr>
                <w:rFonts w:ascii="Arial" w:cs="Arial" w:eastAsia="Arial" w:hAnsi="Arial"/>
                <w:sz w:val="14"/>
                <w:szCs w:val="14"/>
                <w:b w:val="1"/>
                <w:bCs w:val="1"/>
                <w:color w:val="auto"/>
              </w:rPr>
              <w:t>Level 1</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412"/>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r>
      <w:tr>
        <w:trPr>
          <w:trHeight w:val="196"/>
        </w:trPr>
        <w:tc>
          <w:tcPr>
            <w:tcW w:w="5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Portfolio Investments</w:t>
            </w:r>
          </w:p>
        </w:tc>
        <w:tc>
          <w:tcPr>
            <w:tcW w:w="26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Common Stock</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2,559,932</w:t>
            </w:r>
          </w:p>
        </w:tc>
        <w:tc>
          <w:tcPr>
            <w:tcW w:w="240" w:type="dxa"/>
            <w:vAlign w:val="bottom"/>
          </w:tcPr>
          <w:p>
            <w:pPr>
              <w:spacing w:after="0"/>
              <w:rPr>
                <w:sz w:val="17"/>
                <w:szCs w:val="17"/>
                <w:color w:val="auto"/>
              </w:rPr>
            </w:pPr>
          </w:p>
        </w:tc>
        <w:tc>
          <w:tcPr>
            <w:tcW w:w="24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8,903,933</w:t>
            </w:r>
          </w:p>
        </w:tc>
        <w:tc>
          <w:tcPr>
            <w:tcW w:w="20" w:type="dxa"/>
            <w:vAlign w:val="bottom"/>
          </w:tcPr>
          <w:p>
            <w:pPr>
              <w:spacing w:after="0"/>
              <w:rPr>
                <w:sz w:val="17"/>
                <w:szCs w:val="17"/>
                <w:color w:val="auto"/>
              </w:rPr>
            </w:pPr>
          </w:p>
        </w:tc>
        <w:tc>
          <w:tcPr>
            <w:tcW w:w="440" w:type="dxa"/>
            <w:vAlign w:val="bottom"/>
            <w:gridSpan w:val="3"/>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11,463,865</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Senior Secured Term Loans</w:t>
            </w:r>
          </w:p>
        </w:tc>
        <w:tc>
          <w:tcPr>
            <w:tcW w:w="260" w:type="dxa"/>
            <w:vAlign w:val="bottom"/>
            <w:shd w:val="clear" w:color="auto" w:fill="CFF0FC"/>
          </w:tcPr>
          <w:p>
            <w:pPr>
              <w:spacing w:after="0"/>
              <w:rPr>
                <w:sz w:val="17"/>
                <w:szCs w:val="17"/>
                <w:color w:val="auto"/>
              </w:rPr>
            </w:pPr>
          </w:p>
        </w:tc>
        <w:tc>
          <w:tcPr>
            <w:tcW w:w="1260" w:type="dxa"/>
            <w:vAlign w:val="bottom"/>
            <w:gridSpan w:val="3"/>
            <w:shd w:val="clear" w:color="auto" w:fill="CFF0FC"/>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623,053,646</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623,053,646</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Second Lien Term Loans</w:t>
            </w:r>
          </w:p>
        </w:tc>
        <w:tc>
          <w:tcPr>
            <w:tcW w:w="260" w:type="dxa"/>
            <w:vAlign w:val="bottom"/>
          </w:tcPr>
          <w:p>
            <w:pPr>
              <w:spacing w:after="0"/>
              <w:rPr>
                <w:sz w:val="17"/>
                <w:szCs w:val="17"/>
                <w:color w:val="auto"/>
              </w:rPr>
            </w:pPr>
          </w:p>
        </w:tc>
        <w:tc>
          <w:tcPr>
            <w:tcW w:w="12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12,872,588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12,872,588</w:t>
            </w:r>
          </w:p>
        </w:tc>
        <w:tc>
          <w:tcPr>
            <w:tcW w:w="100" w:type="dxa"/>
            <w:vAlign w:val="bottom"/>
          </w:tcPr>
          <w:p>
            <w:pPr>
              <w:spacing w:after="0"/>
              <w:rPr>
                <w:sz w:val="17"/>
                <w:szCs w:val="17"/>
                <w:color w:val="auto"/>
              </w:rPr>
            </w:pPr>
          </w:p>
        </w:tc>
      </w:tr>
      <w:tr>
        <w:trPr>
          <w:trHeight w:val="203"/>
        </w:trPr>
        <w:tc>
          <w:tcPr>
            <w:tcW w:w="53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Preferred Stock</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15,704,705</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1,332,420</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17,037,125</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ind w:left="200"/>
              <w:spacing w:after="0" w:line="202" w:lineRule="exact"/>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17"/>
                <w:szCs w:val="17"/>
                <w:color w:val="auto"/>
              </w:rPr>
            </w:pPr>
          </w:p>
        </w:tc>
        <w:tc>
          <w:tcPr>
            <w:tcW w:w="12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20,087,550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20,087,550</w:t>
            </w:r>
          </w:p>
        </w:tc>
        <w:tc>
          <w:tcPr>
            <w:tcW w:w="100" w:type="dxa"/>
            <w:vAlign w:val="bottom"/>
          </w:tcPr>
          <w:p>
            <w:pPr>
              <w:spacing w:after="0"/>
              <w:rPr>
                <w:sz w:val="17"/>
                <w:szCs w:val="17"/>
                <w:color w:val="auto"/>
              </w:rPr>
            </w:pPr>
          </w:p>
        </w:tc>
      </w:tr>
      <w:tr>
        <w:trPr>
          <w:trHeight w:val="196"/>
        </w:trPr>
        <w:tc>
          <w:tcPr>
            <w:tcW w:w="53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Portfolio Investments</w:t>
            </w:r>
          </w:p>
        </w:tc>
        <w:tc>
          <w:tcPr>
            <w:tcW w:w="26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18,264,637</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8,903,933</w:t>
            </w: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657,346,204</w:t>
            </w:r>
          </w:p>
        </w:tc>
        <w:tc>
          <w:tcPr>
            <w:tcW w:w="22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684,514,774</w:t>
            </w:r>
          </w:p>
        </w:tc>
        <w:tc>
          <w:tcPr>
            <w:tcW w:w="100" w:type="dxa"/>
            <w:vAlign w:val="bottom"/>
            <w:shd w:val="clear" w:color="auto" w:fill="CFF0FC"/>
          </w:tcPr>
          <w:p>
            <w:pPr>
              <w:spacing w:after="0"/>
              <w:rPr>
                <w:sz w:val="17"/>
                <w:szCs w:val="17"/>
                <w:color w:val="auto"/>
              </w:rPr>
            </w:pPr>
          </w:p>
        </w:tc>
      </w:tr>
      <w:tr>
        <w:trPr>
          <w:trHeight w:val="203"/>
        </w:trPr>
        <w:tc>
          <w:tcPr>
            <w:tcW w:w="53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U.S. Treasury Bill</w:t>
            </w:r>
          </w:p>
        </w:tc>
        <w:tc>
          <w:tcPr>
            <w:tcW w:w="260" w:type="dxa"/>
            <w:vAlign w:val="bottom"/>
          </w:tcPr>
          <w:p>
            <w:pPr>
              <w:spacing w:after="0"/>
              <w:rPr>
                <w:sz w:val="17"/>
                <w:szCs w:val="17"/>
                <w:color w:val="auto"/>
              </w:rPr>
            </w:pPr>
          </w:p>
        </w:tc>
        <w:tc>
          <w:tcPr>
            <w:tcW w:w="1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45,001,500</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line="202" w:lineRule="exact"/>
              <w:rPr>
                <w:sz w:val="20"/>
                <w:szCs w:val="20"/>
                <w:color w:val="auto"/>
              </w:rPr>
            </w:pPr>
            <w:r>
              <w:rPr>
                <w:rFonts w:ascii="Arial" w:cs="Arial" w:eastAsia="Arial" w:hAnsi="Arial"/>
                <w:sz w:val="18"/>
                <w:szCs w:val="18"/>
                <w:color w:val="auto"/>
              </w:rPr>
              <w:t>45,001,500</w:t>
            </w:r>
          </w:p>
        </w:tc>
        <w:tc>
          <w:tcPr>
            <w:tcW w:w="100" w:type="dxa"/>
            <w:vAlign w:val="bottom"/>
          </w:tcPr>
          <w:p>
            <w:pPr>
              <w:spacing w:after="0"/>
              <w:rPr>
                <w:sz w:val="17"/>
                <w:szCs w:val="17"/>
                <w:color w:val="auto"/>
              </w:rPr>
            </w:pPr>
          </w:p>
        </w:tc>
      </w:tr>
      <w:tr>
        <w:trPr>
          <w:trHeight w:val="236"/>
        </w:trPr>
        <w:tc>
          <w:tcPr>
            <w:tcW w:w="53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63,266,137</w:t>
            </w: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8,903,933</w:t>
            </w:r>
          </w:p>
        </w:tc>
        <w:tc>
          <w:tcPr>
            <w:tcW w:w="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gridSpan w:val="2"/>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7"/>
              </w:rPr>
              <w:t>657,346,204</w:t>
            </w:r>
          </w:p>
        </w:tc>
        <w:tc>
          <w:tcPr>
            <w:tcW w:w="22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729,516,274</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-1727835</wp:posOffset>
            </wp:positionV>
            <wp:extent cx="7747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-1727835</wp:posOffset>
            </wp:positionV>
            <wp:extent cx="6858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-1727835</wp:posOffset>
            </wp:positionV>
            <wp:extent cx="6858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-1727835</wp:posOffset>
            </wp:positionV>
            <wp:extent cx="6858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-25400</wp:posOffset>
            </wp:positionV>
            <wp:extent cx="7747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-8255</wp:posOffset>
            </wp:positionV>
            <wp:extent cx="7747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-25400</wp:posOffset>
            </wp:positionV>
            <wp:extent cx="6858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-8255</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The Company recognizes transfers into and out of the levels indicated above at the end of each reporting period. During the period ended June 30, 2022, the Company had common stock investments with restrictions lifted, resulting in an asset transfer out of Level 2 and into Level 1 at the fair value of $918,508. During the year ended December 31, 2021, the Company had warrant investments converted to common stock investments, resulting in an asset transfer out of Level 3 and into Level 2 at the fair value of $15,305,039.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a rollforward of Level 3 assets measured at fair value as of June 30,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Preferred</w:t>
            </w:r>
          </w:p>
        </w:tc>
        <w:tc>
          <w:tcPr>
            <w:tcW w:w="200" w:type="dxa"/>
            <w:vAlign w:val="bottom"/>
          </w:tcPr>
          <w:p>
            <w:pPr>
              <w:spacing w:after="0"/>
              <w:rPr>
                <w:sz w:val="15"/>
                <w:szCs w:val="15"/>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5"/>
                <w:szCs w:val="15"/>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Senior Secured</w:t>
            </w:r>
          </w:p>
        </w:tc>
        <w:tc>
          <w:tcPr>
            <w:tcW w:w="160" w:type="dxa"/>
            <w:vAlign w:val="bottom"/>
          </w:tcPr>
          <w:p>
            <w:pPr>
              <w:spacing w:after="0"/>
              <w:rPr>
                <w:sz w:val="15"/>
                <w:szCs w:val="15"/>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Second Lien</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6"/>
                <w:szCs w:val="16"/>
                <w:color w:val="auto"/>
              </w:rPr>
            </w:pPr>
          </w:p>
        </w:tc>
        <w:tc>
          <w:tcPr>
            <w:tcW w:w="12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4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Term Loans</w:t>
            </w:r>
          </w:p>
        </w:tc>
        <w:tc>
          <w:tcPr>
            <w:tcW w:w="160" w:type="dxa"/>
            <w:vAlign w:val="bottom"/>
          </w:tcPr>
          <w:p>
            <w:pPr>
              <w:spacing w:after="0"/>
              <w:rPr>
                <w:sz w:val="16"/>
                <w:szCs w:val="16"/>
                <w:color w:val="auto"/>
              </w:rPr>
            </w:pPr>
          </w:p>
        </w:tc>
        <w:tc>
          <w:tcPr>
            <w:tcW w:w="1040" w:type="dxa"/>
            <w:vAlign w:val="bottom"/>
          </w:tcPr>
          <w:p>
            <w:pPr>
              <w:jc w:val="right"/>
              <w:ind w:right="148"/>
              <w:spacing w:after="0"/>
              <w:rPr>
                <w:sz w:val="20"/>
                <w:szCs w:val="20"/>
                <w:color w:val="auto"/>
              </w:rPr>
            </w:pPr>
            <w:r>
              <w:rPr>
                <w:rFonts w:ascii="Arial" w:cs="Arial" w:eastAsia="Arial" w:hAnsi="Arial"/>
                <w:sz w:val="14"/>
                <w:szCs w:val="14"/>
                <w:b w:val="1"/>
                <w:bCs w:val="1"/>
                <w:color w:val="auto"/>
              </w:rPr>
              <w:t>Term Loans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Fair value at December 31, 2021</w:t>
            </w: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1,332,420</w:t>
            </w:r>
          </w:p>
        </w:tc>
        <w:tc>
          <w:tcPr>
            <w:tcW w:w="24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623,053,646</w:t>
            </w:r>
          </w:p>
        </w:tc>
        <w:tc>
          <w:tcPr>
            <w:tcW w:w="22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12,872,588</w:t>
            </w: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20,087,550</w:t>
            </w:r>
          </w:p>
        </w:tc>
        <w:tc>
          <w:tcPr>
            <w:tcW w:w="22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657,346,204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580" w:type="dxa"/>
            <w:vAlign w:val="bottom"/>
          </w:tcPr>
          <w:p>
            <w:pPr>
              <w:ind w:left="20"/>
              <w:spacing w:after="0" w:line="143" w:lineRule="exact"/>
              <w:rPr>
                <w:sz w:val="20"/>
                <w:szCs w:val="20"/>
                <w:color w:val="auto"/>
              </w:rPr>
            </w:pPr>
            <w:r>
              <w:rPr>
                <w:rFonts w:ascii="Arial" w:cs="Arial" w:eastAsia="Arial" w:hAnsi="Arial"/>
                <w:sz w:val="14"/>
                <w:szCs w:val="14"/>
                <w:color w:val="auto"/>
              </w:rPr>
              <w:t>Amortization of fixed income premiums</w:t>
            </w: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580" w:type="dxa"/>
            <w:vAlign w:val="bottom"/>
          </w:tcPr>
          <w:p>
            <w:pPr>
              <w:ind w:left="20"/>
              <w:spacing w:after="0"/>
              <w:rPr>
                <w:sz w:val="20"/>
                <w:szCs w:val="20"/>
                <w:color w:val="auto"/>
              </w:rPr>
            </w:pPr>
            <w:r>
              <w:rPr>
                <w:rFonts w:ascii="Arial" w:cs="Arial" w:eastAsia="Arial" w:hAnsi="Arial"/>
                <w:sz w:val="14"/>
                <w:szCs w:val="14"/>
                <w:color w:val="auto"/>
              </w:rPr>
              <w:t>or accretion of discounts</w:t>
            </w:r>
          </w:p>
        </w:tc>
        <w:tc>
          <w:tcPr>
            <w:tcW w:w="16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3,515,960</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55,865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3,571,825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Purchases of investments</w:t>
            </w:r>
            <w:r>
              <w:rPr>
                <w:rFonts w:ascii="Arial" w:cs="Arial" w:eastAsia="Arial" w:hAnsi="Arial"/>
                <w:sz w:val="19"/>
                <w:szCs w:val="19"/>
                <w:color w:val="auto"/>
                <w:vertAlign w:val="superscript"/>
              </w:rPr>
              <w:t>(1)</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4,551,235</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232,254,002</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319,185</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1,478,227</w:t>
            </w: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238,602,649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line="175" w:lineRule="exact"/>
              <w:rPr>
                <w:sz w:val="20"/>
                <w:szCs w:val="20"/>
                <w:color w:val="auto"/>
              </w:rPr>
            </w:pPr>
            <w:r>
              <w:rPr>
                <w:rFonts w:ascii="Arial" w:cs="Arial" w:eastAsia="Arial" w:hAnsi="Arial"/>
                <w:sz w:val="14"/>
                <w:szCs w:val="14"/>
                <w:color w:val="auto"/>
              </w:rPr>
              <w:t>Sales or repayments of investments</w:t>
            </w:r>
            <w:r>
              <w:rPr>
                <w:rFonts w:ascii="Arial" w:cs="Arial" w:eastAsia="Arial" w:hAnsi="Arial"/>
                <w:sz w:val="19"/>
                <w:szCs w:val="19"/>
                <w:color w:val="auto"/>
                <w:vertAlign w:val="superscript"/>
              </w:rPr>
              <w:t>(1)</w:t>
            </w:r>
          </w:p>
        </w:tc>
        <w:tc>
          <w:tcPr>
            <w:tcW w:w="16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(800,000 )</w:t>
            </w:r>
          </w:p>
        </w:tc>
        <w:tc>
          <w:tcPr>
            <w:tcW w:w="2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4"/>
                <w:szCs w:val="14"/>
                <w:color w:val="auto"/>
              </w:rPr>
              <w:t>(88,170,835 )</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(1,508,601 )</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(90,479,436 )</w:t>
            </w: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Transfers out of Level 3</w:t>
            </w:r>
          </w:p>
        </w:tc>
        <w:tc>
          <w:tcPr>
            <w:tcW w:w="16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4"/>
                <w:szCs w:val="14"/>
                <w:color w:val="auto"/>
              </w:rPr>
              <w:t>Realized gain (loss)</w:t>
            </w:r>
          </w:p>
        </w:tc>
        <w:tc>
          <w:tcPr>
            <w:tcW w:w="160" w:type="dxa"/>
            <w:vAlign w:val="bottom"/>
          </w:tcPr>
          <w:p>
            <w:pPr>
              <w:spacing w:after="0"/>
              <w:rPr>
                <w:sz w:val="15"/>
                <w:szCs w:val="15"/>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color w:val="auto"/>
              </w:rPr>
              <w:t>(267,453 )</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(267,453 )</w:t>
            </w:r>
          </w:p>
        </w:tc>
        <w:tc>
          <w:tcPr>
            <w:tcW w:w="0" w:type="dxa"/>
            <w:vAlign w:val="bottom"/>
          </w:tcPr>
          <w:p>
            <w:pPr>
              <w:spacing w:after="0"/>
              <w:rPr>
                <w:sz w:val="1"/>
                <w:szCs w:val="1"/>
                <w:color w:val="auto"/>
              </w:rPr>
            </w:pPr>
          </w:p>
        </w:tc>
      </w:tr>
      <w:tr>
        <w:trPr>
          <w:trHeight w:val="143"/>
        </w:trPr>
        <w:tc>
          <w:tcPr>
            <w:tcW w:w="2580" w:type="dxa"/>
            <w:vAlign w:val="bottom"/>
            <w:shd w:val="clear" w:color="auto" w:fill="CFF0FC"/>
          </w:tcPr>
          <w:p>
            <w:pPr>
              <w:ind w:left="20"/>
              <w:spacing w:after="0" w:line="143" w:lineRule="exact"/>
              <w:rPr>
                <w:sz w:val="20"/>
                <w:szCs w:val="20"/>
                <w:color w:val="auto"/>
              </w:rPr>
            </w:pPr>
            <w:r>
              <w:rPr>
                <w:rFonts w:ascii="Arial" w:cs="Arial" w:eastAsia="Arial" w:hAnsi="Arial"/>
                <w:sz w:val="14"/>
                <w:szCs w:val="14"/>
                <w:color w:val="auto"/>
              </w:rPr>
              <w:t>Change in unrealized appreciation</w:t>
            </w:r>
          </w:p>
        </w:tc>
        <w:tc>
          <w:tcPr>
            <w:tcW w:w="160" w:type="dxa"/>
            <w:vAlign w:val="bottom"/>
            <w:shd w:val="clear" w:color="auto" w:fill="CFF0FC"/>
          </w:tcPr>
          <w:p>
            <w:pPr>
              <w:spacing w:after="0"/>
              <w:rPr>
                <w:sz w:val="12"/>
                <w:szCs w:val="12"/>
                <w:color w:val="auto"/>
              </w:rPr>
            </w:pP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(123,693 )</w:t>
            </w:r>
          </w:p>
        </w:tc>
        <w:tc>
          <w:tcPr>
            <w:tcW w:w="20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(3,226,528 )</w:t>
            </w:r>
          </w:p>
        </w:tc>
        <w:tc>
          <w:tcPr>
            <w:tcW w:w="14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(11,656,204 )</w:t>
            </w:r>
          </w:p>
        </w:tc>
        <w:tc>
          <w:tcPr>
            <w:tcW w:w="16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159,096</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(14,847,329 )</w:t>
            </w:r>
          </w:p>
        </w:tc>
        <w:tc>
          <w:tcPr>
            <w:tcW w:w="0" w:type="dxa"/>
            <w:vAlign w:val="bottom"/>
          </w:tcPr>
          <w:p>
            <w:pPr>
              <w:spacing w:after="0"/>
              <w:rPr>
                <w:sz w:val="1"/>
                <w:szCs w:val="1"/>
                <w:color w:val="auto"/>
              </w:rPr>
            </w:pPr>
          </w:p>
        </w:tc>
      </w:tr>
      <w:tr>
        <w:trPr>
          <w:trHeight w:val="167"/>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(depreciation)</w:t>
            </w:r>
          </w:p>
        </w:tc>
        <w:tc>
          <w:tcPr>
            <w:tcW w:w="160" w:type="dxa"/>
            <w:vAlign w:val="bottom"/>
            <w:shd w:val="clear" w:color="auto" w:fill="CFF0FC"/>
          </w:tcPr>
          <w:p>
            <w:pPr>
              <w:spacing w:after="0"/>
              <w:rPr>
                <w:sz w:val="14"/>
                <w:szCs w:val="14"/>
                <w:color w:val="auto"/>
              </w:rPr>
            </w:pPr>
          </w:p>
        </w:tc>
        <w:tc>
          <w:tcPr>
            <w:tcW w:w="120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80" w:type="dxa"/>
            <w:vAlign w:val="bottom"/>
            <w:gridSpan w:val="2"/>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80" w:type="dxa"/>
            <w:vAlign w:val="bottom"/>
            <w:tcBorders>
              <w:top w:val="single" w:sz="8" w:color="CFF0FC"/>
            </w:tcBorders>
          </w:tcPr>
          <w:p>
            <w:pPr>
              <w:ind w:left="20"/>
              <w:spacing w:after="0" w:line="155" w:lineRule="exact"/>
              <w:rPr>
                <w:sz w:val="20"/>
                <w:szCs w:val="20"/>
                <w:color w:val="auto"/>
              </w:rPr>
            </w:pPr>
            <w:r>
              <w:rPr>
                <w:rFonts w:ascii="Arial" w:cs="Arial" w:eastAsia="Arial" w:hAnsi="Arial"/>
                <w:sz w:val="14"/>
                <w:szCs w:val="14"/>
                <w:color w:val="auto"/>
              </w:rPr>
              <w:t>Fair value at June 30, 2022</w:t>
            </w: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408,727</w:t>
            </w:r>
          </w:p>
        </w:tc>
        <w:tc>
          <w:tcPr>
            <w:tcW w:w="24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1,324,707</w:t>
            </w:r>
          </w:p>
        </w:tc>
        <w:tc>
          <w:tcPr>
            <w:tcW w:w="24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758,996,569</w:t>
            </w:r>
          </w:p>
        </w:tc>
        <w:tc>
          <w:tcPr>
            <w:tcW w:w="22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13,247,638</w:t>
            </w:r>
          </w:p>
        </w:tc>
        <w:tc>
          <w:tcPr>
            <w:tcW w:w="22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19,948,819</w:t>
            </w:r>
          </w:p>
        </w:tc>
        <w:tc>
          <w:tcPr>
            <w:tcW w:w="22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793,926,460</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580" w:type="dxa"/>
            <w:vAlign w:val="bottom"/>
            <w:shd w:val="clear" w:color="auto" w:fill="CFF0FC"/>
          </w:tcPr>
          <w:p>
            <w:pPr>
              <w:ind w:left="20"/>
              <w:spacing w:after="0" w:line="124" w:lineRule="exact"/>
              <w:rPr>
                <w:sz w:val="20"/>
                <w:szCs w:val="20"/>
                <w:color w:val="auto"/>
              </w:rPr>
            </w:pPr>
            <w:r>
              <w:rPr>
                <w:rFonts w:ascii="Arial" w:cs="Arial" w:eastAsia="Arial" w:hAnsi="Arial"/>
                <w:sz w:val="14"/>
                <w:szCs w:val="14"/>
                <w:color w:val="auto"/>
              </w:rPr>
              <w:t>Change in unrealized appreciation</w:t>
            </w:r>
          </w:p>
        </w:tc>
        <w:tc>
          <w:tcPr>
            <w:tcW w:w="16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0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shd w:val="clear" w:color="auto" w:fill="CFF0FC"/>
          </w:tcPr>
          <w:p>
            <w:pPr>
              <w:ind w:left="20"/>
              <w:spacing w:after="0" w:line="149" w:lineRule="exact"/>
              <w:rPr>
                <w:sz w:val="20"/>
                <w:szCs w:val="20"/>
                <w:color w:val="auto"/>
              </w:rPr>
            </w:pPr>
            <w:r>
              <w:rPr>
                <w:rFonts w:ascii="Arial" w:cs="Arial" w:eastAsia="Arial" w:hAnsi="Arial"/>
                <w:sz w:val="14"/>
                <w:szCs w:val="14"/>
                <w:color w:val="auto"/>
              </w:rPr>
              <w:t>(depreciation) on Level 3 investments</w:t>
            </w: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(53,297 )</w:t>
            </w:r>
          </w:p>
        </w:tc>
        <w:tc>
          <w:tcPr>
            <w:tcW w:w="200" w:type="dxa"/>
            <w:vAlign w:val="bottom"/>
            <w:vMerge w:val="restart"/>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128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(3,226,528 )</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(10,760,763 )</w:t>
            </w:r>
          </w:p>
        </w:tc>
        <w:tc>
          <w:tcPr>
            <w:tcW w:w="160" w:type="dxa"/>
            <w:vAlign w:val="bottom"/>
            <w:vMerge w:val="restart"/>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20" w:type="dxa"/>
            <w:vAlign w:val="bottom"/>
            <w:gridSpan w:val="2"/>
            <w:vMerge w:val="restart"/>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(1,407,117 )</w:t>
            </w:r>
          </w:p>
        </w:tc>
        <w:tc>
          <w:tcPr>
            <w:tcW w:w="300" w:type="dxa"/>
            <w:vAlign w:val="bottom"/>
            <w:vMerge w:val="restart"/>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11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(15,447,705 )</w:t>
            </w:r>
          </w:p>
        </w:tc>
        <w:tc>
          <w:tcPr>
            <w:tcW w:w="0" w:type="dxa"/>
            <w:vAlign w:val="bottom"/>
          </w:tcPr>
          <w:p>
            <w:pPr>
              <w:spacing w:after="0"/>
              <w:rPr>
                <w:sz w:val="1"/>
                <w:szCs w:val="1"/>
                <w:color w:val="auto"/>
              </w:rPr>
            </w:pPr>
          </w:p>
        </w:tc>
      </w:tr>
      <w:tr>
        <w:trPr>
          <w:trHeight w:val="160"/>
        </w:trPr>
        <w:tc>
          <w:tcPr>
            <w:tcW w:w="2580" w:type="dxa"/>
            <w:vAlign w:val="bottom"/>
            <w:shd w:val="clear" w:color="auto" w:fill="CFF0FC"/>
          </w:tcPr>
          <w:p>
            <w:pPr>
              <w:ind w:left="20"/>
              <w:spacing w:after="0" w:line="121" w:lineRule="exact"/>
              <w:rPr>
                <w:sz w:val="20"/>
                <w:szCs w:val="20"/>
                <w:color w:val="auto"/>
              </w:rPr>
            </w:pPr>
            <w:r>
              <w:rPr>
                <w:rFonts w:ascii="Arial" w:cs="Arial" w:eastAsia="Arial" w:hAnsi="Arial"/>
                <w:sz w:val="13"/>
                <w:szCs w:val="13"/>
                <w:color w:val="auto"/>
              </w:rPr>
              <w:t>still held as of June 30, 2022</w:t>
            </w:r>
          </w:p>
        </w:tc>
        <w:tc>
          <w:tcPr>
            <w:tcW w:w="160" w:type="dxa"/>
            <w:vAlign w:val="bottom"/>
            <w:vMerge w:val="continue"/>
            <w:shd w:val="clear" w:color="auto" w:fill="CFF0FC"/>
          </w:tcPr>
          <w:p>
            <w:pPr>
              <w:spacing w:after="0"/>
              <w:rPr>
                <w:sz w:val="13"/>
                <w:szCs w:val="13"/>
                <w:color w:val="auto"/>
              </w:rPr>
            </w:pPr>
          </w:p>
        </w:tc>
        <w:tc>
          <w:tcPr>
            <w:tcW w:w="1200" w:type="dxa"/>
            <w:vAlign w:val="bottom"/>
            <w:gridSpan w:val="2"/>
            <w:vMerge w:val="continue"/>
            <w:shd w:val="clear" w:color="auto" w:fill="CFF0FC"/>
          </w:tcPr>
          <w:p>
            <w:pPr>
              <w:spacing w:after="0"/>
              <w:rPr>
                <w:sz w:val="13"/>
                <w:szCs w:val="13"/>
                <w:color w:val="auto"/>
              </w:rPr>
            </w:pPr>
          </w:p>
        </w:tc>
        <w:tc>
          <w:tcPr>
            <w:tcW w:w="200" w:type="dxa"/>
            <w:vAlign w:val="bottom"/>
            <w:vMerge w:val="continue"/>
            <w:shd w:val="clear" w:color="auto" w:fill="CFF0FC"/>
          </w:tcPr>
          <w:p>
            <w:pPr>
              <w:spacing w:after="0"/>
              <w:rPr>
                <w:sz w:val="13"/>
                <w:szCs w:val="13"/>
                <w:color w:val="auto"/>
              </w:rPr>
            </w:pPr>
          </w:p>
        </w:tc>
        <w:tc>
          <w:tcPr>
            <w:tcW w:w="1280" w:type="dxa"/>
            <w:vAlign w:val="bottom"/>
            <w:gridSpan w:val="2"/>
            <w:vMerge w:val="continue"/>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1400" w:type="dxa"/>
            <w:vAlign w:val="bottom"/>
            <w:gridSpan w:val="2"/>
            <w:vMerge w:val="continue"/>
            <w:shd w:val="clear" w:color="auto" w:fill="CFF0FC"/>
          </w:tcPr>
          <w:p>
            <w:pPr>
              <w:spacing w:after="0"/>
              <w:rPr>
                <w:sz w:val="13"/>
                <w:szCs w:val="13"/>
                <w:color w:val="auto"/>
              </w:rPr>
            </w:pPr>
          </w:p>
        </w:tc>
        <w:tc>
          <w:tcPr>
            <w:tcW w:w="160" w:type="dxa"/>
            <w:vAlign w:val="bottom"/>
            <w:vMerge w:val="continue"/>
            <w:shd w:val="clear" w:color="auto" w:fill="CFF0FC"/>
          </w:tcPr>
          <w:p>
            <w:pPr>
              <w:spacing w:after="0"/>
              <w:rPr>
                <w:sz w:val="13"/>
                <w:szCs w:val="13"/>
                <w:color w:val="auto"/>
              </w:rPr>
            </w:pPr>
          </w:p>
        </w:tc>
        <w:tc>
          <w:tcPr>
            <w:tcW w:w="1040" w:type="dxa"/>
            <w:vAlign w:val="bottom"/>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1220" w:type="dxa"/>
            <w:vAlign w:val="bottom"/>
            <w:gridSpan w:val="2"/>
            <w:vMerge w:val="continue"/>
            <w:shd w:val="clear" w:color="auto" w:fill="CFF0FC"/>
          </w:tcPr>
          <w:p>
            <w:pPr>
              <w:spacing w:after="0"/>
              <w:rPr>
                <w:sz w:val="13"/>
                <w:szCs w:val="13"/>
                <w:color w:val="auto"/>
              </w:rPr>
            </w:pPr>
          </w:p>
        </w:tc>
        <w:tc>
          <w:tcPr>
            <w:tcW w:w="300" w:type="dxa"/>
            <w:vAlign w:val="bottom"/>
            <w:vMerge w:val="continue"/>
            <w:shd w:val="clear" w:color="auto" w:fill="CFF0FC"/>
          </w:tcPr>
          <w:p>
            <w:pPr>
              <w:spacing w:after="0"/>
              <w:rPr>
                <w:sz w:val="13"/>
                <w:szCs w:val="13"/>
                <w:color w:val="auto"/>
              </w:rPr>
            </w:pPr>
          </w:p>
        </w:tc>
        <w:tc>
          <w:tcPr>
            <w:tcW w:w="11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-441960</wp:posOffset>
            </wp:positionV>
            <wp:extent cx="7747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-441960</wp:posOffset>
            </wp:positionV>
            <wp:extent cx="7747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-441960</wp:posOffset>
            </wp:positionV>
            <wp:extent cx="6858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-441960</wp:posOffset>
            </wp:positionV>
            <wp:extent cx="6858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-441960</wp:posOffset>
            </wp:positionV>
            <wp:extent cx="6858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-441960</wp:posOffset>
            </wp:positionV>
            <wp:extent cx="6858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-25400</wp:posOffset>
            </wp:positionV>
            <wp:extent cx="7747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-7620</wp:posOffset>
            </wp:positionV>
            <wp:extent cx="774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-25400</wp:posOffset>
            </wp:positionV>
            <wp:extent cx="7747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-7620</wp:posOffset>
            </wp:positionV>
            <wp:extent cx="7747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6858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-7620</wp:posOffset>
            </wp:positionV>
            <wp:extent cx="685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38" w:lineRule="exact"/>
        <w:rPr>
          <w:sz w:val="20"/>
          <w:szCs w:val="20"/>
          <w:color w:val="auto"/>
        </w:rPr>
      </w:pPr>
    </w:p>
    <w:p>
      <w:pPr>
        <w:ind w:left="760" w:hanging="374"/>
        <w:spacing w:after="0"/>
        <w:tabs>
          <w:tab w:leader="none" w:pos="760" w:val="left"/>
        </w:tabs>
        <w:numPr>
          <w:ilvl w:val="0"/>
          <w:numId w:val="20"/>
        </w:numPr>
        <w:rPr>
          <w:rFonts w:ascii="Arial" w:cs="Arial" w:eastAsia="Arial" w:hAnsi="Arial"/>
          <w:sz w:val="24"/>
          <w:szCs w:val="24"/>
          <w:color w:val="auto"/>
          <w:vertAlign w:val="superscript"/>
        </w:rPr>
      </w:pPr>
      <w:r>
        <w:rPr>
          <w:rFonts w:ascii="Arial" w:cs="Arial" w:eastAsia="Arial" w:hAnsi="Arial"/>
          <w:sz w:val="14"/>
          <w:szCs w:val="14"/>
          <w:color w:val="auto"/>
        </w:rPr>
        <w:t>Includes PIK interest, net of reorganization and restructuring of investments.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presents a rollforward of Level 3 assets measured at fair value as of June 30,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5"/>
                <w:szCs w:val="15"/>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Senior Secured</w:t>
            </w:r>
          </w:p>
        </w:tc>
        <w:tc>
          <w:tcPr>
            <w:tcW w:w="100" w:type="dxa"/>
            <w:vAlign w:val="bottom"/>
          </w:tcPr>
          <w:p>
            <w:pPr>
              <w:spacing w:after="0"/>
              <w:rPr>
                <w:sz w:val="15"/>
                <w:szCs w:val="15"/>
                <w:color w:val="auto"/>
              </w:rPr>
            </w:pPr>
          </w:p>
        </w:tc>
        <w:tc>
          <w:tcPr>
            <w:tcW w:w="900" w:type="dxa"/>
            <w:vAlign w:val="bottom"/>
          </w:tcPr>
          <w:p>
            <w:pPr>
              <w:ind w:left="20"/>
              <w:spacing w:after="0"/>
              <w:rPr>
                <w:sz w:val="20"/>
                <w:szCs w:val="20"/>
                <w:color w:val="auto"/>
              </w:rPr>
            </w:pPr>
            <w:r>
              <w:rPr>
                <w:rFonts w:ascii="Arial" w:cs="Arial" w:eastAsia="Arial" w:hAnsi="Arial"/>
                <w:sz w:val="14"/>
                <w:szCs w:val="14"/>
                <w:b w:val="1"/>
                <w:bCs w:val="1"/>
                <w:color w:val="auto"/>
              </w:rPr>
              <w:t>Second Lien</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4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6"/>
                <w:szCs w:val="16"/>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Term Loans</w:t>
            </w:r>
          </w:p>
        </w:tc>
        <w:tc>
          <w:tcPr>
            <w:tcW w:w="100" w:type="dxa"/>
            <w:vAlign w:val="bottom"/>
          </w:tcPr>
          <w:p>
            <w:pPr>
              <w:spacing w:after="0"/>
              <w:rPr>
                <w:sz w:val="16"/>
                <w:szCs w:val="16"/>
                <w:color w:val="auto"/>
              </w:rPr>
            </w:pPr>
          </w:p>
        </w:tc>
        <w:tc>
          <w:tcPr>
            <w:tcW w:w="900" w:type="dxa"/>
            <w:vAlign w:val="bottom"/>
          </w:tcPr>
          <w:p>
            <w:pPr>
              <w:ind w:left="40"/>
              <w:spacing w:after="0"/>
              <w:rPr>
                <w:sz w:val="20"/>
                <w:szCs w:val="20"/>
                <w:color w:val="auto"/>
              </w:rPr>
            </w:pPr>
            <w:r>
              <w:rPr>
                <w:rFonts w:ascii="Arial" w:cs="Arial" w:eastAsia="Arial" w:hAnsi="Arial"/>
                <w:sz w:val="14"/>
                <w:szCs w:val="14"/>
                <w:b w:val="1"/>
                <w:bCs w:val="1"/>
                <w:color w:val="auto"/>
              </w:rPr>
              <w:t>Term Loans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Warrants</w:t>
            </w:r>
          </w:p>
        </w:tc>
        <w:tc>
          <w:tcPr>
            <w:tcW w:w="30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Fair value at December 31, 2020</w:t>
            </w:r>
          </w:p>
        </w:tc>
        <w:tc>
          <w:tcPr>
            <w:tcW w:w="18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1,336,268</w:t>
            </w: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501,964,657</w:t>
            </w:r>
          </w:p>
        </w:tc>
        <w:tc>
          <w:tcPr>
            <w:tcW w:w="24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FF0FC"/>
          </w:tcPr>
          <w:p>
            <w:pPr>
              <w:ind w:left="760"/>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33,008,672</w:t>
            </w:r>
          </w:p>
        </w:tc>
        <w:tc>
          <w:tcPr>
            <w:tcW w:w="20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536,309,597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60" w:type="dxa"/>
            <w:vAlign w:val="bottom"/>
          </w:tcPr>
          <w:p>
            <w:pPr>
              <w:ind w:left="20"/>
              <w:spacing w:after="0"/>
              <w:rPr>
                <w:sz w:val="20"/>
                <w:szCs w:val="20"/>
                <w:color w:val="auto"/>
              </w:rPr>
            </w:pPr>
            <w:r>
              <w:rPr>
                <w:rFonts w:ascii="Arial" w:cs="Arial" w:eastAsia="Arial" w:hAnsi="Arial"/>
                <w:sz w:val="14"/>
                <w:szCs w:val="14"/>
                <w:color w:val="auto"/>
              </w:rPr>
              <w:t>Amortization of fixed income premiums or accretion of discounts</w:t>
            </w:r>
          </w:p>
        </w:tc>
        <w:tc>
          <w:tcPr>
            <w:tcW w:w="18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3,661,864</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ind w:left="76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3,661,864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6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Purchases of investments</w:t>
            </w:r>
            <w:r>
              <w:rPr>
                <w:rFonts w:ascii="Arial" w:cs="Arial" w:eastAsia="Arial" w:hAnsi="Arial"/>
                <w:sz w:val="19"/>
                <w:szCs w:val="19"/>
                <w:color w:val="auto"/>
                <w:vertAlign w:val="superscript"/>
              </w:rPr>
              <w:t>(1)</w:t>
            </w: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2,000,000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132,838,824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ind w:left="760"/>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728,728</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135,567,552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60" w:type="dxa"/>
            <w:vAlign w:val="bottom"/>
          </w:tcPr>
          <w:p>
            <w:pPr>
              <w:ind w:left="20"/>
              <w:spacing w:after="0" w:line="175" w:lineRule="exact"/>
              <w:rPr>
                <w:sz w:val="20"/>
                <w:szCs w:val="20"/>
                <w:color w:val="auto"/>
              </w:rPr>
            </w:pPr>
            <w:r>
              <w:rPr>
                <w:rFonts w:ascii="Arial" w:cs="Arial" w:eastAsia="Arial" w:hAnsi="Arial"/>
                <w:sz w:val="14"/>
                <w:szCs w:val="14"/>
                <w:color w:val="auto"/>
              </w:rPr>
              <w:t>Sales or repayments of investments</w:t>
            </w:r>
            <w:r>
              <w:rPr>
                <w:rFonts w:ascii="Arial" w:cs="Arial" w:eastAsia="Arial" w:hAnsi="Arial"/>
                <w:sz w:val="19"/>
                <w:szCs w:val="19"/>
                <w:color w:val="auto"/>
                <w:vertAlign w:val="superscript"/>
              </w:rPr>
              <w:t>(1)</w:t>
            </w:r>
          </w:p>
        </w:tc>
        <w:tc>
          <w:tcPr>
            <w:tcW w:w="18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(96,452,874 )</w:t>
            </w:r>
          </w:p>
        </w:tc>
        <w:tc>
          <w:tcPr>
            <w:tcW w:w="100" w:type="dxa"/>
            <w:vAlign w:val="bottom"/>
          </w:tcPr>
          <w:p>
            <w:pPr>
              <w:spacing w:after="0"/>
              <w:rPr>
                <w:sz w:val="15"/>
                <w:szCs w:val="15"/>
                <w:color w:val="auto"/>
              </w:rPr>
            </w:pPr>
          </w:p>
        </w:tc>
        <w:tc>
          <w:tcPr>
            <w:tcW w:w="900" w:type="dxa"/>
            <w:vAlign w:val="bottom"/>
          </w:tcPr>
          <w:p>
            <w:pPr>
              <w:ind w:left="76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(96,452,874 )</w:t>
            </w:r>
          </w:p>
        </w:tc>
        <w:tc>
          <w:tcPr>
            <w:tcW w:w="0" w:type="dxa"/>
            <w:vAlign w:val="bottom"/>
          </w:tcPr>
          <w:p>
            <w:pPr>
              <w:spacing w:after="0"/>
              <w:rPr>
                <w:sz w:val="1"/>
                <w:szCs w:val="1"/>
                <w:color w:val="auto"/>
              </w:rPr>
            </w:pPr>
          </w:p>
        </w:tc>
      </w:tr>
      <w:tr>
        <w:trPr>
          <w:trHeight w:val="176"/>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Transfers out of Level 3</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ind w:left="760"/>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(9,492,345 )</w:t>
            </w: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(9,492,345 )</w:t>
            </w:r>
          </w:p>
        </w:tc>
        <w:tc>
          <w:tcPr>
            <w:tcW w:w="0" w:type="dxa"/>
            <w:vAlign w:val="bottom"/>
          </w:tcPr>
          <w:p>
            <w:pPr>
              <w:spacing w:after="0"/>
              <w:rPr>
                <w:sz w:val="1"/>
                <w:szCs w:val="1"/>
                <w:color w:val="auto"/>
              </w:rPr>
            </w:pPr>
          </w:p>
        </w:tc>
      </w:tr>
      <w:tr>
        <w:trPr>
          <w:trHeight w:val="175"/>
        </w:trPr>
        <w:tc>
          <w:tcPr>
            <w:tcW w:w="4260" w:type="dxa"/>
            <w:vAlign w:val="bottom"/>
          </w:tcPr>
          <w:p>
            <w:pPr>
              <w:ind w:left="20"/>
              <w:spacing w:after="0"/>
              <w:rPr>
                <w:sz w:val="20"/>
                <w:szCs w:val="20"/>
                <w:color w:val="auto"/>
              </w:rPr>
            </w:pPr>
            <w:r>
              <w:rPr>
                <w:rFonts w:ascii="Arial" w:cs="Arial" w:eastAsia="Arial" w:hAnsi="Arial"/>
                <w:sz w:val="14"/>
                <w:szCs w:val="14"/>
                <w:color w:val="auto"/>
              </w:rPr>
              <w:t>Realized gain (loss)</w:t>
            </w:r>
          </w:p>
        </w:tc>
        <w:tc>
          <w:tcPr>
            <w:tcW w:w="180" w:type="dxa"/>
            <w:vAlign w:val="bottom"/>
          </w:tcPr>
          <w:p>
            <w:pPr>
              <w:spacing w:after="0"/>
              <w:rPr>
                <w:sz w:val="15"/>
                <w:szCs w:val="15"/>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tcPr>
          <w:p>
            <w:pPr>
              <w:ind w:left="760"/>
              <w:spacing w:after="0"/>
              <w:rPr>
                <w:sz w:val="20"/>
                <w:szCs w:val="20"/>
                <w:color w:val="auto"/>
              </w:rPr>
            </w:pPr>
            <w:r>
              <w:rPr>
                <w:rFonts w:ascii="Arial" w:cs="Arial" w:eastAsia="Arial" w:hAnsi="Arial"/>
                <w:sz w:val="14"/>
                <w:szCs w:val="14"/>
                <w:color w:val="auto"/>
                <w:w w:val="85"/>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(490,408 )</w:t>
            </w:r>
          </w:p>
        </w:tc>
        <w:tc>
          <w:tcPr>
            <w:tcW w:w="300" w:type="dxa"/>
            <w:vAlign w:val="bottom"/>
          </w:tcPr>
          <w:p>
            <w:pPr>
              <w:spacing w:after="0"/>
              <w:rPr>
                <w:sz w:val="15"/>
                <w:szCs w:val="15"/>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4"/>
                <w:szCs w:val="14"/>
                <w:color w:val="auto"/>
              </w:rPr>
              <w:t>(490,408 )</w:t>
            </w:r>
          </w:p>
        </w:tc>
        <w:tc>
          <w:tcPr>
            <w:tcW w:w="0" w:type="dxa"/>
            <w:vAlign w:val="bottom"/>
          </w:tcPr>
          <w:p>
            <w:pPr>
              <w:spacing w:after="0"/>
              <w:rPr>
                <w:sz w:val="1"/>
                <w:szCs w:val="1"/>
                <w:color w:val="auto"/>
              </w:rPr>
            </w:pPr>
          </w:p>
        </w:tc>
      </w:tr>
      <w:tr>
        <w:trPr>
          <w:trHeight w:val="176"/>
        </w:trPr>
        <w:tc>
          <w:tcPr>
            <w:tcW w:w="4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Change in unrealized appreciation (depreciation)</w:t>
            </w:r>
          </w:p>
        </w:tc>
        <w:tc>
          <w:tcPr>
            <w:tcW w:w="18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(1,857,702 )</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(11,100,714 )</w:t>
            </w:r>
          </w:p>
        </w:tc>
        <w:tc>
          <w:tcPr>
            <w:tcW w:w="100" w:type="dxa"/>
            <w:vAlign w:val="bottom"/>
            <w:shd w:val="clear" w:color="auto" w:fill="CFF0FC"/>
          </w:tcPr>
          <w:p>
            <w:pPr>
              <w:spacing w:after="0"/>
              <w:rPr>
                <w:sz w:val="15"/>
                <w:szCs w:val="15"/>
                <w:color w:val="auto"/>
              </w:rPr>
            </w:pPr>
          </w:p>
        </w:tc>
        <w:tc>
          <w:tcPr>
            <w:tcW w:w="900" w:type="dxa"/>
            <w:vAlign w:val="bottom"/>
            <w:shd w:val="clear" w:color="auto" w:fill="CFF0FC"/>
          </w:tcPr>
          <w:p>
            <w:pPr>
              <w:ind w:left="760"/>
              <w:spacing w:after="0"/>
              <w:rPr>
                <w:sz w:val="20"/>
                <w:szCs w:val="20"/>
                <w:color w:val="auto"/>
              </w:rPr>
            </w:pPr>
            <w:r>
              <w:rPr>
                <w:rFonts w:ascii="Arial" w:cs="Arial" w:eastAsia="Arial" w:hAnsi="Arial"/>
                <w:sz w:val="14"/>
                <w:szCs w:val="14"/>
                <w:color w:val="auto"/>
                <w:w w:val="85"/>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612,468</w:t>
            </w:r>
          </w:p>
        </w:tc>
        <w:tc>
          <w:tcPr>
            <w:tcW w:w="2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(12,345,948 )</w:t>
            </w:r>
          </w:p>
        </w:tc>
        <w:tc>
          <w:tcPr>
            <w:tcW w:w="0" w:type="dxa"/>
            <w:vAlign w:val="bottom"/>
          </w:tcPr>
          <w:p>
            <w:pPr>
              <w:spacing w:after="0"/>
              <w:rPr>
                <w:sz w:val="1"/>
                <w:szCs w:val="1"/>
                <w:color w:val="auto"/>
              </w:rPr>
            </w:pPr>
          </w:p>
        </w:tc>
      </w:tr>
      <w:tr>
        <w:trPr>
          <w:trHeight w:val="169"/>
        </w:trPr>
        <w:tc>
          <w:tcPr>
            <w:tcW w:w="4260" w:type="dxa"/>
            <w:vAlign w:val="bottom"/>
            <w:tcBorders>
              <w:top w:val="single" w:sz="8" w:color="CFF0FC"/>
            </w:tcBorders>
          </w:tcPr>
          <w:p>
            <w:pPr>
              <w:ind w:left="20"/>
              <w:spacing w:after="0" w:line="155" w:lineRule="exact"/>
              <w:rPr>
                <w:sz w:val="20"/>
                <w:szCs w:val="20"/>
                <w:color w:val="auto"/>
              </w:rPr>
            </w:pPr>
            <w:r>
              <w:rPr>
                <w:rFonts w:ascii="Arial" w:cs="Arial" w:eastAsia="Arial" w:hAnsi="Arial"/>
                <w:sz w:val="14"/>
                <w:szCs w:val="14"/>
                <w:color w:val="auto"/>
              </w:rPr>
              <w:t>Fair value at June 30, 2021</w:t>
            </w: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1,478,566</w:t>
            </w:r>
          </w:p>
        </w:tc>
        <w:tc>
          <w:tcPr>
            <w:tcW w:w="26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530,911,757</w:t>
            </w: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ind w:left="760"/>
              <w:spacing w:after="0" w:line="155" w:lineRule="exact"/>
              <w:rPr>
                <w:sz w:val="20"/>
                <w:szCs w:val="20"/>
                <w:color w:val="auto"/>
              </w:rPr>
            </w:pPr>
            <w:r>
              <w:rPr>
                <w:rFonts w:ascii="Arial" w:cs="Arial" w:eastAsia="Arial" w:hAnsi="Arial"/>
                <w:sz w:val="14"/>
                <w:szCs w:val="14"/>
                <w:color w:val="auto"/>
                <w:w w:val="85"/>
              </w:rPr>
              <w:t>—</w:t>
            </w:r>
          </w:p>
        </w:tc>
        <w:tc>
          <w:tcPr>
            <w:tcW w:w="220" w:type="dxa"/>
            <w:vAlign w:val="bottom"/>
            <w:tcBorders>
              <w:top w:val="single" w:sz="8" w:color="CFF0FC"/>
            </w:tcBorders>
          </w:tcPr>
          <w:p>
            <w:pPr>
              <w:spacing w:after="0"/>
              <w:rPr>
                <w:sz w:val="14"/>
                <w:szCs w:val="14"/>
                <w:color w:val="auto"/>
              </w:rPr>
            </w:pPr>
          </w:p>
        </w:tc>
        <w:tc>
          <w:tcPr>
            <w:tcW w:w="20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24,367,115</w:t>
            </w:r>
          </w:p>
        </w:tc>
        <w:tc>
          <w:tcPr>
            <w:tcW w:w="200" w:type="dxa"/>
            <w:vAlign w:val="bottom"/>
            <w:tcBorders>
              <w:top w:val="single" w:sz="8" w:color="CFF0FC"/>
            </w:tcBorders>
          </w:tcPr>
          <w:p>
            <w:pPr>
              <w:spacing w:after="0"/>
              <w:rPr>
                <w:sz w:val="14"/>
                <w:szCs w:val="14"/>
                <w:color w:val="auto"/>
              </w:rPr>
            </w:pPr>
          </w:p>
        </w:tc>
        <w:tc>
          <w:tcPr>
            <w:tcW w:w="3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556,757,438</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260" w:type="dxa"/>
            <w:vAlign w:val="bottom"/>
            <w:shd w:val="clear" w:color="auto" w:fill="CFF0FC"/>
          </w:tcPr>
          <w:p>
            <w:pPr>
              <w:ind w:left="20"/>
              <w:spacing w:after="0" w:line="124" w:lineRule="exact"/>
              <w:rPr>
                <w:sz w:val="20"/>
                <w:szCs w:val="20"/>
                <w:color w:val="auto"/>
              </w:rPr>
            </w:pPr>
            <w:r>
              <w:rPr>
                <w:rFonts w:ascii="Arial" w:cs="Arial" w:eastAsia="Arial" w:hAnsi="Arial"/>
                <w:sz w:val="14"/>
                <w:szCs w:val="14"/>
                <w:color w:val="auto"/>
              </w:rPr>
              <w:t>Change in unrealized appreciation (depreciation) on Level 3</w:t>
            </w:r>
          </w:p>
        </w:tc>
        <w:tc>
          <w:tcPr>
            <w:tcW w:w="18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142,297</w:t>
            </w:r>
          </w:p>
        </w:tc>
        <w:tc>
          <w:tcPr>
            <w:tcW w:w="260" w:type="dxa"/>
            <w:vAlign w:val="bottom"/>
            <w:shd w:val="clear" w:color="auto" w:fill="CFF0FC"/>
          </w:tcPr>
          <w:p>
            <w:pPr>
              <w:spacing w:after="0"/>
              <w:rPr>
                <w:sz w:val="10"/>
                <w:szCs w:val="10"/>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4"/>
                <w:szCs w:val="14"/>
                <w:color w:val="auto"/>
              </w:rPr>
              <w:t>(9,896,411 )</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FF0FC"/>
          </w:tcPr>
          <w:p>
            <w:pPr>
              <w:ind w:left="760"/>
              <w:spacing w:after="0"/>
              <w:rPr>
                <w:sz w:val="20"/>
                <w:szCs w:val="20"/>
                <w:color w:val="auto"/>
              </w:rPr>
            </w:pPr>
            <w:r>
              <w:rPr>
                <w:rFonts w:ascii="Arial" w:cs="Arial" w:eastAsia="Arial" w:hAnsi="Arial"/>
                <w:sz w:val="14"/>
                <w:szCs w:val="14"/>
                <w:color w:val="auto"/>
                <w:w w:val="85"/>
              </w:rPr>
              <w:t>—</w:t>
            </w:r>
          </w:p>
        </w:tc>
        <w:tc>
          <w:tcPr>
            <w:tcW w:w="420" w:type="dxa"/>
            <w:vAlign w:val="bottom"/>
            <w:gridSpan w:val="2"/>
            <w:vMerge w:val="restart"/>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(8,569,068 )</w:t>
            </w:r>
          </w:p>
        </w:tc>
        <w:tc>
          <w:tcPr>
            <w:tcW w:w="300" w:type="dxa"/>
            <w:vAlign w:val="bottom"/>
            <w:vMerge w:val="restart"/>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(18,323,182 )</w:t>
            </w:r>
          </w:p>
        </w:tc>
        <w:tc>
          <w:tcPr>
            <w:tcW w:w="0" w:type="dxa"/>
            <w:vAlign w:val="bottom"/>
          </w:tcPr>
          <w:p>
            <w:pPr>
              <w:spacing w:after="0"/>
              <w:rPr>
                <w:sz w:val="1"/>
                <w:szCs w:val="1"/>
                <w:color w:val="auto"/>
              </w:rPr>
            </w:pPr>
          </w:p>
        </w:tc>
      </w:tr>
      <w:tr>
        <w:trPr>
          <w:trHeight w:val="160"/>
        </w:trPr>
        <w:tc>
          <w:tcPr>
            <w:tcW w:w="4260" w:type="dxa"/>
            <w:vAlign w:val="bottom"/>
            <w:shd w:val="clear" w:color="auto" w:fill="CFF0FC"/>
          </w:tcPr>
          <w:p>
            <w:pPr>
              <w:ind w:left="20"/>
              <w:spacing w:after="0" w:line="121" w:lineRule="exact"/>
              <w:rPr>
                <w:sz w:val="20"/>
                <w:szCs w:val="20"/>
                <w:color w:val="auto"/>
              </w:rPr>
            </w:pPr>
            <w:r>
              <w:rPr>
                <w:rFonts w:ascii="Arial" w:cs="Arial" w:eastAsia="Arial" w:hAnsi="Arial"/>
                <w:sz w:val="13"/>
                <w:szCs w:val="13"/>
                <w:color w:val="auto"/>
              </w:rPr>
              <w:t>investments still held as of June 30, 2021</w:t>
            </w:r>
          </w:p>
        </w:tc>
        <w:tc>
          <w:tcPr>
            <w:tcW w:w="180" w:type="dxa"/>
            <w:vAlign w:val="bottom"/>
            <w:vMerge w:val="continue"/>
            <w:shd w:val="clear" w:color="auto" w:fill="CFF0FC"/>
          </w:tcPr>
          <w:p>
            <w:pPr>
              <w:spacing w:after="0"/>
              <w:rPr>
                <w:sz w:val="13"/>
                <w:szCs w:val="13"/>
                <w:color w:val="auto"/>
              </w:rPr>
            </w:pPr>
          </w:p>
        </w:tc>
        <w:tc>
          <w:tcPr>
            <w:tcW w:w="92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vMerge w:val="continue"/>
            <w:shd w:val="clear" w:color="auto" w:fill="CFF0FC"/>
          </w:tcPr>
          <w:p>
            <w:pPr>
              <w:spacing w:after="0"/>
              <w:rPr>
                <w:sz w:val="13"/>
                <w:szCs w:val="13"/>
                <w:color w:val="auto"/>
              </w:rPr>
            </w:pPr>
          </w:p>
        </w:tc>
        <w:tc>
          <w:tcPr>
            <w:tcW w:w="1420" w:type="dxa"/>
            <w:vAlign w:val="bottom"/>
            <w:gridSpan w:val="2"/>
            <w:vMerge w:val="continue"/>
            <w:shd w:val="clear" w:color="auto" w:fill="CFF0FC"/>
          </w:tcPr>
          <w:p>
            <w:pPr>
              <w:spacing w:after="0"/>
              <w:rPr>
                <w:sz w:val="13"/>
                <w:szCs w:val="13"/>
                <w:color w:val="auto"/>
              </w:rPr>
            </w:pPr>
          </w:p>
        </w:tc>
        <w:tc>
          <w:tcPr>
            <w:tcW w:w="100" w:type="dxa"/>
            <w:vAlign w:val="bottom"/>
            <w:vMerge w:val="continue"/>
            <w:shd w:val="clear" w:color="auto" w:fill="CFF0FC"/>
          </w:tcPr>
          <w:p>
            <w:pPr>
              <w:spacing w:after="0"/>
              <w:rPr>
                <w:sz w:val="13"/>
                <w:szCs w:val="13"/>
                <w:color w:val="auto"/>
              </w:rPr>
            </w:pPr>
          </w:p>
        </w:tc>
        <w:tc>
          <w:tcPr>
            <w:tcW w:w="900" w:type="dxa"/>
            <w:vAlign w:val="bottom"/>
            <w:vMerge w:val="continue"/>
            <w:shd w:val="clear" w:color="auto" w:fill="CFF0FC"/>
          </w:tcPr>
          <w:p>
            <w:pPr>
              <w:spacing w:after="0"/>
              <w:rPr>
                <w:sz w:val="13"/>
                <w:szCs w:val="13"/>
                <w:color w:val="auto"/>
              </w:rPr>
            </w:pPr>
          </w:p>
        </w:tc>
        <w:tc>
          <w:tcPr>
            <w:tcW w:w="420" w:type="dxa"/>
            <w:vAlign w:val="bottom"/>
            <w:gridSpan w:val="2"/>
            <w:vMerge w:val="continue"/>
            <w:shd w:val="clear" w:color="auto" w:fill="CFF0FC"/>
          </w:tcPr>
          <w:p>
            <w:pPr>
              <w:spacing w:after="0"/>
              <w:rPr>
                <w:sz w:val="13"/>
                <w:szCs w:val="13"/>
                <w:color w:val="auto"/>
              </w:rPr>
            </w:pPr>
          </w:p>
        </w:tc>
        <w:tc>
          <w:tcPr>
            <w:tcW w:w="1200" w:type="dxa"/>
            <w:vAlign w:val="bottom"/>
            <w:gridSpan w:val="2"/>
            <w:vMerge w:val="continue"/>
            <w:shd w:val="clear" w:color="auto" w:fill="CFF0FC"/>
          </w:tcPr>
          <w:p>
            <w:pPr>
              <w:spacing w:after="0"/>
              <w:rPr>
                <w:sz w:val="13"/>
                <w:szCs w:val="13"/>
                <w:color w:val="auto"/>
              </w:rPr>
            </w:pPr>
          </w:p>
        </w:tc>
        <w:tc>
          <w:tcPr>
            <w:tcW w:w="300" w:type="dxa"/>
            <w:vAlign w:val="bottom"/>
            <w:vMerge w:val="continue"/>
            <w:shd w:val="clear" w:color="auto" w:fill="CFF0FC"/>
          </w:tcPr>
          <w:p>
            <w:pPr>
              <w:spacing w:after="0"/>
              <w:rPr>
                <w:sz w:val="13"/>
                <w:szCs w:val="13"/>
                <w:color w:val="auto"/>
              </w:rPr>
            </w:pPr>
          </w:p>
        </w:tc>
        <w:tc>
          <w:tcPr>
            <w:tcW w:w="1140" w:type="dxa"/>
            <w:vAlign w:val="bottom"/>
            <w:gridSpan w:val="2"/>
            <w:vMerge w:val="continue"/>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-347980</wp:posOffset>
            </wp:positionV>
            <wp:extent cx="7747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-347980</wp:posOffset>
            </wp:positionV>
            <wp:extent cx="7747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-347980</wp:posOffset>
            </wp:positionV>
            <wp:extent cx="68580"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-347980</wp:posOffset>
            </wp:positionV>
            <wp:extent cx="6858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-347980</wp:posOffset>
            </wp:positionV>
            <wp:extent cx="6858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-24765</wp:posOffset>
            </wp:positionV>
            <wp:extent cx="7747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-7620</wp:posOffset>
            </wp:positionV>
            <wp:extent cx="774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-24765</wp:posOffset>
            </wp:positionV>
            <wp:extent cx="774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774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685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685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-7620</wp:posOffset>
            </wp:positionV>
            <wp:extent cx="6858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190309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51" w:lineRule="exact"/>
        <w:rPr>
          <w:sz w:val="20"/>
          <w:szCs w:val="20"/>
          <w:color w:val="auto"/>
        </w:rPr>
      </w:pPr>
    </w:p>
    <w:p>
      <w:pPr>
        <w:ind w:left="760" w:hanging="374"/>
        <w:spacing w:after="0"/>
        <w:tabs>
          <w:tab w:leader="none" w:pos="760" w:val="left"/>
        </w:tabs>
        <w:numPr>
          <w:ilvl w:val="0"/>
          <w:numId w:val="21"/>
        </w:numPr>
        <w:rPr>
          <w:rFonts w:ascii="Arial" w:cs="Arial" w:eastAsia="Arial" w:hAnsi="Arial"/>
          <w:sz w:val="24"/>
          <w:szCs w:val="24"/>
          <w:color w:val="auto"/>
          <w:vertAlign w:val="superscript"/>
        </w:rPr>
      </w:pPr>
      <w:r>
        <w:rPr>
          <w:rFonts w:ascii="Arial" w:cs="Arial" w:eastAsia="Arial" w:hAnsi="Arial"/>
          <w:sz w:val="14"/>
          <w:szCs w:val="14"/>
          <w:color w:val="auto"/>
        </w:rPr>
        <w:t>Includes PIK interest, net of reorganization and restructuring of investments.</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as of June 30, 2022: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jc w:val="center"/>
              <w:ind w:right="528"/>
              <w:spacing w:after="0"/>
              <w:rPr>
                <w:sz w:val="20"/>
                <w:szCs w:val="20"/>
                <w:color w:val="auto"/>
              </w:rPr>
            </w:pPr>
            <w:r>
              <w:rPr>
                <w:rFonts w:ascii="Arial" w:cs="Arial" w:eastAsia="Arial" w:hAnsi="Arial"/>
                <w:sz w:val="14"/>
                <w:szCs w:val="14"/>
                <w:b w:val="1"/>
                <w:bCs w:val="1"/>
                <w:color w:val="auto"/>
                <w:w w:val="93"/>
              </w:rPr>
              <w:t>Range</w:t>
            </w:r>
          </w:p>
        </w:tc>
      </w:tr>
      <w:tr>
        <w:trPr>
          <w:trHeight w:val="185"/>
        </w:trPr>
        <w:tc>
          <w:tcPr>
            <w:tcW w:w="30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6"/>
                <w:szCs w:val="16"/>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0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Unobservable Inputs</w:t>
            </w:r>
          </w:p>
        </w:tc>
        <w:tc>
          <w:tcPr>
            <w:tcW w:w="140" w:type="dxa"/>
            <w:vAlign w:val="bottom"/>
          </w:tcPr>
          <w:p>
            <w:pPr>
              <w:spacing w:after="0"/>
              <w:rPr>
                <w:sz w:val="16"/>
                <w:szCs w:val="16"/>
                <w:color w:val="auto"/>
              </w:rPr>
            </w:pPr>
          </w:p>
        </w:tc>
        <w:tc>
          <w:tcPr>
            <w:tcW w:w="1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r>
      <w:tr>
        <w:trPr>
          <w:trHeight w:val="137"/>
        </w:trPr>
        <w:tc>
          <w:tcPr>
            <w:tcW w:w="304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b w:val="1"/>
                <w:bCs w:val="1"/>
                <w:color w:val="auto"/>
              </w:rPr>
              <w:t>Common Stock</w:t>
            </w:r>
          </w:p>
        </w:tc>
        <w:tc>
          <w:tcPr>
            <w:tcW w:w="1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4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2140" w:type="dxa"/>
            <w:vAlign w:val="bottom"/>
            <w:shd w:val="clear" w:color="auto" w:fill="CFF0FC"/>
          </w:tcPr>
          <w:p>
            <w:pPr>
              <w:jc w:val="center"/>
              <w:spacing w:after="0" w:line="137" w:lineRule="exact"/>
              <w:rPr>
                <w:sz w:val="20"/>
                <w:szCs w:val="20"/>
                <w:color w:val="auto"/>
              </w:rPr>
            </w:pPr>
            <w:r>
              <w:rPr>
                <w:rFonts w:ascii="Arial" w:cs="Arial" w:eastAsia="Arial" w:hAnsi="Arial"/>
                <w:sz w:val="14"/>
                <w:szCs w:val="14"/>
                <w:color w:val="auto"/>
                <w:w w:val="92"/>
              </w:rPr>
              <w:t>Recent private market and merger</w:t>
            </w:r>
          </w:p>
        </w:tc>
        <w:tc>
          <w:tcPr>
            <w:tcW w:w="100" w:type="dxa"/>
            <w:vAlign w:val="bottom"/>
            <w:shd w:val="clear" w:color="auto" w:fill="CFF0FC"/>
          </w:tcPr>
          <w:p>
            <w:pPr>
              <w:spacing w:after="0"/>
              <w:rPr>
                <w:sz w:val="11"/>
                <w:szCs w:val="11"/>
                <w:color w:val="auto"/>
              </w:rPr>
            </w:pPr>
          </w:p>
        </w:tc>
        <w:tc>
          <w:tcPr>
            <w:tcW w:w="2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1200" w:type="dxa"/>
            <w:vAlign w:val="bottom"/>
            <w:shd w:val="clear" w:color="auto" w:fill="CFF0FC"/>
          </w:tcPr>
          <w:p>
            <w:pPr>
              <w:spacing w:after="0"/>
              <w:rPr>
                <w:sz w:val="11"/>
                <w:szCs w:val="11"/>
                <w:color w:val="auto"/>
              </w:rPr>
            </w:pPr>
          </w:p>
        </w:tc>
      </w:tr>
      <w:tr>
        <w:trPr>
          <w:trHeight w:val="181"/>
        </w:trPr>
        <w:tc>
          <w:tcPr>
            <w:tcW w:w="3040" w:type="dxa"/>
            <w:vAlign w:val="bottom"/>
            <w:shd w:val="clear" w:color="auto" w:fill="CFF0FC"/>
          </w:tcPr>
          <w:p>
            <w:pPr>
              <w:spacing w:after="0"/>
              <w:rPr>
                <w:sz w:val="15"/>
                <w:szCs w:val="15"/>
                <w:color w:val="auto"/>
              </w:rPr>
            </w:pPr>
          </w:p>
        </w:tc>
        <w:tc>
          <w:tcPr>
            <w:tcW w:w="3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1,324,707</w:t>
            </w:r>
          </w:p>
        </w:tc>
        <w:tc>
          <w:tcPr>
            <w:tcW w:w="20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and acquisition transaction prices</w:t>
            </w:r>
          </w:p>
        </w:tc>
        <w:tc>
          <w:tcPr>
            <w:tcW w:w="100" w:type="dxa"/>
            <w:vAlign w:val="bottom"/>
            <w:shd w:val="clear" w:color="auto" w:fill="CFF0FC"/>
          </w:tcPr>
          <w:p>
            <w:pPr>
              <w:spacing w:after="0"/>
              <w:rPr>
                <w:sz w:val="15"/>
                <w:szCs w:val="15"/>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1200" w:type="dxa"/>
            <w:vAlign w:val="bottom"/>
            <w:shd w:val="clear" w:color="auto" w:fill="CFF0FC"/>
          </w:tcPr>
          <w:p>
            <w:pPr>
              <w:jc w:val="center"/>
              <w:ind w:right="528"/>
              <w:spacing w:after="0"/>
              <w:rPr>
                <w:sz w:val="20"/>
                <w:szCs w:val="20"/>
                <w:color w:val="auto"/>
              </w:rPr>
            </w:pPr>
            <w:r>
              <w:rPr>
                <w:rFonts w:ascii="Arial" w:cs="Arial" w:eastAsia="Arial" w:hAnsi="Arial"/>
                <w:sz w:val="14"/>
                <w:szCs w:val="14"/>
                <w:color w:val="auto"/>
              </w:rPr>
              <w:t>N/A</w:t>
            </w:r>
          </w:p>
        </w:tc>
      </w:tr>
      <w:tr>
        <w:trPr>
          <w:trHeight w:val="143"/>
        </w:trPr>
        <w:tc>
          <w:tcPr>
            <w:tcW w:w="304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Preferred Stock</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40" w:type="dxa"/>
            <w:vAlign w:val="bottom"/>
          </w:tcPr>
          <w:p>
            <w:pPr>
              <w:jc w:val="center"/>
              <w:spacing w:after="0" w:line="143" w:lineRule="exact"/>
              <w:rPr>
                <w:sz w:val="20"/>
                <w:szCs w:val="20"/>
                <w:color w:val="auto"/>
              </w:rPr>
            </w:pPr>
            <w:r>
              <w:rPr>
                <w:rFonts w:ascii="Arial" w:cs="Arial" w:eastAsia="Arial" w:hAnsi="Arial"/>
                <w:sz w:val="14"/>
                <w:szCs w:val="14"/>
                <w:color w:val="auto"/>
                <w:w w:val="92"/>
              </w:rPr>
              <w:t>Recent private market and merger</w:t>
            </w:r>
          </w:p>
        </w:tc>
        <w:tc>
          <w:tcPr>
            <w:tcW w:w="1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81"/>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408,727</w:t>
            </w:r>
          </w:p>
        </w:tc>
        <w:tc>
          <w:tcPr>
            <w:tcW w:w="20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2"/>
              </w:rPr>
              <w:t>and acquisition transaction prices</w:t>
            </w:r>
          </w:p>
        </w:tc>
        <w:tc>
          <w:tcPr>
            <w:tcW w:w="10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rPr>
              <w:t>N/A</w:t>
            </w: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jc w:val="center"/>
              <w:ind w:right="528"/>
              <w:spacing w:after="0"/>
              <w:rPr>
                <w:sz w:val="20"/>
                <w:szCs w:val="20"/>
                <w:color w:val="auto"/>
              </w:rPr>
            </w:pPr>
            <w:r>
              <w:rPr>
                <w:rFonts w:ascii="Arial" w:cs="Arial" w:eastAsia="Arial" w:hAnsi="Arial"/>
                <w:sz w:val="14"/>
                <w:szCs w:val="14"/>
                <w:color w:val="auto"/>
              </w:rPr>
              <w:t>N/A</w:t>
            </w:r>
          </w:p>
        </w:tc>
      </w:tr>
      <w:tr>
        <w:trPr>
          <w:trHeight w:val="175"/>
        </w:trPr>
        <w:tc>
          <w:tcPr>
            <w:tcW w:w="30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b w:val="1"/>
                <w:bCs w:val="1"/>
                <w:color w:val="auto"/>
              </w:rPr>
              <w:t>Senior Secured Term Loans</w:t>
            </w:r>
            <w:r>
              <w:rPr>
                <w:rFonts w:ascii="Arial" w:cs="Arial" w:eastAsia="Arial" w:hAnsi="Arial"/>
                <w:sz w:val="19"/>
                <w:szCs w:val="19"/>
                <w:b w:val="1"/>
                <w:bCs w:val="1"/>
                <w:color w:val="auto"/>
                <w:vertAlign w:val="superscript"/>
              </w:rPr>
              <w:t>(1)</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737,437,025</w:t>
            </w:r>
          </w:p>
        </w:tc>
        <w:tc>
          <w:tcPr>
            <w:tcW w:w="20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Discounted Cash Flow analysis</w:t>
            </w:r>
          </w:p>
        </w:tc>
        <w:tc>
          <w:tcPr>
            <w:tcW w:w="100" w:type="dxa"/>
            <w:vAlign w:val="bottom"/>
            <w:shd w:val="clear" w:color="auto" w:fill="CFF0FC"/>
          </w:tcPr>
          <w:p>
            <w:pPr>
              <w:spacing w:after="0"/>
              <w:rPr>
                <w:sz w:val="15"/>
                <w:szCs w:val="15"/>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Discount rate</w:t>
            </w:r>
          </w:p>
        </w:tc>
        <w:tc>
          <w:tcPr>
            <w:tcW w:w="1940" w:type="dxa"/>
            <w:vAlign w:val="bottom"/>
            <w:gridSpan w:val="3"/>
            <w:shd w:val="clear" w:color="auto" w:fill="CFF0FC"/>
          </w:tcPr>
          <w:p>
            <w:pPr>
              <w:jc w:val="center"/>
              <w:ind w:left="68"/>
              <w:spacing w:after="0"/>
              <w:rPr>
                <w:sz w:val="20"/>
                <w:szCs w:val="20"/>
                <w:color w:val="auto"/>
              </w:rPr>
            </w:pPr>
            <w:r>
              <w:rPr>
                <w:rFonts w:ascii="Arial" w:cs="Arial" w:eastAsia="Arial" w:hAnsi="Arial"/>
                <w:sz w:val="14"/>
                <w:szCs w:val="14"/>
                <w:color w:val="auto"/>
                <w:w w:val="93"/>
              </w:rPr>
              <w:t>9.6% - 24.8% (14.0%)</w:t>
            </w:r>
          </w:p>
        </w:tc>
      </w:tr>
      <w:tr>
        <w:trPr>
          <w:trHeight w:val="175"/>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3"/>
              </w:rPr>
              <w:t>Market approach</w:t>
            </w:r>
          </w:p>
        </w:tc>
        <w:tc>
          <w:tcPr>
            <w:tcW w:w="10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97"/>
              </w:rPr>
              <w:t>Origination yield</w:t>
            </w:r>
          </w:p>
        </w:tc>
        <w:tc>
          <w:tcPr>
            <w:tcW w:w="1940" w:type="dxa"/>
            <w:vAlign w:val="bottom"/>
            <w:gridSpan w:val="3"/>
          </w:tcPr>
          <w:p>
            <w:pPr>
              <w:jc w:val="center"/>
              <w:ind w:left="68"/>
              <w:spacing w:after="0"/>
              <w:rPr>
                <w:sz w:val="20"/>
                <w:szCs w:val="20"/>
                <w:color w:val="auto"/>
              </w:rPr>
            </w:pPr>
            <w:r>
              <w:rPr>
                <w:rFonts w:ascii="Arial" w:cs="Arial" w:eastAsia="Arial" w:hAnsi="Arial"/>
                <w:sz w:val="14"/>
                <w:szCs w:val="14"/>
                <w:color w:val="auto"/>
                <w:w w:val="93"/>
              </w:rPr>
              <w:t>9.6% - 19.3% (12.0%)</w:t>
            </w:r>
          </w:p>
        </w:tc>
      </w:tr>
      <w:tr>
        <w:trPr>
          <w:trHeight w:val="175"/>
        </w:trPr>
        <w:tc>
          <w:tcPr>
            <w:tcW w:w="3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21,559,544</w:t>
            </w:r>
          </w:p>
        </w:tc>
        <w:tc>
          <w:tcPr>
            <w:tcW w:w="20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PWERM</w:t>
            </w:r>
          </w:p>
        </w:tc>
        <w:tc>
          <w:tcPr>
            <w:tcW w:w="100" w:type="dxa"/>
            <w:vAlign w:val="bottom"/>
            <w:shd w:val="clear" w:color="auto" w:fill="CFF0FC"/>
          </w:tcPr>
          <w:p>
            <w:pPr>
              <w:spacing w:after="0"/>
              <w:rPr>
                <w:sz w:val="15"/>
                <w:szCs w:val="15"/>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Discount rate</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35.0%</w:t>
            </w:r>
          </w:p>
        </w:tc>
        <w:tc>
          <w:tcPr>
            <w:tcW w:w="1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- 35.0% (35.0%)</w:t>
            </w:r>
          </w:p>
        </w:tc>
      </w:tr>
      <w:tr>
        <w:trPr>
          <w:trHeight w:val="176"/>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Second Lien Term Loans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13,247,638</w:t>
            </w:r>
          </w:p>
        </w:tc>
        <w:tc>
          <w:tcPr>
            <w:tcW w:w="200" w:type="dxa"/>
            <w:vAlign w:val="bottom"/>
          </w:tcPr>
          <w:p>
            <w:pPr>
              <w:spacing w:after="0"/>
              <w:rPr>
                <w:sz w:val="15"/>
                <w:szCs w:val="15"/>
                <w:color w:val="auto"/>
              </w:rPr>
            </w:pPr>
          </w:p>
        </w:tc>
        <w:tc>
          <w:tcPr>
            <w:tcW w:w="2140" w:type="dxa"/>
            <w:vAlign w:val="bottom"/>
          </w:tcPr>
          <w:p>
            <w:pPr>
              <w:jc w:val="center"/>
              <w:spacing w:after="0"/>
              <w:rPr>
                <w:sz w:val="20"/>
                <w:szCs w:val="20"/>
                <w:color w:val="auto"/>
              </w:rPr>
            </w:pPr>
            <w:r>
              <w:rPr>
                <w:rFonts w:ascii="Arial" w:cs="Arial" w:eastAsia="Arial" w:hAnsi="Arial"/>
                <w:sz w:val="14"/>
                <w:szCs w:val="14"/>
                <w:color w:val="auto"/>
                <w:w w:val="93"/>
              </w:rPr>
              <w:t>Discounted Cash Flow analysis</w:t>
            </w:r>
          </w:p>
        </w:tc>
        <w:tc>
          <w:tcPr>
            <w:tcW w:w="10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94"/>
              </w:rPr>
              <w:t>Discount rate</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15.5%</w:t>
            </w:r>
          </w:p>
        </w:tc>
        <w:tc>
          <w:tcPr>
            <w:tcW w:w="1200" w:type="dxa"/>
            <w:vAlign w:val="bottom"/>
          </w:tcPr>
          <w:p>
            <w:pPr>
              <w:ind w:left="20"/>
              <w:spacing w:after="0"/>
              <w:rPr>
                <w:sz w:val="20"/>
                <w:szCs w:val="20"/>
                <w:color w:val="auto"/>
              </w:rPr>
            </w:pPr>
            <w:r>
              <w:rPr>
                <w:rFonts w:ascii="Arial" w:cs="Arial" w:eastAsia="Arial" w:hAnsi="Arial"/>
                <w:sz w:val="14"/>
                <w:szCs w:val="14"/>
                <w:color w:val="auto"/>
              </w:rPr>
              <w:t>- 15.5% (15.5%)</w:t>
            </w:r>
          </w:p>
        </w:tc>
      </w:tr>
      <w:tr>
        <w:trPr>
          <w:trHeight w:val="175"/>
        </w:trPr>
        <w:tc>
          <w:tcPr>
            <w:tcW w:w="304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9"/>
                <w:szCs w:val="19"/>
                <w:b w:val="1"/>
                <w:bCs w:val="1"/>
                <w:color w:val="auto"/>
                <w:vertAlign w:val="superscript"/>
              </w:rPr>
              <w:t>(2)</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12,977,225</w:t>
            </w:r>
          </w:p>
        </w:tc>
        <w:tc>
          <w:tcPr>
            <w:tcW w:w="20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Option pricing model</w:t>
            </w:r>
          </w:p>
        </w:tc>
        <w:tc>
          <w:tcPr>
            <w:tcW w:w="100" w:type="dxa"/>
            <w:vAlign w:val="bottom"/>
            <w:shd w:val="clear" w:color="auto" w:fill="CFF0FC"/>
          </w:tcPr>
          <w:p>
            <w:pPr>
              <w:spacing w:after="0"/>
              <w:rPr>
                <w:sz w:val="15"/>
                <w:szCs w:val="15"/>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Risk-free interest rate</w:t>
            </w:r>
          </w:p>
        </w:tc>
        <w:tc>
          <w:tcPr>
            <w:tcW w:w="1940" w:type="dxa"/>
            <w:vAlign w:val="bottom"/>
            <w:gridSpan w:val="3"/>
            <w:shd w:val="clear" w:color="auto" w:fill="CFF0FC"/>
          </w:tcPr>
          <w:p>
            <w:pPr>
              <w:jc w:val="center"/>
              <w:ind w:left="68"/>
              <w:spacing w:after="0"/>
              <w:rPr>
                <w:sz w:val="20"/>
                <w:szCs w:val="20"/>
                <w:color w:val="auto"/>
              </w:rPr>
            </w:pPr>
            <w:r>
              <w:rPr>
                <w:rFonts w:ascii="Arial" w:cs="Arial" w:eastAsia="Arial" w:hAnsi="Arial"/>
                <w:sz w:val="14"/>
                <w:szCs w:val="14"/>
                <w:color w:val="auto"/>
                <w:w w:val="95"/>
              </w:rPr>
              <w:t>1.5% - 3.7% (3.0%)</w:t>
            </w:r>
          </w:p>
        </w:tc>
      </w:tr>
      <w:tr>
        <w:trPr>
          <w:trHeight w:val="175"/>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96"/>
              </w:rPr>
              <w:t>Average industry volatility</w:t>
            </w:r>
          </w:p>
        </w:tc>
        <w:tc>
          <w:tcPr>
            <w:tcW w:w="740" w:type="dxa"/>
            <w:vAlign w:val="bottom"/>
            <w:gridSpan w:val="2"/>
          </w:tcPr>
          <w:p>
            <w:pPr>
              <w:jc w:val="right"/>
              <w:spacing w:after="0"/>
              <w:rPr>
                <w:sz w:val="20"/>
                <w:szCs w:val="20"/>
                <w:color w:val="auto"/>
              </w:rPr>
            </w:pPr>
            <w:r>
              <w:rPr>
                <w:rFonts w:ascii="Arial" w:cs="Arial" w:eastAsia="Arial" w:hAnsi="Arial"/>
                <w:sz w:val="14"/>
                <w:szCs w:val="14"/>
                <w:color w:val="auto"/>
              </w:rPr>
              <w:t>20.0%</w:t>
            </w:r>
          </w:p>
        </w:tc>
        <w:tc>
          <w:tcPr>
            <w:tcW w:w="1200" w:type="dxa"/>
            <w:vAlign w:val="bottom"/>
          </w:tcPr>
          <w:p>
            <w:pPr>
              <w:ind w:left="20"/>
              <w:spacing w:after="0"/>
              <w:rPr>
                <w:sz w:val="20"/>
                <w:szCs w:val="20"/>
                <w:color w:val="auto"/>
              </w:rPr>
            </w:pPr>
            <w:r>
              <w:rPr>
                <w:rFonts w:ascii="Arial" w:cs="Arial" w:eastAsia="Arial" w:hAnsi="Arial"/>
                <w:sz w:val="14"/>
                <w:szCs w:val="14"/>
                <w:color w:val="auto"/>
              </w:rPr>
              <w:t>- 72.2% (38.9%)</w:t>
            </w:r>
          </w:p>
        </w:tc>
      </w:tr>
      <w:tr>
        <w:trPr>
          <w:trHeight w:val="175"/>
        </w:trPr>
        <w:tc>
          <w:tcPr>
            <w:tcW w:w="3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Estimated time to exit</w:t>
            </w:r>
          </w:p>
        </w:tc>
        <w:tc>
          <w:tcPr>
            <w:tcW w:w="14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center"/>
              <w:spacing w:after="0"/>
              <w:rPr>
                <w:sz w:val="20"/>
                <w:szCs w:val="20"/>
                <w:color w:val="auto"/>
              </w:rPr>
            </w:pPr>
            <w:r>
              <w:rPr>
                <w:rFonts w:ascii="Arial" w:cs="Arial" w:eastAsia="Arial" w:hAnsi="Arial"/>
                <w:sz w:val="14"/>
                <w:szCs w:val="14"/>
                <w:color w:val="auto"/>
                <w:w w:val="91"/>
              </w:rPr>
              <w:t>0.1 - 5.2 (1.9 years)</w:t>
            </w:r>
          </w:p>
        </w:tc>
      </w:tr>
      <w:tr>
        <w:trPr>
          <w:trHeight w:val="175"/>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92"/>
              </w:rPr>
              <w:t>Revenue multiples</w:t>
            </w:r>
          </w:p>
        </w:tc>
        <w:tc>
          <w:tcPr>
            <w:tcW w:w="1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1.44x -</w:t>
            </w:r>
          </w:p>
        </w:tc>
        <w:tc>
          <w:tcPr>
            <w:tcW w:w="1200" w:type="dxa"/>
            <w:vAlign w:val="bottom"/>
          </w:tcPr>
          <w:p>
            <w:pPr>
              <w:ind w:left="20"/>
              <w:spacing w:after="0"/>
              <w:rPr>
                <w:sz w:val="20"/>
                <w:szCs w:val="20"/>
                <w:color w:val="auto"/>
              </w:rPr>
            </w:pPr>
            <w:r>
              <w:rPr>
                <w:rFonts w:ascii="Arial" w:cs="Arial" w:eastAsia="Arial" w:hAnsi="Arial"/>
                <w:sz w:val="14"/>
                <w:szCs w:val="14"/>
                <w:color w:val="auto"/>
              </w:rPr>
              <w:t>684.14x (12.34x)</w:t>
            </w:r>
          </w:p>
        </w:tc>
      </w:tr>
      <w:tr>
        <w:trPr>
          <w:trHeight w:val="175"/>
        </w:trPr>
        <w:tc>
          <w:tcPr>
            <w:tcW w:w="30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6,971,594</w:t>
            </w:r>
          </w:p>
        </w:tc>
        <w:tc>
          <w:tcPr>
            <w:tcW w:w="200" w:type="dxa"/>
            <w:vAlign w:val="bottom"/>
            <w:shd w:val="clear" w:color="auto" w:fill="CFF0FC"/>
          </w:tcPr>
          <w:p>
            <w:pPr>
              <w:spacing w:after="0"/>
              <w:rPr>
                <w:sz w:val="15"/>
                <w:szCs w:val="15"/>
                <w:color w:val="auto"/>
              </w:rPr>
            </w:pPr>
          </w:p>
        </w:tc>
        <w:tc>
          <w:tcPr>
            <w:tcW w:w="21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PWERM</w:t>
            </w:r>
          </w:p>
        </w:tc>
        <w:tc>
          <w:tcPr>
            <w:tcW w:w="100" w:type="dxa"/>
            <w:vAlign w:val="bottom"/>
            <w:shd w:val="clear" w:color="auto" w:fill="CFF0FC"/>
          </w:tcPr>
          <w:p>
            <w:pPr>
              <w:spacing w:after="0"/>
              <w:rPr>
                <w:sz w:val="15"/>
                <w:szCs w:val="15"/>
                <w:color w:val="auto"/>
              </w:rPr>
            </w:pPr>
          </w:p>
        </w:tc>
        <w:tc>
          <w:tcPr>
            <w:tcW w:w="220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Discount rate</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20.0%</w:t>
            </w:r>
          </w:p>
        </w:tc>
        <w:tc>
          <w:tcPr>
            <w:tcW w:w="1200" w:type="dxa"/>
            <w:vAlign w:val="bottom"/>
            <w:shd w:val="clear" w:color="auto" w:fill="CFF0FC"/>
          </w:tcPr>
          <w:p>
            <w:pPr>
              <w:ind w:left="20"/>
              <w:spacing w:after="0"/>
              <w:rPr>
                <w:sz w:val="20"/>
                <w:szCs w:val="20"/>
                <w:color w:val="auto"/>
              </w:rPr>
            </w:pPr>
            <w:r>
              <w:rPr>
                <w:rFonts w:ascii="Arial" w:cs="Arial" w:eastAsia="Arial" w:hAnsi="Arial"/>
                <w:sz w:val="14"/>
                <w:szCs w:val="14"/>
                <w:color w:val="auto"/>
              </w:rPr>
              <w:t>- 40.0% (32.3%)</w:t>
            </w:r>
          </w:p>
        </w:tc>
      </w:tr>
      <w:tr>
        <w:trPr>
          <w:trHeight w:val="176"/>
        </w:trPr>
        <w:tc>
          <w:tcPr>
            <w:tcW w:w="3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4"/>
                <w:szCs w:val="14"/>
                <w:color w:val="auto"/>
                <w:w w:val="92"/>
              </w:rPr>
              <w:t>Revenue multiples</w:t>
            </w:r>
          </w:p>
        </w:tc>
        <w:tc>
          <w:tcPr>
            <w:tcW w:w="140" w:type="dxa"/>
            <w:vAlign w:val="bottom"/>
          </w:tcPr>
          <w:p>
            <w:pPr>
              <w:spacing w:after="0"/>
              <w:rPr>
                <w:sz w:val="15"/>
                <w:szCs w:val="15"/>
                <w:color w:val="auto"/>
              </w:rPr>
            </w:pPr>
          </w:p>
        </w:tc>
        <w:tc>
          <w:tcPr>
            <w:tcW w:w="1800" w:type="dxa"/>
            <w:vAlign w:val="bottom"/>
            <w:gridSpan w:val="2"/>
          </w:tcPr>
          <w:p>
            <w:pPr>
              <w:jc w:val="center"/>
              <w:spacing w:after="0"/>
              <w:rPr>
                <w:sz w:val="20"/>
                <w:szCs w:val="20"/>
                <w:color w:val="auto"/>
              </w:rPr>
            </w:pPr>
            <w:r>
              <w:rPr>
                <w:rFonts w:ascii="Arial" w:cs="Arial" w:eastAsia="Arial" w:hAnsi="Arial"/>
                <w:sz w:val="14"/>
                <w:szCs w:val="14"/>
                <w:color w:val="auto"/>
                <w:w w:val="94"/>
              </w:rPr>
              <w:t>2.50x - 204.18x (11.25x)</w:t>
            </w:r>
          </w:p>
        </w:tc>
      </w:tr>
      <w:tr>
        <w:trPr>
          <w:trHeight w:val="209"/>
        </w:trPr>
        <w:tc>
          <w:tcPr>
            <w:tcW w:w="30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Level 3 Investments</w:t>
            </w:r>
          </w:p>
        </w:tc>
        <w:tc>
          <w:tcPr>
            <w:tcW w:w="1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793,926,460</w:t>
            </w:r>
          </w:p>
        </w:tc>
        <w:tc>
          <w:tcPr>
            <w:tcW w:w="200" w:type="dxa"/>
            <w:vAlign w:val="bottom"/>
            <w:tcBorders>
              <w:bottom w:val="single" w:sz="8" w:color="CFF0FC"/>
            </w:tcBorders>
            <w:shd w:val="clear" w:color="auto" w:fill="CFF0FC"/>
          </w:tcPr>
          <w:p>
            <w:pPr>
              <w:spacing w:after="0"/>
              <w:rPr>
                <w:sz w:val="18"/>
                <w:szCs w:val="18"/>
                <w:color w:val="auto"/>
              </w:rPr>
            </w:pPr>
          </w:p>
        </w:tc>
        <w:tc>
          <w:tcPr>
            <w:tcW w:w="2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12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2954020</wp:posOffset>
            </wp:positionH>
            <wp:positionV relativeFrom="paragraph">
              <wp:posOffset>-24765</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-7620</wp:posOffset>
            </wp:positionV>
            <wp:extent cx="68580"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as of December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r>
      <w:tr>
        <w:trPr>
          <w:trHeight w:val="185"/>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Fair Value</w:t>
            </w:r>
          </w:p>
        </w:tc>
        <w:tc>
          <w:tcPr>
            <w:tcW w:w="220" w:type="dxa"/>
            <w:vAlign w:val="bottom"/>
          </w:tcPr>
          <w:p>
            <w:pPr>
              <w:spacing w:after="0"/>
              <w:rPr>
                <w:sz w:val="16"/>
                <w:szCs w:val="16"/>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Valuation Technique</w:t>
            </w:r>
          </w:p>
        </w:tc>
        <w:tc>
          <w:tcPr>
            <w:tcW w:w="10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Unobservable Inputs</w:t>
            </w:r>
          </w:p>
        </w:tc>
        <w:tc>
          <w:tcPr>
            <w:tcW w:w="140" w:type="dxa"/>
            <w:vAlign w:val="bottom"/>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(Weighted Average)</w:t>
            </w:r>
          </w:p>
        </w:tc>
      </w:tr>
      <w:tr>
        <w:trPr>
          <w:trHeight w:val="137"/>
        </w:trPr>
        <w:tc>
          <w:tcPr>
            <w:tcW w:w="2820" w:type="dxa"/>
            <w:vAlign w:val="bottom"/>
            <w:shd w:val="clear" w:color="auto" w:fill="CFF0FC"/>
          </w:tcPr>
          <w:p>
            <w:pPr>
              <w:ind w:left="20"/>
              <w:spacing w:after="0" w:line="137" w:lineRule="exact"/>
              <w:rPr>
                <w:sz w:val="20"/>
                <w:szCs w:val="20"/>
                <w:color w:val="auto"/>
              </w:rPr>
            </w:pPr>
            <w:r>
              <w:rPr>
                <w:rFonts w:ascii="Arial" w:cs="Arial" w:eastAsia="Arial" w:hAnsi="Arial"/>
                <w:sz w:val="14"/>
                <w:szCs w:val="14"/>
                <w:b w:val="1"/>
                <w:bCs w:val="1"/>
                <w:color w:val="auto"/>
              </w:rPr>
              <w:t>Preferred Stock</w:t>
            </w: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1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2460" w:type="dxa"/>
            <w:vAlign w:val="bottom"/>
            <w:shd w:val="clear" w:color="auto" w:fill="CFF0FC"/>
          </w:tcPr>
          <w:p>
            <w:pPr>
              <w:jc w:val="center"/>
              <w:spacing w:after="0" w:line="137" w:lineRule="exact"/>
              <w:rPr>
                <w:sz w:val="20"/>
                <w:szCs w:val="20"/>
                <w:color w:val="auto"/>
              </w:rPr>
            </w:pPr>
            <w:r>
              <w:rPr>
                <w:rFonts w:ascii="Arial" w:cs="Arial" w:eastAsia="Arial" w:hAnsi="Arial"/>
                <w:sz w:val="14"/>
                <w:szCs w:val="14"/>
                <w:color w:val="auto"/>
                <w:w w:val="91"/>
              </w:rPr>
              <w:t>Recent private market and merger and</w:t>
            </w:r>
          </w:p>
        </w:tc>
        <w:tc>
          <w:tcPr>
            <w:tcW w:w="100" w:type="dxa"/>
            <w:vAlign w:val="bottom"/>
            <w:shd w:val="clear" w:color="auto" w:fill="CFF0FC"/>
          </w:tcPr>
          <w:p>
            <w:pPr>
              <w:spacing w:after="0"/>
              <w:rPr>
                <w:sz w:val="11"/>
                <w:szCs w:val="11"/>
                <w:color w:val="auto"/>
              </w:rPr>
            </w:pPr>
          </w:p>
        </w:tc>
        <w:tc>
          <w:tcPr>
            <w:tcW w:w="2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760" w:type="dxa"/>
            <w:vAlign w:val="bottom"/>
            <w:shd w:val="clear" w:color="auto" w:fill="CFF0FC"/>
          </w:tcPr>
          <w:p>
            <w:pPr>
              <w:spacing w:after="0"/>
              <w:rPr>
                <w:sz w:val="11"/>
                <w:szCs w:val="11"/>
                <w:color w:val="auto"/>
              </w:rPr>
            </w:pPr>
          </w:p>
        </w:tc>
      </w:tr>
      <w:tr>
        <w:trPr>
          <w:trHeight w:val="181"/>
        </w:trPr>
        <w:tc>
          <w:tcPr>
            <w:tcW w:w="2820" w:type="dxa"/>
            <w:vAlign w:val="bottom"/>
            <w:shd w:val="clear" w:color="auto" w:fill="CFF0FC"/>
          </w:tcPr>
          <w:p>
            <w:pPr>
              <w:spacing w:after="0"/>
              <w:rPr>
                <w:sz w:val="15"/>
                <w:szCs w:val="15"/>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1,332,420</w:t>
            </w:r>
          </w:p>
        </w:tc>
        <w:tc>
          <w:tcPr>
            <w:tcW w:w="220" w:type="dxa"/>
            <w:vAlign w:val="bottom"/>
            <w:shd w:val="clear" w:color="auto" w:fill="CFF0FC"/>
          </w:tcPr>
          <w:p>
            <w:pPr>
              <w:spacing w:after="0"/>
              <w:rPr>
                <w:sz w:val="15"/>
                <w:szCs w:val="15"/>
                <w:color w:val="auto"/>
              </w:rPr>
            </w:pPr>
          </w:p>
        </w:tc>
        <w:tc>
          <w:tcPr>
            <w:tcW w:w="24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acquisition transaction prices</w:t>
            </w:r>
          </w:p>
        </w:tc>
        <w:tc>
          <w:tcPr>
            <w:tcW w:w="100" w:type="dxa"/>
            <w:vAlign w:val="bottom"/>
            <w:shd w:val="clear" w:color="auto" w:fill="CFF0FC"/>
          </w:tcPr>
          <w:p>
            <w:pPr>
              <w:spacing w:after="0"/>
              <w:rPr>
                <w:sz w:val="15"/>
                <w:szCs w:val="15"/>
                <w:color w:val="auto"/>
              </w:rPr>
            </w:pPr>
          </w:p>
        </w:tc>
        <w:tc>
          <w:tcPr>
            <w:tcW w:w="224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c>
          <w:tcPr>
            <w:tcW w:w="140" w:type="dxa"/>
            <w:vAlign w:val="bottom"/>
            <w:shd w:val="clear" w:color="auto" w:fill="CFF0FC"/>
          </w:tcPr>
          <w:p>
            <w:pPr>
              <w:spacing w:after="0"/>
              <w:rPr>
                <w:sz w:val="15"/>
                <w:szCs w:val="15"/>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4"/>
                <w:szCs w:val="14"/>
                <w:color w:val="auto"/>
              </w:rPr>
              <w:t>N/A</w:t>
            </w:r>
          </w:p>
        </w:tc>
      </w:tr>
      <w:tr>
        <w:trPr>
          <w:trHeight w:val="176"/>
        </w:trPr>
        <w:tc>
          <w:tcPr>
            <w:tcW w:w="2820" w:type="dxa"/>
            <w:vAlign w:val="bottom"/>
          </w:tcPr>
          <w:p>
            <w:pPr>
              <w:ind w:left="20"/>
              <w:spacing w:after="0" w:line="175" w:lineRule="exact"/>
              <w:rPr>
                <w:sz w:val="20"/>
                <w:szCs w:val="20"/>
                <w:color w:val="auto"/>
              </w:rPr>
            </w:pPr>
            <w:r>
              <w:rPr>
                <w:rFonts w:ascii="Arial" w:cs="Arial" w:eastAsia="Arial" w:hAnsi="Arial"/>
                <w:sz w:val="14"/>
                <w:szCs w:val="14"/>
                <w:b w:val="1"/>
                <w:bCs w:val="1"/>
                <w:color w:val="auto"/>
              </w:rPr>
              <w:t>Senior Secured Term Loans</w:t>
            </w:r>
            <w:r>
              <w:rPr>
                <w:rFonts w:ascii="Arial" w:cs="Arial" w:eastAsia="Arial" w:hAnsi="Arial"/>
                <w:sz w:val="19"/>
                <w:szCs w:val="19"/>
                <w:b w:val="1"/>
                <w:bCs w:val="1"/>
                <w:color w:val="auto"/>
                <w:vertAlign w:val="superscript"/>
              </w:rPr>
              <w:t>(1)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594,793,670</w:t>
            </w:r>
          </w:p>
        </w:tc>
        <w:tc>
          <w:tcPr>
            <w:tcW w:w="22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auto"/>
                <w:w w:val="93"/>
              </w:rPr>
              <w:t>Discounted Cash Flow analysis</w:t>
            </w:r>
          </w:p>
        </w:tc>
        <w:tc>
          <w:tcPr>
            <w:tcW w:w="1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w w:val="94"/>
              </w:rPr>
              <w:t>Discount rate</w:t>
            </w:r>
          </w:p>
        </w:tc>
        <w:tc>
          <w:tcPr>
            <w:tcW w:w="190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6.2% - 71.2% (12.9%)</w:t>
            </w:r>
          </w:p>
        </w:tc>
      </w:tr>
      <w:tr>
        <w:trPr>
          <w:trHeight w:val="175"/>
        </w:trPr>
        <w:tc>
          <w:tcPr>
            <w:tcW w:w="2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Market approach</w:t>
            </w:r>
          </w:p>
        </w:tc>
        <w:tc>
          <w:tcPr>
            <w:tcW w:w="100" w:type="dxa"/>
            <w:vAlign w:val="bottom"/>
            <w:shd w:val="clear" w:color="auto" w:fill="CFF0FC"/>
          </w:tcPr>
          <w:p>
            <w:pPr>
              <w:spacing w:after="0"/>
              <w:rPr>
                <w:sz w:val="15"/>
                <w:szCs w:val="15"/>
                <w:color w:val="auto"/>
              </w:rPr>
            </w:pPr>
          </w:p>
        </w:tc>
        <w:tc>
          <w:tcPr>
            <w:tcW w:w="22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7"/>
              </w:rPr>
              <w:t>Origination yield</w:t>
            </w:r>
          </w:p>
        </w:tc>
        <w:tc>
          <w:tcPr>
            <w:tcW w:w="1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5.1% - 100.1% (11.8%)</w:t>
            </w:r>
          </w:p>
        </w:tc>
      </w:tr>
      <w:tr>
        <w:trPr>
          <w:trHeight w:val="176"/>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28,259,976</w:t>
            </w:r>
          </w:p>
        </w:tc>
        <w:tc>
          <w:tcPr>
            <w:tcW w:w="22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auto"/>
                <w:w w:val="96"/>
              </w:rPr>
              <w:t>PWERM</w:t>
            </w:r>
          </w:p>
        </w:tc>
        <w:tc>
          <w:tcPr>
            <w:tcW w:w="1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w w:val="94"/>
              </w:rPr>
              <w:t>Discount rate</w:t>
            </w:r>
          </w:p>
        </w:tc>
        <w:tc>
          <w:tcPr>
            <w:tcW w:w="190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16.3% - 25.0% (20.8%)</w:t>
            </w:r>
          </w:p>
        </w:tc>
      </w:tr>
      <w:tr>
        <w:trPr>
          <w:trHeight w:val="175"/>
        </w:trPr>
        <w:tc>
          <w:tcPr>
            <w:tcW w:w="282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b w:val="1"/>
                <w:bCs w:val="1"/>
                <w:color w:val="auto"/>
              </w:rPr>
              <w:t>Second Lien Term Loans</w:t>
            </w:r>
            <w:r>
              <w:rPr>
                <w:rFonts w:ascii="Arial" w:cs="Arial" w:eastAsia="Arial" w:hAnsi="Arial"/>
                <w:sz w:val="19"/>
                <w:szCs w:val="19"/>
                <w:b w:val="1"/>
                <w:bCs w:val="1"/>
                <w:color w:val="auto"/>
                <w:vertAlign w:val="superscript"/>
              </w:rPr>
              <w:t>(1)</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12,872,588</w:t>
            </w:r>
          </w:p>
        </w:tc>
        <w:tc>
          <w:tcPr>
            <w:tcW w:w="220" w:type="dxa"/>
            <w:vAlign w:val="bottom"/>
            <w:shd w:val="clear" w:color="auto" w:fill="CFF0FC"/>
          </w:tcPr>
          <w:p>
            <w:pPr>
              <w:spacing w:after="0"/>
              <w:rPr>
                <w:sz w:val="15"/>
                <w:szCs w:val="15"/>
                <w:color w:val="auto"/>
              </w:rPr>
            </w:pPr>
          </w:p>
        </w:tc>
        <w:tc>
          <w:tcPr>
            <w:tcW w:w="24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Discounted Cash Flow analysis</w:t>
            </w:r>
          </w:p>
        </w:tc>
        <w:tc>
          <w:tcPr>
            <w:tcW w:w="100" w:type="dxa"/>
            <w:vAlign w:val="bottom"/>
            <w:shd w:val="clear" w:color="auto" w:fill="CFF0FC"/>
          </w:tcPr>
          <w:p>
            <w:pPr>
              <w:spacing w:after="0"/>
              <w:rPr>
                <w:sz w:val="15"/>
                <w:szCs w:val="15"/>
                <w:color w:val="auto"/>
              </w:rPr>
            </w:pPr>
          </w:p>
        </w:tc>
        <w:tc>
          <w:tcPr>
            <w:tcW w:w="22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4"/>
              </w:rPr>
              <w:t>Discount rate</w:t>
            </w:r>
          </w:p>
        </w:tc>
        <w:tc>
          <w:tcPr>
            <w:tcW w:w="1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12.2% - 12.2% (12.2%)</w:t>
            </w:r>
          </w:p>
        </w:tc>
      </w:tr>
      <w:tr>
        <w:trPr>
          <w:trHeight w:val="176"/>
        </w:trPr>
        <w:tc>
          <w:tcPr>
            <w:tcW w:w="2820" w:type="dxa"/>
            <w:vAlign w:val="bottom"/>
          </w:tcPr>
          <w:p>
            <w:pPr>
              <w:ind w:left="20"/>
              <w:spacing w:after="0" w:line="175" w:lineRule="exact"/>
              <w:rPr>
                <w:sz w:val="20"/>
                <w:szCs w:val="20"/>
                <w:color w:val="auto"/>
              </w:rPr>
            </w:pPr>
            <w:r>
              <w:rPr>
                <w:rFonts w:ascii="Arial" w:cs="Arial" w:eastAsia="Arial" w:hAnsi="Arial"/>
                <w:sz w:val="14"/>
                <w:szCs w:val="14"/>
                <w:b w:val="1"/>
                <w:bCs w:val="1"/>
                <w:color w:val="auto"/>
              </w:rPr>
              <w:t>Warrants</w:t>
            </w:r>
            <w:r>
              <w:rPr>
                <w:rFonts w:ascii="Arial" w:cs="Arial" w:eastAsia="Arial" w:hAnsi="Arial"/>
                <w:sz w:val="19"/>
                <w:szCs w:val="19"/>
                <w:b w:val="1"/>
                <w:bCs w:val="1"/>
                <w:color w:val="auto"/>
                <w:vertAlign w:val="superscript"/>
              </w:rPr>
              <w:t>(2)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13,132,780</w:t>
            </w:r>
          </w:p>
        </w:tc>
        <w:tc>
          <w:tcPr>
            <w:tcW w:w="22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auto"/>
                <w:w w:val="96"/>
              </w:rPr>
              <w:t>Option pricing model</w:t>
            </w:r>
          </w:p>
        </w:tc>
        <w:tc>
          <w:tcPr>
            <w:tcW w:w="1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w w:val="94"/>
              </w:rPr>
              <w:t>Risk-free interest rate</w:t>
            </w:r>
          </w:p>
        </w:tc>
        <w:tc>
          <w:tcPr>
            <w:tcW w:w="1900" w:type="dxa"/>
            <w:vAlign w:val="bottom"/>
            <w:gridSpan w:val="2"/>
          </w:tcPr>
          <w:p>
            <w:pPr>
              <w:jc w:val="center"/>
              <w:ind w:left="68"/>
              <w:spacing w:after="0"/>
              <w:rPr>
                <w:sz w:val="20"/>
                <w:szCs w:val="20"/>
                <w:color w:val="auto"/>
              </w:rPr>
            </w:pPr>
            <w:r>
              <w:rPr>
                <w:rFonts w:ascii="Arial" w:cs="Arial" w:eastAsia="Arial" w:hAnsi="Arial"/>
                <w:sz w:val="14"/>
                <w:szCs w:val="14"/>
                <w:color w:val="auto"/>
                <w:w w:val="95"/>
              </w:rPr>
              <w:t>0.1% - 1.2% (0.5%)</w:t>
            </w:r>
          </w:p>
        </w:tc>
      </w:tr>
      <w:tr>
        <w:trPr>
          <w:trHeight w:val="176"/>
        </w:trPr>
        <w:tc>
          <w:tcPr>
            <w:tcW w:w="2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6"/>
              </w:rPr>
              <w:t>Average industry volatility</w:t>
            </w:r>
          </w:p>
        </w:tc>
        <w:tc>
          <w:tcPr>
            <w:tcW w:w="1900" w:type="dxa"/>
            <w:vAlign w:val="bottom"/>
            <w:gridSpan w:val="2"/>
            <w:shd w:val="clear" w:color="auto" w:fill="CFF0FC"/>
          </w:tcPr>
          <w:p>
            <w:pPr>
              <w:jc w:val="center"/>
              <w:ind w:left="68"/>
              <w:spacing w:after="0"/>
              <w:rPr>
                <w:sz w:val="20"/>
                <w:szCs w:val="20"/>
                <w:color w:val="auto"/>
              </w:rPr>
            </w:pPr>
            <w:r>
              <w:rPr>
                <w:rFonts w:ascii="Arial" w:cs="Arial" w:eastAsia="Arial" w:hAnsi="Arial"/>
                <w:sz w:val="14"/>
                <w:szCs w:val="14"/>
                <w:color w:val="auto"/>
                <w:w w:val="93"/>
              </w:rPr>
              <w:t>20.0% - 75.0% (39.6%)</w:t>
            </w:r>
          </w:p>
        </w:tc>
      </w:tr>
      <w:tr>
        <w:trPr>
          <w:trHeight w:val="175"/>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w w:val="94"/>
              </w:rPr>
              <w:t>Estimated time to exit</w:t>
            </w:r>
          </w:p>
        </w:tc>
        <w:tc>
          <w:tcPr>
            <w:tcW w:w="14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Arial" w:cs="Arial" w:eastAsia="Arial" w:hAnsi="Arial"/>
                <w:sz w:val="14"/>
                <w:szCs w:val="14"/>
                <w:color w:val="auto"/>
                <w:w w:val="93"/>
              </w:rPr>
              <w:t>0.5 - 5.7 (2.0 yrs)</w:t>
            </w:r>
          </w:p>
        </w:tc>
      </w:tr>
      <w:tr>
        <w:trPr>
          <w:trHeight w:val="176"/>
        </w:trPr>
        <w:tc>
          <w:tcPr>
            <w:tcW w:w="2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24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2"/>
              </w:rPr>
              <w:t>Revenue multiples</w:t>
            </w:r>
          </w:p>
        </w:tc>
        <w:tc>
          <w:tcPr>
            <w:tcW w:w="140" w:type="dxa"/>
            <w:vAlign w:val="bottom"/>
            <w:shd w:val="clear" w:color="auto" w:fill="CFF0FC"/>
          </w:tcPr>
          <w:p>
            <w:pPr>
              <w:spacing w:after="0"/>
              <w:rPr>
                <w:sz w:val="15"/>
                <w:szCs w:val="15"/>
                <w:color w:val="auto"/>
              </w:rPr>
            </w:pPr>
          </w:p>
        </w:tc>
        <w:tc>
          <w:tcPr>
            <w:tcW w:w="1760" w:type="dxa"/>
            <w:vAlign w:val="bottom"/>
            <w:shd w:val="clear" w:color="auto" w:fill="CFF0FC"/>
          </w:tcPr>
          <w:p>
            <w:pPr>
              <w:jc w:val="center"/>
              <w:spacing w:after="0"/>
              <w:rPr>
                <w:sz w:val="20"/>
                <w:szCs w:val="20"/>
                <w:color w:val="auto"/>
              </w:rPr>
            </w:pPr>
            <w:r>
              <w:rPr>
                <w:rFonts w:ascii="Arial" w:cs="Arial" w:eastAsia="Arial" w:hAnsi="Arial"/>
                <w:sz w:val="14"/>
                <w:szCs w:val="14"/>
                <w:color w:val="auto"/>
                <w:w w:val="93"/>
              </w:rPr>
              <w:t>0.00x - 13.46x (6.16x)</w:t>
            </w:r>
          </w:p>
        </w:tc>
      </w:tr>
      <w:tr>
        <w:trPr>
          <w:trHeight w:val="175"/>
        </w:trPr>
        <w:tc>
          <w:tcPr>
            <w:tcW w:w="2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6,954,770</w:t>
            </w:r>
          </w:p>
        </w:tc>
        <w:tc>
          <w:tcPr>
            <w:tcW w:w="220" w:type="dxa"/>
            <w:vAlign w:val="bottom"/>
          </w:tcPr>
          <w:p>
            <w:pPr>
              <w:spacing w:after="0"/>
              <w:rPr>
                <w:sz w:val="15"/>
                <w:szCs w:val="15"/>
                <w:color w:val="auto"/>
              </w:rPr>
            </w:pPr>
          </w:p>
        </w:tc>
        <w:tc>
          <w:tcPr>
            <w:tcW w:w="2460" w:type="dxa"/>
            <w:vAlign w:val="bottom"/>
          </w:tcPr>
          <w:p>
            <w:pPr>
              <w:jc w:val="center"/>
              <w:spacing w:after="0"/>
              <w:rPr>
                <w:sz w:val="20"/>
                <w:szCs w:val="20"/>
                <w:color w:val="auto"/>
              </w:rPr>
            </w:pPr>
            <w:r>
              <w:rPr>
                <w:rFonts w:ascii="Arial" w:cs="Arial" w:eastAsia="Arial" w:hAnsi="Arial"/>
                <w:sz w:val="14"/>
                <w:szCs w:val="14"/>
                <w:color w:val="auto"/>
                <w:w w:val="96"/>
              </w:rPr>
              <w:t>PWERM</w:t>
            </w:r>
          </w:p>
        </w:tc>
        <w:tc>
          <w:tcPr>
            <w:tcW w:w="100" w:type="dxa"/>
            <w:vAlign w:val="bottom"/>
          </w:tcPr>
          <w:p>
            <w:pPr>
              <w:spacing w:after="0"/>
              <w:rPr>
                <w:sz w:val="15"/>
                <w:szCs w:val="15"/>
                <w:color w:val="auto"/>
              </w:rPr>
            </w:pPr>
          </w:p>
        </w:tc>
        <w:tc>
          <w:tcPr>
            <w:tcW w:w="2240" w:type="dxa"/>
            <w:vAlign w:val="bottom"/>
          </w:tcPr>
          <w:p>
            <w:pPr>
              <w:jc w:val="center"/>
              <w:spacing w:after="0"/>
              <w:rPr>
                <w:sz w:val="20"/>
                <w:szCs w:val="20"/>
                <w:color w:val="auto"/>
              </w:rPr>
            </w:pPr>
            <w:r>
              <w:rPr>
                <w:rFonts w:ascii="Arial" w:cs="Arial" w:eastAsia="Arial" w:hAnsi="Arial"/>
                <w:sz w:val="14"/>
                <w:szCs w:val="14"/>
                <w:color w:val="auto"/>
                <w:w w:val="94"/>
              </w:rPr>
              <w:t>Discount rate</w:t>
            </w:r>
          </w:p>
        </w:tc>
        <w:tc>
          <w:tcPr>
            <w:tcW w:w="1900" w:type="dxa"/>
            <w:vAlign w:val="bottom"/>
            <w:gridSpan w:val="2"/>
          </w:tcPr>
          <w:p>
            <w:pPr>
              <w:jc w:val="center"/>
              <w:ind w:left="68"/>
              <w:spacing w:after="0"/>
              <w:rPr>
                <w:sz w:val="20"/>
                <w:szCs w:val="20"/>
                <w:color w:val="auto"/>
              </w:rPr>
            </w:pPr>
            <w:r>
              <w:rPr>
                <w:rFonts w:ascii="Arial" w:cs="Arial" w:eastAsia="Arial" w:hAnsi="Arial"/>
                <w:sz w:val="14"/>
                <w:szCs w:val="14"/>
                <w:color w:val="auto"/>
                <w:w w:val="93"/>
              </w:rPr>
              <w:t>30.0% - 46.0% (36.0%)</w:t>
            </w:r>
          </w:p>
        </w:tc>
      </w:tr>
      <w:tr>
        <w:trPr>
          <w:trHeight w:val="176"/>
        </w:trPr>
        <w:tc>
          <w:tcPr>
            <w:tcW w:w="28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24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24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w w:val="92"/>
              </w:rPr>
              <w:t>Revenue multiples</w:t>
            </w:r>
          </w:p>
        </w:tc>
        <w:tc>
          <w:tcPr>
            <w:tcW w:w="140" w:type="dxa"/>
            <w:vAlign w:val="bottom"/>
            <w:tcBorders>
              <w:bottom w:val="single" w:sz="8" w:color="CFF0FC"/>
            </w:tcBorders>
            <w:shd w:val="clear" w:color="auto" w:fill="CFF0FC"/>
          </w:tcPr>
          <w:p>
            <w:pPr>
              <w:spacing w:after="0"/>
              <w:rPr>
                <w:sz w:val="15"/>
                <w:szCs w:val="15"/>
                <w:color w:val="auto"/>
              </w:rPr>
            </w:pPr>
          </w:p>
        </w:tc>
        <w:tc>
          <w:tcPr>
            <w:tcW w:w="1760" w:type="dxa"/>
            <w:vAlign w:val="bottom"/>
            <w:tcBorders>
              <w:bottom w:val="single" w:sz="8" w:color="CFF0FC"/>
            </w:tcBorders>
            <w:shd w:val="clear" w:color="auto" w:fill="CFF0FC"/>
          </w:tcPr>
          <w:p>
            <w:pPr>
              <w:jc w:val="center"/>
              <w:spacing w:after="0"/>
              <w:rPr>
                <w:sz w:val="20"/>
                <w:szCs w:val="20"/>
                <w:color w:val="auto"/>
              </w:rPr>
            </w:pPr>
            <w:r>
              <w:rPr>
                <w:rFonts w:ascii="Arial" w:cs="Arial" w:eastAsia="Arial" w:hAnsi="Arial"/>
                <w:sz w:val="14"/>
                <w:szCs w:val="14"/>
                <w:color w:val="auto"/>
                <w:w w:val="94"/>
              </w:rPr>
              <w:t>2.94x - 123.71x (9.53x)</w:t>
            </w:r>
          </w:p>
        </w:tc>
      </w:tr>
      <w:tr>
        <w:trPr>
          <w:trHeight w:val="169"/>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Total Level 3 Investments</w:t>
            </w:r>
          </w:p>
        </w:tc>
        <w:tc>
          <w:tcPr>
            <w:tcW w:w="3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657,346,204</w:t>
            </w:r>
          </w:p>
        </w:tc>
        <w:tc>
          <w:tcPr>
            <w:tcW w:w="2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20"/>
        </w:trPr>
        <w:tc>
          <w:tcPr>
            <w:tcW w:w="2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-142240</wp:posOffset>
            </wp:positionV>
            <wp:extent cx="68580"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99" w:lineRule="exact"/>
        <w:rPr>
          <w:sz w:val="20"/>
          <w:szCs w:val="20"/>
          <w:color w:val="auto"/>
        </w:rPr>
      </w:pPr>
    </w:p>
    <w:p>
      <w:pPr>
        <w:jc w:val="both"/>
        <w:ind w:left="760" w:hanging="374"/>
        <w:spacing w:after="0" w:line="253" w:lineRule="auto"/>
        <w:tabs>
          <w:tab w:leader="none" w:pos="760" w:val="left"/>
        </w:tabs>
        <w:numPr>
          <w:ilvl w:val="0"/>
          <w:numId w:val="22"/>
        </w:numPr>
        <w:rPr>
          <w:rFonts w:ascii="Arial" w:cs="Arial" w:eastAsia="Arial" w:hAnsi="Arial"/>
          <w:sz w:val="17"/>
          <w:szCs w:val="17"/>
          <w:color w:val="auto"/>
          <w:vertAlign w:val="superscript"/>
        </w:rPr>
      </w:pPr>
      <w:r>
        <w:rPr>
          <w:rFonts w:ascii="Arial" w:cs="Arial" w:eastAsia="Arial" w:hAnsi="Arial"/>
          <w:sz w:val="13"/>
          <w:szCs w:val="13"/>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81" w:lineRule="exact"/>
        <w:rPr>
          <w:rFonts w:ascii="Arial" w:cs="Arial" w:eastAsia="Arial" w:hAnsi="Arial"/>
          <w:sz w:val="17"/>
          <w:szCs w:val="17"/>
          <w:color w:val="auto"/>
          <w:vertAlign w:val="superscript"/>
        </w:rPr>
      </w:pPr>
    </w:p>
    <w:p>
      <w:pPr>
        <w:jc w:val="both"/>
        <w:ind w:left="760" w:hanging="374"/>
        <w:spacing w:after="0" w:line="254" w:lineRule="auto"/>
        <w:tabs>
          <w:tab w:leader="none" w:pos="760" w:val="left"/>
        </w:tabs>
        <w:numPr>
          <w:ilvl w:val="0"/>
          <w:numId w:val="22"/>
        </w:numPr>
        <w:rPr>
          <w:rFonts w:ascii="Arial" w:cs="Arial" w:eastAsia="Arial" w:hAnsi="Arial"/>
          <w:sz w:val="17"/>
          <w:szCs w:val="17"/>
          <w:color w:val="auto"/>
          <w:vertAlign w:val="superscript"/>
        </w:rPr>
      </w:pPr>
      <w:r>
        <w:rPr>
          <w:rFonts w:ascii="Arial" w:cs="Arial" w:eastAsia="Arial" w:hAnsi="Arial"/>
          <w:sz w:val="13"/>
          <w:szCs w:val="13"/>
          <w:color w:val="auto"/>
        </w:rPr>
        <w:t>The significant unobservable inputs used in the fair value measurement of the Company’s warrant and equity-related securities are inputs used in the OPM, which include industry volatility, risk free interest rate and estimated time to exit. The Equity Allocation model and the Black Scholes model were the main OPMs used during the period ended June 30, 2022 and the year ended December 31, 2021. Probability Weighted Expected Return Models (“PWERM”) and other techniques were used as determined appropriate.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216"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12"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7"/>
          <w:szCs w:val="17"/>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 The Company’s volume of warrant investment activity is closely correlated to its primary senior secured loans to portfolio companies. For the three and six months ended June 30, 2022, the Company had a net realized gain/(loss) of ($65) and ($267,453), respectively, and a net change in unrealized appreciation/(depreciation) of ($1,019,716) and $159,096, respectively, from its investments in warrants. For the three and six months ended June 30, 2021, the Company had a net realized gain/(loss) of $273,798 and $490,408, respectively, and a net change in unrealized appreciation/(depreciation) of $2,875,080 and $612,468, respectively, from its investments in warrants. Realized gain/(loss) from warrants is included in Realized gain (loss) on non-control/non-affiliate investments, including U.S. Treasury Bills on the Statement of Operations. Net change in unrealized appreciation/(depreciation) from investments in warrants is included in Net Change in unrealized appreciation (depreciation) on non-control/non-affiliate investments, including U.S. Treasury Bills.</w:t>
      </w:r>
    </w:p>
    <w:p>
      <w:pPr>
        <w:spacing w:after="0" w:line="18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Borrowings</w:t>
      </w:r>
    </w:p>
    <w:p>
      <w:pPr>
        <w:spacing w:after="0" w:line="21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On December 10, 2021, the Company entered into a Master Note Purchase Agreement (the “Note Purchase Agreement”) governing the issuance of $70,000,000 in aggregate principal amount of 4.25% Series 2021A Senior Notes due 2026 (the “2026 Senior Notes”) to institutional accredited investors (as defined in Regulation D under the Securities Act of 1933, as amended (the “Securities Act”)) in a private placement. The 2026 Senior Notes were issued in two closings. The initial issuance of $20 million 2026 Senior Notes closed on December 10, 2021 and the second and final issuance of $50 million 2026 Senior Notes closed on February 10, 2022.</w:t>
      </w:r>
    </w:p>
    <w:p>
      <w:pPr>
        <w:spacing w:after="0" w:line="189"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6"/>
          <w:szCs w:val="16"/>
          <w:color w:val="auto"/>
        </w:rPr>
        <w:t xml:space="preserve">The 2026 Senior Notes bear an interest rate of 4.25% per year and are due on December 10, 2026, unless redeemed, purchased or prepaid prior to such date by the Company or its affiliates in accordance with their terms. Interest on the 2026 Senior Notes will be due semiannually. The interest rate is subject to a 1.00% increase in the event that, subject to certain exceptions, the 2026 Senior Notes cease to have an investment grade rating or receive an investment grade rating below the Investment Grade (as defined in the Note Purchase Agreement). The 2026 Senior Notes are general unsecured obligations of the Company that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outstanding and future unsecured unsubordinated indebtedness issued by the Company.</w:t>
      </w:r>
    </w:p>
    <w:p>
      <w:pPr>
        <w:spacing w:after="0" w:line="159"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Aggregate offering costs in connection with the 2026 Senior Notes issuance, including the underwriter’s discount and commissions, were $899,277, which were capitalized and deferred. As of June 30, 2022 and December 31, 2021, unamortized deferred debt costs related to the 2026 Senior Notes were $814,748 and $376,029, respectively, and were included in the Total debt, less unamortized deferred debt costs on the Statements of Assets and Liabilities.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the three and six months ended June 30, 2022, the components of interest expense and related fees for the 2026 Senior Notes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 Ended June 30,</w:t>
            </w: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 June 30,</w:t>
            </w:r>
          </w:p>
        </w:tc>
      </w:tr>
      <w:tr>
        <w:trPr>
          <w:trHeight w:val="185"/>
        </w:trPr>
        <w:tc>
          <w:tcPr>
            <w:tcW w:w="5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13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5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Stated interest expense</w:t>
            </w: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743,750</w:t>
            </w:r>
          </w:p>
        </w:tc>
        <w:tc>
          <w:tcPr>
            <w:tcW w:w="440" w:type="dxa"/>
            <w:vAlign w:val="bottom"/>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jc w:val="right"/>
              <w:ind w:right="67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FF0FC"/>
          </w:tcPr>
          <w:p>
            <w:pPr>
              <w:ind w:left="140"/>
              <w:spacing w:after="0" w:line="196" w:lineRule="exact"/>
              <w:rPr>
                <w:sz w:val="20"/>
                <w:szCs w:val="20"/>
                <w:color w:val="auto"/>
              </w:rPr>
            </w:pPr>
            <w:r>
              <w:rPr>
                <w:rFonts w:ascii="Arial" w:cs="Arial" w:eastAsia="Arial" w:hAnsi="Arial"/>
                <w:sz w:val="18"/>
                <w:szCs w:val="18"/>
                <w:color w:val="auto"/>
                <w:w w:val="88"/>
              </w:rPr>
              <w:t>—</w:t>
            </w:r>
          </w:p>
        </w:tc>
        <w:tc>
          <w:tcPr>
            <w:tcW w:w="400" w:type="dxa"/>
            <w:vAlign w:val="bottom"/>
            <w:shd w:val="clear" w:color="auto" w:fill="CFF0FC"/>
          </w:tcPr>
          <w:p>
            <w:pPr>
              <w:spacing w:after="0"/>
              <w:rPr>
                <w:sz w:val="17"/>
                <w:szCs w:val="17"/>
                <w:color w:val="auto"/>
              </w:rPr>
            </w:pPr>
          </w:p>
        </w:tc>
        <w:tc>
          <w:tcPr>
            <w:tcW w:w="260" w:type="dxa"/>
            <w:vAlign w:val="bottom"/>
            <w:tcBorders>
              <w:top w:val="single" w:sz="8" w:color="auto"/>
            </w:tcBorders>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1,251,389</w:t>
            </w:r>
          </w:p>
        </w:tc>
        <w:tc>
          <w:tcPr>
            <w:tcW w:w="26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ind w:left="720"/>
              <w:spacing w:after="0" w:line="196" w:lineRule="exact"/>
              <w:rPr>
                <w:sz w:val="20"/>
                <w:szCs w:val="20"/>
                <w:color w:val="auto"/>
              </w:rPr>
            </w:pPr>
            <w:r>
              <w:rPr>
                <w:rFonts w:ascii="Arial" w:cs="Arial" w:eastAsia="Arial" w:hAnsi="Arial"/>
                <w:sz w:val="18"/>
                <w:szCs w:val="18"/>
                <w:color w:val="auto"/>
                <w:w w:val="88"/>
              </w:rPr>
              <w:t>—</w:t>
            </w:r>
          </w:p>
        </w:tc>
        <w:tc>
          <w:tcPr>
            <w:tcW w:w="2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20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deferred debt costs</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45,867</w:t>
            </w: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2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79,952</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ind w:left="72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r>
      <w:tr>
        <w:trPr>
          <w:trHeight w:val="236"/>
        </w:trPr>
        <w:tc>
          <w:tcPr>
            <w:tcW w:w="52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cost of debt</w:t>
            </w: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789,617</w:t>
            </w:r>
          </w:p>
        </w:tc>
        <w:tc>
          <w:tcPr>
            <w:tcW w:w="440" w:type="dxa"/>
            <w:vAlign w:val="bottom"/>
            <w:tcBorders>
              <w:bottom w:val="single" w:sz="8" w:color="CFF0FC"/>
            </w:tcBorders>
            <w:shd w:val="clear" w:color="auto" w:fill="CFF0FC"/>
          </w:tcPr>
          <w:p>
            <w:pPr>
              <w:spacing w:after="0"/>
              <w:rPr>
                <w:sz w:val="20"/>
                <w:szCs w:val="20"/>
                <w:color w:val="auto"/>
              </w:rPr>
            </w:pPr>
          </w:p>
        </w:tc>
        <w:tc>
          <w:tcPr>
            <w:tcW w:w="860" w:type="dxa"/>
            <w:vAlign w:val="bottom"/>
            <w:tcBorders>
              <w:top w:val="single" w:sz="8" w:color="auto"/>
              <w:bottom w:val="single" w:sz="8" w:color="auto"/>
            </w:tcBorders>
            <w:shd w:val="clear" w:color="auto" w:fill="CFF0FC"/>
          </w:tcPr>
          <w:p>
            <w:pPr>
              <w:jc w:val="right"/>
              <w:ind w:right="670"/>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ind w:left="140"/>
              <w:spacing w:after="0" w:line="182" w:lineRule="exact"/>
              <w:rPr>
                <w:sz w:val="20"/>
                <w:szCs w:val="20"/>
                <w:color w:val="auto"/>
              </w:rPr>
            </w:pPr>
            <w:r>
              <w:rPr>
                <w:rFonts w:ascii="Arial" w:cs="Arial" w:eastAsia="Arial" w:hAnsi="Arial"/>
                <w:sz w:val="18"/>
                <w:szCs w:val="18"/>
                <w:color w:val="auto"/>
                <w:w w:val="88"/>
              </w:rPr>
              <w:t>—</w:t>
            </w:r>
          </w:p>
        </w:tc>
        <w:tc>
          <w:tcPr>
            <w:tcW w:w="4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1,331,341</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ind w:left="720"/>
              <w:spacing w:after="0" w:line="182" w:lineRule="exact"/>
              <w:rPr>
                <w:sz w:val="20"/>
                <w:szCs w:val="20"/>
                <w:color w:val="auto"/>
              </w:rPr>
            </w:pPr>
            <w:r>
              <w:rPr>
                <w:rFonts w:ascii="Arial" w:cs="Arial" w:eastAsia="Arial" w:hAnsi="Arial"/>
                <w:sz w:val="18"/>
                <w:szCs w:val="18"/>
                <w:color w:val="auto"/>
                <w:w w:val="88"/>
              </w:rPr>
              <w:t>—</w:t>
            </w: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11"/>
        </w:trPr>
        <w:tc>
          <w:tcPr>
            <w:tcW w:w="5200" w:type="dxa"/>
            <w:vAlign w:val="bottom"/>
          </w:tcPr>
          <w:p>
            <w:pPr>
              <w:ind w:left="20"/>
              <w:spacing w:after="0"/>
              <w:rPr>
                <w:sz w:val="20"/>
                <w:szCs w:val="20"/>
                <w:color w:val="auto"/>
              </w:rPr>
            </w:pPr>
            <w:r>
              <w:rPr>
                <w:rFonts w:ascii="Arial" w:cs="Arial" w:eastAsia="Arial" w:hAnsi="Arial"/>
                <w:sz w:val="18"/>
                <w:szCs w:val="18"/>
                <w:color w:val="auto"/>
              </w:rPr>
              <w:t>Weighted average cost of debt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4.46</w:t>
            </w:r>
          </w:p>
        </w:tc>
        <w:tc>
          <w:tcPr>
            <w:tcW w:w="4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4.63</w:t>
            </w:r>
          </w:p>
        </w:tc>
        <w:tc>
          <w:tcPr>
            <w:tcW w:w="5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720"/>
              <w:spacing w:after="0"/>
              <w:rPr>
                <w:sz w:val="20"/>
                <w:szCs w:val="20"/>
                <w:color w:val="auto"/>
              </w:rPr>
            </w:pPr>
            <w:r>
              <w:rPr>
                <w:rFonts w:ascii="Arial" w:cs="Arial" w:eastAsia="Arial" w:hAnsi="Arial"/>
                <w:sz w:val="18"/>
                <w:szCs w:val="18"/>
                <w:color w:val="auto"/>
                <w:w w:val="99"/>
              </w:rPr>
              <w:t>—  %</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-171450</wp:posOffset>
            </wp:positionV>
            <wp:extent cx="7747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4042410</wp:posOffset>
            </wp:positionH>
            <wp:positionV relativeFrom="paragraph">
              <wp:posOffset>-154305</wp:posOffset>
            </wp:positionV>
            <wp:extent cx="774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-171450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-154305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-171450</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-154305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-171450</wp:posOffset>
            </wp:positionV>
            <wp:extent cx="6858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-154305</wp:posOffset>
            </wp:positionV>
            <wp:extent cx="6858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On May 31, 2019, the Company entered into a Credit Agreement, as subsequently amended (the “Credit Agreement”), by and among the Company, as borrower, KeyBank National Association, as administrative agent, syndication agent, and a lender, CIBC Bank USA (“CIBC”), as documentation agent and a lender, U.S. Bank National Association, as paying agent, the guarantors from time to time party thereto, and the other lenders from time to time party thereto.</w:t>
      </w:r>
    </w:p>
    <w:p>
      <w:pPr>
        <w:spacing w:after="0" w:line="188" w:lineRule="exact"/>
        <w:rPr>
          <w:sz w:val="20"/>
          <w:szCs w:val="20"/>
          <w:color w:val="auto"/>
        </w:rPr>
      </w:pPr>
    </w:p>
    <w:p>
      <w:pPr>
        <w:jc w:val="both"/>
        <w:ind w:firstLine="749"/>
        <w:spacing w:after="0" w:line="204" w:lineRule="exact"/>
        <w:rPr>
          <w:sz w:val="20"/>
          <w:szCs w:val="20"/>
          <w:color w:val="auto"/>
        </w:rPr>
      </w:pPr>
      <w:r>
        <w:rPr>
          <w:rFonts w:ascii="Arial" w:cs="Arial" w:eastAsia="Arial" w:hAnsi="Arial"/>
          <w:sz w:val="16"/>
          <w:szCs w:val="16"/>
          <w:color w:val="auto"/>
        </w:rPr>
        <w:t>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There can be no assurances that existing lenders will agree to such an increase, or that additional lenders will join the credit facility to increase available borrowings.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w:t>
      </w:r>
      <w:r>
        <w:rPr>
          <w:rFonts w:ascii="MS PGothic" w:cs="MS PGothic" w:eastAsia="MS PGothic" w:hAnsi="MS PGothic"/>
          <w:sz w:val="16"/>
          <w:szCs w:val="16"/>
          <w:color w:val="auto"/>
        </w:rPr>
        <w:t>‑</w:t>
      </w:r>
      <w:r>
        <w:rPr>
          <w:rFonts w:ascii="Arial" w:cs="Arial" w:eastAsia="Arial" w:hAnsi="Arial"/>
          <w:sz w:val="16"/>
          <w:szCs w:val="16"/>
          <w:color w:val="auto"/>
        </w:rPr>
        <w:t>month period.</w:t>
      </w:r>
    </w:p>
    <w:p>
      <w:pPr>
        <w:spacing w:after="0" w:line="193"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On November 10, 2020, Company entered into an amendment to the Credit Agreement, as well as a corresponding amendment to the fee letter dated May 31, 2019 (collectively, the “November Credit Facility Amendment”). The November Credit Facility Amendment amended the Credit Agreement to, among other things: (i) increase the size of the aggregate commitments under the Credit Facility to $175 million from $100 million; (ii) add MUFG Union Bank, N.A. as a new lender and co-documentation agent under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Credit Agreement; (iii) revise the interest rate margin to be 3.00% for the remaining term of the Credit Facility regardless of the Credit Facility average utilization or the number of unaffiliated obligors on loans in the collateral; (iv) permit the Company to obtain a future subscription line of credit of up to $50 million; (v) revise the LIBOR replacement provisions; (vi) implement a 0.50% LIBOR floor and benchmark replacement rate floor on borrowings under the Credit Agreement; and (vii) revise certain of the borrowing base concentration limits.</w:t>
      </w:r>
    </w:p>
    <w:p>
      <w:pPr>
        <w:spacing w:after="0" w:line="18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6"/>
          <w:szCs w:val="16"/>
          <w:color w:val="auto"/>
        </w:rPr>
        <w:t>On December 2, 2020, the Company entered into an amendment (the “December Credit Facility Amendment”) to the Credit Agreement. The December Credit Facility Amendment amended the Credit Agreement to: (i) increase the size of the aggregate commitments under the Credit Facility to $215 million from $175 million; (ii) increase the accordion amount under the Credit Facility from a $200 million maximum aggregate commitment amount to a $300 million maximum aggregate commitment amount; and (iii) add Bank of Hope and First Foundation Bank as new Lenders and Managing Agents under the Credit Agreement. Borrowing under the Credit Facility remains subject to the leverage restrictions contained in the 1940 Act.</w:t>
      </w:r>
    </w:p>
    <w:p>
      <w:pPr>
        <w:spacing w:after="0" w:line="159"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On June 1, 2021, the Company entered into an amendment (the “June Credit Facility Amendment”) to the Credit Agreement. The June Credit Facility Amendment amended the Credit Agreement to: (i) allow the Company to incur permitted indebtedness without the prior written consent of the Keybank National Association, as administrative agent, subject to the limitations described in the Credit Agreement; (ii) increase the accordion amount under the Credit Agreement from a $300 million maximum aggregate commitment amount to a $350 million maximum aggregate commitment amount; and (iii) amend certain other terms of the Credit Agreement.</w:t>
      </w:r>
    </w:p>
    <w:p>
      <w:pPr>
        <w:spacing w:after="0" w:line="189" w:lineRule="exact"/>
        <w:rPr>
          <w:sz w:val="20"/>
          <w:szCs w:val="20"/>
          <w:color w:val="auto"/>
        </w:rPr>
      </w:pPr>
    </w:p>
    <w:p>
      <w:pPr>
        <w:jc w:val="both"/>
        <w:ind w:firstLine="749"/>
        <w:spacing w:after="0" w:line="204" w:lineRule="exact"/>
        <w:rPr>
          <w:sz w:val="20"/>
          <w:szCs w:val="20"/>
          <w:color w:val="auto"/>
        </w:rPr>
      </w:pPr>
      <w:r>
        <w:rPr>
          <w:rFonts w:ascii="Arial" w:cs="Arial" w:eastAsia="Arial" w:hAnsi="Arial"/>
          <w:sz w:val="16"/>
          <w:szCs w:val="16"/>
          <w:color w:val="auto"/>
        </w:rPr>
        <w:t>On August 3, 2021, the Company further amended the fee letter (the “Second Amended and Restated Fee Letter”) to amend the first payment date of the minimum earnings fee, which will be payable annually starting on May 31, 2022. Under the Second Amended and Restated Fee Letter, the Company will also pay a supplemental fee on the 15th calendar day of each month beginning August 16, 2021 and ending July 15, 2022 in an aggregate amount equal to $66,367, which is paid pro rata to the lenders listed in Schedule A of the Second Amended and Restated Fee Letter. The Credit Agreement is secured by a perfected first priority security interest in substantially all of the Company’s assets and portfolio investments. The Credit Agreement contains certain customary covenants and events of default for secured revolving credit facilities of this nature, including, without limitation, maintenance of a tangible net worth as of the last day of each fiscal quarter in excess of the greater of (i) $125 million plus 75% of the net proceeds of sales of equity interests in the Company and (ii) the loan balance of the Company’s four largest obligors; maintenance of an asset coverage ratio as of the last day of each fiscal quarter that equals or exceeds the greater of 150% and the ratio otherwise applicable to the Company under the 1940 Act; maintenance of an interest coverage ratio as of the last day of each fiscal quarter of 2.00 to 1.00; maintenance of a minimum liquidity amount as of the last day of each fiscal quarter; net income not being negative for two consecutive fiscal quarters or any trailing 12</w:t>
      </w:r>
      <w:r>
        <w:rPr>
          <w:rFonts w:ascii="MS PGothic" w:cs="MS PGothic" w:eastAsia="MS PGothic" w:hAnsi="MS PGothic"/>
          <w:sz w:val="16"/>
          <w:szCs w:val="16"/>
          <w:color w:val="auto"/>
        </w:rPr>
        <w:t>‑</w:t>
      </w:r>
      <w:r>
        <w:rPr>
          <w:rFonts w:ascii="Arial" w:cs="Arial" w:eastAsia="Arial" w:hAnsi="Arial"/>
          <w:sz w:val="16"/>
          <w:szCs w:val="16"/>
          <w:color w:val="auto"/>
        </w:rPr>
        <w:t>month period; a limitation on incurring additional indebtedness without the prior written consent of the administrative agent (subject to limited exceptions); certain change-of-control events occur at the Company or the Company’s investment adviser; the departure of certain key persons from the Company or the Company’s investment adviser; RGC ceases to be the Company’s investment adviser; maintenance of business-development-company status and regulated-investment-company status; nonpayment; misrepresentation of representations and warranties; breach of covenant; and certain bankruptcy and liquidation events.</w:t>
      </w:r>
    </w:p>
    <w:p>
      <w:pPr>
        <w:spacing w:after="0" w:line="19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April 20, 2022, the Company entered into a certain amended and restated credit agreement (the “Amended and Restated</w:t>
      </w:r>
    </w:p>
    <w:p>
      <w:pPr>
        <w:spacing w:after="0" w:line="12"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Credit Agreement”) that amended and restated the Credit Agreement, dated as of May 31, 2019. The Amended and Restated Credit Agreement amended and restated the prior Credit Agreement to: (i) increase the commitment amount from $215 million to $225 million, (ii) increase the accordion amount from a $350 million maximum aggregate commitment amount to a $500 million maximum aggregate commitment amount; (iii) extend the maturity date and revolving period, (iv) calculate the interest rate based on SOFR (rather than LIBOR), and (v) amend certain other terms of the Prior Credit Agreement, including without limitation the borrowing base calculation and excess concentration measures. The availability period under the Credit Agreement expires on April 20, 2025, and is followed by a one-year amortization period. The stated maturity date under the Credit Agreement is April 20, 2026.</w:t>
      </w:r>
    </w:p>
    <w:p>
      <w:pPr>
        <w:spacing w:after="0" w:line="16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On June 30, 2022, the Company further increased the commitment amount under the Credit Agreement to $280 million under the previously available commitment capacity, pursuant to the accordion provisions.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For the three and six months ended June 30, 2022 and 2021, the components of interest expense and related fees for the KeyBank Credit Agreement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4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4"/>
          </w:tcPr>
          <w:p>
            <w:pPr>
              <w:jc w:val="right"/>
              <w:ind w:right="373"/>
              <w:spacing w:after="0"/>
              <w:rPr>
                <w:sz w:val="20"/>
                <w:szCs w:val="20"/>
                <w:color w:val="auto"/>
              </w:rPr>
            </w:pPr>
            <w:r>
              <w:rPr>
                <w:rFonts w:ascii="Arial" w:cs="Arial" w:eastAsia="Arial" w:hAnsi="Arial"/>
                <w:sz w:val="14"/>
                <w:szCs w:val="14"/>
                <w:b w:val="1"/>
                <w:bCs w:val="1"/>
                <w:color w:val="auto"/>
              </w:rPr>
              <w:t>Six Months Ended June 30,</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2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Stated interest expense</w:t>
            </w: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870,104</w:t>
            </w: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1,484,486</w:t>
            </w: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1,234,395</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1,484,486</w:t>
            </w:r>
          </w:p>
        </w:tc>
        <w:tc>
          <w:tcPr>
            <w:tcW w:w="28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deferred debt costs</w:t>
            </w:r>
          </w:p>
        </w:tc>
        <w:tc>
          <w:tcPr>
            <w:tcW w:w="2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196,870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232,034</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314,337</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232,034</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Unused fees</w:t>
            </w:r>
          </w:p>
        </w:tc>
        <w:tc>
          <w:tcPr>
            <w:tcW w:w="28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274,563</w:t>
            </w:r>
          </w:p>
        </w:tc>
        <w:tc>
          <w:tcPr>
            <w:tcW w:w="3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328,417</w:t>
            </w:r>
          </w:p>
        </w:tc>
        <w:tc>
          <w:tcPr>
            <w:tcW w:w="4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599,625</w:t>
            </w: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328,417</w:t>
            </w: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line="182" w:lineRule="exact"/>
              <w:rPr>
                <w:sz w:val="20"/>
                <w:szCs w:val="20"/>
                <w:color w:val="auto"/>
              </w:rPr>
            </w:pPr>
            <w:r>
              <w:rPr>
                <w:rFonts w:ascii="Arial" w:cs="Arial" w:eastAsia="Arial" w:hAnsi="Arial"/>
                <w:sz w:val="18"/>
                <w:szCs w:val="18"/>
                <w:color w:val="auto"/>
              </w:rPr>
              <w:t>Total cost of debt</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1,341,537</w:t>
            </w:r>
          </w:p>
        </w:tc>
        <w:tc>
          <w:tcPr>
            <w:tcW w:w="58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2,044,937</w:t>
            </w:r>
          </w:p>
        </w:tc>
        <w:tc>
          <w:tcPr>
            <w:tcW w:w="400" w:type="dxa"/>
            <w:vAlign w:val="bottom"/>
          </w:tcPr>
          <w:p>
            <w:pPr>
              <w:spacing w:after="0"/>
              <w:rPr>
                <w:sz w:val="17"/>
                <w:szCs w:val="17"/>
                <w:color w:val="auto"/>
              </w:rPr>
            </w:pPr>
          </w:p>
        </w:tc>
        <w:tc>
          <w:tcPr>
            <w:tcW w:w="260" w:type="dxa"/>
            <w:vAlign w:val="bottom"/>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2,148,357</w:t>
            </w:r>
          </w:p>
        </w:tc>
        <w:tc>
          <w:tcPr>
            <w:tcW w:w="540" w:type="dxa"/>
            <w:vAlign w:val="bottom"/>
            <w:gridSpan w:val="2"/>
          </w:tcPr>
          <w:p>
            <w:pPr>
              <w:jc w:val="right"/>
              <w:ind w:right="90"/>
              <w:spacing w:after="0" w:line="18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2,044,937</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color w:val="auto"/>
              </w:rPr>
              <w:t>Weighted average cost of debt</w:t>
            </w:r>
          </w:p>
        </w:tc>
        <w:tc>
          <w:tcPr>
            <w:tcW w:w="28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6.20</w:t>
            </w:r>
          </w:p>
        </w:tc>
        <w:tc>
          <w:tcPr>
            <w:tcW w:w="3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4.88</w:t>
            </w:r>
          </w:p>
        </w:tc>
        <w:tc>
          <w:tcPr>
            <w:tcW w:w="400" w:type="dxa"/>
            <w:vAlign w:val="bottom"/>
            <w:shd w:val="clear" w:color="auto" w:fill="CFF0FC"/>
          </w:tcPr>
          <w:p>
            <w:pPr>
              <w:jc w:val="right"/>
              <w:ind w:right="30"/>
              <w:spacing w:after="0" w:line="183"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6.55</w:t>
            </w:r>
          </w:p>
        </w:tc>
        <w:tc>
          <w:tcPr>
            <w:tcW w:w="26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4.87</w:t>
            </w:r>
          </w:p>
        </w:tc>
        <w:tc>
          <w:tcPr>
            <w:tcW w:w="280" w:type="dxa"/>
            <w:vAlign w:val="bottom"/>
            <w:shd w:val="clear" w:color="auto" w:fill="CFF0FC"/>
          </w:tcPr>
          <w:p>
            <w:pPr>
              <w:jc w:val="right"/>
              <w:spacing w:after="0" w:line="183"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-287655</wp:posOffset>
            </wp:positionV>
            <wp:extent cx="7747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-287655</wp:posOffset>
            </wp:positionV>
            <wp:extent cx="77470"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-287655</wp:posOffset>
            </wp:positionV>
            <wp:extent cx="68580"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-287655</wp:posOffset>
            </wp:positionV>
            <wp:extent cx="6858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18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For the three and six months ended June 30, 2022, the weighted average outstanding debt balance was $86,659,341 and $64,270,718, respectively, and the weighted average effective interest rate was 3.97% and 3.83%, respectively. For the three and six months ended June 30, 2021, the weighted average outstanding debt balance was $86,010,989 and $84,359,116, respectively, and the weighted average effective interest rate was 3.50% and 3.50%, respectively.</w:t>
      </w:r>
    </w:p>
    <w:p>
      <w:pPr>
        <w:spacing w:after="0" w:line="188"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As of June 30, 2022, the Company had $163,000,000 outstanding under the Credit Agreement and $70,000,000 of 2026 Senior Notes outstanding under the Note Purchase Agreement, each with maturities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Borrowings</w:t>
            </w:r>
          </w:p>
        </w:tc>
        <w:tc>
          <w:tcPr>
            <w:tcW w:w="120" w:type="dxa"/>
            <w:vAlign w:val="bottom"/>
          </w:tcPr>
          <w:p>
            <w:pPr>
              <w:spacing w:after="0"/>
              <w:rPr>
                <w:sz w:val="16"/>
                <w:szCs w:val="16"/>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Date of Advance</w:t>
            </w:r>
          </w:p>
        </w:tc>
        <w:tc>
          <w:tcPr>
            <w:tcW w:w="140" w:type="dxa"/>
            <w:vAlign w:val="bottom"/>
          </w:tcPr>
          <w:p>
            <w:pPr>
              <w:spacing w:after="0"/>
              <w:rPr>
                <w:sz w:val="16"/>
                <w:szCs w:val="16"/>
                <w:color w:val="auto"/>
              </w:rPr>
            </w:pP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Due Date</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6"/>
                <w:szCs w:val="16"/>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16"/>
                <w:szCs w:val="16"/>
                <w:color w:val="auto"/>
              </w:rPr>
            </w:pPr>
          </w:p>
        </w:tc>
      </w:tr>
      <w:tr>
        <w:trPr>
          <w:trHeight w:val="196"/>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KeyBank National Association Loan Facility</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6/30/2020</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2"/>
              </w:rPr>
              <w:t>5/31/2024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163,000,000</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3.97</w:t>
            </w:r>
          </w:p>
        </w:tc>
        <w:tc>
          <w:tcPr>
            <w:tcW w:w="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Series 2021A Senior Notes due 2026</w:t>
            </w:r>
          </w:p>
        </w:tc>
        <w:tc>
          <w:tcPr>
            <w:tcW w:w="134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w w:val="90"/>
              </w:rPr>
              <w:t>12/10/2021</w:t>
            </w:r>
          </w:p>
        </w:tc>
        <w:tc>
          <w:tcPr>
            <w:tcW w:w="136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0"/>
              </w:rPr>
              <w:t>12/10/2026</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20,000,000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4.25</w:t>
            </w:r>
          </w:p>
        </w:tc>
        <w:tc>
          <w:tcPr>
            <w:tcW w:w="280" w:type="dxa"/>
            <w:vAlign w:val="bottom"/>
          </w:tcPr>
          <w:p>
            <w:pPr>
              <w:spacing w:after="0"/>
              <w:rPr>
                <w:sz w:val="17"/>
                <w:szCs w:val="17"/>
                <w:color w:val="auto"/>
              </w:rPr>
            </w:pPr>
          </w:p>
        </w:tc>
      </w:tr>
      <w:tr>
        <w:trPr>
          <w:trHeight w:val="203"/>
        </w:trPr>
        <w:tc>
          <w:tcPr>
            <w:tcW w:w="54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Series 2021A Senior Notes due 2026</w:t>
            </w:r>
          </w:p>
        </w:tc>
        <w:tc>
          <w:tcPr>
            <w:tcW w:w="1340" w:type="dxa"/>
            <w:vAlign w:val="bottom"/>
            <w:tcBorders>
              <w:bottom w:val="single" w:sz="8" w:color="CFF0FC"/>
            </w:tcBorders>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89"/>
              </w:rPr>
              <w:t>2/10/2022</w:t>
            </w:r>
          </w:p>
        </w:tc>
        <w:tc>
          <w:tcPr>
            <w:tcW w:w="1360" w:type="dxa"/>
            <w:vAlign w:val="bottom"/>
            <w:tcBorders>
              <w:bottom w:val="single" w:sz="8" w:color="CFF0FC"/>
            </w:tcBorders>
            <w:gridSpan w:val="2"/>
            <w:shd w:val="clear" w:color="auto" w:fill="CFF0FC"/>
          </w:tcPr>
          <w:p>
            <w:pPr>
              <w:jc w:val="center"/>
              <w:ind w:left="50"/>
              <w:spacing w:after="0" w:line="202" w:lineRule="exact"/>
              <w:rPr>
                <w:sz w:val="20"/>
                <w:szCs w:val="20"/>
                <w:color w:val="auto"/>
              </w:rPr>
            </w:pPr>
            <w:r>
              <w:rPr>
                <w:rFonts w:ascii="Arial" w:cs="Arial" w:eastAsia="Arial" w:hAnsi="Arial"/>
                <w:sz w:val="18"/>
                <w:szCs w:val="18"/>
                <w:color w:val="auto"/>
                <w:w w:val="90"/>
              </w:rPr>
              <w:t>12/10/2026</w:t>
            </w:r>
          </w:p>
        </w:tc>
        <w:tc>
          <w:tcPr>
            <w:tcW w:w="1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50,000,000</w:t>
            </w:r>
          </w:p>
        </w:tc>
        <w:tc>
          <w:tcPr>
            <w:tcW w:w="140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4.25</w:t>
            </w:r>
          </w:p>
        </w:tc>
        <w:tc>
          <w:tcPr>
            <w:tcW w:w="280" w:type="dxa"/>
            <w:vAlign w:val="bottom"/>
            <w:tcBorders>
              <w:bottom w:val="single" w:sz="8" w:color="CFF0FC"/>
            </w:tcBorders>
            <w:shd w:val="clear" w:color="auto" w:fill="CFF0FC"/>
          </w:tcPr>
          <w:p>
            <w:pPr>
              <w:spacing w:after="0"/>
              <w:rPr>
                <w:sz w:val="17"/>
                <w:szCs w:val="17"/>
                <w:color w:val="auto"/>
              </w:rPr>
            </w:pPr>
          </w:p>
        </w:tc>
      </w:tr>
      <w:tr>
        <w:trPr>
          <w:trHeight w:val="196"/>
        </w:trPr>
        <w:tc>
          <w:tcPr>
            <w:tcW w:w="5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233,000,000</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8260" w:type="dxa"/>
            <w:vAlign w:val="bottom"/>
            <w:gridSpan w:val="6"/>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r>
      <w:tr>
        <w:trPr>
          <w:trHeight w:val="385"/>
        </w:trPr>
        <w:tc>
          <w:tcPr>
            <w:tcW w:w="11240" w:type="dxa"/>
            <w:vAlign w:val="bottom"/>
            <w:gridSpan w:val="11"/>
          </w:tcPr>
          <w:p>
            <w:pPr>
              <w:jc w:val="right"/>
              <w:spacing w:after="0"/>
              <w:rPr>
                <w:sz w:val="20"/>
                <w:szCs w:val="20"/>
                <w:color w:val="auto"/>
              </w:rPr>
            </w:pPr>
            <w:r>
              <w:rPr>
                <w:rFonts w:ascii="Arial" w:cs="Arial" w:eastAsia="Arial" w:hAnsi="Arial"/>
                <w:sz w:val="18"/>
                <w:szCs w:val="18"/>
                <w:color w:val="auto"/>
              </w:rPr>
              <w:t>As of December 31, 2021, the Company had $61,000,000 outstanding under the Credit Agreement and $20,000,000 of 2026 Senior Notes</w:t>
            </w:r>
          </w:p>
        </w:tc>
      </w:tr>
      <w:tr>
        <w:trPr>
          <w:trHeight w:val="230"/>
        </w:trPr>
        <w:tc>
          <w:tcPr>
            <w:tcW w:w="6780" w:type="dxa"/>
            <w:vAlign w:val="bottom"/>
            <w:gridSpan w:val="3"/>
          </w:tcPr>
          <w:p>
            <w:pPr>
              <w:spacing w:after="0"/>
              <w:rPr>
                <w:sz w:val="20"/>
                <w:szCs w:val="20"/>
                <w:color w:val="auto"/>
              </w:rPr>
            </w:pPr>
            <w:r>
              <w:rPr>
                <w:rFonts w:ascii="Arial" w:cs="Arial" w:eastAsia="Arial" w:hAnsi="Arial"/>
                <w:sz w:val="18"/>
                <w:szCs w:val="18"/>
                <w:color w:val="auto"/>
              </w:rPr>
              <w:t>outstanding under the Note Purchase Agreement, each with maturities as follows:</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378"/>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Loan Facility</w:t>
            </w:r>
          </w:p>
        </w:tc>
        <w:tc>
          <w:tcPr>
            <w:tcW w:w="120" w:type="dxa"/>
            <w:vAlign w:val="bottom"/>
          </w:tcPr>
          <w:p>
            <w:pPr>
              <w:spacing w:after="0"/>
              <w:rPr>
                <w:sz w:val="24"/>
                <w:szCs w:val="24"/>
                <w:color w:val="auto"/>
              </w:rPr>
            </w:pPr>
          </w:p>
        </w:tc>
        <w:tc>
          <w:tcPr>
            <w:tcW w:w="122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w w:val="98"/>
              </w:rPr>
              <w:t>Date of Advance</w:t>
            </w:r>
          </w:p>
        </w:tc>
        <w:tc>
          <w:tcPr>
            <w:tcW w:w="140" w:type="dxa"/>
            <w:vAlign w:val="bottom"/>
          </w:tcPr>
          <w:p>
            <w:pPr>
              <w:spacing w:after="0"/>
              <w:rPr>
                <w:sz w:val="24"/>
                <w:szCs w:val="24"/>
                <w:color w:val="auto"/>
              </w:rPr>
            </w:pPr>
          </w:p>
        </w:tc>
        <w:tc>
          <w:tcPr>
            <w:tcW w:w="12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Due Date</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24"/>
                <w:szCs w:val="24"/>
                <w:color w:val="auto"/>
              </w:rPr>
            </w:pPr>
          </w:p>
        </w:tc>
        <w:tc>
          <w:tcPr>
            <w:tcW w:w="116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Rate</w:t>
            </w:r>
          </w:p>
        </w:tc>
        <w:tc>
          <w:tcPr>
            <w:tcW w:w="280" w:type="dxa"/>
            <w:vAlign w:val="bottom"/>
          </w:tcPr>
          <w:p>
            <w:pPr>
              <w:spacing w:after="0"/>
              <w:rPr>
                <w:sz w:val="24"/>
                <w:szCs w:val="24"/>
                <w:color w:val="auto"/>
              </w:rPr>
            </w:pPr>
          </w:p>
        </w:tc>
      </w:tr>
      <w:tr>
        <w:trPr>
          <w:trHeight w:val="196"/>
        </w:trPr>
        <w:tc>
          <w:tcPr>
            <w:tcW w:w="544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KeyBank National Association Loan Facility</w:t>
            </w:r>
          </w:p>
        </w:tc>
        <w:tc>
          <w:tcPr>
            <w:tcW w:w="120" w:type="dxa"/>
            <w:vAlign w:val="bottom"/>
            <w:shd w:val="clear" w:color="auto" w:fill="CFF0FC"/>
          </w:tcPr>
          <w:p>
            <w:pPr>
              <w:spacing w:after="0"/>
              <w:rPr>
                <w:sz w:val="17"/>
                <w:szCs w:val="17"/>
                <w:color w:val="auto"/>
              </w:rPr>
            </w:pPr>
          </w:p>
        </w:tc>
        <w:tc>
          <w:tcPr>
            <w:tcW w:w="12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89"/>
              </w:rPr>
              <w:t>6/30/2020</w:t>
            </w: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center"/>
              <w:spacing w:after="0" w:line="196" w:lineRule="exact"/>
              <w:rPr>
                <w:sz w:val="20"/>
                <w:szCs w:val="20"/>
                <w:color w:val="auto"/>
              </w:rPr>
            </w:pPr>
            <w:r>
              <w:rPr>
                <w:rFonts w:ascii="Arial" w:cs="Arial" w:eastAsia="Arial" w:hAnsi="Arial"/>
                <w:sz w:val="18"/>
                <w:szCs w:val="18"/>
                <w:color w:val="auto"/>
                <w:w w:val="92"/>
              </w:rPr>
              <w:t>5/31/2024</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61,000,000</w:t>
            </w: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3.50</w:t>
            </w:r>
          </w:p>
        </w:tc>
        <w:tc>
          <w:tcPr>
            <w:tcW w:w="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r>
      <w:tr>
        <w:trPr>
          <w:trHeight w:val="203"/>
        </w:trPr>
        <w:tc>
          <w:tcPr>
            <w:tcW w:w="5440" w:type="dxa"/>
            <w:vAlign w:val="bottom"/>
          </w:tcPr>
          <w:p>
            <w:pPr>
              <w:ind w:left="20"/>
              <w:spacing w:after="0" w:line="202" w:lineRule="exact"/>
              <w:rPr>
                <w:sz w:val="20"/>
                <w:szCs w:val="20"/>
                <w:color w:val="auto"/>
              </w:rPr>
            </w:pPr>
            <w:r>
              <w:rPr>
                <w:rFonts w:ascii="Arial" w:cs="Arial" w:eastAsia="Arial" w:hAnsi="Arial"/>
                <w:sz w:val="18"/>
                <w:szCs w:val="18"/>
                <w:color w:val="auto"/>
              </w:rPr>
              <w:t>Series 2021A Senior Notes due 2026</w:t>
            </w:r>
          </w:p>
        </w:tc>
        <w:tc>
          <w:tcPr>
            <w:tcW w:w="1340" w:type="dxa"/>
            <w:vAlign w:val="bottom"/>
            <w:gridSpan w:val="2"/>
          </w:tcPr>
          <w:p>
            <w:pPr>
              <w:jc w:val="center"/>
              <w:ind w:left="30"/>
              <w:spacing w:after="0" w:line="202" w:lineRule="exact"/>
              <w:rPr>
                <w:sz w:val="20"/>
                <w:szCs w:val="20"/>
                <w:color w:val="auto"/>
              </w:rPr>
            </w:pPr>
            <w:r>
              <w:rPr>
                <w:rFonts w:ascii="Arial" w:cs="Arial" w:eastAsia="Arial" w:hAnsi="Arial"/>
                <w:sz w:val="18"/>
                <w:szCs w:val="18"/>
                <w:color w:val="auto"/>
                <w:w w:val="90"/>
              </w:rPr>
              <w:t>12/10/2021</w:t>
            </w:r>
          </w:p>
        </w:tc>
        <w:tc>
          <w:tcPr>
            <w:tcW w:w="1360" w:type="dxa"/>
            <w:vAlign w:val="bottom"/>
            <w:gridSpan w:val="2"/>
          </w:tcPr>
          <w:p>
            <w:pPr>
              <w:jc w:val="center"/>
              <w:ind w:left="50"/>
              <w:spacing w:after="0" w:line="202" w:lineRule="exact"/>
              <w:rPr>
                <w:sz w:val="20"/>
                <w:szCs w:val="20"/>
                <w:color w:val="auto"/>
              </w:rPr>
            </w:pPr>
            <w:r>
              <w:rPr>
                <w:rFonts w:ascii="Arial" w:cs="Arial" w:eastAsia="Arial" w:hAnsi="Arial"/>
                <w:sz w:val="18"/>
                <w:szCs w:val="18"/>
                <w:color w:val="auto"/>
                <w:w w:val="90"/>
              </w:rPr>
              <w:t>12/10/2026</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20,000,000</w:t>
            </w: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4.25</w:t>
            </w:r>
          </w:p>
        </w:tc>
        <w:tc>
          <w:tcPr>
            <w:tcW w:w="280" w:type="dxa"/>
            <w:vAlign w:val="bottom"/>
          </w:tcPr>
          <w:p>
            <w:pPr>
              <w:spacing w:after="0"/>
              <w:rPr>
                <w:sz w:val="17"/>
                <w:szCs w:val="17"/>
                <w:color w:val="auto"/>
              </w:rPr>
            </w:pPr>
          </w:p>
        </w:tc>
      </w:tr>
      <w:tr>
        <w:trPr>
          <w:trHeight w:val="236"/>
        </w:trPr>
        <w:tc>
          <w:tcPr>
            <w:tcW w:w="54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81,000,000</w:t>
            </w:r>
          </w:p>
        </w:tc>
        <w:tc>
          <w:tcPr>
            <w:tcW w:w="24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-1230630</wp:posOffset>
            </wp:positionV>
            <wp:extent cx="6858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-7620</wp:posOffset>
            </wp:positionV>
            <wp:extent cx="68580"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Financial Highlights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0" w:type="dxa"/>
            <w:vAlign w:val="bottom"/>
            <w:gridSpan w:val="7"/>
          </w:tcPr>
          <w:p>
            <w:pPr>
              <w:jc w:val="right"/>
              <w:ind w:right="748"/>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80" w:type="dxa"/>
            <w:vAlign w:val="bottom"/>
            <w:gridSpan w:val="7"/>
          </w:tcPr>
          <w:p>
            <w:pPr>
              <w:jc w:val="right"/>
              <w:ind w:right="768"/>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(Unaudited)</w:t>
            </w:r>
          </w:p>
        </w:tc>
        <w:tc>
          <w:tcPr>
            <w:tcW w:w="2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rPr>
              <w:t>(Unaudited)</w:t>
            </w:r>
          </w:p>
        </w:tc>
        <w:tc>
          <w:tcPr>
            <w:tcW w:w="2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(Unaudited)</w:t>
            </w:r>
          </w:p>
        </w:tc>
        <w:tc>
          <w:tcPr>
            <w:tcW w:w="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(Unaudited)</w:t>
            </w:r>
          </w:p>
        </w:tc>
        <w:tc>
          <w:tcPr>
            <w:tcW w:w="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80" w:type="dxa"/>
            <w:vAlign w:val="bottom"/>
            <w:shd w:val="clear" w:color="auto" w:fill="CFF0FC"/>
          </w:tcPr>
          <w:p>
            <w:pPr>
              <w:ind w:left="20"/>
              <w:spacing w:after="0" w:line="169" w:lineRule="exact"/>
              <w:rPr>
                <w:sz w:val="20"/>
                <w:szCs w:val="20"/>
                <w:color w:val="auto"/>
              </w:rPr>
            </w:pPr>
            <w:r>
              <w:rPr>
                <w:rFonts w:ascii="Arial" w:cs="Arial" w:eastAsia="Arial" w:hAnsi="Arial"/>
                <w:sz w:val="14"/>
                <w:szCs w:val="14"/>
                <w:b w:val="1"/>
                <w:bCs w:val="1"/>
                <w:color w:val="auto"/>
              </w:rPr>
              <w:t>Per Share Data</w:t>
            </w:r>
            <w:r>
              <w:rPr>
                <w:rFonts w:ascii="Arial" w:cs="Arial" w:eastAsia="Arial" w:hAnsi="Arial"/>
                <w:sz w:val="19"/>
                <w:szCs w:val="19"/>
                <w:b w:val="1"/>
                <w:bCs w:val="1"/>
                <w:color w:val="auto"/>
                <w:vertAlign w:val="superscript"/>
              </w:rPr>
              <w:t>(1)</w:t>
            </w:r>
            <w:r>
              <w:rPr>
                <w:rFonts w:ascii="Arial" w:cs="Arial" w:eastAsia="Arial" w:hAnsi="Arial"/>
                <w:sz w:val="14"/>
                <w:szCs w:val="14"/>
                <w:b w:val="1"/>
                <w:bCs w:val="1"/>
                <w:color w:val="auto"/>
              </w:rPr>
              <w:t>:</w:t>
            </w:r>
          </w:p>
        </w:tc>
        <w:tc>
          <w:tcPr>
            <w:tcW w:w="5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rPr>
                <w:sz w:val="20"/>
                <w:szCs w:val="20"/>
                <w:color w:val="auto"/>
              </w:rPr>
            </w:pPr>
            <w:r>
              <w:rPr>
                <w:rFonts w:ascii="Arial" w:cs="Arial" w:eastAsia="Arial" w:hAnsi="Arial"/>
                <w:sz w:val="14"/>
                <w:szCs w:val="14"/>
                <w:color w:val="auto"/>
              </w:rPr>
              <w:t>Net asset value at beginning of period</w:t>
            </w:r>
          </w:p>
        </w:tc>
        <w:tc>
          <w:tcPr>
            <w:tcW w:w="56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14.45</w:t>
            </w:r>
          </w:p>
        </w:tc>
        <w:tc>
          <w:tcPr>
            <w:tcW w:w="120" w:type="dxa"/>
            <w:vAlign w:val="bottom"/>
          </w:tcPr>
          <w:p>
            <w:pPr>
              <w:spacing w:after="0"/>
              <w:rPr>
                <w:sz w:val="15"/>
                <w:szCs w:val="15"/>
                <w:color w:val="auto"/>
              </w:rPr>
            </w:pPr>
          </w:p>
        </w:tc>
        <w:tc>
          <w:tcPr>
            <w:tcW w:w="74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14.77</w:t>
            </w:r>
          </w:p>
        </w:tc>
        <w:tc>
          <w:tcPr>
            <w:tcW w:w="120" w:type="dxa"/>
            <w:vAlign w:val="bottom"/>
          </w:tcPr>
          <w:p>
            <w:pPr>
              <w:spacing w:after="0"/>
              <w:rPr>
                <w:sz w:val="15"/>
                <w:szCs w:val="15"/>
                <w:color w:val="auto"/>
              </w:rPr>
            </w:pPr>
          </w:p>
        </w:tc>
        <w:tc>
          <w:tcPr>
            <w:tcW w:w="74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14.65</w:t>
            </w:r>
          </w:p>
        </w:tc>
        <w:tc>
          <w:tcPr>
            <w:tcW w:w="100" w:type="dxa"/>
            <w:vAlign w:val="bottom"/>
          </w:tcPr>
          <w:p>
            <w:pPr>
              <w:spacing w:after="0"/>
              <w:rPr>
                <w:sz w:val="15"/>
                <w:szCs w:val="15"/>
                <w:color w:val="auto"/>
              </w:rPr>
            </w:pPr>
          </w:p>
        </w:tc>
        <w:tc>
          <w:tcPr>
            <w:tcW w:w="70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14.84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Net investment income</w:t>
            </w:r>
            <w:r>
              <w:rPr>
                <w:rFonts w:ascii="Arial" w:cs="Arial" w:eastAsia="Arial" w:hAnsi="Arial"/>
                <w:sz w:val="19"/>
                <w:szCs w:val="19"/>
                <w:color w:val="auto"/>
                <w:vertAlign w:val="superscript"/>
              </w:rPr>
              <w:t>(3)</w:t>
            </w:r>
          </w:p>
        </w:tc>
        <w:tc>
          <w:tcPr>
            <w:tcW w:w="5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0.35</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0.35</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0.65</w:t>
            </w: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0.71</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rPr>
                <w:sz w:val="20"/>
                <w:szCs w:val="20"/>
                <w:color w:val="auto"/>
              </w:rPr>
            </w:pPr>
            <w:r>
              <w:rPr>
                <w:rFonts w:ascii="Arial" w:cs="Arial" w:eastAsia="Arial" w:hAnsi="Arial"/>
                <w:sz w:val="14"/>
                <w:szCs w:val="14"/>
                <w:color w:val="auto"/>
              </w:rPr>
              <w:t>Realized gain (loss)</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0.02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(0.14 )</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0.01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(0.15 )</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24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Change in unrealized appreciation (depreciation)</w:t>
            </w:r>
          </w:p>
        </w:tc>
        <w:tc>
          <w:tcPr>
            <w:tcW w:w="34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(0.39 )</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34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(0.62 )</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(0.06 )</w:t>
            </w: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rPr>
                <w:sz w:val="20"/>
                <w:szCs w:val="20"/>
                <w:color w:val="auto"/>
              </w:rPr>
            </w:pPr>
            <w:r>
              <w:rPr>
                <w:rFonts w:ascii="Arial" w:cs="Arial" w:eastAsia="Arial" w:hAnsi="Arial"/>
                <w:sz w:val="14"/>
                <w:szCs w:val="14"/>
                <w:color w:val="auto"/>
              </w:rPr>
              <w:t>Dividends</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(0.30 )</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(0.37 )</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(0.57 )</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(0.73 )</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Borders>
              <w:bottom w:val="single" w:sz="8" w:color="CFF0FC"/>
            </w:tcBorders>
            <w:shd w:val="clear" w:color="auto" w:fill="CFF0FC"/>
          </w:tcPr>
          <w:p>
            <w:pPr>
              <w:ind w:left="20"/>
              <w:spacing w:after="0" w:line="175" w:lineRule="exact"/>
              <w:rPr>
                <w:sz w:val="20"/>
                <w:szCs w:val="20"/>
                <w:color w:val="auto"/>
              </w:rPr>
            </w:pPr>
            <w:r>
              <w:rPr>
                <w:rFonts w:ascii="Arial" w:cs="Arial" w:eastAsia="Arial" w:hAnsi="Arial"/>
                <w:sz w:val="14"/>
                <w:szCs w:val="14"/>
                <w:color w:val="auto"/>
              </w:rPr>
              <w:t>Accretion (Dilution)</w:t>
            </w:r>
            <w:r>
              <w:rPr>
                <w:rFonts w:ascii="Arial" w:cs="Arial" w:eastAsia="Arial" w:hAnsi="Arial"/>
                <w:sz w:val="19"/>
                <w:szCs w:val="19"/>
                <w:color w:val="auto"/>
                <w:vertAlign w:val="superscript"/>
              </w:rPr>
              <w:t>(4)</w:t>
            </w:r>
          </w:p>
        </w:tc>
        <w:tc>
          <w:tcPr>
            <w:tcW w:w="56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rPr>
                <w:sz w:val="15"/>
                <w:szCs w:val="15"/>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0.01</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0.02</w:t>
            </w:r>
          </w:p>
        </w:tc>
        <w:tc>
          <w:tcPr>
            <w:tcW w:w="1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80" w:type="dxa"/>
            <w:vAlign w:val="bottom"/>
          </w:tcPr>
          <w:p>
            <w:pPr>
              <w:ind w:left="20"/>
              <w:spacing w:after="0"/>
              <w:rPr>
                <w:sz w:val="20"/>
                <w:szCs w:val="20"/>
                <w:color w:val="auto"/>
              </w:rPr>
            </w:pPr>
            <w:r>
              <w:rPr>
                <w:rFonts w:ascii="Arial" w:cs="Arial" w:eastAsia="Arial" w:hAnsi="Arial"/>
                <w:sz w:val="14"/>
                <w:szCs w:val="14"/>
                <w:color w:val="auto"/>
              </w:rPr>
              <w:t>Net asset value at end of period</w:t>
            </w:r>
          </w:p>
        </w:tc>
        <w:tc>
          <w:tcPr>
            <w:tcW w:w="560" w:type="dxa"/>
            <w:vAlign w:val="bottom"/>
          </w:tcPr>
          <w:p>
            <w:pPr>
              <w:spacing w:after="0"/>
              <w:rPr>
                <w:sz w:val="14"/>
                <w:szCs w:val="14"/>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14.61</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680" w:type="dxa"/>
            <w:vAlign w:val="bottom"/>
            <w:shd w:val="clear" w:color="auto" w:fill="CFF0FC"/>
          </w:tcPr>
          <w:p>
            <w:pPr>
              <w:ind w:left="20"/>
              <w:spacing w:after="0" w:line="156" w:lineRule="exact"/>
              <w:rPr>
                <w:sz w:val="20"/>
                <w:szCs w:val="20"/>
                <w:color w:val="auto"/>
              </w:rPr>
            </w:pPr>
            <w:r>
              <w:rPr>
                <w:rFonts w:ascii="Arial" w:cs="Arial" w:eastAsia="Arial" w:hAnsi="Arial"/>
                <w:sz w:val="14"/>
                <w:szCs w:val="14"/>
                <w:color w:val="auto"/>
              </w:rPr>
              <w:t>Total return based on net asset value</w:t>
            </w:r>
            <w:r>
              <w:rPr>
                <w:rFonts w:ascii="Arial" w:cs="Arial" w:eastAsia="Arial" w:hAnsi="Arial"/>
                <w:sz w:val="18"/>
                <w:szCs w:val="18"/>
                <w:color w:val="auto"/>
                <w:vertAlign w:val="superscript"/>
              </w:rPr>
              <w:t>(2)</w:t>
            </w:r>
          </w:p>
        </w:tc>
        <w:tc>
          <w:tcPr>
            <w:tcW w:w="560" w:type="dxa"/>
            <w:vAlign w:val="bottom"/>
            <w:shd w:val="clear" w:color="auto" w:fill="CFF0FC"/>
          </w:tcPr>
          <w:p>
            <w:pPr>
              <w:spacing w:after="0"/>
              <w:rPr>
                <w:sz w:val="13"/>
                <w:szCs w:val="13"/>
                <w:color w:val="auto"/>
              </w:rPr>
            </w:pPr>
          </w:p>
        </w:tc>
        <w:tc>
          <w:tcPr>
            <w:tcW w:w="34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(2.15</w:t>
            </w:r>
          </w:p>
        </w:tc>
        <w:tc>
          <w:tcPr>
            <w:tcW w:w="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84"/>
              </w:rPr>
              <w:t>)</w:t>
            </w:r>
          </w:p>
        </w:tc>
        <w:tc>
          <w:tcPr>
            <w:tcW w:w="260" w:type="dxa"/>
            <w:vAlign w:val="bottom"/>
            <w:tcBorders>
              <w:top w:val="single" w:sz="8" w:color="auto"/>
            </w:tcBorders>
            <w:shd w:val="clear" w:color="auto" w:fill="CFF0FC"/>
          </w:tcPr>
          <w:p>
            <w:pPr>
              <w:jc w:val="right"/>
              <w:ind w:right="68"/>
              <w:spacing w:after="0" w:line="156" w:lineRule="exact"/>
              <w:rPr>
                <w:sz w:val="20"/>
                <w:szCs w:val="20"/>
                <w:color w:val="auto"/>
              </w:rPr>
            </w:pPr>
            <w:r>
              <w:rPr>
                <w:rFonts w:ascii="Arial" w:cs="Arial" w:eastAsia="Arial" w:hAnsi="Arial"/>
                <w:sz w:val="14"/>
                <w:szCs w:val="14"/>
                <w:color w:val="auto"/>
                <w:w w:val="79"/>
              </w:rPr>
              <w:t>%</w:t>
            </w:r>
          </w:p>
        </w:tc>
        <w:tc>
          <w:tcPr>
            <w:tcW w:w="16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22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(1.08</w:t>
            </w:r>
          </w:p>
        </w:tc>
        <w:tc>
          <w:tcPr>
            <w:tcW w:w="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84"/>
              </w:rPr>
              <w:t>)</w:t>
            </w:r>
          </w:p>
        </w:tc>
        <w:tc>
          <w:tcPr>
            <w:tcW w:w="260" w:type="dxa"/>
            <w:vAlign w:val="bottom"/>
            <w:tcBorders>
              <w:top w:val="single" w:sz="8" w:color="auto"/>
            </w:tcBorders>
            <w:shd w:val="clear" w:color="auto" w:fill="CFF0FC"/>
          </w:tcPr>
          <w:p>
            <w:pPr>
              <w:jc w:val="right"/>
              <w:ind w:right="68"/>
              <w:spacing w:after="0" w:line="156" w:lineRule="exact"/>
              <w:rPr>
                <w:sz w:val="20"/>
                <w:szCs w:val="20"/>
                <w:color w:val="auto"/>
              </w:rPr>
            </w:pPr>
            <w:r>
              <w:rPr>
                <w:rFonts w:ascii="Arial" w:cs="Arial" w:eastAsia="Arial" w:hAnsi="Arial"/>
                <w:sz w:val="14"/>
                <w:szCs w:val="14"/>
                <w:color w:val="auto"/>
                <w:w w:val="79"/>
              </w:rPr>
              <w:t>%</w:t>
            </w:r>
          </w:p>
        </w:tc>
        <w:tc>
          <w:tcPr>
            <w:tcW w:w="160" w:type="dxa"/>
            <w:vAlign w:val="bottom"/>
            <w:shd w:val="clear" w:color="auto" w:fill="CFF0FC"/>
          </w:tcPr>
          <w:p>
            <w:pPr>
              <w:spacing w:after="0"/>
              <w:rPr>
                <w:sz w:val="13"/>
                <w:szCs w:val="13"/>
                <w:color w:val="auto"/>
              </w:rPr>
            </w:pPr>
          </w:p>
        </w:tc>
        <w:tc>
          <w:tcPr>
            <w:tcW w:w="32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(3.48</w:t>
            </w:r>
          </w:p>
        </w:tc>
        <w:tc>
          <w:tcPr>
            <w:tcW w:w="10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tcBorders>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w w:val="96"/>
              </w:rPr>
              <w:t>%</w:t>
            </w:r>
          </w:p>
        </w:tc>
        <w:tc>
          <w:tcPr>
            <w:tcW w:w="160" w:type="dxa"/>
            <w:vAlign w:val="bottom"/>
            <w:shd w:val="clear" w:color="auto" w:fill="CFF0FC"/>
          </w:tcPr>
          <w:p>
            <w:pPr>
              <w:spacing w:after="0"/>
              <w:rPr>
                <w:sz w:val="13"/>
                <w:szCs w:val="13"/>
                <w:color w:val="auto"/>
              </w:rPr>
            </w:pPr>
          </w:p>
        </w:tc>
        <w:tc>
          <w:tcPr>
            <w:tcW w:w="30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jc w:val="right"/>
              <w:spacing w:after="0" w:line="156" w:lineRule="exact"/>
              <w:rPr>
                <w:sz w:val="20"/>
                <w:szCs w:val="20"/>
                <w:color w:val="auto"/>
              </w:rPr>
            </w:pPr>
            <w:r>
              <w:rPr>
                <w:rFonts w:ascii="Arial" w:cs="Arial" w:eastAsia="Arial" w:hAnsi="Arial"/>
                <w:sz w:val="14"/>
                <w:szCs w:val="14"/>
                <w:color w:val="auto"/>
              </w:rPr>
              <w:t>(1.55</w:t>
            </w:r>
          </w:p>
        </w:tc>
        <w:tc>
          <w:tcPr>
            <w:tcW w:w="120" w:type="dxa"/>
            <w:vAlign w:val="bottom"/>
            <w:shd w:val="clear" w:color="auto" w:fill="CFF0FC"/>
          </w:tcPr>
          <w:p>
            <w:pPr>
              <w:jc w:val="right"/>
              <w:spacing w:after="0" w:line="156"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FF0FC"/>
          </w:tcPr>
          <w:p>
            <w:pPr>
              <w:jc w:val="right"/>
              <w:ind w:right="28"/>
              <w:spacing w:after="0" w:line="156" w:lineRule="exact"/>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43"/>
        </w:trPr>
        <w:tc>
          <w:tcPr>
            <w:tcW w:w="3240" w:type="dxa"/>
            <w:vAlign w:val="bottom"/>
            <w:gridSpan w:val="2"/>
          </w:tcPr>
          <w:p>
            <w:pPr>
              <w:ind w:left="20"/>
              <w:spacing w:after="0" w:line="143" w:lineRule="exact"/>
              <w:rPr>
                <w:sz w:val="20"/>
                <w:szCs w:val="20"/>
                <w:color w:val="auto"/>
              </w:rPr>
            </w:pPr>
            <w:r>
              <w:rPr>
                <w:rFonts w:ascii="Arial" w:cs="Arial" w:eastAsia="Arial" w:hAnsi="Arial"/>
                <w:sz w:val="14"/>
                <w:szCs w:val="14"/>
                <w:color w:val="auto"/>
              </w:rPr>
              <w:t>Weighted-average shares outstanding for period,</w:t>
            </w:r>
          </w:p>
        </w:tc>
        <w:tc>
          <w:tcPr>
            <w:tcW w:w="3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80" w:type="dxa"/>
            <w:vAlign w:val="bottom"/>
          </w:tcPr>
          <w:p>
            <w:pPr>
              <w:ind w:left="20"/>
              <w:spacing w:after="0"/>
              <w:rPr>
                <w:sz w:val="20"/>
                <w:szCs w:val="20"/>
                <w:color w:val="auto"/>
              </w:rPr>
            </w:pPr>
            <w:r>
              <w:rPr>
                <w:rFonts w:ascii="Arial" w:cs="Arial" w:eastAsia="Arial" w:hAnsi="Arial"/>
                <w:sz w:val="14"/>
                <w:szCs w:val="14"/>
                <w:color w:val="auto"/>
              </w:rPr>
              <w:t>basic</w:t>
            </w: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41,215,664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32,396,396</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41,294,985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31,953,287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Ratio/Supplemental Data:</w:t>
            </w:r>
          </w:p>
        </w:tc>
        <w:tc>
          <w:tcPr>
            <w:tcW w:w="5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rPr>
                <w:sz w:val="20"/>
                <w:szCs w:val="20"/>
                <w:color w:val="auto"/>
              </w:rPr>
            </w:pPr>
            <w:r>
              <w:rPr>
                <w:rFonts w:ascii="Arial" w:cs="Arial" w:eastAsia="Arial" w:hAnsi="Arial"/>
                <w:sz w:val="14"/>
                <w:szCs w:val="14"/>
                <w:color w:val="auto"/>
              </w:rPr>
              <w:t>Net assets at end of period</w:t>
            </w:r>
          </w:p>
        </w:tc>
        <w:tc>
          <w:tcPr>
            <w:tcW w:w="560" w:type="dxa"/>
            <w:vAlign w:val="bottom"/>
          </w:tcPr>
          <w:p>
            <w:pPr>
              <w:spacing w:after="0"/>
              <w:rPr>
                <w:sz w:val="15"/>
                <w:szCs w:val="15"/>
                <w:color w:val="auto"/>
              </w:rPr>
            </w:pPr>
          </w:p>
        </w:tc>
        <w:tc>
          <w:tcPr>
            <w:tcW w:w="340" w:type="dxa"/>
            <w:vAlign w:val="bottom"/>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579,412,004</w:t>
            </w:r>
          </w:p>
        </w:tc>
        <w:tc>
          <w:tcPr>
            <w:tcW w:w="120" w:type="dxa"/>
            <w:vAlign w:val="bottom"/>
          </w:tcPr>
          <w:p>
            <w:pPr>
              <w:spacing w:after="0"/>
              <w:rPr>
                <w:sz w:val="15"/>
                <w:szCs w:val="15"/>
                <w:color w:val="auto"/>
              </w:rPr>
            </w:pPr>
          </w:p>
        </w:tc>
        <w:tc>
          <w:tcPr>
            <w:tcW w:w="74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477,739,097</w:t>
            </w:r>
          </w:p>
        </w:tc>
        <w:tc>
          <w:tcPr>
            <w:tcW w:w="120" w:type="dxa"/>
            <w:vAlign w:val="bottom"/>
          </w:tcPr>
          <w:p>
            <w:pPr>
              <w:spacing w:after="0"/>
              <w:rPr>
                <w:sz w:val="15"/>
                <w:szCs w:val="15"/>
                <w:color w:val="auto"/>
              </w:rPr>
            </w:pPr>
          </w:p>
        </w:tc>
        <w:tc>
          <w:tcPr>
            <w:tcW w:w="740" w:type="dxa"/>
            <w:vAlign w:val="bottom"/>
            <w:gridSpan w:val="3"/>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579,412,004</w:t>
            </w:r>
          </w:p>
        </w:tc>
        <w:tc>
          <w:tcPr>
            <w:tcW w:w="100" w:type="dxa"/>
            <w:vAlign w:val="bottom"/>
          </w:tcPr>
          <w:p>
            <w:pPr>
              <w:spacing w:after="0"/>
              <w:rPr>
                <w:sz w:val="15"/>
                <w:szCs w:val="15"/>
                <w:color w:val="auto"/>
              </w:rPr>
            </w:pPr>
          </w:p>
        </w:tc>
        <w:tc>
          <w:tcPr>
            <w:tcW w:w="700" w:type="dxa"/>
            <w:vAlign w:val="bottom"/>
            <w:gridSpan w:val="3"/>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477,739,097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20"/>
              <w:spacing w:after="0" w:line="175" w:lineRule="exact"/>
              <w:rPr>
                <w:sz w:val="20"/>
                <w:szCs w:val="20"/>
                <w:color w:val="auto"/>
              </w:rPr>
            </w:pPr>
            <w:r>
              <w:rPr>
                <w:rFonts w:ascii="Arial" w:cs="Arial" w:eastAsia="Arial" w:hAnsi="Arial"/>
                <w:sz w:val="14"/>
                <w:szCs w:val="14"/>
                <w:color w:val="auto"/>
              </w:rPr>
              <w:t>Average net assets</w:t>
            </w:r>
            <w:r>
              <w:rPr>
                <w:rFonts w:ascii="Arial" w:cs="Arial" w:eastAsia="Arial" w:hAnsi="Arial"/>
                <w:sz w:val="19"/>
                <w:szCs w:val="19"/>
                <w:color w:val="auto"/>
                <w:vertAlign w:val="superscript"/>
              </w:rPr>
              <w:t>(5)</w:t>
            </w:r>
          </w:p>
        </w:tc>
        <w:tc>
          <w:tcPr>
            <w:tcW w:w="560" w:type="dxa"/>
            <w:vAlign w:val="bottom"/>
            <w:shd w:val="clear" w:color="auto" w:fill="CFF0FC"/>
          </w:tcPr>
          <w:p>
            <w:pPr>
              <w:spacing w:after="0"/>
              <w:rPr>
                <w:sz w:val="15"/>
                <w:szCs w:val="15"/>
                <w:color w:val="auto"/>
              </w:rPr>
            </w:pPr>
          </w:p>
        </w:tc>
        <w:tc>
          <w:tcPr>
            <w:tcW w:w="340" w:type="dxa"/>
            <w:vAlign w:val="bottom"/>
            <w:shd w:val="clear" w:color="auto" w:fill="CFF0FC"/>
          </w:tcPr>
          <w:p>
            <w:pPr>
              <w:jc w:val="right"/>
              <w:ind w:right="18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594,275,669</w:t>
            </w:r>
          </w:p>
        </w:tc>
        <w:tc>
          <w:tcPr>
            <w:tcW w:w="12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481,543,614</w:t>
            </w:r>
          </w:p>
        </w:tc>
        <w:tc>
          <w:tcPr>
            <w:tcW w:w="120" w:type="dxa"/>
            <w:vAlign w:val="bottom"/>
            <w:shd w:val="clear" w:color="auto" w:fill="CFF0FC"/>
          </w:tcPr>
          <w:p>
            <w:pPr>
              <w:spacing w:after="0"/>
              <w:rPr>
                <w:sz w:val="15"/>
                <w:szCs w:val="15"/>
                <w:color w:val="auto"/>
              </w:rPr>
            </w:pPr>
          </w:p>
        </w:tc>
        <w:tc>
          <w:tcPr>
            <w:tcW w:w="740" w:type="dxa"/>
            <w:vAlign w:val="bottom"/>
            <w:gridSpan w:val="3"/>
            <w:shd w:val="clear" w:color="auto" w:fill="CFF0FC"/>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602,996,757</w:t>
            </w:r>
          </w:p>
        </w:tc>
        <w:tc>
          <w:tcPr>
            <w:tcW w:w="100" w:type="dxa"/>
            <w:vAlign w:val="bottom"/>
            <w:shd w:val="clear" w:color="auto" w:fill="CFF0FC"/>
          </w:tcPr>
          <w:p>
            <w:pPr>
              <w:spacing w:after="0"/>
              <w:rPr>
                <w:sz w:val="15"/>
                <w:szCs w:val="15"/>
                <w:color w:val="auto"/>
              </w:rPr>
            </w:pPr>
          </w:p>
        </w:tc>
        <w:tc>
          <w:tcPr>
            <w:tcW w:w="700" w:type="dxa"/>
            <w:vAlign w:val="bottom"/>
            <w:gridSpan w:val="3"/>
            <w:shd w:val="clear" w:color="auto" w:fill="CFF0FC"/>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477,645,007</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680" w:type="dxa"/>
            <w:vAlign w:val="bottom"/>
          </w:tcPr>
          <w:p>
            <w:pPr>
              <w:ind w:left="20"/>
              <w:spacing w:after="0" w:line="135" w:lineRule="exact"/>
              <w:rPr>
                <w:sz w:val="20"/>
                <w:szCs w:val="20"/>
                <w:color w:val="auto"/>
              </w:rPr>
            </w:pPr>
            <w:r>
              <w:rPr>
                <w:rFonts w:ascii="Arial" w:cs="Arial" w:eastAsia="Arial" w:hAnsi="Arial"/>
                <w:sz w:val="14"/>
                <w:szCs w:val="14"/>
                <w:color w:val="auto"/>
                <w:w w:val="90"/>
              </w:rPr>
              <w:t>Ratio of net operating expenses to average net</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80" w:type="dxa"/>
            <w:vAlign w:val="bottom"/>
          </w:tcPr>
          <w:p>
            <w:pPr>
              <w:ind w:left="20"/>
              <w:spacing w:after="0" w:line="189" w:lineRule="exact"/>
              <w:rPr>
                <w:sz w:val="20"/>
                <w:szCs w:val="20"/>
                <w:color w:val="auto"/>
              </w:rPr>
            </w:pPr>
            <w:r>
              <w:rPr>
                <w:rFonts w:ascii="Arial" w:cs="Arial" w:eastAsia="Arial" w:hAnsi="Arial"/>
                <w:sz w:val="14"/>
                <w:szCs w:val="14"/>
                <w:color w:val="auto"/>
              </w:rPr>
              <w:t>assets</w:t>
            </w:r>
            <w:r>
              <w:rPr>
                <w:rFonts w:ascii="Arial" w:cs="Arial" w:eastAsia="Arial" w:hAnsi="Arial"/>
                <w:sz w:val="19"/>
                <w:szCs w:val="19"/>
                <w:color w:val="auto"/>
                <w:vertAlign w:val="superscript"/>
              </w:rPr>
              <w:t>(6)(7)</w:t>
            </w: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5.37</w:t>
            </w:r>
          </w:p>
        </w:tc>
        <w:tc>
          <w:tcPr>
            <w:tcW w:w="120" w:type="dxa"/>
            <w:vAlign w:val="bottom"/>
          </w:tcPr>
          <w:p>
            <w:pPr>
              <w:spacing w:after="0"/>
              <w:rPr>
                <w:sz w:val="16"/>
                <w:szCs w:val="16"/>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w w:val="79"/>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4.39</w:t>
            </w:r>
          </w:p>
        </w:tc>
        <w:tc>
          <w:tcPr>
            <w:tcW w:w="120" w:type="dxa"/>
            <w:vAlign w:val="bottom"/>
          </w:tcPr>
          <w:p>
            <w:pPr>
              <w:spacing w:after="0"/>
              <w:rPr>
                <w:sz w:val="16"/>
                <w:szCs w:val="16"/>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w w:val="79"/>
              </w:rPr>
              <w:t>%</w:t>
            </w: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6"/>
                <w:szCs w:val="16"/>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4.40</w:t>
            </w:r>
          </w:p>
        </w:tc>
        <w:tc>
          <w:tcPr>
            <w:tcW w:w="120" w:type="dxa"/>
            <w:vAlign w:val="bottom"/>
          </w:tcPr>
          <w:p>
            <w:pPr>
              <w:spacing w:after="0"/>
              <w:rPr>
                <w:sz w:val="16"/>
                <w:szCs w:val="16"/>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55"/>
        </w:trPr>
        <w:tc>
          <w:tcPr>
            <w:tcW w:w="2680" w:type="dxa"/>
            <w:vAlign w:val="bottom"/>
            <w:shd w:val="clear" w:color="auto" w:fill="CFF0FC"/>
          </w:tcPr>
          <w:p>
            <w:pPr>
              <w:ind w:left="20"/>
              <w:spacing w:after="0" w:line="155" w:lineRule="exact"/>
              <w:rPr>
                <w:sz w:val="20"/>
                <w:szCs w:val="20"/>
                <w:color w:val="auto"/>
              </w:rPr>
            </w:pPr>
            <w:r>
              <w:rPr>
                <w:rFonts w:ascii="Arial" w:cs="Arial" w:eastAsia="Arial" w:hAnsi="Arial"/>
                <w:sz w:val="14"/>
                <w:szCs w:val="14"/>
                <w:color w:val="auto"/>
                <w:w w:val="93"/>
              </w:rPr>
              <w:t>Ratio of net increase (decrease) in net assets</w:t>
            </w:r>
          </w:p>
        </w:tc>
        <w:tc>
          <w:tcPr>
            <w:tcW w:w="560" w:type="dxa"/>
            <w:vAlign w:val="bottom"/>
            <w:shd w:val="clear" w:color="auto" w:fill="CFF0FC"/>
          </w:tcPr>
          <w:p>
            <w:pPr>
              <w:jc w:val="right"/>
              <w:ind w:right="392"/>
              <w:spacing w:after="0"/>
              <w:rPr>
                <w:sz w:val="20"/>
                <w:szCs w:val="20"/>
                <w:color w:val="auto"/>
              </w:rPr>
            </w:pPr>
            <w:r>
              <w:rPr>
                <w:rFonts w:ascii="Arial" w:cs="Arial" w:eastAsia="Arial" w:hAnsi="Arial"/>
                <w:sz w:val="10"/>
                <w:szCs w:val="10"/>
                <w:color w:val="auto"/>
                <w:w w:val="81"/>
              </w:rPr>
              <w:t>(7)</w:t>
            </w:r>
          </w:p>
        </w:tc>
        <w:tc>
          <w:tcPr>
            <w:tcW w:w="340" w:type="dxa"/>
            <w:vAlign w:val="bottom"/>
            <w:shd w:val="clear" w:color="auto" w:fill="CFF0FC"/>
          </w:tcPr>
          <w:p>
            <w:pPr>
              <w:spacing w:after="0"/>
              <w:rPr>
                <w:sz w:val="13"/>
                <w:szCs w:val="13"/>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FF0FC"/>
          </w:tcPr>
          <w:p>
            <w:pPr>
              <w:spacing w:after="0"/>
              <w:rPr>
                <w:sz w:val="13"/>
                <w:szCs w:val="13"/>
                <w:color w:val="auto"/>
              </w:rPr>
            </w:pPr>
          </w:p>
        </w:tc>
        <w:tc>
          <w:tcPr>
            <w:tcW w:w="26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w w:val="79"/>
              </w:rPr>
              <w:t>%</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7.36</w:t>
            </w:r>
          </w:p>
        </w:tc>
        <w:tc>
          <w:tcPr>
            <w:tcW w:w="120" w:type="dxa"/>
            <w:vAlign w:val="bottom"/>
            <w:shd w:val="clear" w:color="auto" w:fill="CFF0FC"/>
          </w:tcPr>
          <w:p>
            <w:pPr>
              <w:spacing w:after="0"/>
              <w:rPr>
                <w:sz w:val="13"/>
                <w:szCs w:val="13"/>
                <w:color w:val="auto"/>
              </w:rPr>
            </w:pPr>
          </w:p>
        </w:tc>
        <w:tc>
          <w:tcPr>
            <w:tcW w:w="26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color w:val="auto"/>
                <w:w w:val="79"/>
              </w:rPr>
              <w:t>%</w:t>
            </w:r>
          </w:p>
        </w:tc>
        <w:tc>
          <w:tcPr>
            <w:tcW w:w="160" w:type="dxa"/>
            <w:vAlign w:val="bottom"/>
            <w:shd w:val="clear" w:color="auto" w:fill="CFF0FC"/>
          </w:tcPr>
          <w:p>
            <w:pPr>
              <w:spacing w:after="0"/>
              <w:rPr>
                <w:sz w:val="13"/>
                <w:szCs w:val="13"/>
                <w:color w:val="auto"/>
              </w:rPr>
            </w:pPr>
          </w:p>
        </w:tc>
        <w:tc>
          <w:tcPr>
            <w:tcW w:w="320" w:type="dxa"/>
            <w:vAlign w:val="bottom"/>
            <w:shd w:val="clear" w:color="auto" w:fill="CFF0FC"/>
          </w:tcPr>
          <w:p>
            <w:pPr>
              <w:spacing w:after="0"/>
              <w:rPr>
                <w:sz w:val="13"/>
                <w:szCs w:val="13"/>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100" w:type="dxa"/>
            <w:vAlign w:val="bottom"/>
            <w:shd w:val="clear" w:color="auto" w:fill="CFF0FC"/>
          </w:tcPr>
          <w:p>
            <w:pPr>
              <w:spacing w:after="0"/>
              <w:rPr>
                <w:sz w:val="13"/>
                <w:szCs w:val="13"/>
                <w:color w:val="auto"/>
              </w:rPr>
            </w:pPr>
          </w:p>
        </w:tc>
        <w:tc>
          <w:tcPr>
            <w:tcW w:w="24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96"/>
              </w:rPr>
              <w:t>%</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7.60</w:t>
            </w:r>
          </w:p>
        </w:tc>
        <w:tc>
          <w:tcPr>
            <w:tcW w:w="120" w:type="dxa"/>
            <w:vAlign w:val="bottom"/>
            <w:shd w:val="clear" w:color="auto" w:fill="CFF0FC"/>
          </w:tcPr>
          <w:p>
            <w:pPr>
              <w:spacing w:after="0"/>
              <w:rPr>
                <w:sz w:val="13"/>
                <w:szCs w:val="13"/>
                <w:color w:val="auto"/>
              </w:rPr>
            </w:pPr>
          </w:p>
        </w:tc>
        <w:tc>
          <w:tcPr>
            <w:tcW w:w="24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69"/>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w w:val="90"/>
              </w:rPr>
              <w:t>resulting from operations to average net assets</w:t>
            </w:r>
          </w:p>
        </w:tc>
        <w:tc>
          <w:tcPr>
            <w:tcW w:w="56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2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6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8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680" w:type="dxa"/>
            <w:vAlign w:val="bottom"/>
          </w:tcPr>
          <w:p>
            <w:pPr>
              <w:ind w:left="20"/>
              <w:spacing w:after="0"/>
              <w:rPr>
                <w:sz w:val="20"/>
                <w:szCs w:val="20"/>
                <w:color w:val="auto"/>
              </w:rPr>
            </w:pPr>
            <w:r>
              <w:rPr>
                <w:rFonts w:ascii="Arial" w:cs="Arial" w:eastAsia="Arial" w:hAnsi="Arial"/>
                <w:sz w:val="14"/>
                <w:szCs w:val="14"/>
                <w:color w:val="auto"/>
              </w:rPr>
              <w:t>Portfolio turnover rate</w:t>
            </w:r>
            <w:r>
              <w:rPr>
                <w:rFonts w:ascii="Arial" w:cs="Arial" w:eastAsia="Arial" w:hAnsi="Arial"/>
                <w:sz w:val="19"/>
                <w:szCs w:val="19"/>
                <w:color w:val="auto"/>
                <w:vertAlign w:val="superscript"/>
              </w:rPr>
              <w:t>(8)</w:t>
            </w: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11.20</w:t>
            </w:r>
          </w:p>
        </w:tc>
        <w:tc>
          <w:tcPr>
            <w:tcW w:w="120" w:type="dxa"/>
            <w:vAlign w:val="bottom"/>
          </w:tcPr>
          <w:p>
            <w:pPr>
              <w:spacing w:after="0"/>
              <w:rPr>
                <w:sz w:val="21"/>
                <w:szCs w:val="21"/>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w w:val="79"/>
              </w:rPr>
              <w: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14.35</w:t>
            </w:r>
          </w:p>
        </w:tc>
        <w:tc>
          <w:tcPr>
            <w:tcW w:w="120" w:type="dxa"/>
            <w:vAlign w:val="bottom"/>
          </w:tcPr>
          <w:p>
            <w:pPr>
              <w:spacing w:after="0"/>
              <w:rPr>
                <w:sz w:val="21"/>
                <w:szCs w:val="21"/>
                <w:color w:val="auto"/>
              </w:rPr>
            </w:pPr>
          </w:p>
        </w:tc>
        <w:tc>
          <w:tcPr>
            <w:tcW w:w="260" w:type="dxa"/>
            <w:vAlign w:val="bottom"/>
          </w:tcPr>
          <w:p>
            <w:pPr>
              <w:jc w:val="right"/>
              <w:ind w:right="68"/>
              <w:spacing w:after="0"/>
              <w:rPr>
                <w:sz w:val="20"/>
                <w:szCs w:val="20"/>
                <w:color w:val="auto"/>
              </w:rPr>
            </w:pPr>
            <w:r>
              <w:rPr>
                <w:rFonts w:ascii="Arial" w:cs="Arial" w:eastAsia="Arial" w:hAnsi="Arial"/>
                <w:sz w:val="14"/>
                <w:szCs w:val="14"/>
                <w:color w:val="auto"/>
                <w:w w:val="79"/>
              </w:rPr>
              <w:t>%</w:t>
            </w: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12.92</w:t>
            </w:r>
          </w:p>
        </w:tc>
        <w:tc>
          <w:tcPr>
            <w:tcW w:w="100" w:type="dxa"/>
            <w:vAlign w:val="bottom"/>
          </w:tcPr>
          <w:p>
            <w:pPr>
              <w:spacing w:after="0"/>
              <w:rPr>
                <w:sz w:val="21"/>
                <w:szCs w:val="21"/>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1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17.19</w:t>
            </w:r>
          </w:p>
        </w:tc>
        <w:tc>
          <w:tcPr>
            <w:tcW w:w="120" w:type="dxa"/>
            <w:vAlign w:val="bottom"/>
          </w:tcPr>
          <w:p>
            <w:pPr>
              <w:spacing w:after="0"/>
              <w:rPr>
                <w:sz w:val="21"/>
                <w:szCs w:val="21"/>
                <w:color w:val="auto"/>
              </w:rPr>
            </w:pPr>
          </w:p>
        </w:tc>
        <w:tc>
          <w:tcPr>
            <w:tcW w:w="240" w:type="dxa"/>
            <w:vAlign w:val="bottom"/>
          </w:tcPr>
          <w:p>
            <w:pPr>
              <w:jc w:val="right"/>
              <w:ind w:right="28"/>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-1364615</wp:posOffset>
            </wp:positionV>
            <wp:extent cx="76835"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-1364615</wp:posOffset>
            </wp:positionV>
            <wp:extent cx="102870"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-1364615</wp:posOffset>
            </wp:positionV>
            <wp:extent cx="76835" cy="57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-1364615</wp:posOffset>
            </wp:positionV>
            <wp:extent cx="102870"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-1364615</wp:posOffset>
            </wp:positionV>
            <wp:extent cx="68580"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-1364615</wp:posOffset>
            </wp:positionV>
            <wp:extent cx="93980"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-1364615</wp:posOffset>
            </wp:positionV>
            <wp:extent cx="68580"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89535</wp:posOffset>
            </wp:positionV>
            <wp:extent cx="190309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82" w:lineRule="exact"/>
        <w:rPr>
          <w:sz w:val="20"/>
          <w:szCs w:val="20"/>
          <w:color w:val="auto"/>
        </w:rPr>
      </w:pPr>
    </w:p>
    <w:p>
      <w:pPr>
        <w:ind w:left="760" w:hanging="374"/>
        <w:spacing w:after="0"/>
        <w:tabs>
          <w:tab w:leader="none" w:pos="76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Financial highlights are based on weighted-average shares outstanding.</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79" w:lineRule="exact"/>
        <w:rPr>
          <w:sz w:val="20"/>
          <w:szCs w:val="20"/>
          <w:color w:val="auto"/>
        </w:rPr>
      </w:pPr>
    </w:p>
    <w:p>
      <w:pPr>
        <w:ind w:left="760" w:hanging="374"/>
        <w:spacing w:after="0" w:line="217" w:lineRule="auto"/>
        <w:tabs>
          <w:tab w:leader="none" w:pos="76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Total return based on net asset value is based upon the change in net asset value per share between the opening and ending net asset values per share in the period. The total returns are not annualized.</w:t>
      </w:r>
    </w:p>
    <w:p>
      <w:pPr>
        <w:spacing w:after="0" w:line="48" w:lineRule="exact"/>
        <w:rPr>
          <w:rFonts w:ascii="Arial" w:cs="Arial" w:eastAsia="Arial" w:hAnsi="Arial"/>
          <w:sz w:val="19"/>
          <w:szCs w:val="19"/>
          <w:color w:val="auto"/>
          <w:vertAlign w:val="superscript"/>
        </w:rPr>
      </w:pPr>
    </w:p>
    <w:p>
      <w:pPr>
        <w:ind w:left="760" w:hanging="374"/>
        <w:spacing w:after="0" w:line="239" w:lineRule="auto"/>
        <w:tabs>
          <w:tab w:leader="none" w:pos="760" w:val="left"/>
        </w:tabs>
        <w:numPr>
          <w:ilvl w:val="0"/>
          <w:numId w:val="24"/>
        </w:numPr>
        <w:rPr>
          <w:rFonts w:ascii="Arial" w:cs="Arial" w:eastAsia="Arial" w:hAnsi="Arial"/>
          <w:sz w:val="17"/>
          <w:szCs w:val="17"/>
          <w:color w:val="auto"/>
          <w:vertAlign w:val="superscript"/>
        </w:rPr>
      </w:pPr>
      <w:r>
        <w:rPr>
          <w:rFonts w:ascii="Arial" w:cs="Arial" w:eastAsia="Arial" w:hAnsi="Arial"/>
          <w:sz w:val="13"/>
          <w:szCs w:val="13"/>
          <w:color w:val="auto"/>
        </w:rPr>
        <w:t>Return from investment operations was 2.42% and 2.37% for the three months ended June 30, 2022 and 2021, respectively. Return from investment operations was 4.44% and 4.78% for the six months ended June 30, 2022 and 2021, respectively. Return from investment operations represents returns on net investment income (loss) from operations.</w:t>
      </w:r>
    </w:p>
    <w:p>
      <w:pPr>
        <w:spacing w:after="0" w:line="61" w:lineRule="exact"/>
        <w:rPr>
          <w:rFonts w:ascii="Arial" w:cs="Arial" w:eastAsia="Arial" w:hAnsi="Arial"/>
          <w:sz w:val="17"/>
          <w:szCs w:val="17"/>
          <w:color w:val="auto"/>
          <w:vertAlign w:val="superscript"/>
        </w:rPr>
      </w:pPr>
    </w:p>
    <w:p>
      <w:pPr>
        <w:ind w:left="760" w:hanging="374"/>
        <w:spacing w:after="0" w:line="217" w:lineRule="auto"/>
        <w:tabs>
          <w:tab w:leader="none" w:pos="76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Return from accretion was 0.07% and 0.00% for the three months ended June 30, 2022 and 2021, respectively. Return from accretion was 0.14% and 0.00% for the six months ended June 30, 2022 and 2021, respectively.</w:t>
      </w:r>
    </w:p>
    <w:p>
      <w:pPr>
        <w:spacing w:after="0" w:line="48" w:lineRule="exact"/>
        <w:rPr>
          <w:rFonts w:ascii="Arial" w:cs="Arial" w:eastAsia="Arial" w:hAnsi="Arial"/>
          <w:sz w:val="19"/>
          <w:szCs w:val="19"/>
          <w:color w:val="auto"/>
          <w:vertAlign w:val="superscript"/>
        </w:rPr>
      </w:pPr>
    </w:p>
    <w:p>
      <w:pPr>
        <w:ind w:left="760" w:hanging="374"/>
        <w:spacing w:after="0" w:line="217" w:lineRule="auto"/>
        <w:tabs>
          <w:tab w:leader="none" w:pos="76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annualized ratio of net investment income to average net assets was 11.61% and 11.22% for the three months ended June 30, 2022 and 2021, respectively. The annualized ratio of net investment income to average net assets was 9.85% and 10.45% for the six months ended June 30, 2022 and 2021, respectively.</w:t>
      </w:r>
    </w:p>
    <w:p>
      <w:pPr>
        <w:spacing w:after="0" w:line="48" w:lineRule="exact"/>
        <w:rPr>
          <w:rFonts w:ascii="Arial" w:cs="Arial" w:eastAsia="Arial" w:hAnsi="Arial"/>
          <w:sz w:val="19"/>
          <w:szCs w:val="19"/>
          <w:color w:val="auto"/>
          <w:vertAlign w:val="superscript"/>
        </w:rPr>
      </w:pPr>
    </w:p>
    <w:p>
      <w:pPr>
        <w:ind w:left="760" w:hanging="374"/>
        <w:spacing w:after="0" w:line="278" w:lineRule="auto"/>
        <w:tabs>
          <w:tab w:leader="none" w:pos="760" w:val="left"/>
        </w:tabs>
        <w:numPr>
          <w:ilvl w:val="0"/>
          <w:numId w:val="24"/>
        </w:numPr>
        <w:rPr>
          <w:rFonts w:ascii="Arial" w:cs="Arial" w:eastAsia="Arial" w:hAnsi="Arial"/>
          <w:sz w:val="16"/>
          <w:szCs w:val="16"/>
          <w:color w:val="auto"/>
          <w:vertAlign w:val="superscript"/>
        </w:rPr>
      </w:pPr>
      <w:r>
        <w:rPr>
          <w:rFonts w:ascii="Arial" w:cs="Arial" w:eastAsia="Arial" w:hAnsi="Arial"/>
          <w:sz w:val="12"/>
          <w:szCs w:val="12"/>
          <w:color w:val="auto"/>
        </w:rPr>
        <w:t>The annualized ratio of net operating expenses excluding incentive fees, to average net assets was 4.76% and 3.81% for the three months ended June 30, 2022 and 2021, respectively. The annualized ratio of net operating expenses excluding incentive fees, to average net assets was 4.18% and 3.60% for the six months ended June 30, 2022 and 2021, respectively.</w:t>
      </w:r>
    </w:p>
    <w:p>
      <w:pPr>
        <w:ind w:left="760" w:hanging="374"/>
        <w:spacing w:after="0"/>
        <w:tabs>
          <w:tab w:leader="none" w:pos="76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Incentive fees are not annualized.</w:t>
      </w:r>
    </w:p>
    <w:p>
      <w:pPr>
        <w:spacing w:after="0" w:line="59" w:lineRule="exact"/>
        <w:rPr>
          <w:rFonts w:ascii="Arial" w:cs="Arial" w:eastAsia="Arial" w:hAnsi="Arial"/>
          <w:sz w:val="19"/>
          <w:szCs w:val="19"/>
          <w:color w:val="auto"/>
          <w:vertAlign w:val="superscript"/>
        </w:rPr>
      </w:pPr>
    </w:p>
    <w:p>
      <w:pPr>
        <w:ind w:left="760" w:hanging="374"/>
        <w:spacing w:after="0" w:line="210" w:lineRule="auto"/>
        <w:tabs>
          <w:tab w:leader="none" w:pos="76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portfolio turnover rate for the three and six months ended June 30, 2022 and 2021 equals the lesser of investment portfolio purchases or sales during the period, divided by the average investment portfolio value during the period. As such, portfolio turnover rate is not annualized.</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Tax Information</w:t>
      </w:r>
    </w:p>
    <w:p>
      <w:pPr>
        <w:spacing w:after="0" w:line="216"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Federal income tax regulations differ from accounting principles generally accepted in the United States and distributions in accordance with tax regulations may differ from net investment income and realized gains recognized for financial reporting purposes. Differences may be permanent or temporary in nature. Permanent differences are reclassified among capital accounts in the financial statements to reflect their appropriate tax character. Temporary differences arise when certain items of income, expense, gain or loss are recognized at some time in the future.</w:t>
      </w:r>
    </w:p>
    <w:p>
      <w:pPr>
        <w:spacing w:after="0" w:line="17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The following table sets forth the tax cost basis and the estimated aggregate gross unrealized appreciation and depreciation from investments for federal income tax purposes as of and for the period ended June 30, 2022 and the year ended December 31, 2021:</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8"/>
              </w:rPr>
              <w:t>June 30, 2022</w:t>
            </w:r>
          </w:p>
        </w:tc>
        <w:tc>
          <w:tcPr>
            <w:tcW w:w="12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0"/>
              </w:rPr>
              <w:t>December 31, 2021</w:t>
            </w:r>
          </w:p>
        </w:tc>
      </w:tr>
      <w:tr>
        <w:trPr>
          <w:trHeight w:val="169"/>
        </w:trPr>
        <w:tc>
          <w:tcPr>
            <w:tcW w:w="8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812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Tax cost on investments</w:t>
            </w: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830,676,870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726,968,588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86"/>
        </w:trPr>
        <w:tc>
          <w:tcPr>
            <w:tcW w:w="8120" w:type="dxa"/>
            <w:vAlign w:val="bottom"/>
          </w:tcPr>
          <w:p>
            <w:pPr>
              <w:ind w:left="20"/>
              <w:spacing w:after="0"/>
              <w:rPr>
                <w:sz w:val="20"/>
                <w:szCs w:val="20"/>
                <w:color w:val="auto"/>
              </w:rPr>
            </w:pPr>
            <w:r>
              <w:rPr>
                <w:rFonts w:ascii="Arial" w:cs="Arial" w:eastAsia="Arial" w:hAnsi="Arial"/>
                <w:sz w:val="18"/>
                <w:szCs w:val="18"/>
                <w:color w:val="auto"/>
              </w:rPr>
              <w:t>Unrealized appreciation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10,846,192</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23,598,138</w:t>
            </w:r>
          </w:p>
        </w:tc>
        <w:tc>
          <w:tcPr>
            <w:tcW w:w="100" w:type="dxa"/>
            <w:vAlign w:val="bottom"/>
          </w:tcPr>
          <w:p>
            <w:pPr>
              <w:spacing w:after="0"/>
              <w:rPr>
                <w:sz w:val="24"/>
                <w:szCs w:val="24"/>
                <w:color w:val="auto"/>
              </w:rPr>
            </w:pPr>
          </w:p>
        </w:tc>
      </w:tr>
      <w:tr>
        <w:trPr>
          <w:trHeight w:val="203"/>
        </w:trPr>
        <w:tc>
          <w:tcPr>
            <w:tcW w:w="8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Unrealized depreciation</w:t>
            </w:r>
          </w:p>
        </w:tc>
        <w:tc>
          <w:tcPr>
            <w:tcW w:w="200" w:type="dxa"/>
            <w:vAlign w:val="bottom"/>
            <w:shd w:val="clear" w:color="auto" w:fill="CFF0FC"/>
          </w:tcPr>
          <w:p>
            <w:pPr>
              <w:spacing w:after="0"/>
              <w:rPr>
                <w:sz w:val="17"/>
                <w:szCs w:val="17"/>
                <w:color w:val="auto"/>
              </w:rPr>
            </w:pPr>
          </w:p>
        </w:tc>
        <w:tc>
          <w:tcPr>
            <w:tcW w:w="142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(33,794,457 )</w:t>
            </w:r>
          </w:p>
        </w:tc>
        <w:tc>
          <w:tcPr>
            <w:tcW w:w="1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(21,050,452 )</w:t>
            </w:r>
          </w:p>
        </w:tc>
      </w:tr>
      <w:tr>
        <w:trPr>
          <w:trHeight w:val="20"/>
        </w:trPr>
        <w:tc>
          <w:tcPr>
            <w:tcW w:w="8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8120" w:type="dxa"/>
            <w:vAlign w:val="bottom"/>
          </w:tcPr>
          <w:p>
            <w:pPr>
              <w:ind w:left="20"/>
              <w:spacing w:after="0" w:line="182" w:lineRule="exact"/>
              <w:rPr>
                <w:sz w:val="20"/>
                <w:szCs w:val="20"/>
                <w:color w:val="auto"/>
              </w:rPr>
            </w:pPr>
            <w:r>
              <w:rPr>
                <w:rFonts w:ascii="Arial" w:cs="Arial" w:eastAsia="Arial" w:hAnsi="Arial"/>
                <w:sz w:val="18"/>
                <w:szCs w:val="18"/>
                <w:color w:val="auto"/>
              </w:rPr>
              <w:t>Net unrealized appreciation/(depreciation) from investments</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line="182" w:lineRule="exact"/>
              <w:rPr>
                <w:sz w:val="20"/>
                <w:szCs w:val="20"/>
                <w:color w:val="auto"/>
              </w:rPr>
            </w:pPr>
            <w:r>
              <w:rPr>
                <w:rFonts w:ascii="Arial" w:cs="Arial" w:eastAsia="Arial" w:hAnsi="Arial"/>
                <w:sz w:val="18"/>
                <w:szCs w:val="18"/>
                <w:color w:val="auto"/>
              </w:rPr>
              <w:t>(22,948,265 )</w:t>
            </w: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2,547,686</w:t>
            </w:r>
          </w:p>
        </w:tc>
        <w:tc>
          <w:tcPr>
            <w:tcW w:w="100" w:type="dxa"/>
            <w:vAlign w:val="bottom"/>
          </w:tcPr>
          <w:p>
            <w:pPr>
              <w:spacing w:after="0"/>
              <w:rPr>
                <w:sz w:val="17"/>
                <w:szCs w:val="17"/>
                <w:color w:val="auto"/>
              </w:rPr>
            </w:pPr>
          </w:p>
        </w:tc>
      </w:tr>
      <w:tr>
        <w:trPr>
          <w:trHeight w:val="20"/>
        </w:trPr>
        <w:tc>
          <w:tcPr>
            <w:tcW w:w="8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-574040</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-556260</wp:posOffset>
            </wp:positionV>
            <wp:extent cx="68580"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-556260</wp:posOffset>
            </wp:positionV>
            <wp:extent cx="6858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-159385</wp:posOffset>
            </wp:positionV>
            <wp:extent cx="68580" cy="57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57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Subsequent Events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 evaluated events subsequent to June 30, 2022 through August 4, 2022.</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July 19, 2022, the Company funded an investment of $4,000,000 to Intellisite Holdings, Inc. (dba Epic IO Technologies, Inc.).</w:t>
      </w:r>
    </w:p>
    <w:p>
      <w:pPr>
        <w:spacing w:after="0" w:line="12" w:lineRule="exact"/>
        <w:rPr>
          <w:sz w:val="20"/>
          <w:szCs w:val="20"/>
          <w:color w:val="auto"/>
        </w:rPr>
      </w:pPr>
    </w:p>
    <w:p>
      <w:pPr>
        <w:jc w:val="both"/>
        <w:ind w:firstLine="1074"/>
        <w:spacing w:after="0" w:line="237" w:lineRule="auto"/>
        <w:rPr>
          <w:sz w:val="20"/>
          <w:szCs w:val="20"/>
          <w:color w:val="auto"/>
        </w:rPr>
      </w:pPr>
      <w:r>
        <w:rPr>
          <w:rFonts w:ascii="Arial" w:cs="Arial" w:eastAsia="Arial" w:hAnsi="Arial"/>
          <w:sz w:val="18"/>
          <w:szCs w:val="18"/>
          <w:color w:val="auto"/>
        </w:rPr>
        <w:t>On July 28, 2022, the Company and U.S. Bank Trust Company, National Association, as trustee (the “Trustee”), entered into the First Supplemental Indenture (the “First Supplemental Indenture”) to the Indenture, dated July 28, 2022, between the Company and the Trustee (together with the First Supplemental Indenture, the “Indenture”). The First Supplemental Indenture relates to the Company’s issuance, offer and sale of $80.5 million in aggregate principal amount of its 7.50% Notes due 2027 (the “2027 Notes”) pursuant to an underwriting agreement. Net of underwriting fees, the Company received total net cash proceeds of $78.1 million, before expenses.</w:t>
      </w:r>
    </w:p>
    <w:p>
      <w:pPr>
        <w:spacing w:after="0" w:line="177" w:lineRule="exact"/>
        <w:rPr>
          <w:sz w:val="20"/>
          <w:szCs w:val="20"/>
          <w:color w:val="auto"/>
        </w:rPr>
      </w:pPr>
    </w:p>
    <w:p>
      <w:pPr>
        <w:jc w:val="both"/>
        <w:ind w:firstLine="733"/>
        <w:spacing w:after="0" w:line="272" w:lineRule="auto"/>
        <w:rPr>
          <w:sz w:val="20"/>
          <w:szCs w:val="20"/>
          <w:color w:val="auto"/>
        </w:rPr>
      </w:pPr>
      <w:r>
        <w:rPr>
          <w:rFonts w:ascii="Arial" w:cs="Arial" w:eastAsia="Arial" w:hAnsi="Arial"/>
          <w:sz w:val="16"/>
          <w:szCs w:val="16"/>
          <w:color w:val="auto"/>
        </w:rPr>
        <w:t xml:space="preserve">The 2027 Notes will mature on July 28, 2027, unless previously redeemed or repurchased in accordance with their terms. The interest rate of the 2027 Notes is 7.50% per year and will be paid quarterly in arrears on March 1, June 1, September 1 and December 1 of each year, commencing September 1, 2022. The 2027 Notes are the Company’s direct unsecured obligations and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the Company’s existing and future unsecured, unsubordinated indebtedness, including the 2026 Senior Notes; senior to any of the Company’s future indebtedness that expressly provides it is subordinated to the 2027 Notes; effectively subordinated to all of the Company’s existing and future secured indebtedness (including indebtedness that is initially unsecured to which the Company subsequently grants security), to the extent of the value of the assets securing such indebtedness, including, without limitation, borrowings under the Company’s Credit Agreement; and structurally subordinated to all existing and future indebtedness and other obligations of any of the Company’s existing or future subsidiaries, financing vehicles or similar facilities, including the Credit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jc w:val="both"/>
        <w:ind w:firstLine="736"/>
        <w:spacing w:after="0" w:line="270" w:lineRule="auto"/>
        <w:rPr>
          <w:sz w:val="20"/>
          <w:szCs w:val="20"/>
          <w:color w:val="auto"/>
        </w:rPr>
      </w:pPr>
      <w:r>
        <w:rPr>
          <w:rFonts w:ascii="Arial" w:cs="Arial" w:eastAsia="Arial" w:hAnsi="Arial"/>
          <w:sz w:val="17"/>
          <w:szCs w:val="17"/>
          <w:color w:val="auto"/>
        </w:rPr>
        <w:t>The 2027 Notes may be redeemed in whole or in part at any time or from time to time at our option on or after July 28, 2024, upon not less than 30 days nor more than 60 days written notice by mail prior to the date fixed for redemption thereof, at a redemption price of $25 per 2027 Note plus accrued and unpaid interest payments otherwise payable for the then-current quarterly interest period accrued to the date fixed for redemption.</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On July 28, 2022, the Company declared a dividend of $0.33 per share payable on August 23, 2022 to shareholders of record as of August 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196"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On July 29, 2022, the Company's investment in FiscalNote, Inc. was refinanced resulting in $10,000,000 of the original investment being prepaid and a new investment of $65,000,000.</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16" w:lineRule="exact"/>
        <w:rPr>
          <w:sz w:val="20"/>
          <w:szCs w:val="20"/>
          <w:color w:val="auto"/>
        </w:rPr>
      </w:pPr>
    </w:p>
    <w:p>
      <w:pPr>
        <w:jc w:val="both"/>
        <w:ind w:left="20" w:firstLine="734"/>
        <w:spacing w:after="0" w:line="206" w:lineRule="exact"/>
        <w:rPr>
          <w:sz w:val="20"/>
          <w:szCs w:val="20"/>
          <w:color w:val="auto"/>
        </w:rPr>
      </w:pPr>
      <w:r>
        <w:rPr>
          <w:rFonts w:ascii="Arial" w:cs="Arial" w:eastAsia="Arial" w:hAnsi="Arial"/>
          <w:sz w:val="17"/>
          <w:szCs w:val="17"/>
          <w:color w:val="auto"/>
        </w:rPr>
        <w:t>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54" w:lineRule="exact"/>
        <w:rPr>
          <w:sz w:val="20"/>
          <w:szCs w:val="20"/>
          <w:color w:val="auto"/>
        </w:rPr>
      </w:pPr>
    </w:p>
    <w:p>
      <w:pPr>
        <w:ind w:left="760" w:hanging="378"/>
        <w:spacing w:after="0" w:line="291" w:lineRule="auto"/>
        <w:tabs>
          <w:tab w:leader="none" w:pos="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changes in political, economic or industry conditions, the interest rate environment or conditions affecting the financial and capital markets, including changes from the impact of the current COVID 19 pandemic and market volatility resulting from the Russian invasion of Ukraine;</w:t>
      </w:r>
    </w:p>
    <w:p>
      <w:pPr>
        <w:spacing w:after="0" w:line="119" w:lineRule="exact"/>
        <w:rPr>
          <w:rFonts w:ascii="Arial" w:cs="Arial" w:eastAsia="Arial" w:hAnsi="Arial"/>
          <w:sz w:val="17"/>
          <w:szCs w:val="17"/>
          <w:color w:val="auto"/>
        </w:rPr>
      </w:pPr>
    </w:p>
    <w:p>
      <w:pPr>
        <w:ind w:left="760" w:hanging="378"/>
        <w:spacing w:after="0" w:line="207" w:lineRule="exact"/>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continue to effectively manage our business due to the disruptions caused by the current COVID</w:t>
      </w:r>
      <w:r>
        <w:rPr>
          <w:rFonts w:ascii="MS PGothic" w:cs="MS PGothic" w:eastAsia="MS PGothic" w:hAnsi="MS PGothic"/>
          <w:sz w:val="18"/>
          <w:szCs w:val="18"/>
          <w:color w:val="auto"/>
        </w:rPr>
        <w:t>‑</w:t>
      </w:r>
      <w:r>
        <w:rPr>
          <w:rFonts w:ascii="Arial" w:cs="Arial" w:eastAsia="Arial" w:hAnsi="Arial"/>
          <w:sz w:val="18"/>
          <w:szCs w:val="18"/>
          <w:color w:val="auto"/>
        </w:rPr>
        <w:t>19 pandemic;</w:t>
      </w:r>
    </w:p>
    <w:p>
      <w:pPr>
        <w:spacing w:after="0" w:line="171"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30"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143" w:lineRule="exact"/>
        <w:rPr>
          <w:rFonts w:ascii="Arial" w:cs="Arial" w:eastAsia="Arial" w:hAnsi="Arial"/>
          <w:sz w:val="18"/>
          <w:szCs w:val="18"/>
          <w:color w:val="auto"/>
        </w:rPr>
      </w:pPr>
    </w:p>
    <w:p>
      <w:pPr>
        <w:ind w:left="760" w:hanging="378"/>
        <w:spacing w:after="0" w:line="216" w:lineRule="exact"/>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that could impair our lending and investment activities, including as a result of the COVID</w:t>
      </w:r>
      <w:r>
        <w:rPr>
          <w:rFonts w:ascii="MS PGothic" w:cs="MS PGothic" w:eastAsia="MS PGothic" w:hAnsi="MS PGothic"/>
          <w:sz w:val="18"/>
          <w:szCs w:val="18"/>
          <w:color w:val="auto"/>
        </w:rPr>
        <w:t>‑</w:t>
      </w:r>
      <w:r>
        <w:rPr>
          <w:rFonts w:ascii="Arial" w:cs="Arial" w:eastAsia="Arial" w:hAnsi="Arial"/>
          <w:sz w:val="18"/>
          <w:szCs w:val="18"/>
          <w:color w:val="auto"/>
        </w:rPr>
        <w:t>19 pandemic;</w:t>
      </w:r>
    </w:p>
    <w:p>
      <w:pPr>
        <w:spacing w:after="0" w:line="149"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interest rate volatility that could adversely affect our results, particularly to the extent that we use leverage as part of our investment strategy;</w:t>
      </w:r>
    </w:p>
    <w:p>
      <w:pPr>
        <w:spacing w:after="0" w:line="194" w:lineRule="exact"/>
        <w:rPr>
          <w:rFonts w:ascii="Arial" w:cs="Arial" w:eastAsia="Arial" w:hAnsi="Arial"/>
          <w:sz w:val="16"/>
          <w:szCs w:val="16"/>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impact of interest and inflation rates on our business prospects and the prospects of our portfolio companies;</w:t>
      </w:r>
    </w:p>
    <w:p>
      <w:pPr>
        <w:spacing w:after="0" w:line="184" w:lineRule="exact"/>
        <w:rPr>
          <w:rFonts w:ascii="Arial" w:cs="Arial" w:eastAsia="Arial" w:hAnsi="Arial"/>
          <w:sz w:val="18"/>
          <w:szCs w:val="18"/>
          <w:color w:val="auto"/>
        </w:rPr>
      </w:pPr>
    </w:p>
    <w:p>
      <w:pPr>
        <w:ind w:left="760" w:hanging="378"/>
        <w:spacing w:after="0" w:line="207" w:lineRule="exact"/>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future operating results, including our ability to achieve objectives as a result of the COVID</w:t>
      </w:r>
      <w:r>
        <w:rPr>
          <w:rFonts w:ascii="MS PGothic" w:cs="MS PGothic" w:eastAsia="MS PGothic" w:hAnsi="MS PGothic"/>
          <w:sz w:val="18"/>
          <w:szCs w:val="18"/>
          <w:color w:val="auto"/>
        </w:rPr>
        <w:t>‑</w:t>
      </w:r>
      <w:r>
        <w:rPr>
          <w:rFonts w:ascii="Arial" w:cs="Arial" w:eastAsia="Arial" w:hAnsi="Arial"/>
          <w:sz w:val="18"/>
          <w:szCs w:val="18"/>
          <w:color w:val="auto"/>
        </w:rPr>
        <w:t>19 pandemic;</w:t>
      </w:r>
    </w:p>
    <w:p>
      <w:pPr>
        <w:spacing w:after="0" w:line="171" w:lineRule="exact"/>
        <w:rPr>
          <w:rFonts w:ascii="Arial" w:cs="Arial" w:eastAsia="Arial" w:hAnsi="Arial"/>
          <w:sz w:val="18"/>
          <w:szCs w:val="18"/>
          <w:color w:val="auto"/>
        </w:rPr>
      </w:pPr>
    </w:p>
    <w:p>
      <w:pPr>
        <w:ind w:left="760" w:hanging="378"/>
        <w:spacing w:after="0" w:line="207" w:lineRule="exact"/>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the impact of the COVID</w:t>
      </w:r>
      <w:r>
        <w:rPr>
          <w:rFonts w:ascii="MS PGothic" w:cs="MS PGothic" w:eastAsia="MS PGothic" w:hAnsi="MS PGothic"/>
          <w:sz w:val="18"/>
          <w:szCs w:val="18"/>
          <w:color w:val="auto"/>
        </w:rPr>
        <w:t>‑</w:t>
      </w:r>
      <w:r>
        <w:rPr>
          <w:rFonts w:ascii="Arial" w:cs="Arial" w:eastAsia="Arial" w:hAnsi="Arial"/>
          <w:sz w:val="18"/>
          <w:szCs w:val="18"/>
          <w:color w:val="auto"/>
        </w:rPr>
        <w:t>19 pandemic thereon;</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84" w:lineRule="exact"/>
        <w:rPr>
          <w:rFonts w:ascii="Arial" w:cs="Arial" w:eastAsia="Arial" w:hAnsi="Arial"/>
          <w:sz w:val="18"/>
          <w:szCs w:val="18"/>
          <w:color w:val="auto"/>
        </w:rPr>
      </w:pPr>
    </w:p>
    <w:p>
      <w:pPr>
        <w:ind w:left="760" w:hanging="378"/>
        <w:spacing w:after="0" w:line="207" w:lineRule="exact"/>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 including as a result of the COVID</w:t>
      </w:r>
      <w:r>
        <w:rPr>
          <w:rFonts w:ascii="MS PGothic" w:cs="MS PGothic" w:eastAsia="MS PGothic" w:hAnsi="MS PGothic"/>
          <w:sz w:val="18"/>
          <w:szCs w:val="18"/>
          <w:color w:val="auto"/>
        </w:rPr>
        <w:t>‑</w:t>
      </w:r>
      <w:r>
        <w:rPr>
          <w:rFonts w:ascii="Arial" w:cs="Arial" w:eastAsia="Arial" w:hAnsi="Arial"/>
          <w:sz w:val="18"/>
          <w:szCs w:val="18"/>
          <w:color w:val="auto"/>
        </w:rPr>
        <w:t>19 pandemic;</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competition with other entities and our affiliates for investment opportunities;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speculative and illiquid nature of our investments;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use of borrowed money to finance a portion of our investments;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adequacy of our financing sources and working capital;</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184" w:lineRule="exact"/>
        <w:rPr>
          <w:rFonts w:ascii="Arial" w:cs="Arial" w:eastAsia="Arial" w:hAnsi="Arial"/>
          <w:sz w:val="18"/>
          <w:szCs w:val="18"/>
          <w:color w:val="auto"/>
        </w:rPr>
      </w:pPr>
    </w:p>
    <w:p>
      <w:pPr>
        <w:ind w:left="760" w:hanging="378"/>
        <w:spacing w:after="0" w:line="207" w:lineRule="exact"/>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 the impact of the COVID</w:t>
      </w:r>
      <w:r>
        <w:rPr>
          <w:rFonts w:ascii="MS PGothic" w:cs="MS PGothic" w:eastAsia="MS PGothic" w:hAnsi="MS PGothic"/>
          <w:sz w:val="18"/>
          <w:szCs w:val="18"/>
          <w:color w:val="auto"/>
        </w:rPr>
        <w:t>‑</w:t>
      </w:r>
      <w:r>
        <w:rPr>
          <w:rFonts w:ascii="Arial" w:cs="Arial" w:eastAsia="Arial" w:hAnsi="Arial"/>
          <w:sz w:val="18"/>
          <w:szCs w:val="18"/>
          <w:color w:val="auto"/>
        </w:rPr>
        <w:t>19 pandemic thereon;</w:t>
      </w:r>
    </w:p>
    <w:p>
      <w:pPr>
        <w:spacing w:after="0" w:line="171" w:lineRule="exact"/>
        <w:rPr>
          <w:rFonts w:ascii="Arial" w:cs="Arial" w:eastAsia="Arial" w:hAnsi="Arial"/>
          <w:sz w:val="18"/>
          <w:szCs w:val="18"/>
          <w:color w:val="auto"/>
        </w:rPr>
      </w:pPr>
    </w:p>
    <w:p>
      <w:pPr>
        <w:ind w:left="760" w:hanging="378"/>
        <w:spacing w:after="0" w:line="216" w:lineRule="exact"/>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our external investment adviser, Runway Growth Capital LLC (“RGC”), to locate suitable investments for us and to monitor and administer our investments and the impacts of the COVID</w:t>
      </w:r>
      <w:r>
        <w:rPr>
          <w:rFonts w:ascii="MS PGothic" w:cs="MS PGothic" w:eastAsia="MS PGothic" w:hAnsi="MS PGothic"/>
          <w:sz w:val="18"/>
          <w:szCs w:val="18"/>
          <w:color w:val="auto"/>
        </w:rPr>
        <w:t>‑</w:t>
      </w:r>
      <w:r>
        <w:rPr>
          <w:rFonts w:ascii="Arial" w:cs="Arial" w:eastAsia="Arial" w:hAnsi="Arial"/>
          <w:sz w:val="18"/>
          <w:szCs w:val="18"/>
          <w:color w:val="auto"/>
        </w:rPr>
        <w:t>19 pandemic thereon;</w:t>
      </w:r>
    </w:p>
    <w:p>
      <w:pPr>
        <w:spacing w:after="0" w:line="149"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of RGC to attract and retain highly talented professionals;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760" w:right="20" w:hanging="378"/>
        <w:spacing w:after="0" w:line="26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our qualification as a regulated investment company (“RIC”) under Subchapter M of the Internal Revenue Code of 1986, as amended (the “Code”), and as a business development company (“BDC”);</w:t>
      </w:r>
    </w:p>
    <w:p>
      <w:pPr>
        <w:spacing w:after="0" w:line="130" w:lineRule="exact"/>
        <w:rPr>
          <w:rFonts w:ascii="Arial" w:cs="Arial" w:eastAsia="Arial" w:hAnsi="Arial"/>
          <w:sz w:val="18"/>
          <w:szCs w:val="18"/>
          <w:color w:val="auto"/>
        </w:rPr>
      </w:pPr>
    </w:p>
    <w:p>
      <w:pPr>
        <w:ind w:left="760" w:hanging="378"/>
        <w:spacing w:after="0" w:line="261"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143"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171" w:lineRule="exact"/>
        <w:rPr>
          <w:rFonts w:ascii="Arial" w:cs="Arial" w:eastAsia="Arial" w:hAnsi="Arial"/>
          <w:sz w:val="18"/>
          <w:szCs w:val="18"/>
          <w:color w:val="auto"/>
        </w:rPr>
      </w:pPr>
    </w:p>
    <w:p>
      <w:pPr>
        <w:jc w:val="both"/>
        <w:ind w:left="760" w:hanging="378"/>
        <w:spacing w:after="0" w:line="248" w:lineRule="auto"/>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other risks, uncertainties and other factors we identify under “Risk Factors” in Part I, Item 1A of our annual report on Form 10-K, as modified by the annual report on Form 10-K/A for the year ended December 31, 2021, filed with the SEC on March 2, 2022 and March 14, 2022, respectively and in our other filings with the Securities and Exchange Commission (the “SEC”).</w:t>
      </w:r>
    </w:p>
    <w:p>
      <w:pPr>
        <w:spacing w:after="0" w:line="18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in Part I, Item 1A of our annual report on Form 10-K, as modified by the annual report on Form 10-K/A for the year ended December 31, 2021, filed with the SEC on March 2, 2022 and March 14, 2022, respectively.</w:t>
      </w:r>
    </w:p>
    <w:p>
      <w:pPr>
        <w:spacing w:after="0" w:line="189" w:lineRule="exact"/>
        <w:rPr>
          <w:sz w:val="20"/>
          <w:szCs w:val="20"/>
          <w:color w:val="auto"/>
        </w:rPr>
      </w:pPr>
    </w:p>
    <w:p>
      <w:pPr>
        <w:jc w:val="both"/>
        <w:ind w:firstLine="749"/>
        <w:spacing w:after="0" w:line="208" w:lineRule="exact"/>
        <w:rPr>
          <w:sz w:val="20"/>
          <w:szCs w:val="20"/>
          <w:color w:val="auto"/>
        </w:rPr>
      </w:pPr>
      <w:r>
        <w:rPr>
          <w:rFonts w:ascii="Arial" w:cs="Arial" w:eastAsia="Arial" w:hAnsi="Arial"/>
          <w:sz w:val="18"/>
          <w:szCs w:val="18"/>
          <w:color w:val="auto"/>
        </w:rPr>
        <w:t>We have based the forward-looking statements included in this Form 10</w:t>
      </w:r>
      <w:r>
        <w:rPr>
          <w:rFonts w:ascii="MS PGothic" w:cs="MS PGothic" w:eastAsia="MS PGothic" w:hAnsi="MS PGothic"/>
          <w:sz w:val="18"/>
          <w:szCs w:val="18"/>
          <w:color w:val="auto"/>
        </w:rPr>
        <w:t>‑</w:t>
      </w:r>
      <w:r>
        <w:rPr>
          <w:rFonts w:ascii="Arial" w:cs="Arial" w:eastAsia="Arial" w:hAnsi="Arial"/>
          <w:sz w:val="18"/>
          <w:szCs w:val="18"/>
          <w:color w:val="auto"/>
        </w:rPr>
        <w:t>Q on information available to us on the date of this Form 10</w:t>
      </w:r>
      <w:r>
        <w:rPr>
          <w:rFonts w:ascii="MS PGothic" w:cs="MS PGothic" w:eastAsia="MS PGothic" w:hAnsi="MS PGothic"/>
          <w:sz w:val="18"/>
          <w:szCs w:val="18"/>
          <w:color w:val="auto"/>
        </w:rPr>
        <w:t>‑</w:t>
      </w:r>
      <w:r>
        <w:rPr>
          <w:rFonts w:ascii="Arial" w:cs="Arial" w:eastAsia="Arial" w:hAnsi="Arial"/>
          <w:sz w:val="18"/>
          <w:szCs w:val="18"/>
          <w:color w:val="auto"/>
        </w:rPr>
        <w:t>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w:t>
      </w:r>
      <w:r>
        <w:rPr>
          <w:rFonts w:ascii="MS PGothic" w:cs="MS PGothic" w:eastAsia="MS PGothic" w:hAnsi="MS PGothic"/>
          <w:sz w:val="18"/>
          <w:szCs w:val="18"/>
          <w:color w:val="auto"/>
        </w:rPr>
        <w:t>‑</w:t>
      </w:r>
      <w:r>
        <w:rPr>
          <w:rFonts w:ascii="Arial" w:cs="Arial" w:eastAsia="Arial" w:hAnsi="Arial"/>
          <w:sz w:val="18"/>
          <w:szCs w:val="18"/>
          <w:color w:val="auto"/>
        </w:rPr>
        <w:t>K, quarterly reports on Form 10</w:t>
      </w:r>
      <w:r>
        <w:rPr>
          <w:rFonts w:ascii="MS PGothic" w:cs="MS PGothic" w:eastAsia="MS PGothic" w:hAnsi="MS PGothic"/>
          <w:sz w:val="18"/>
          <w:szCs w:val="18"/>
          <w:color w:val="auto"/>
        </w:rPr>
        <w:t>‑</w:t>
      </w:r>
      <w:r>
        <w:rPr>
          <w:rFonts w:ascii="Arial" w:cs="Arial" w:eastAsia="Arial" w:hAnsi="Arial"/>
          <w:sz w:val="18"/>
          <w:szCs w:val="18"/>
          <w:color w:val="auto"/>
        </w:rPr>
        <w:t>Q and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89" w:lineRule="exact"/>
        <w:rPr>
          <w:sz w:val="20"/>
          <w:szCs w:val="20"/>
          <w:color w:val="auto"/>
        </w:rPr>
      </w:pPr>
    </w:p>
    <w:p>
      <w:pPr>
        <w:jc w:val="both"/>
        <w:ind w:firstLine="749"/>
        <w:spacing w:after="0" w:line="216" w:lineRule="exact"/>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6"/>
          <w:szCs w:val="16"/>
          <w:color w:val="auto"/>
        </w:rPr>
        <w:t>We are an externally managed, non-diversified closed-end investment management company that was formed on August 31, 2015 as a corporation under the laws of the State of Maryland. On August 18, 2021, we changed our name to “Runway Growth Finance Corp.” from “Runway Growth Credit Fund Inc.” We have elected to be regulated as a BDC under the 1940 Act. In addition, we have elected to be treated, have qualified, and intend to continue to qualify annually as a RIC under Subchapter M of the Code. If we fail to qualify as a RIC for any taxable year, we will be subject to corporate-level U.S. federal income tax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163" w:lineRule="exact"/>
        <w:rPr>
          <w:sz w:val="20"/>
          <w:szCs w:val="20"/>
          <w:color w:val="auto"/>
        </w:rPr>
      </w:pPr>
    </w:p>
    <w:p>
      <w:pPr>
        <w:jc w:val="both"/>
        <w:ind w:firstLine="749"/>
        <w:spacing w:after="0" w:line="205" w:lineRule="exact"/>
        <w:rPr>
          <w:sz w:val="20"/>
          <w:szCs w:val="20"/>
          <w:color w:val="auto"/>
        </w:rPr>
      </w:pPr>
      <w:r>
        <w:rPr>
          <w:rFonts w:ascii="Arial" w:cs="Arial" w:eastAsia="Arial" w:hAnsi="Arial"/>
          <w:sz w:val="16"/>
          <w:szCs w:val="16"/>
          <w:color w:val="auto"/>
        </w:rPr>
        <w:t>We are an “emerging growth company,” as defined in the Jumpstart Our Business Startups Act of 2012 (the “JOBS Act”). We will remain an emerging growth company until the last day of our fiscal year following the fifth anniversary of our IPO on October 25, 2021, or until the earliest of (i) the last day of the first fiscal year in which we have total annual gross revenue of $1,070,000,000 or more, (ii) December 31 of the fiscal year in which we become a “large accelerated filer” as defined in Rule 12b</w:t>
      </w:r>
      <w:r>
        <w:rPr>
          <w:rFonts w:ascii="MS PGothic" w:cs="MS PGothic" w:eastAsia="MS PGothic" w:hAnsi="MS PGothic"/>
          <w:sz w:val="16"/>
          <w:szCs w:val="16"/>
          <w:color w:val="auto"/>
        </w:rPr>
        <w:t>‑</w:t>
      </w:r>
      <w:r>
        <w:rPr>
          <w:rFonts w:ascii="Arial" w:cs="Arial" w:eastAsia="Arial" w:hAnsi="Arial"/>
          <w:sz w:val="16"/>
          <w:szCs w:val="16"/>
          <w:color w:val="auto"/>
        </w:rPr>
        <w:t>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w:t>
      </w:r>
    </w:p>
    <w:p>
      <w:pPr>
        <w:spacing w:after="0" w:line="3" w:lineRule="exact"/>
        <w:rPr>
          <w:sz w:val="20"/>
          <w:szCs w:val="20"/>
          <w:color w:val="auto"/>
        </w:rPr>
      </w:pPr>
    </w:p>
    <w:p>
      <w:pPr>
        <w:ind w:firstLine="8"/>
        <w:spacing w:after="0" w:line="243" w:lineRule="auto"/>
        <w:tabs>
          <w:tab w:leader="none" w:pos="32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86" w:lineRule="exact"/>
        <w:rPr>
          <w:sz w:val="20"/>
          <w:szCs w:val="20"/>
          <w:color w:val="auto"/>
        </w:rPr>
      </w:pPr>
    </w:p>
    <w:p>
      <w:pPr>
        <w:jc w:val="both"/>
        <w:ind w:firstLine="749"/>
        <w:spacing w:after="0" w:line="291" w:lineRule="auto"/>
        <w:rPr>
          <w:sz w:val="20"/>
          <w:szCs w:val="20"/>
          <w:color w:val="auto"/>
        </w:rPr>
      </w:pPr>
      <w:r>
        <w:rPr>
          <w:rFonts w:ascii="Arial" w:cs="Arial" w:eastAsia="Arial" w:hAnsi="Arial"/>
          <w:sz w:val="17"/>
          <w:szCs w:val="17"/>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pacing w:after="0" w:line="14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In October 2015, in connection with our formation, we issued and sold 1,667 shares of common stock to R. David Spreng, our President, Chief Executive Officer and Chairman of our Board of Directors, for an aggregate purchase price of $25,000. The sale of shares of common stock was approved by the unanimous consent of the sole director at the time. On December 1, 2017, we completed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Initial Private Offering, in which we issued 18,241,157 shares of our common stock to stockholders for a total purchase price of $275,000,000 in reliance on exemptions from the registration requirements of the Securities Act, and other applicable securities laws.</w:t>
      </w:r>
    </w:p>
    <w:p>
      <w:pPr>
        <w:spacing w:after="0" w:line="17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As of June 30, 2022, we had completed multiple closings under our second private offering (the “Second Private Offering”) and had accepted aggregate capital commitments of $181,673,500. As of June 30, 2022, in connection with the Second Private Offering we have issued 9,617,379 shares of our common stock for a total purchase price of $144,260,683. Concurrent with the IPO, all undrawn commitments under the Second Private Offering were cancelled.</w:t>
      </w:r>
    </w:p>
    <w:p>
      <w:pPr>
        <w:spacing w:after="0" w:line="18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On October 25, 2021, we closed our IPO, issuing 6,850,000 shares of our common stock at a public offering price of $14.60 per share. Net of underwriting fees and offering costs, we received net cash proceeds of $93.0 million. Our common stock began trading on the Nasdaq Global Select Market under the symbol “RWAY” on October 21, 2021.</w:t>
      </w:r>
    </w:p>
    <w:p>
      <w:pPr>
        <w:spacing w:after="0" w:line="18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As of June 30, 2022, we have issued 22,564 shares as an additional direct investment by Runway Growth Holdings LLC, an affiliate of RGC, for a total purchase price of $338,453. As of June 30, 2022, we have issued an additional 6,647,847 shares as part of our dividend reinvestment plan. Refer to Note 6 for further detail.</w:t>
      </w:r>
    </w:p>
    <w:p>
      <w:pPr>
        <w:spacing w:after="0" w:line="18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7"/>
          <w:szCs w:val="17"/>
          <w:color w:val="auto"/>
        </w:rPr>
        <w:t>On August 10, 2020, we, RGC, and certain other funds and accounts sponsored or managed by RGC and/or its affiliates were granted an order (the “Order”) that permits us greater flexibility than the 1940 Act permits to negotiate the terms of co-investments if the Board determines that it would be advantageous for us to co-invest with other accounts sponsored or managed by RGC or its affiliates in a manner consistent with our investment objective or criteria, positions, policies, strategies and restrictions as well as regulatory requirements and other pertinent factors. We believe that the ability to co-invest with similar investment structures and accounts sponsored or managed by RGC or its affiliates will provide additional investment opportunities and the ability to achieve greater diversification. Under the terms of the Order, a majority of our independent directors are required to make certain determinations in connection with a co-investment transaction, including that (1) the terms of the proposed transaction are reasonable and fair to us and our stockholders and do not involve overreaching of us or our stockholders on the part of any person concerned and (2) the transaction is consistent with the interests of our stockholders and is consistent with our investment objective, criteria, positions, policies, strategies and restrictions as well as regulatory requirements and other pertinent factors.</w:t>
      </w:r>
    </w:p>
    <w:p>
      <w:pPr>
        <w:spacing w:after="0" w:line="180"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On June 15, 2022, we filed an amendment to our existing Order to permit us to, subject to the satisfaction of certain conditions, co-invest in our existing portfolio companies with certain affiliates that are private funds even if such other funds had not previously invested in such existing portfolio company. Without this order, such affiliated funds that are private funds would not be able to participate in such co-investments with us unless the affiliated funds had previously acquired securities of the portfolio company in a co-investment transaction with us.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Composition</w:t>
      </w:r>
    </w:p>
    <w:p>
      <w:pPr>
        <w:spacing w:after="0" w:line="21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At June 30, 2022, we had investments in 43 portfolio companies, representing 23 companies in which we held loan and warrant investments, one company in which we held loan investments and shares of common, preferred stock, or a combination with warrants, three companies in which we held a loan investment only, ten companies in which we held warrant investments only, and six companies in which we held shares of common or preferred stock only, or a combination with warrants. At December 31, 2021, we had investments in 39 portfolio companies, representing 20 companies where we held loan and warrant investments, 12 companies where we held warrant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interests only, and we held one U.S. Treasury Bill. The following table shows the fair value of our investments, by asset class, as of June 30, 2022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2021:</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June 30, 2022 (Unaudited)</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w w:val="95"/>
              </w:rPr>
              <w:t>December 31, 2021</w:t>
            </w: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r>
      <w:tr>
        <w:trPr>
          <w:trHeight w:val="160"/>
        </w:trPr>
        <w:tc>
          <w:tcPr>
            <w:tcW w:w="1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left="168"/>
              <w:spacing w:after="0" w:line="160" w:lineRule="exact"/>
              <w:rPr>
                <w:sz w:val="20"/>
                <w:szCs w:val="20"/>
                <w:color w:val="auto"/>
              </w:rPr>
            </w:pPr>
            <w:r>
              <w:rPr>
                <w:rFonts w:ascii="Arial" w:cs="Arial" w:eastAsia="Arial" w:hAnsi="Arial"/>
                <w:sz w:val="14"/>
                <w:szCs w:val="14"/>
                <w:b w:val="1"/>
                <w:bCs w:val="1"/>
                <w:color w:val="auto"/>
                <w:w w:val="90"/>
              </w:rPr>
              <w:t>Percentage</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left="148"/>
              <w:spacing w:after="0" w:line="160" w:lineRule="exact"/>
              <w:rPr>
                <w:sz w:val="20"/>
                <w:szCs w:val="20"/>
                <w:color w:val="auto"/>
              </w:rPr>
            </w:pPr>
            <w:r>
              <w:rPr>
                <w:rFonts w:ascii="Arial" w:cs="Arial" w:eastAsia="Arial" w:hAnsi="Arial"/>
                <w:sz w:val="14"/>
                <w:szCs w:val="14"/>
                <w:b w:val="1"/>
                <w:bCs w:val="1"/>
                <w:color w:val="auto"/>
                <w:w w:val="90"/>
              </w:rPr>
              <w:t>Percentage</w:t>
            </w:r>
          </w:p>
        </w:tc>
        <w:tc>
          <w:tcPr>
            <w:tcW w:w="220" w:type="dxa"/>
            <w:vAlign w:val="bottom"/>
          </w:tcPr>
          <w:p>
            <w:pPr>
              <w:spacing w:after="0"/>
              <w:rPr>
                <w:sz w:val="13"/>
                <w:szCs w:val="13"/>
                <w:color w:val="auto"/>
              </w:rPr>
            </w:pPr>
          </w:p>
        </w:tc>
      </w:tr>
      <w:tr>
        <w:trPr>
          <w:trHeight w:val="175"/>
        </w:trPr>
        <w:tc>
          <w:tcPr>
            <w:tcW w:w="1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center"/>
              <w:ind w:left="148"/>
              <w:spacing w:after="0"/>
              <w:rPr>
                <w:sz w:val="20"/>
                <w:szCs w:val="20"/>
                <w:color w:val="auto"/>
              </w:rPr>
            </w:pPr>
            <w:r>
              <w:rPr>
                <w:rFonts w:ascii="Arial" w:cs="Arial" w:eastAsia="Arial" w:hAnsi="Arial"/>
                <w:sz w:val="14"/>
                <w:szCs w:val="14"/>
                <w:b w:val="1"/>
                <w:bCs w:val="1"/>
                <w:color w:val="auto"/>
                <w:w w:val="90"/>
              </w:rPr>
              <w:t>of Total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center"/>
              <w:ind w:left="148"/>
              <w:spacing w:after="0"/>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5"/>
                <w:szCs w:val="15"/>
                <w:color w:val="auto"/>
              </w:rPr>
            </w:pPr>
          </w:p>
        </w:tc>
      </w:tr>
      <w:tr>
        <w:trPr>
          <w:trHeight w:val="185"/>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Investments</w:t>
            </w:r>
          </w:p>
        </w:tc>
        <w:tc>
          <w:tcPr>
            <w:tcW w:w="300" w:type="dxa"/>
            <w:vAlign w:val="bottom"/>
          </w:tcPr>
          <w:p>
            <w:pPr>
              <w:spacing w:after="0"/>
              <w:rPr>
                <w:sz w:val="16"/>
                <w:szCs w:val="16"/>
                <w:color w:val="auto"/>
              </w:rPr>
            </w:pPr>
          </w:p>
        </w:tc>
        <w:tc>
          <w:tcPr>
            <w:tcW w:w="1080" w:type="dxa"/>
            <w:vAlign w:val="bottom"/>
          </w:tcPr>
          <w:p>
            <w:pPr>
              <w:jc w:val="right"/>
              <w:ind w:right="508"/>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040" w:type="dxa"/>
            <w:vAlign w:val="bottom"/>
          </w:tcPr>
          <w:p>
            <w:pPr>
              <w:jc w:val="center"/>
              <w:ind w:left="148"/>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ind w:right="628"/>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448"/>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020" w:type="dxa"/>
            <w:vAlign w:val="bottom"/>
          </w:tcPr>
          <w:p>
            <w:pPr>
              <w:jc w:val="center"/>
              <w:ind w:left="148"/>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6"/>
                <w:szCs w:val="16"/>
                <w:color w:val="auto"/>
              </w:rPr>
            </w:pPr>
          </w:p>
        </w:tc>
      </w:tr>
      <w:tr>
        <w:trPr>
          <w:trHeight w:val="169"/>
        </w:trPr>
        <w:tc>
          <w:tcPr>
            <w:tcW w:w="170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180" w:type="dxa"/>
            <w:vAlign w:val="bottom"/>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spacing w:after="0"/>
              <w:rPr>
                <w:sz w:val="14"/>
                <w:szCs w:val="14"/>
                <w:color w:val="auto"/>
              </w:rPr>
            </w:pPr>
          </w:p>
        </w:tc>
        <w:tc>
          <w:tcPr>
            <w:tcW w:w="6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1320" w:type="dxa"/>
            <w:vAlign w:val="bottom"/>
            <w:tcBorders>
              <w:top w:val="single" w:sz="8" w:color="auto"/>
            </w:tcBorders>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r>
      <w:tr>
        <w:trPr>
          <w:trHeight w:val="175"/>
        </w:trPr>
        <w:tc>
          <w:tcPr>
            <w:tcW w:w="1880" w:type="dxa"/>
            <w:vAlign w:val="bottom"/>
            <w:gridSpan w:val="2"/>
          </w:tcPr>
          <w:p>
            <w:pPr>
              <w:ind w:left="120"/>
              <w:spacing w:after="0"/>
              <w:rPr>
                <w:sz w:val="20"/>
                <w:szCs w:val="20"/>
                <w:color w:val="auto"/>
              </w:rPr>
            </w:pPr>
            <w:r>
              <w:rPr>
                <w:rFonts w:ascii="Arial" w:cs="Arial" w:eastAsia="Arial" w:hAnsi="Arial"/>
                <w:sz w:val="14"/>
                <w:szCs w:val="14"/>
                <w:color w:val="auto"/>
              </w:rPr>
              <w:t>Common Stocks</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8,638,118</w:t>
            </w:r>
          </w:p>
        </w:tc>
        <w:tc>
          <w:tcPr>
            <w:tcW w:w="440" w:type="dxa"/>
            <w:vAlign w:val="bottom"/>
            <w:gridSpan w:val="3"/>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2,896,017</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0.4</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4,709,744</w:t>
            </w:r>
          </w:p>
        </w:tc>
        <w:tc>
          <w:tcPr>
            <w:tcW w:w="40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11,463,865</w:t>
            </w:r>
          </w:p>
        </w:tc>
        <w:tc>
          <w:tcPr>
            <w:tcW w:w="1180" w:type="dxa"/>
            <w:vAlign w:val="bottom"/>
            <w:gridSpan w:val="2"/>
          </w:tcPr>
          <w:p>
            <w:pPr>
              <w:jc w:val="right"/>
              <w:ind w:right="8"/>
              <w:spacing w:after="0"/>
              <w:rPr>
                <w:sz w:val="20"/>
                <w:szCs w:val="20"/>
                <w:color w:val="auto"/>
              </w:rPr>
            </w:pPr>
            <w:r>
              <w:rPr>
                <w:rFonts w:ascii="Arial" w:cs="Arial" w:eastAsia="Arial" w:hAnsi="Arial"/>
                <w:sz w:val="14"/>
                <w:szCs w:val="14"/>
                <w:color w:val="auto"/>
              </w:rPr>
              <w:t>1.6</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3"/>
        </w:trPr>
        <w:tc>
          <w:tcPr>
            <w:tcW w:w="1880" w:type="dxa"/>
            <w:vAlign w:val="bottom"/>
            <w:gridSpan w:val="2"/>
            <w:shd w:val="clear" w:color="auto" w:fill="CFF0FC"/>
          </w:tcPr>
          <w:p>
            <w:pPr>
              <w:ind w:left="120"/>
              <w:spacing w:after="0" w:line="143" w:lineRule="exact"/>
              <w:rPr>
                <w:sz w:val="20"/>
                <w:szCs w:val="20"/>
                <w:color w:val="auto"/>
              </w:rPr>
            </w:pPr>
            <w:r>
              <w:rPr>
                <w:rFonts w:ascii="Arial" w:cs="Arial" w:eastAsia="Arial" w:hAnsi="Arial"/>
                <w:sz w:val="14"/>
                <w:szCs w:val="14"/>
                <w:color w:val="auto"/>
              </w:rPr>
              <w:t>Senior Secured Term</w:t>
            </w:r>
          </w:p>
        </w:tc>
        <w:tc>
          <w:tcPr>
            <w:tcW w:w="3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r>
      <w:tr>
        <w:trPr>
          <w:trHeight w:val="181"/>
        </w:trPr>
        <w:tc>
          <w:tcPr>
            <w:tcW w:w="18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Loans</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776,608,559</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758,996,569</w:t>
            </w:r>
          </w:p>
        </w:tc>
        <w:tc>
          <w:tcPr>
            <w:tcW w:w="12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94.0</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629,009,432</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623,053,646</w:t>
            </w:r>
          </w:p>
        </w:tc>
        <w:tc>
          <w:tcPr>
            <w:tcW w:w="11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85.4</w:t>
            </w:r>
          </w:p>
        </w:tc>
        <w:tc>
          <w:tcPr>
            <w:tcW w:w="220" w:type="dxa"/>
            <w:vAlign w:val="bottom"/>
            <w:shd w:val="clear" w:color="auto" w:fill="CFF0FC"/>
          </w:tcPr>
          <w:p>
            <w:pPr>
              <w:spacing w:after="0"/>
              <w:rPr>
                <w:sz w:val="15"/>
                <w:szCs w:val="15"/>
                <w:color w:val="auto"/>
              </w:rPr>
            </w:pPr>
          </w:p>
        </w:tc>
      </w:tr>
      <w:tr>
        <w:trPr>
          <w:trHeight w:val="175"/>
        </w:trPr>
        <w:tc>
          <w:tcPr>
            <w:tcW w:w="1880" w:type="dxa"/>
            <w:vAlign w:val="bottom"/>
            <w:gridSpan w:val="2"/>
          </w:tcPr>
          <w:p>
            <w:pPr>
              <w:ind w:left="120"/>
              <w:spacing w:after="0"/>
              <w:rPr>
                <w:sz w:val="20"/>
                <w:szCs w:val="20"/>
                <w:color w:val="auto"/>
              </w:rPr>
            </w:pPr>
            <w:r>
              <w:rPr>
                <w:rFonts w:ascii="Arial" w:cs="Arial" w:eastAsia="Arial" w:hAnsi="Arial"/>
                <w:sz w:val="14"/>
                <w:szCs w:val="14"/>
                <w:color w:val="auto"/>
              </w:rPr>
              <w:t>Second Lien Term Loans</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13,247,638</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13,247,638</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1.6</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12,872,588</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12,872,588</w:t>
            </w:r>
          </w:p>
        </w:tc>
        <w:tc>
          <w:tcPr>
            <w:tcW w:w="1180" w:type="dxa"/>
            <w:vAlign w:val="bottom"/>
            <w:gridSpan w:val="2"/>
          </w:tcPr>
          <w:p>
            <w:pPr>
              <w:jc w:val="right"/>
              <w:ind w:right="8"/>
              <w:spacing w:after="0"/>
              <w:rPr>
                <w:sz w:val="20"/>
                <w:szCs w:val="20"/>
                <w:color w:val="auto"/>
              </w:rPr>
            </w:pPr>
            <w:r>
              <w:rPr>
                <w:rFonts w:ascii="Arial" w:cs="Arial" w:eastAsia="Arial" w:hAnsi="Arial"/>
                <w:sz w:val="14"/>
                <w:szCs w:val="14"/>
                <w:color w:val="auto"/>
              </w:rPr>
              <w:t>1.8</w:t>
            </w:r>
          </w:p>
        </w:tc>
        <w:tc>
          <w:tcPr>
            <w:tcW w:w="220" w:type="dxa"/>
            <w:vAlign w:val="bottom"/>
          </w:tcPr>
          <w:p>
            <w:pPr>
              <w:spacing w:after="0"/>
              <w:rPr>
                <w:sz w:val="15"/>
                <w:szCs w:val="15"/>
                <w:color w:val="auto"/>
              </w:rPr>
            </w:pPr>
          </w:p>
        </w:tc>
      </w:tr>
      <w:tr>
        <w:trPr>
          <w:trHeight w:val="176"/>
        </w:trPr>
        <w:tc>
          <w:tcPr>
            <w:tcW w:w="1880" w:type="dxa"/>
            <w:vAlign w:val="bottom"/>
            <w:gridSpan w:val="2"/>
            <w:shd w:val="clear" w:color="auto" w:fill="CFF0FC"/>
          </w:tcPr>
          <w:p>
            <w:pPr>
              <w:ind w:left="120"/>
              <w:spacing w:after="0"/>
              <w:rPr>
                <w:sz w:val="20"/>
                <w:szCs w:val="20"/>
                <w:color w:val="auto"/>
              </w:rPr>
            </w:pPr>
            <w:r>
              <w:rPr>
                <w:rFonts w:ascii="Arial" w:cs="Arial" w:eastAsia="Arial" w:hAnsi="Arial"/>
                <w:sz w:val="14"/>
                <w:szCs w:val="14"/>
                <w:color w:val="auto"/>
              </w:rPr>
              <w:t>Preferred Stocks</w:t>
            </w:r>
          </w:p>
        </w:tc>
        <w:tc>
          <w:tcPr>
            <w:tcW w:w="30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14,381,866</w:t>
            </w:r>
          </w:p>
        </w:tc>
        <w:tc>
          <w:tcPr>
            <w:tcW w:w="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12,639,561</w:t>
            </w:r>
          </w:p>
        </w:tc>
        <w:tc>
          <w:tcPr>
            <w:tcW w:w="122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2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17,337,836</w:t>
            </w:r>
          </w:p>
        </w:tc>
        <w:tc>
          <w:tcPr>
            <w:tcW w:w="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3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17,037,125</w:t>
            </w:r>
          </w:p>
        </w:tc>
        <w:tc>
          <w:tcPr>
            <w:tcW w:w="11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2.3</w:t>
            </w:r>
          </w:p>
        </w:tc>
        <w:tc>
          <w:tcPr>
            <w:tcW w:w="220" w:type="dxa"/>
            <w:vAlign w:val="bottom"/>
            <w:shd w:val="clear" w:color="auto" w:fill="CFF0FC"/>
          </w:tcPr>
          <w:p>
            <w:pPr>
              <w:spacing w:after="0"/>
              <w:rPr>
                <w:sz w:val="15"/>
                <w:szCs w:val="15"/>
                <w:color w:val="auto"/>
              </w:rPr>
            </w:pPr>
          </w:p>
        </w:tc>
      </w:tr>
      <w:tr>
        <w:trPr>
          <w:trHeight w:val="176"/>
        </w:trPr>
        <w:tc>
          <w:tcPr>
            <w:tcW w:w="1880" w:type="dxa"/>
            <w:vAlign w:val="bottom"/>
            <w:gridSpan w:val="2"/>
          </w:tcPr>
          <w:p>
            <w:pPr>
              <w:ind w:left="120"/>
              <w:spacing w:after="0"/>
              <w:rPr>
                <w:sz w:val="20"/>
                <w:szCs w:val="20"/>
                <w:color w:val="auto"/>
              </w:rPr>
            </w:pPr>
            <w:r>
              <w:rPr>
                <w:rFonts w:ascii="Arial" w:cs="Arial" w:eastAsia="Arial" w:hAnsi="Arial"/>
                <w:sz w:val="14"/>
                <w:szCs w:val="14"/>
                <w:color w:val="auto"/>
              </w:rPr>
              <w:t>Warrants</w:t>
            </w:r>
          </w:p>
        </w:tc>
        <w:tc>
          <w:tcPr>
            <w:tcW w:w="30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18,095,314</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19,948,819</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2.5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18,393,141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20,087,550</w:t>
            </w:r>
          </w:p>
        </w:tc>
        <w:tc>
          <w:tcPr>
            <w:tcW w:w="1180" w:type="dxa"/>
            <w:vAlign w:val="bottom"/>
            <w:gridSpan w:val="2"/>
          </w:tcPr>
          <w:p>
            <w:pPr>
              <w:jc w:val="right"/>
              <w:ind w:right="8"/>
              <w:spacing w:after="0"/>
              <w:rPr>
                <w:sz w:val="20"/>
                <w:szCs w:val="20"/>
                <w:color w:val="auto"/>
              </w:rPr>
            </w:pPr>
            <w:r>
              <w:rPr>
                <w:rFonts w:ascii="Arial" w:cs="Arial" w:eastAsia="Arial" w:hAnsi="Arial"/>
                <w:sz w:val="14"/>
                <w:szCs w:val="14"/>
                <w:color w:val="auto"/>
              </w:rPr>
              <w:t>2.7</w:t>
            </w:r>
          </w:p>
        </w:tc>
        <w:tc>
          <w:tcPr>
            <w:tcW w:w="220" w:type="dxa"/>
            <w:vAlign w:val="bottom"/>
          </w:tcPr>
          <w:p>
            <w:pPr>
              <w:spacing w:after="0"/>
              <w:rPr>
                <w:sz w:val="15"/>
                <w:szCs w:val="15"/>
                <w:color w:val="auto"/>
              </w:rPr>
            </w:pPr>
          </w:p>
        </w:tc>
      </w:tr>
      <w:tr>
        <w:trPr>
          <w:trHeight w:val="169"/>
        </w:trPr>
        <w:tc>
          <w:tcPr>
            <w:tcW w:w="18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Total Portfolio Investments</w:t>
            </w:r>
          </w:p>
        </w:tc>
        <w:tc>
          <w:tcPr>
            <w:tcW w:w="300" w:type="dxa"/>
            <w:vAlign w:val="bottom"/>
            <w:tcBorders>
              <w:top w:val="single" w:sz="8" w:color="auto"/>
              <w:bottom w:val="single" w:sz="8" w:color="auto"/>
            </w:tcBorders>
            <w:shd w:val="clear" w:color="auto" w:fill="CFF0FC"/>
          </w:tcPr>
          <w:p>
            <w:pPr>
              <w:spacing w:after="0"/>
              <w:rPr>
                <w:sz w:val="14"/>
                <w:szCs w:val="14"/>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830,971,495</w:t>
            </w:r>
          </w:p>
        </w:tc>
        <w:tc>
          <w:tcPr>
            <w:tcW w:w="60" w:type="dxa"/>
            <w:vAlign w:val="bottom"/>
            <w:tcBorders>
              <w:top w:val="single" w:sz="8" w:color="auto"/>
              <w:bottom w:val="single" w:sz="8" w:color="auto"/>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12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807,728,604</w:t>
            </w:r>
          </w:p>
        </w:tc>
        <w:tc>
          <w:tcPr>
            <w:tcW w:w="180" w:type="dxa"/>
            <w:vAlign w:val="bottom"/>
            <w:tcBorders>
              <w:bottom w:val="single" w:sz="8" w:color="CFF0FC"/>
            </w:tcBorders>
            <w:shd w:val="clear" w:color="auto" w:fill="CFF0FC"/>
          </w:tcPr>
          <w:p>
            <w:pPr>
              <w:spacing w:after="0"/>
              <w:rPr>
                <w:sz w:val="14"/>
                <w:szCs w:val="14"/>
                <w:color w:val="auto"/>
              </w:rPr>
            </w:pPr>
          </w:p>
        </w:tc>
        <w:tc>
          <w:tcPr>
            <w:tcW w:w="104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100.0</w:t>
            </w: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top w:val="single" w:sz="8" w:color="auto"/>
              <w:bottom w:val="single" w:sz="8" w:color="auto"/>
            </w:tcBorders>
            <w:shd w:val="clear" w:color="auto" w:fill="CFF0FC"/>
          </w:tcPr>
          <w:p>
            <w:pPr>
              <w:spacing w:after="0"/>
              <w:rPr>
                <w:sz w:val="14"/>
                <w:szCs w:val="14"/>
                <w:color w:val="auto"/>
              </w:rPr>
            </w:pPr>
          </w:p>
        </w:tc>
        <w:tc>
          <w:tcPr>
            <w:tcW w:w="124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682,322,741</w:t>
            </w:r>
          </w:p>
        </w:tc>
        <w:tc>
          <w:tcPr>
            <w:tcW w:w="1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32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684,514,774</w:t>
            </w:r>
          </w:p>
        </w:tc>
        <w:tc>
          <w:tcPr>
            <w:tcW w:w="160" w:type="dxa"/>
            <w:vAlign w:val="bottom"/>
            <w:tcBorders>
              <w:bottom w:val="single" w:sz="8" w:color="CFF0FC"/>
            </w:tcBorders>
            <w:shd w:val="clear" w:color="auto" w:fill="CFF0FC"/>
          </w:tcPr>
          <w:p>
            <w:pPr>
              <w:spacing w:after="0"/>
              <w:rPr>
                <w:sz w:val="14"/>
                <w:szCs w:val="14"/>
                <w:color w:val="auto"/>
              </w:rPr>
            </w:pPr>
          </w:p>
        </w:tc>
        <w:tc>
          <w:tcPr>
            <w:tcW w:w="10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93.8</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r>
      <w:tr>
        <w:trPr>
          <w:trHeight w:val="345"/>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U.S. Treasury Bill</w:t>
            </w:r>
          </w:p>
        </w:tc>
        <w:tc>
          <w:tcPr>
            <w:tcW w:w="3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45,001,250</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45,001,500</w:t>
            </w:r>
          </w:p>
        </w:tc>
        <w:tc>
          <w:tcPr>
            <w:tcW w:w="1180" w:type="dxa"/>
            <w:vAlign w:val="bottom"/>
            <w:gridSpan w:val="2"/>
          </w:tcPr>
          <w:p>
            <w:pPr>
              <w:jc w:val="right"/>
              <w:ind w:right="8"/>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24"/>
                <w:szCs w:val="24"/>
                <w:color w:val="auto"/>
              </w:rPr>
            </w:pPr>
          </w:p>
        </w:tc>
      </w:tr>
      <w:tr>
        <w:trPr>
          <w:trHeight w:val="209"/>
        </w:trPr>
        <w:tc>
          <w:tcPr>
            <w:tcW w:w="1880" w:type="dxa"/>
            <w:vAlign w:val="bottom"/>
            <w:tcBorders>
              <w:bottom w:val="single" w:sz="8" w:color="CFF0FC"/>
            </w:tcBorders>
            <w:gridSpan w:val="2"/>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Total Investments</w:t>
            </w:r>
          </w:p>
        </w:tc>
        <w:tc>
          <w:tcPr>
            <w:tcW w:w="300" w:type="dxa"/>
            <w:vAlign w:val="bottom"/>
            <w:tcBorders>
              <w:top w:val="single" w:sz="8" w:color="auto"/>
              <w:bottom w:val="single" w:sz="8" w:color="auto"/>
            </w:tcBorders>
            <w:shd w:val="clear" w:color="auto" w:fill="CFF0FC"/>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830,971,495</w:t>
            </w:r>
          </w:p>
        </w:tc>
        <w:tc>
          <w:tcPr>
            <w:tcW w:w="6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807,728,604</w:t>
            </w:r>
          </w:p>
        </w:tc>
        <w:tc>
          <w:tcPr>
            <w:tcW w:w="18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100.0</w:t>
            </w:r>
          </w:p>
        </w:tc>
        <w:tc>
          <w:tcPr>
            <w:tcW w:w="2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727,323,991</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729,516,274</w:t>
            </w:r>
          </w:p>
        </w:tc>
        <w:tc>
          <w:tcPr>
            <w:tcW w:w="1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100.0</w:t>
            </w:r>
          </w:p>
        </w:tc>
        <w:tc>
          <w:tcPr>
            <w:tcW w:w="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-373380</wp:posOffset>
            </wp:positionV>
            <wp:extent cx="102870"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-373380</wp:posOffset>
            </wp:positionV>
            <wp:extent cx="102870"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-373380</wp:posOffset>
            </wp:positionV>
            <wp:extent cx="94615"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-373380</wp:posOffset>
            </wp:positionV>
            <wp:extent cx="93980"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-373380</wp:posOffset>
            </wp:positionV>
            <wp:extent cx="94615"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-24765</wp:posOffset>
            </wp:positionV>
            <wp:extent cx="10287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-7620</wp:posOffset>
            </wp:positionV>
            <wp:extent cx="10287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-24765</wp:posOffset>
            </wp:positionV>
            <wp:extent cx="10287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wp:posOffset>
            </wp:positionV>
            <wp:extent cx="10287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-24765</wp:posOffset>
            </wp:positionV>
            <wp:extent cx="9461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4059555</wp:posOffset>
            </wp:positionH>
            <wp:positionV relativeFrom="paragraph">
              <wp:posOffset>-7620</wp:posOffset>
            </wp:positionV>
            <wp:extent cx="9461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939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939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-24765</wp:posOffset>
            </wp:positionV>
            <wp:extent cx="9461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-7620</wp:posOffset>
            </wp:positionV>
            <wp:extent cx="94615"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82" w:lineRule="exact"/>
        <w:rPr>
          <w:sz w:val="20"/>
          <w:szCs w:val="20"/>
          <w:color w:val="auto"/>
        </w:rPr>
      </w:pPr>
    </w:p>
    <w:p>
      <w:pPr>
        <w:jc w:val="both"/>
        <w:ind w:right="40" w:firstLine="749"/>
        <w:spacing w:after="0" w:line="274" w:lineRule="auto"/>
        <w:rPr>
          <w:sz w:val="20"/>
          <w:szCs w:val="20"/>
          <w:color w:val="auto"/>
        </w:rPr>
      </w:pPr>
      <w:r>
        <w:rPr>
          <w:rFonts w:ascii="Arial" w:cs="Arial" w:eastAsia="Arial" w:hAnsi="Arial"/>
          <w:sz w:val="16"/>
          <w:szCs w:val="16"/>
          <w:color w:val="231F20"/>
        </w:rPr>
        <w:t xml:space="preserve">For the three and six months ended June 30, 2022, our debt investment portfolio had a dollar-weighted annualized yield of 15.11% and 13.44%, respectively. For the three and six months ended </w:t>
      </w:r>
      <w:r>
        <w:rPr>
          <w:rFonts w:ascii="Arial" w:cs="Arial" w:eastAsia="Arial" w:hAnsi="Arial"/>
          <w:sz w:val="16"/>
          <w:szCs w:val="16"/>
          <w:color w:val="000000"/>
        </w:rPr>
        <w:t>June 30, 2021</w:t>
      </w:r>
      <w:r>
        <w:rPr>
          <w:rFonts w:ascii="Arial" w:cs="Arial" w:eastAsia="Arial" w:hAnsi="Arial"/>
          <w:sz w:val="16"/>
          <w:szCs w:val="16"/>
          <w:color w:val="231F20"/>
        </w:rPr>
        <w:t>, our debt investment portfolio had a dollar-weighted annualized yield of 15.25% and 14.11%, respectively. We calculate the yield on dollar-weighted debt investments for any period measured as (1) total related investment income during the period divided by (2) the daily average of the fair value of debt investments outstanding during the period. As of June 30, 2022, our debt investments had a dollar-weighted average outstanding term of 49 months at origination and a dollar-weighted average remaining term of 39 months, or approximately 3.2 years. As of June 30, 2022, substantially all of our debt investments had an original committed principal amount of between $6 million and $85 million, repayment terms of between 34 months and 60 months and pay cash interest at annual interest rates of between 7.03% and 13.03%.</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6"/>
          <w:szCs w:val="16"/>
          <w:color w:val="231F20"/>
        </w:rPr>
        <w:t xml:space="preserve">The following table shows our dollar-weighted annualized yield by investment type for the three and six months ended June 30, 2022 and </w:t>
      </w:r>
      <w:r>
        <w:rPr>
          <w:rFonts w:ascii="Arial" w:cs="Arial" w:eastAsia="Arial" w:hAnsi="Arial"/>
          <w:sz w:val="16"/>
          <w:szCs w:val="16"/>
          <w:color w:val="000000"/>
        </w:rPr>
        <w:t>June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30, 2021</w:t>
      </w:r>
      <w:r>
        <w:rPr>
          <w:rFonts w:ascii="Arial" w:cs="Arial" w:eastAsia="Arial" w:hAnsi="Arial"/>
          <w:sz w:val="18"/>
          <w:szCs w:val="18"/>
          <w:color w:val="231F20"/>
        </w:rPr>
        <w:t>:</w:t>
      </w:r>
    </w:p>
    <w:p>
      <w:pPr>
        <w:sectPr>
          <w:pgSz w:w="11900" w:h="16838" w:orient="portrait"/>
          <w:cols w:equalWidth="0" w:num="1">
            <w:col w:w="11240"/>
          </w:cols>
          <w:pgMar w:left="320" w:top="125" w:right="339" w:bottom="1440" w:gutter="0" w:footer="0" w:header="0"/>
        </w:sectPr>
      </w:pPr>
    </w:p>
    <w:p>
      <w:pPr>
        <w:spacing w:after="0" w:line="167" w:lineRule="exact"/>
        <w:rPr>
          <w:sz w:val="20"/>
          <w:szCs w:val="20"/>
          <w:color w:val="auto"/>
        </w:rPr>
      </w:pPr>
    </w:p>
    <w:p>
      <w:pPr>
        <w:ind w:left="3520"/>
        <w:spacing w:after="0"/>
        <w:rPr>
          <w:sz w:val="20"/>
          <w:szCs w:val="20"/>
          <w:color w:val="auto"/>
        </w:rPr>
      </w:pPr>
      <w:r>
        <w:rPr>
          <w:rFonts w:ascii="Arial" w:cs="Arial" w:eastAsia="Arial" w:hAnsi="Arial"/>
          <w:sz w:val="14"/>
          <w:szCs w:val="14"/>
          <w:b w:val="1"/>
          <w:bCs w:val="1"/>
          <w:color w:val="auto"/>
        </w:rPr>
        <w:t>Fair Value</w:t>
      </w:r>
      <w:r>
        <w:rPr>
          <w:rFonts w:ascii="Arial" w:cs="Arial" w:eastAsia="Arial" w:hAnsi="Arial"/>
          <w:sz w:val="19"/>
          <w:szCs w:val="19"/>
          <w:b w:val="1"/>
          <w:bCs w:val="1"/>
          <w:color w:val="auto"/>
          <w:vertAlign w:val="superscript"/>
        </w:rPr>
        <w:t>(1)</w:t>
      </w:r>
    </w:p>
    <w:tbl>
      <w:tblPr>
        <w:tblLayout w:type="fixed"/>
        <w:tblInd w:w="1400" w:type="dxa"/>
        <w:tblCellMar>
          <w:top w:w="0" w:type="dxa"/>
          <w:left w:w="0" w:type="dxa"/>
          <w:bottom w:w="0" w:type="dxa"/>
          <w:right w:w="0" w:type="dxa"/>
        </w:tblCellMar>
      </w:tblPr>
      <w:tr>
        <w:trPr>
          <w:trHeight w:val="169"/>
        </w:trPr>
        <w:tc>
          <w:tcPr>
            <w:tcW w:w="2420" w:type="dxa"/>
            <w:vAlign w:val="bottom"/>
            <w:tcBorders>
              <w:top w:val="single" w:sz="8" w:color="auto"/>
              <w:bottom w:val="single" w:sz="8" w:color="auto"/>
            </w:tcBorders>
            <w:gridSpan w:val="2"/>
          </w:tcPr>
          <w:p>
            <w:pPr>
              <w:jc w:val="right"/>
              <w:ind w:right="208"/>
              <w:spacing w:after="0"/>
              <w:rPr>
                <w:sz w:val="20"/>
                <w:szCs w:val="20"/>
                <w:color w:val="auto"/>
              </w:rPr>
            </w:pPr>
            <w:r>
              <w:rPr>
                <w:rFonts w:ascii="Arial" w:cs="Arial" w:eastAsia="Arial" w:hAnsi="Arial"/>
                <w:sz w:val="14"/>
                <w:szCs w:val="14"/>
                <w:b w:val="1"/>
                <w:bCs w:val="1"/>
                <w:color w:val="auto"/>
              </w:rPr>
              <w:t>Three Months Ended June 30,</w:t>
            </w:r>
          </w:p>
        </w:tc>
        <w:tc>
          <w:tcPr>
            <w:tcW w:w="140" w:type="dxa"/>
            <w:vAlign w:val="bottom"/>
            <w:tcBorders>
              <w:top w:val="single" w:sz="8" w:color="auto"/>
            </w:tcBorders>
          </w:tcPr>
          <w:p>
            <w:pPr>
              <w:spacing w:after="0"/>
              <w:rPr>
                <w:sz w:val="14"/>
                <w:szCs w:val="14"/>
                <w:color w:val="auto"/>
              </w:rPr>
            </w:pPr>
          </w:p>
        </w:tc>
        <w:tc>
          <w:tcPr>
            <w:tcW w:w="2420" w:type="dxa"/>
            <w:vAlign w:val="bottom"/>
            <w:tcBorders>
              <w:top w:val="single" w:sz="8" w:color="auto"/>
              <w:bottom w:val="single" w:sz="8" w:color="auto"/>
            </w:tcBorders>
            <w:gridSpan w:val="2"/>
          </w:tcPr>
          <w:p>
            <w:pPr>
              <w:jc w:val="right"/>
              <w:ind w:right="288"/>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1200" w:type="dxa"/>
            <w:vAlign w:val="bottom"/>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c>
          <w:tcPr>
            <w:tcW w:w="1200" w:type="dxa"/>
            <w:vAlign w:val="bottom"/>
          </w:tcPr>
          <w:p>
            <w:pPr>
              <w:jc w:val="right"/>
              <w:ind w:right="428"/>
              <w:spacing w:after="0"/>
              <w:rPr>
                <w:sz w:val="20"/>
                <w:szCs w:val="20"/>
                <w:color w:val="auto"/>
              </w:rPr>
            </w:pPr>
            <w:r>
              <w:rPr>
                <w:rFonts w:ascii="Arial" w:cs="Arial" w:eastAsia="Arial" w:hAnsi="Arial"/>
                <w:sz w:val="14"/>
                <w:szCs w:val="14"/>
                <w:b w:val="1"/>
                <w:bCs w:val="1"/>
                <w:color w:val="auto"/>
              </w:rPr>
              <w:t>2022</w:t>
            </w:r>
          </w:p>
        </w:tc>
        <w:tc>
          <w:tcPr>
            <w:tcW w:w="122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r>
    </w:tbl>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Cost</w:t>
      </w:r>
      <w:r>
        <w:rPr>
          <w:rFonts w:ascii="Arial" w:cs="Arial" w:eastAsia="Arial" w:hAnsi="Arial"/>
          <w:sz w:val="19"/>
          <w:szCs w:val="19"/>
          <w:b w:val="1"/>
          <w:bCs w:val="1"/>
          <w:color w:val="auto"/>
          <w:vertAlign w:val="superscript"/>
        </w:rPr>
        <w:t>(2)</w:t>
      </w:r>
    </w:p>
    <w:tbl>
      <w:tblPr>
        <w:tblLayout w:type="fixed"/>
        <w:tblInd w:w="0" w:type="dxa"/>
        <w:tblCellMar>
          <w:top w:w="0" w:type="dxa"/>
          <w:left w:w="0" w:type="dxa"/>
          <w:bottom w:w="0" w:type="dxa"/>
          <w:right w:w="0" w:type="dxa"/>
        </w:tblCellMar>
      </w:tblPr>
      <w:tr>
        <w:trPr>
          <w:trHeight w:val="169"/>
        </w:trPr>
        <w:tc>
          <w:tcPr>
            <w:tcW w:w="2400" w:type="dxa"/>
            <w:vAlign w:val="bottom"/>
            <w:tcBorders>
              <w:top w:val="single" w:sz="8" w:color="auto"/>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Three Months Ended June 30,</w:t>
            </w:r>
          </w:p>
        </w:tc>
        <w:tc>
          <w:tcPr>
            <w:tcW w:w="2320" w:type="dxa"/>
            <w:vAlign w:val="bottom"/>
            <w:tcBorders>
              <w:top w:val="single" w:sz="8" w:color="auto"/>
              <w:bottom w:val="single" w:sz="8" w:color="auto"/>
            </w:tcBorders>
            <w:gridSpan w:val="2"/>
          </w:tcPr>
          <w:p>
            <w:pPr>
              <w:jc w:val="right"/>
              <w:ind w:right="228"/>
              <w:spacing w:after="0"/>
              <w:rPr>
                <w:sz w:val="20"/>
                <w:szCs w:val="20"/>
                <w:color w:val="auto"/>
              </w:rPr>
            </w:pPr>
            <w:r>
              <w:rPr>
                <w:rFonts w:ascii="Arial" w:cs="Arial" w:eastAsia="Arial" w:hAnsi="Arial"/>
                <w:sz w:val="14"/>
                <w:szCs w:val="14"/>
                <w:b w:val="1"/>
                <w:bCs w:val="1"/>
                <w:color w:val="auto"/>
              </w:rPr>
              <w:t>Six Months Ended June 30,</w:t>
            </w:r>
          </w:p>
        </w:tc>
      </w:tr>
      <w:tr>
        <w:trPr>
          <w:trHeight w:val="169"/>
        </w:trPr>
        <w:tc>
          <w:tcPr>
            <w:tcW w:w="11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260" w:type="dxa"/>
            <w:vAlign w:val="bottom"/>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1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2022</w:t>
            </w:r>
          </w:p>
        </w:tc>
        <w:tc>
          <w:tcPr>
            <w:tcW w:w="11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r>
    </w:tbl>
    <w:p>
      <w:pPr>
        <w:spacing w:after="0" w:line="1" w:lineRule="exact"/>
        <w:rPr>
          <w:sz w:val="20"/>
          <w:szCs w:val="20"/>
          <w:color w:val="auto"/>
        </w:rPr>
      </w:pPr>
    </w:p>
    <w:p>
      <w:pPr>
        <w:sectPr>
          <w:pgSz w:w="11900" w:h="16838" w:orient="portrait"/>
          <w:cols w:equalWidth="0" w:num="2">
            <w:col w:w="6380" w:space="140"/>
            <w:col w:w="472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140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Investment type:</w:t>
            </w:r>
          </w:p>
        </w:tc>
        <w:tc>
          <w:tcPr>
            <w:tcW w:w="90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920" w:type="dxa"/>
            <w:vAlign w:val="bottom"/>
            <w:tcBorders>
              <w:top w:val="single" w:sz="8" w:color="auto"/>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14"/>
                <w:szCs w:val="14"/>
                <w:color w:val="auto"/>
              </w:rPr>
            </w:pPr>
          </w:p>
        </w:tc>
      </w:tr>
      <w:tr>
        <w:trPr>
          <w:trHeight w:val="175"/>
        </w:trPr>
        <w:tc>
          <w:tcPr>
            <w:tcW w:w="1400" w:type="dxa"/>
            <w:vAlign w:val="bottom"/>
          </w:tcPr>
          <w:p>
            <w:pPr>
              <w:ind w:left="20"/>
              <w:spacing w:after="0"/>
              <w:rPr>
                <w:sz w:val="20"/>
                <w:szCs w:val="20"/>
                <w:color w:val="auto"/>
              </w:rPr>
            </w:pPr>
            <w:r>
              <w:rPr>
                <w:rFonts w:ascii="Arial" w:cs="Arial" w:eastAsia="Arial" w:hAnsi="Arial"/>
                <w:sz w:val="14"/>
                <w:szCs w:val="14"/>
                <w:color w:val="auto"/>
              </w:rPr>
              <w:t>Debt investments</w:t>
            </w:r>
          </w:p>
        </w:tc>
        <w:tc>
          <w:tcPr>
            <w:tcW w:w="900" w:type="dxa"/>
            <w:vAlign w:val="bottom"/>
          </w:tcPr>
          <w:p>
            <w:pPr>
              <w:jc w:val="right"/>
              <w:spacing w:after="0"/>
              <w:rPr>
                <w:sz w:val="20"/>
                <w:szCs w:val="20"/>
                <w:color w:val="auto"/>
              </w:rPr>
            </w:pPr>
            <w:r>
              <w:rPr>
                <w:rFonts w:ascii="Arial" w:cs="Arial" w:eastAsia="Arial" w:hAnsi="Arial"/>
                <w:sz w:val="14"/>
                <w:szCs w:val="14"/>
                <w:color w:val="auto"/>
              </w:rPr>
              <w:t>15.11</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15.25</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13.44</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14.11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14.97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15.09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13.32</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13.97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75"/>
        </w:trPr>
        <w:tc>
          <w:tcPr>
            <w:tcW w:w="1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Equity interest</w:t>
            </w: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2.76</w:t>
            </w:r>
          </w:p>
        </w:tc>
        <w:tc>
          <w:tcPr>
            <w:tcW w:w="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3.27</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2.73</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3.26</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3.31</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3.51</w:t>
            </w:r>
          </w:p>
        </w:tc>
        <w:tc>
          <w:tcPr>
            <w:tcW w:w="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3.34</w:t>
            </w: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r>
      <w:tr>
        <w:trPr>
          <w:trHeight w:val="182"/>
        </w:trPr>
        <w:tc>
          <w:tcPr>
            <w:tcW w:w="1400" w:type="dxa"/>
            <w:vAlign w:val="bottom"/>
          </w:tcPr>
          <w:p>
            <w:pPr>
              <w:ind w:left="20"/>
              <w:spacing w:after="0"/>
              <w:rPr>
                <w:sz w:val="20"/>
                <w:szCs w:val="20"/>
                <w:color w:val="auto"/>
              </w:rPr>
            </w:pPr>
            <w:r>
              <w:rPr>
                <w:rFonts w:ascii="Arial" w:cs="Arial" w:eastAsia="Arial" w:hAnsi="Arial"/>
                <w:sz w:val="14"/>
                <w:szCs w:val="14"/>
                <w:color w:val="auto"/>
              </w:rPr>
              <w:t>All investments</w:t>
            </w:r>
          </w:p>
        </w:tc>
        <w:tc>
          <w:tcPr>
            <w:tcW w:w="900" w:type="dxa"/>
            <w:vAlign w:val="bottom"/>
          </w:tcPr>
          <w:p>
            <w:pPr>
              <w:jc w:val="right"/>
              <w:spacing w:after="0"/>
              <w:rPr>
                <w:sz w:val="20"/>
                <w:szCs w:val="20"/>
                <w:color w:val="auto"/>
              </w:rPr>
            </w:pPr>
            <w:r>
              <w:rPr>
                <w:rFonts w:ascii="Arial" w:cs="Arial" w:eastAsia="Arial" w:hAnsi="Arial"/>
                <w:sz w:val="14"/>
                <w:szCs w:val="14"/>
                <w:color w:val="auto"/>
              </w:rPr>
              <w:t>14.43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color w:val="auto"/>
              </w:rPr>
              <w:t>14.08</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4"/>
                <w:szCs w:val="14"/>
                <w:color w:val="auto"/>
              </w:rPr>
              <w:t>12.81</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4"/>
                <w:szCs w:val="14"/>
                <w:color w:val="auto"/>
              </w:rPr>
              <w:t>13.05</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4"/>
                <w:szCs w:val="14"/>
                <w:color w:val="auto"/>
              </w:rPr>
              <w:t>14.32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14.17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12.76</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4"/>
                <w:szCs w:val="14"/>
                <w:color w:val="auto"/>
              </w:rPr>
              <w:t>13.15</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190309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06" w:lineRule="exact"/>
        <w:rPr>
          <w:sz w:val="20"/>
          <w:szCs w:val="20"/>
          <w:color w:val="auto"/>
        </w:rPr>
      </w:pPr>
    </w:p>
    <w:p>
      <w:pPr>
        <w:jc w:val="both"/>
        <w:ind w:left="760" w:right="20" w:hanging="374"/>
        <w:spacing w:after="0" w:line="203" w:lineRule="auto"/>
        <w:tabs>
          <w:tab w:leader="none" w:pos="76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We calculate the dollar-weighted annualized yield on average investment type for any period as (a) total related investment income during the period divided by (b) the daily average of the fair value of the investment type outstanding during the period. The dollar-weighted annualized yield represents the portfolio yield and will be higher than what investors will realize because it does not reflect our expenses or any sales load paid by investors.</w:t>
      </w:r>
    </w:p>
    <w:p>
      <w:pPr>
        <w:spacing w:after="0" w:line="88" w:lineRule="exact"/>
        <w:rPr>
          <w:rFonts w:ascii="Arial" w:cs="Arial" w:eastAsia="Arial" w:hAnsi="Arial"/>
          <w:sz w:val="24"/>
          <w:szCs w:val="24"/>
          <w:color w:val="auto"/>
          <w:vertAlign w:val="superscript"/>
        </w:rPr>
      </w:pPr>
    </w:p>
    <w:p>
      <w:pPr>
        <w:jc w:val="both"/>
        <w:ind w:left="760" w:hanging="374"/>
        <w:spacing w:after="0" w:line="203" w:lineRule="auto"/>
        <w:tabs>
          <w:tab w:leader="none" w:pos="760" w:val="left"/>
        </w:tabs>
        <w:numPr>
          <w:ilvl w:val="0"/>
          <w:numId w:val="28"/>
        </w:numPr>
        <w:rPr>
          <w:rFonts w:ascii="Arial" w:cs="Arial" w:eastAsia="Arial" w:hAnsi="Arial"/>
          <w:sz w:val="24"/>
          <w:szCs w:val="24"/>
          <w:color w:val="auto"/>
          <w:vertAlign w:val="superscript"/>
        </w:rPr>
      </w:pPr>
      <w:r>
        <w:rPr>
          <w:rFonts w:ascii="Arial" w:cs="Arial" w:eastAsia="Arial" w:hAnsi="Arial"/>
          <w:sz w:val="14"/>
          <w:szCs w:val="14"/>
          <w:color w:val="auto"/>
        </w:rPr>
        <w:t>We calculate the dollar-weighted annualized yield on average investment type for any period as (a) total related investment income during the period divided by (b) the daily average of the investment type outstanding during the period, at amortized cost. The dollar-weighted annualized yield represents the portfolio yield and will be higher than what investors will realize because it does not reflect our expenses or any sales load paid by investors.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Activity</w:t>
      </w:r>
    </w:p>
    <w:p>
      <w:pPr>
        <w:spacing w:after="0" w:line="21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During the six months ended June 30, 2022, the Company funded $151.2 million in six new portfolio companies and $82.3 million in nine existing portfolio companies, net of upfront loan origination fees. The Company also received $88.2 million in loan repayments from four portfolio companies and $5.9 million in proceeds from the termination of warrants, sale of preferred stock, and sale of common stock. During the six months ended June 30, 2021, the Company funded $81.5 million in six new portfolio companies and $52.2 million in eight existing portfolio companies. The Company also received $94.7 million in loan repayments from nine portfolio companies.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Reconciliation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following is a reconciliation of our investment portfolio, including U.S. Treasury Bills, for the six months ended June 30, 2022 and 2021:</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500" w:type="dxa"/>
            <w:vAlign w:val="bottom"/>
            <w:gridSpan w:val="4"/>
          </w:tcPr>
          <w:p>
            <w:pPr>
              <w:jc w:val="right"/>
              <w:ind w:right="1013"/>
              <w:spacing w:after="0"/>
              <w:rPr>
                <w:sz w:val="20"/>
                <w:szCs w:val="20"/>
                <w:color w:val="auto"/>
              </w:rPr>
            </w:pPr>
            <w:r>
              <w:rPr>
                <w:rFonts w:ascii="Arial" w:cs="Arial" w:eastAsia="Arial" w:hAnsi="Arial"/>
                <w:sz w:val="14"/>
                <w:szCs w:val="14"/>
                <w:b w:val="1"/>
                <w:bCs w:val="1"/>
                <w:color w:val="auto"/>
              </w:rPr>
              <w:t>Six Months Ended June 30,</w:t>
            </w:r>
          </w:p>
        </w:tc>
      </w:tr>
      <w:tr>
        <w:trPr>
          <w:trHeight w:val="155"/>
        </w:trPr>
        <w:tc>
          <w:tcPr>
            <w:tcW w:w="744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734"/>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520" w:type="dxa"/>
            <w:vAlign w:val="bottom"/>
            <w:tcBorders>
              <w:top w:val="single" w:sz="8" w:color="auto"/>
              <w:bottom w:val="single" w:sz="8" w:color="auto"/>
            </w:tcBorders>
          </w:tcPr>
          <w:p>
            <w:pPr>
              <w:jc w:val="right"/>
              <w:ind w:right="733"/>
              <w:spacing w:after="0" w:line="155" w:lineRule="exact"/>
              <w:rPr>
                <w:sz w:val="20"/>
                <w:szCs w:val="20"/>
                <w:color w:val="auto"/>
              </w:rPr>
            </w:pPr>
            <w:r>
              <w:rPr>
                <w:rFonts w:ascii="Arial" w:cs="Arial" w:eastAsia="Arial" w:hAnsi="Arial"/>
                <w:sz w:val="14"/>
                <w:szCs w:val="14"/>
                <w:b w:val="1"/>
                <w:bCs w:val="1"/>
                <w:color w:val="auto"/>
              </w:rPr>
              <w:t>2021</w:t>
            </w:r>
          </w:p>
        </w:tc>
      </w:tr>
      <w:tr>
        <w:trPr>
          <w:trHeight w:val="169"/>
        </w:trPr>
        <w:tc>
          <w:tcPr>
            <w:tcW w:w="7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tcPr>
          <w:p>
            <w:pPr>
              <w:jc w:val="right"/>
              <w:ind w:right="514"/>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20" w:type="dxa"/>
            <w:vAlign w:val="bottom"/>
          </w:tcPr>
          <w:p>
            <w:pPr>
              <w:jc w:val="right"/>
              <w:ind w:right="513"/>
              <w:spacing w:after="0"/>
              <w:rPr>
                <w:sz w:val="20"/>
                <w:szCs w:val="20"/>
                <w:color w:val="auto"/>
              </w:rPr>
            </w:pPr>
            <w:r>
              <w:rPr>
                <w:rFonts w:ascii="Arial" w:cs="Arial" w:eastAsia="Arial" w:hAnsi="Arial"/>
                <w:sz w:val="14"/>
                <w:szCs w:val="14"/>
                <w:b w:val="1"/>
                <w:bCs w:val="1"/>
                <w:color w:val="auto"/>
              </w:rPr>
              <w:t>(unaudited)</w:t>
            </w: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Beginning Investment Portfolio</w:t>
            </w:r>
          </w:p>
        </w:tc>
        <w:tc>
          <w:tcPr>
            <w:tcW w:w="30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729,516,274</w:t>
            </w:r>
          </w:p>
        </w:tc>
        <w:tc>
          <w:tcPr>
            <w:tcW w:w="46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15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621,826,650</w:t>
            </w: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7"/>
                <w:szCs w:val="17"/>
                <w:color w:val="auto"/>
              </w:rPr>
              <w:t>Purchases of Investments</w:t>
            </w:r>
            <w:r>
              <w:rPr>
                <w:rFonts w:ascii="Arial" w:cs="Arial" w:eastAsia="Arial" w:hAnsi="Arial"/>
                <w:sz w:val="23"/>
                <w:szCs w:val="23"/>
                <w:color w:val="auto"/>
                <w:vertAlign w:val="superscript"/>
              </w:rPr>
              <w:t>(1)</w:t>
            </w:r>
          </w:p>
        </w:tc>
        <w:tc>
          <w:tcPr>
            <w:tcW w:w="300" w:type="dxa"/>
            <w:vAlign w:val="bottom"/>
          </w:tcPr>
          <w:p>
            <w:pPr>
              <w:spacing w:after="0"/>
              <w:rPr>
                <w:sz w:val="17"/>
                <w:szCs w:val="17"/>
                <w:color w:val="auto"/>
              </w:rPr>
            </w:pPr>
          </w:p>
        </w:tc>
        <w:tc>
          <w:tcPr>
            <w:tcW w:w="1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238,602,649</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135,670,562</w:t>
            </w: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Purchases of U.S. Treasury Bills</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4"/>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54,999,849</w:t>
            </w: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Amortization of Fixed Income Premiums or Accretion of Discounts</w:t>
            </w:r>
          </w:p>
        </w:tc>
        <w:tc>
          <w:tcPr>
            <w:tcW w:w="300" w:type="dxa"/>
            <w:vAlign w:val="bottom"/>
          </w:tcPr>
          <w:p>
            <w:pPr>
              <w:spacing w:after="0"/>
              <w:rPr>
                <w:sz w:val="17"/>
                <w:szCs w:val="17"/>
                <w:color w:val="auto"/>
              </w:rPr>
            </w:pPr>
          </w:p>
        </w:tc>
        <w:tc>
          <w:tcPr>
            <w:tcW w:w="1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3,571,075</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3,660,438</w:t>
            </w: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or Repayments of Investments</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(86,793,259 )</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(94,717,114 )</w:t>
            </w: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Scheduled Principal Payments of Investments</w:t>
            </w:r>
          </w:p>
        </w:tc>
        <w:tc>
          <w:tcPr>
            <w:tcW w:w="30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(7,265,675 )</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(2,066,437 )</w:t>
            </w:r>
          </w:p>
        </w:tc>
      </w:tr>
      <w:tr>
        <w:trPr>
          <w:trHeight w:val="203"/>
        </w:trPr>
        <w:tc>
          <w:tcPr>
            <w:tcW w:w="74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Sales and Maturities of U.S. Treasury Bills</w:t>
            </w:r>
          </w:p>
        </w:tc>
        <w:tc>
          <w:tcPr>
            <w:tcW w:w="30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(44,999,747 )</w:t>
            </w:r>
          </w:p>
        </w:tc>
        <w:tc>
          <w:tcPr>
            <w:tcW w:w="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(94,999,162 )</w:t>
            </w:r>
          </w:p>
        </w:tc>
      </w:tr>
      <w:tr>
        <w:trPr>
          <w:trHeight w:val="203"/>
        </w:trPr>
        <w:tc>
          <w:tcPr>
            <w:tcW w:w="7440" w:type="dxa"/>
            <w:vAlign w:val="bottom"/>
          </w:tcPr>
          <w:p>
            <w:pPr>
              <w:ind w:left="20"/>
              <w:spacing w:after="0" w:line="202" w:lineRule="exact"/>
              <w:rPr>
                <w:sz w:val="20"/>
                <w:szCs w:val="20"/>
                <w:color w:val="auto"/>
              </w:rPr>
            </w:pPr>
            <w:r>
              <w:rPr>
                <w:rFonts w:ascii="Arial" w:cs="Arial" w:eastAsia="Arial" w:hAnsi="Arial"/>
                <w:sz w:val="18"/>
                <w:szCs w:val="18"/>
                <w:color w:val="auto"/>
              </w:rPr>
              <w:t>Realized Gain (Loss) on Investments</w:t>
            </w:r>
          </w:p>
        </w:tc>
        <w:tc>
          <w:tcPr>
            <w:tcW w:w="300" w:type="dxa"/>
            <w:vAlign w:val="bottom"/>
          </w:tcPr>
          <w:p>
            <w:pPr>
              <w:spacing w:after="0"/>
              <w:rPr>
                <w:sz w:val="17"/>
                <w:szCs w:val="17"/>
                <w:color w:val="auto"/>
              </w:rPr>
            </w:pPr>
          </w:p>
        </w:tc>
        <w:tc>
          <w:tcPr>
            <w:tcW w:w="1520" w:type="dxa"/>
            <w:vAlign w:val="bottom"/>
          </w:tcPr>
          <w:p>
            <w:pPr>
              <w:jc w:val="right"/>
              <w:ind w:right="34"/>
              <w:spacing w:after="0" w:line="202" w:lineRule="exact"/>
              <w:rPr>
                <w:sz w:val="20"/>
                <w:szCs w:val="20"/>
                <w:color w:val="auto"/>
              </w:rPr>
            </w:pPr>
            <w:r>
              <w:rPr>
                <w:rFonts w:ascii="Arial" w:cs="Arial" w:eastAsia="Arial" w:hAnsi="Arial"/>
                <w:sz w:val="18"/>
                <w:szCs w:val="18"/>
                <w:color w:val="auto"/>
              </w:rPr>
              <w:t>532,461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(4,813,280 )</w:t>
            </w:r>
          </w:p>
        </w:tc>
      </w:tr>
      <w:tr>
        <w:trPr>
          <w:trHeight w:val="203"/>
        </w:trPr>
        <w:tc>
          <w:tcPr>
            <w:tcW w:w="744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Net Change in Unrealized Appreciation (Depreciation) on Investments</w:t>
            </w:r>
          </w:p>
        </w:tc>
        <w:tc>
          <w:tcPr>
            <w:tcW w:w="30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(25,435,174 )</w:t>
            </w:r>
          </w:p>
        </w:tc>
        <w:tc>
          <w:tcPr>
            <w:tcW w:w="1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(1,944,463 )</w:t>
            </w:r>
          </w:p>
        </w:tc>
      </w:tr>
      <w:tr>
        <w:trPr>
          <w:trHeight w:val="196"/>
        </w:trPr>
        <w:tc>
          <w:tcPr>
            <w:tcW w:w="7440" w:type="dxa"/>
            <w:vAlign w:val="bottom"/>
          </w:tcPr>
          <w:p>
            <w:pPr>
              <w:ind w:left="20"/>
              <w:spacing w:after="0" w:line="182" w:lineRule="exact"/>
              <w:rPr>
                <w:sz w:val="20"/>
                <w:szCs w:val="20"/>
                <w:color w:val="auto"/>
              </w:rPr>
            </w:pPr>
            <w:r>
              <w:rPr>
                <w:rFonts w:ascii="Arial" w:cs="Arial" w:eastAsia="Arial" w:hAnsi="Arial"/>
                <w:sz w:val="18"/>
                <w:szCs w:val="18"/>
                <w:color w:val="auto"/>
              </w:rPr>
              <w:t>Ending Investment Portfolio</w:t>
            </w:r>
          </w:p>
        </w:tc>
        <w:tc>
          <w:tcPr>
            <w:tcW w:w="300" w:type="dxa"/>
            <w:vAlign w:val="bottom"/>
          </w:tcPr>
          <w:p>
            <w:pPr>
              <w:jc w:val="right"/>
              <w:ind w:right="90"/>
              <w:spacing w:after="0" w:line="182" w:lineRule="exact"/>
              <w:rPr>
                <w:sz w:val="20"/>
                <w:szCs w:val="20"/>
                <w:color w:val="auto"/>
              </w:rPr>
            </w:pPr>
            <w:r>
              <w:rPr>
                <w:rFonts w:ascii="Arial" w:cs="Arial" w:eastAsia="Arial" w:hAnsi="Arial"/>
                <w:sz w:val="18"/>
                <w:szCs w:val="18"/>
                <w:color w:val="auto"/>
                <w:w w:val="99"/>
              </w:rPr>
              <w:t>$</w:t>
            </w:r>
          </w:p>
        </w:tc>
        <w:tc>
          <w:tcPr>
            <w:tcW w:w="1520" w:type="dxa"/>
            <w:vAlign w:val="bottom"/>
          </w:tcPr>
          <w:p>
            <w:pPr>
              <w:jc w:val="right"/>
              <w:ind w:right="34"/>
              <w:spacing w:after="0" w:line="182" w:lineRule="exact"/>
              <w:rPr>
                <w:sz w:val="20"/>
                <w:szCs w:val="20"/>
                <w:color w:val="auto"/>
              </w:rPr>
            </w:pPr>
            <w:r>
              <w:rPr>
                <w:rFonts w:ascii="Arial" w:cs="Arial" w:eastAsia="Arial" w:hAnsi="Arial"/>
                <w:sz w:val="18"/>
                <w:szCs w:val="18"/>
                <w:color w:val="auto"/>
              </w:rPr>
              <w:t>807,728,604</w:t>
            </w:r>
          </w:p>
        </w:tc>
        <w:tc>
          <w:tcPr>
            <w:tcW w:w="46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1520" w:type="dxa"/>
            <w:vAlign w:val="bottom"/>
          </w:tcPr>
          <w:p>
            <w:pPr>
              <w:jc w:val="right"/>
              <w:ind w:right="33"/>
              <w:spacing w:after="0" w:line="182" w:lineRule="exact"/>
              <w:rPr>
                <w:sz w:val="20"/>
                <w:szCs w:val="20"/>
                <w:color w:val="auto"/>
              </w:rPr>
            </w:pPr>
            <w:r>
              <w:rPr>
                <w:rFonts w:ascii="Arial" w:cs="Arial" w:eastAsia="Arial" w:hAnsi="Arial"/>
                <w:sz w:val="18"/>
                <w:szCs w:val="18"/>
                <w:color w:val="auto"/>
              </w:rPr>
              <w:t>617,617,043</w:t>
            </w:r>
          </w:p>
        </w:tc>
      </w:tr>
      <w:tr>
        <w:trPr>
          <w:trHeight w:val="20"/>
        </w:trPr>
        <w:tc>
          <w:tcPr>
            <w:tcW w:w="74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-1563370</wp:posOffset>
            </wp:positionV>
            <wp:extent cx="137160" cy="1454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37160" cy="1454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-159385</wp:posOffset>
            </wp:positionV>
            <wp:extent cx="111760"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0" w:lineRule="exact"/>
        <w:rPr>
          <w:sz w:val="20"/>
          <w:szCs w:val="20"/>
          <w:color w:val="auto"/>
        </w:rPr>
      </w:pPr>
    </w:p>
    <w:p>
      <w:pPr>
        <w:ind w:left="380"/>
        <w:spacing w:after="0"/>
        <w:tabs>
          <w:tab w:leader="none" w:pos="740" w:val="left"/>
        </w:tabs>
        <w:rPr>
          <w:sz w:val="20"/>
          <w:szCs w:val="20"/>
          <w:color w:val="auto"/>
        </w:rPr>
      </w:pPr>
      <w:r>
        <w:rPr>
          <w:rFonts w:ascii="Arial" w:cs="Arial" w:eastAsia="Arial" w:hAnsi="Arial"/>
          <w:sz w:val="24"/>
          <w:szCs w:val="24"/>
          <w:color w:val="auto"/>
          <w:vertAlign w:val="superscript"/>
        </w:rPr>
        <w:t>(1)</w:t>
      </w:r>
      <w:r>
        <w:rPr>
          <w:sz w:val="20"/>
          <w:szCs w:val="20"/>
          <w:color w:val="auto"/>
        </w:rPr>
        <w:tab/>
      </w:r>
      <w:r>
        <w:rPr>
          <w:rFonts w:ascii="Arial" w:cs="Arial" w:eastAsia="Arial" w:hAnsi="Arial"/>
          <w:sz w:val="18"/>
          <w:szCs w:val="18"/>
          <w:color w:val="auto"/>
        </w:rPr>
        <w:t>Includes PIK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16"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pacing w:after="0" w:line="13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3080" w:type="dxa"/>
            <w:vAlign w:val="bottom"/>
          </w:tcPr>
          <w:p>
            <w:pPr>
              <w:jc w:val="center"/>
              <w:ind w:right="2328"/>
              <w:spacing w:after="0"/>
              <w:rPr>
                <w:sz w:val="20"/>
                <w:szCs w:val="20"/>
                <w:color w:val="auto"/>
              </w:rPr>
            </w:pPr>
            <w:r>
              <w:rPr>
                <w:rFonts w:ascii="Arial" w:cs="Arial" w:eastAsia="Arial" w:hAnsi="Arial"/>
                <w:sz w:val="14"/>
                <w:szCs w:val="14"/>
                <w:b w:val="1"/>
                <w:bCs w:val="1"/>
                <w:color w:val="auto"/>
                <w:w w:val="91"/>
              </w:rPr>
              <w:t>Investment</w:t>
            </w:r>
          </w:p>
        </w:tc>
        <w:tc>
          <w:tcPr>
            <w:tcW w:w="3460" w:type="dxa"/>
            <w:vAlign w:val="bottom"/>
            <w:vMerge w:val="restart"/>
          </w:tcPr>
          <w:p>
            <w:pPr>
              <w:ind w:left="2400"/>
              <w:spacing w:after="0"/>
              <w:rPr>
                <w:sz w:val="20"/>
                <w:szCs w:val="20"/>
                <w:color w:val="auto"/>
              </w:rPr>
            </w:pPr>
            <w:r>
              <w:rPr>
                <w:rFonts w:ascii="Arial" w:cs="Arial" w:eastAsia="Arial" w:hAnsi="Arial"/>
                <w:sz w:val="14"/>
                <w:szCs w:val="14"/>
                <w:b w:val="1"/>
                <w:bCs w:val="1"/>
                <w:color w:val="auto"/>
                <w:w w:val="92"/>
              </w:rPr>
              <w:t>Rating Definition</w:t>
            </w:r>
          </w:p>
        </w:tc>
        <w:tc>
          <w:tcPr>
            <w:tcW w:w="0" w:type="dxa"/>
            <w:vAlign w:val="bottom"/>
          </w:tcPr>
          <w:p>
            <w:pPr>
              <w:spacing w:after="0"/>
              <w:rPr>
                <w:sz w:val="1"/>
                <w:szCs w:val="1"/>
                <w:color w:val="auto"/>
              </w:rPr>
            </w:pPr>
          </w:p>
        </w:tc>
      </w:tr>
      <w:tr>
        <w:trPr>
          <w:trHeight w:val="186"/>
        </w:trPr>
        <w:tc>
          <w:tcPr>
            <w:tcW w:w="3080" w:type="dxa"/>
            <w:vAlign w:val="bottom"/>
          </w:tcPr>
          <w:p>
            <w:pPr>
              <w:jc w:val="center"/>
              <w:ind w:right="2348"/>
              <w:spacing w:after="0"/>
              <w:rPr>
                <w:sz w:val="20"/>
                <w:szCs w:val="20"/>
                <w:color w:val="auto"/>
              </w:rPr>
            </w:pPr>
            <w:r>
              <w:rPr>
                <w:rFonts w:ascii="Arial" w:cs="Arial" w:eastAsia="Arial" w:hAnsi="Arial"/>
                <w:sz w:val="14"/>
                <w:szCs w:val="14"/>
                <w:b w:val="1"/>
                <w:bCs w:val="1"/>
                <w:color w:val="auto"/>
                <w:w w:val="96"/>
              </w:rPr>
              <w:t>Rating</w:t>
            </w:r>
          </w:p>
        </w:tc>
        <w:tc>
          <w:tcPr>
            <w:tcW w:w="3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6" w:lineRule="exact"/>
        <w:rPr>
          <w:sz w:val="20"/>
          <w:szCs w:val="20"/>
          <w:color w:val="auto"/>
        </w:rPr>
      </w:pPr>
    </w:p>
    <w:p>
      <w:pPr>
        <w:ind w:left="1260" w:right="20" w:hanging="730"/>
        <w:spacing w:after="0" w:line="228" w:lineRule="auto"/>
        <w:tabs>
          <w:tab w:leader="none" w:pos="12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Performing above plan and/or strong enterprise profile, value, financial performance/coverage. Maintaining full covenant and payment compliance as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132320" cy="24003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right="20" w:hanging="730"/>
        <w:spacing w:after="0" w:line="219" w:lineRule="auto"/>
        <w:tabs>
          <w:tab w:leader="none" w:pos="1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Performing at or reasonably close to plan. Acceptable business prospects, enterprise value, financial coverage. Maintaining key covenant and payment compliance as agreed. All new loans are initially graded Category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24003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right="20" w:hanging="730"/>
        <w:spacing w:after="0" w:line="219" w:lineRule="auto"/>
        <w:tabs>
          <w:tab w:leader="none" w:pos="12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Performing below plan of record. Potential elements of concern over performance, trends and business outlook. Loan-to-value remains adequate. Potential key covenant non-compliance. Full payment compliance.</w:t>
      </w:r>
    </w:p>
    <w:p>
      <w:pPr>
        <w:jc w:val="both"/>
        <w:ind w:left="1260" w:right="20" w:hanging="730"/>
        <w:spacing w:after="0" w:line="213" w:lineRule="auto"/>
        <w:tabs>
          <w:tab w:leader="none" w:pos="12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 may be in workout, and there is a possibility of loss of return but no loss of principal is expected.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4003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ind w:left="1260" w:right="20" w:hanging="730"/>
        <w:spacing w:after="0" w:line="226" w:lineRule="auto"/>
        <w:tabs>
          <w:tab w:leader="none" w:pos="1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8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the investment ratings of our debt investments at fair value as of June 30, 2022 and December 31,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6"/>
          </w:tcPr>
          <w:p>
            <w:pPr>
              <w:jc w:val="right"/>
              <w:ind w:right="1088"/>
              <w:spacing w:after="0"/>
              <w:rPr>
                <w:sz w:val="20"/>
                <w:szCs w:val="20"/>
                <w:color w:val="auto"/>
              </w:rPr>
            </w:pPr>
            <w:r>
              <w:rPr>
                <w:rFonts w:ascii="Arial" w:cs="Arial" w:eastAsia="Arial" w:hAnsi="Arial"/>
                <w:sz w:val="14"/>
                <w:szCs w:val="14"/>
                <w:b w:val="1"/>
                <w:bCs w:val="1"/>
                <w:color w:val="auto"/>
                <w:w w:val="93"/>
              </w:rPr>
              <w:t>As of June 30, 2022 (Unaudited)</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As of December 31, 2021</w:t>
            </w:r>
          </w:p>
        </w:tc>
        <w:tc>
          <w:tcPr>
            <w:tcW w:w="1520" w:type="dxa"/>
            <w:vAlign w:val="bottom"/>
            <w:tcBorders>
              <w:bottom w:val="single" w:sz="8" w:color="auto"/>
            </w:tcBorders>
          </w:tcPr>
          <w:p>
            <w:pPr>
              <w:spacing w:after="0"/>
              <w:rPr>
                <w:sz w:val="16"/>
                <w:szCs w:val="16"/>
                <w:color w:val="auto"/>
              </w:rPr>
            </w:pPr>
          </w:p>
        </w:tc>
      </w:tr>
      <w:tr>
        <w:trPr>
          <w:trHeight w:val="160"/>
        </w:trPr>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tcPr>
          <w:p>
            <w:pPr>
              <w:jc w:val="center"/>
              <w:ind w:left="158"/>
              <w:spacing w:after="0" w:line="160"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jc w:val="center"/>
              <w:ind w:left="208"/>
              <w:spacing w:after="0" w:line="160" w:lineRule="exact"/>
              <w:rPr>
                <w:sz w:val="20"/>
                <w:szCs w:val="20"/>
                <w:color w:val="auto"/>
              </w:rPr>
            </w:pPr>
            <w:r>
              <w:rPr>
                <w:rFonts w:ascii="Arial" w:cs="Arial" w:eastAsia="Arial" w:hAnsi="Arial"/>
                <w:sz w:val="14"/>
                <w:szCs w:val="14"/>
                <w:b w:val="1"/>
                <w:bCs w:val="1"/>
                <w:color w:val="auto"/>
                <w:w w:val="94"/>
              </w:rPr>
              <w:t>Number of</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tcPr>
          <w:p>
            <w:pPr>
              <w:jc w:val="center"/>
              <w:ind w:left="119"/>
              <w:spacing w:after="0" w:line="160"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20" w:type="dxa"/>
            <w:vAlign w:val="bottom"/>
          </w:tcPr>
          <w:p>
            <w:pPr>
              <w:jc w:val="center"/>
              <w:ind w:right="16"/>
              <w:spacing w:after="0" w:line="160" w:lineRule="exact"/>
              <w:rPr>
                <w:sz w:val="20"/>
                <w:szCs w:val="20"/>
                <w:color w:val="auto"/>
              </w:rPr>
            </w:pPr>
            <w:r>
              <w:rPr>
                <w:rFonts w:ascii="Arial" w:cs="Arial" w:eastAsia="Arial" w:hAnsi="Arial"/>
                <w:sz w:val="14"/>
                <w:szCs w:val="14"/>
                <w:b w:val="1"/>
                <w:bCs w:val="1"/>
                <w:color w:val="auto"/>
                <w:w w:val="94"/>
              </w:rPr>
              <w:t>Number of</w:t>
            </w:r>
          </w:p>
        </w:tc>
      </w:tr>
      <w:tr>
        <w:trPr>
          <w:trHeight w:val="175"/>
        </w:trPr>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Investment</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jc w:val="center"/>
              <w:ind w:left="158"/>
              <w:spacing w:after="0"/>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Portfolio</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jc w:val="center"/>
              <w:ind w:left="139"/>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jc w:val="center"/>
              <w:ind w:right="16"/>
              <w:spacing w:after="0"/>
              <w:rPr>
                <w:sz w:val="20"/>
                <w:szCs w:val="20"/>
                <w:color w:val="auto"/>
              </w:rPr>
            </w:pPr>
            <w:r>
              <w:rPr>
                <w:rFonts w:ascii="Arial" w:cs="Arial" w:eastAsia="Arial" w:hAnsi="Arial"/>
                <w:sz w:val="14"/>
                <w:szCs w:val="14"/>
                <w:b w:val="1"/>
                <w:bCs w:val="1"/>
                <w:color w:val="auto"/>
                <w:w w:val="93"/>
              </w:rPr>
              <w:t>Portfolio</w:t>
            </w:r>
          </w:p>
        </w:tc>
      </w:tr>
      <w:tr>
        <w:trPr>
          <w:trHeight w:val="185"/>
        </w:trPr>
        <w:tc>
          <w:tcPr>
            <w:tcW w:w="13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Rating</w:t>
            </w:r>
          </w:p>
        </w:tc>
        <w:tc>
          <w:tcPr>
            <w:tcW w:w="240" w:type="dxa"/>
            <w:vAlign w:val="bottom"/>
          </w:tcPr>
          <w:p>
            <w:pPr>
              <w:spacing w:after="0"/>
              <w:rPr>
                <w:sz w:val="16"/>
                <w:szCs w:val="16"/>
                <w:color w:val="auto"/>
              </w:rPr>
            </w:pPr>
          </w:p>
        </w:tc>
        <w:tc>
          <w:tcPr>
            <w:tcW w:w="1160" w:type="dxa"/>
            <w:vAlign w:val="bottom"/>
          </w:tcPr>
          <w:p>
            <w:pPr>
              <w:jc w:val="right"/>
              <w:ind w:right="293"/>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center"/>
              <w:ind w:left="158"/>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jc w:val="center"/>
              <w:ind w:left="228"/>
              <w:spacing w:after="0"/>
              <w:rPr>
                <w:sz w:val="20"/>
                <w:szCs w:val="20"/>
                <w:color w:val="auto"/>
              </w:rPr>
            </w:pPr>
            <w:r>
              <w:rPr>
                <w:rFonts w:ascii="Arial" w:cs="Arial" w:eastAsia="Arial" w:hAnsi="Arial"/>
                <w:sz w:val="14"/>
                <w:szCs w:val="14"/>
                <w:b w:val="1"/>
                <w:bCs w:val="1"/>
                <w:color w:val="auto"/>
                <w:w w:val="90"/>
              </w:rPr>
              <w:t>Companies</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373"/>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6"/>
                <w:szCs w:val="16"/>
                <w:color w:val="auto"/>
              </w:rPr>
            </w:pPr>
          </w:p>
        </w:tc>
        <w:tc>
          <w:tcPr>
            <w:tcW w:w="1340" w:type="dxa"/>
            <w:vAlign w:val="bottom"/>
          </w:tcPr>
          <w:p>
            <w:pPr>
              <w:jc w:val="center"/>
              <w:ind w:left="119"/>
              <w:spacing w:after="0"/>
              <w:rPr>
                <w:sz w:val="20"/>
                <w:szCs w:val="20"/>
                <w:color w:val="auto"/>
              </w:rPr>
            </w:pPr>
            <w:r>
              <w:rPr>
                <w:rFonts w:ascii="Arial" w:cs="Arial" w:eastAsia="Arial" w:hAnsi="Arial"/>
                <w:sz w:val="14"/>
                <w:szCs w:val="14"/>
                <w:b w:val="1"/>
                <w:bCs w:val="1"/>
                <w:color w:val="auto"/>
                <w:w w:val="93"/>
              </w:rPr>
              <w:t>Portfolio</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jc w:val="center"/>
              <w:ind w:right="16"/>
              <w:spacing w:after="0"/>
              <w:rPr>
                <w:sz w:val="20"/>
                <w:szCs w:val="20"/>
                <w:color w:val="auto"/>
              </w:rPr>
            </w:pPr>
            <w:r>
              <w:rPr>
                <w:rFonts w:ascii="Arial" w:cs="Arial" w:eastAsia="Arial" w:hAnsi="Arial"/>
                <w:sz w:val="14"/>
                <w:szCs w:val="14"/>
                <w:b w:val="1"/>
                <w:bCs w:val="1"/>
                <w:color w:val="auto"/>
                <w:w w:val="92"/>
              </w:rPr>
              <w:t>Companies</w:t>
            </w:r>
          </w:p>
        </w:tc>
      </w:tr>
      <w:tr>
        <w:trPr>
          <w:trHeight w:val="196"/>
        </w:trPr>
        <w:tc>
          <w:tcPr>
            <w:tcW w:w="1180" w:type="dxa"/>
            <w:vAlign w:val="bottom"/>
            <w:tcBorders>
              <w:top w:val="single" w:sz="8" w:color="auto"/>
            </w:tcBorders>
            <w:shd w:val="clear" w:color="auto" w:fill="CFF0FC"/>
          </w:tcPr>
          <w:p>
            <w:pPr>
              <w:jc w:val="center"/>
              <w:spacing w:after="0" w:line="196" w:lineRule="exact"/>
              <w:rPr>
                <w:sz w:val="20"/>
                <w:szCs w:val="20"/>
                <w:color w:val="auto"/>
              </w:rPr>
            </w:pPr>
            <w:r>
              <w:rPr>
                <w:rFonts w:ascii="Arial" w:cs="Arial" w:eastAsia="Arial" w:hAnsi="Arial"/>
                <w:sz w:val="18"/>
                <w:szCs w:val="18"/>
                <w:color w:val="auto"/>
                <w:w w:val="79"/>
              </w:rPr>
              <w:t>1</w:t>
            </w:r>
          </w:p>
        </w:tc>
        <w:tc>
          <w:tcPr>
            <w:tcW w:w="16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ind w:right="33"/>
              <w:spacing w:after="0" w:line="196" w:lineRule="exact"/>
              <w:rPr>
                <w:sz w:val="20"/>
                <w:szCs w:val="20"/>
                <w:color w:val="auto"/>
              </w:rPr>
            </w:pPr>
            <w:r>
              <w:rPr>
                <w:rFonts w:ascii="Arial" w:cs="Arial" w:eastAsia="Arial" w:hAnsi="Arial"/>
                <w:sz w:val="18"/>
                <w:szCs w:val="18"/>
                <w:color w:val="auto"/>
              </w:rPr>
              <w:t>91,424,112</w:t>
            </w:r>
          </w:p>
        </w:tc>
        <w:tc>
          <w:tcPr>
            <w:tcW w:w="140" w:type="dxa"/>
            <w:vAlign w:val="bottom"/>
            <w:shd w:val="clear" w:color="auto" w:fill="CFF0FC"/>
          </w:tcPr>
          <w:p>
            <w:pPr>
              <w:spacing w:after="0"/>
              <w:rPr>
                <w:sz w:val="17"/>
                <w:szCs w:val="17"/>
                <w:color w:val="auto"/>
              </w:rPr>
            </w:pPr>
          </w:p>
        </w:tc>
        <w:tc>
          <w:tcPr>
            <w:tcW w:w="134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12.5</w:t>
            </w:r>
          </w:p>
        </w:tc>
        <w:tc>
          <w:tcPr>
            <w:tcW w:w="22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520" w:type="dxa"/>
            <w:vAlign w:val="bottom"/>
            <w:tcBorders>
              <w:top w:val="single" w:sz="8" w:color="auto"/>
            </w:tcBorders>
            <w:shd w:val="clear" w:color="auto" w:fill="CFF0FC"/>
          </w:tcPr>
          <w:p>
            <w:pPr>
              <w:jc w:val="right"/>
              <w:ind w:right="36"/>
              <w:spacing w:after="0" w:line="196" w:lineRule="exact"/>
              <w:rPr>
                <w:sz w:val="20"/>
                <w:szCs w:val="20"/>
                <w:color w:val="auto"/>
              </w:rPr>
            </w:pPr>
            <w:r>
              <w:rPr>
                <w:rFonts w:ascii="Arial" w:cs="Arial" w:eastAsia="Arial" w:hAnsi="Arial"/>
                <w:sz w:val="18"/>
                <w:szCs w:val="18"/>
                <w:color w:val="auto"/>
              </w:rPr>
              <w:t>2</w:t>
            </w: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79"/>
              </w:rPr>
              <w:t>2</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746,334,519</w:t>
            </w:r>
          </w:p>
        </w:tc>
        <w:tc>
          <w:tcPr>
            <w:tcW w:w="16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92.4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479,114,147</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17</w:t>
            </w:r>
          </w:p>
        </w:tc>
      </w:tr>
      <w:tr>
        <w:trPr>
          <w:trHeight w:val="203"/>
        </w:trPr>
        <w:tc>
          <w:tcPr>
            <w:tcW w:w="1180" w:type="dxa"/>
            <w:vAlign w:val="bottom"/>
            <w:shd w:val="clear" w:color="auto" w:fill="CFF0FC"/>
          </w:tcPr>
          <w:p>
            <w:pPr>
              <w:jc w:val="center"/>
              <w:spacing w:after="0" w:line="202" w:lineRule="exact"/>
              <w:rPr>
                <w:sz w:val="20"/>
                <w:szCs w:val="20"/>
                <w:color w:val="auto"/>
              </w:rPr>
            </w:pPr>
            <w:r>
              <w:rPr>
                <w:rFonts w:ascii="Arial" w:cs="Arial" w:eastAsia="Arial" w:hAnsi="Arial"/>
                <w:sz w:val="18"/>
                <w:szCs w:val="18"/>
                <w:color w:val="auto"/>
                <w:w w:val="79"/>
              </w:rPr>
              <w:t>3</w:t>
            </w:r>
          </w:p>
        </w:tc>
        <w:tc>
          <w:tcPr>
            <w:tcW w:w="1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20,388,387</w:t>
            </w:r>
          </w:p>
        </w:tc>
        <w:tc>
          <w:tcPr>
            <w:tcW w:w="164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2.5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40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47,490,324</w:t>
            </w:r>
          </w:p>
        </w:tc>
        <w:tc>
          <w:tcPr>
            <w:tcW w:w="14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6.5</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20" w:type="dxa"/>
            <w:vAlign w:val="bottom"/>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4</w:t>
            </w:r>
          </w:p>
        </w:tc>
      </w:tr>
      <w:tr>
        <w:trPr>
          <w:trHeight w:val="203"/>
        </w:trPr>
        <w:tc>
          <w:tcPr>
            <w:tcW w:w="1180" w:type="dxa"/>
            <w:vAlign w:val="bottom"/>
          </w:tcPr>
          <w:p>
            <w:pPr>
              <w:jc w:val="center"/>
              <w:spacing w:after="0" w:line="202" w:lineRule="exact"/>
              <w:rPr>
                <w:sz w:val="20"/>
                <w:szCs w:val="20"/>
                <w:color w:val="auto"/>
              </w:rPr>
            </w:pPr>
            <w:r>
              <w:rPr>
                <w:rFonts w:ascii="Arial" w:cs="Arial" w:eastAsia="Arial" w:hAnsi="Arial"/>
                <w:sz w:val="18"/>
                <w:szCs w:val="18"/>
                <w:color w:val="auto"/>
                <w:w w:val="79"/>
              </w:rPr>
              <w:t>4</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0" w:type="dxa"/>
            <w:vAlign w:val="bottom"/>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33"/>
              <w:spacing w:after="0" w:line="202" w:lineRule="exact"/>
              <w:rPr>
                <w:sz w:val="20"/>
                <w:szCs w:val="20"/>
                <w:color w:val="auto"/>
              </w:rPr>
            </w:pPr>
            <w:r>
              <w:rPr>
                <w:rFonts w:ascii="Arial" w:cs="Arial" w:eastAsia="Arial" w:hAnsi="Arial"/>
                <w:sz w:val="18"/>
                <w:szCs w:val="18"/>
                <w:color w:val="auto"/>
              </w:rPr>
              <w:t>3,247,863</w:t>
            </w:r>
          </w:p>
        </w:tc>
        <w:tc>
          <w:tcPr>
            <w:tcW w:w="14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right"/>
              <w:ind w:right="36"/>
              <w:spacing w:after="0" w:line="202" w:lineRule="exact"/>
              <w:rPr>
                <w:sz w:val="20"/>
                <w:szCs w:val="20"/>
                <w:color w:val="auto"/>
              </w:rPr>
            </w:pPr>
            <w:r>
              <w:rPr>
                <w:rFonts w:ascii="Arial" w:cs="Arial" w:eastAsia="Arial" w:hAnsi="Arial"/>
                <w:sz w:val="18"/>
                <w:szCs w:val="18"/>
                <w:color w:val="auto"/>
              </w:rPr>
              <w:t>1</w:t>
            </w:r>
          </w:p>
        </w:tc>
      </w:tr>
      <w:tr>
        <w:trPr>
          <w:trHeight w:val="203"/>
        </w:trPr>
        <w:tc>
          <w:tcPr>
            <w:tcW w:w="1180" w:type="dxa"/>
            <w:vAlign w:val="bottom"/>
            <w:tcBorders>
              <w:bottom w:val="single" w:sz="8" w:color="CFF0FC"/>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79"/>
              </w:rPr>
              <w:t>5</w:t>
            </w:r>
          </w:p>
        </w:tc>
        <w:tc>
          <w:tcPr>
            <w:tcW w:w="1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5,521,301</w:t>
            </w:r>
          </w:p>
        </w:tc>
        <w:tc>
          <w:tcPr>
            <w:tcW w:w="12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0.7</w:t>
            </w:r>
          </w:p>
        </w:tc>
        <w:tc>
          <w:tcPr>
            <w:tcW w:w="240" w:type="dxa"/>
            <w:vAlign w:val="bottom"/>
            <w:tcBorders>
              <w:bottom w:val="single" w:sz="8" w:color="auto"/>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1</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ind w:right="33"/>
              <w:spacing w:after="0" w:line="202" w:lineRule="exact"/>
              <w:rPr>
                <w:sz w:val="20"/>
                <w:szCs w:val="20"/>
                <w:color w:val="auto"/>
              </w:rPr>
            </w:pPr>
            <w:r>
              <w:rPr>
                <w:rFonts w:ascii="Arial" w:cs="Arial" w:eastAsia="Arial" w:hAnsi="Arial"/>
                <w:sz w:val="18"/>
                <w:szCs w:val="18"/>
                <w:color w:val="auto"/>
              </w:rPr>
              <w:t>14,649,788</w:t>
            </w:r>
          </w:p>
        </w:tc>
        <w:tc>
          <w:tcPr>
            <w:tcW w:w="140" w:type="dxa"/>
            <w:vAlign w:val="bottom"/>
            <w:tcBorders>
              <w:bottom w:val="single" w:sz="8" w:color="CFF0FC"/>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520" w:type="dxa"/>
            <w:vAlign w:val="bottom"/>
            <w:tcBorders>
              <w:bottom w:val="single" w:sz="8" w:color="auto"/>
            </w:tcBorders>
            <w:shd w:val="clear" w:color="auto" w:fill="CFF0FC"/>
          </w:tcPr>
          <w:p>
            <w:pPr>
              <w:jc w:val="right"/>
              <w:ind w:right="36"/>
              <w:spacing w:after="0" w:line="202" w:lineRule="exact"/>
              <w:rPr>
                <w:sz w:val="20"/>
                <w:szCs w:val="20"/>
                <w:color w:val="auto"/>
              </w:rPr>
            </w:pPr>
            <w:r>
              <w:rPr>
                <w:rFonts w:ascii="Arial" w:cs="Arial" w:eastAsia="Arial" w:hAnsi="Arial"/>
                <w:sz w:val="18"/>
                <w:szCs w:val="18"/>
                <w:color w:val="auto"/>
              </w:rPr>
              <w:t>1</w:t>
            </w:r>
          </w:p>
        </w:tc>
      </w:tr>
      <w:tr>
        <w:trPr>
          <w:trHeight w:val="196"/>
        </w:trPr>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772,244,207</w:t>
            </w:r>
          </w:p>
        </w:tc>
        <w:tc>
          <w:tcPr>
            <w:tcW w:w="1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95.6</w:t>
            </w:r>
          </w:p>
        </w:tc>
        <w:tc>
          <w:tcPr>
            <w:tcW w:w="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27</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ind w:right="33"/>
              <w:spacing w:after="0" w:line="196" w:lineRule="exact"/>
              <w:rPr>
                <w:sz w:val="20"/>
                <w:szCs w:val="20"/>
                <w:color w:val="auto"/>
              </w:rPr>
            </w:pPr>
            <w:r>
              <w:rPr>
                <w:rFonts w:ascii="Arial" w:cs="Arial" w:eastAsia="Arial" w:hAnsi="Arial"/>
                <w:sz w:val="18"/>
                <w:szCs w:val="18"/>
                <w:color w:val="auto"/>
              </w:rPr>
              <w:t>635,926,234</w:t>
            </w:r>
          </w:p>
        </w:tc>
        <w:tc>
          <w:tcPr>
            <w:tcW w:w="140" w:type="dxa"/>
            <w:vAlign w:val="bottom"/>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87.2</w:t>
            </w:r>
          </w:p>
        </w:tc>
        <w:tc>
          <w:tcPr>
            <w:tcW w:w="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20" w:type="dxa"/>
            <w:vAlign w:val="bottom"/>
            <w:tcBorders>
              <w:bottom w:val="single" w:sz="8" w:color="auto"/>
            </w:tcBorders>
          </w:tcPr>
          <w:p>
            <w:pPr>
              <w:jc w:val="right"/>
              <w:ind w:right="36"/>
              <w:spacing w:after="0" w:line="196" w:lineRule="exact"/>
              <w:rPr>
                <w:sz w:val="20"/>
                <w:szCs w:val="20"/>
                <w:color w:val="auto"/>
              </w:rPr>
            </w:pPr>
            <w:r>
              <w:rPr>
                <w:rFonts w:ascii="Arial" w:cs="Arial" w:eastAsia="Arial" w:hAnsi="Arial"/>
                <w:sz w:val="18"/>
                <w:szCs w:val="18"/>
                <w:color w:val="auto"/>
              </w:rPr>
              <w:t>25</w:t>
            </w:r>
          </w:p>
        </w:tc>
      </w:tr>
      <w:tr>
        <w:trPr>
          <w:trHeight w:val="20"/>
        </w:trPr>
        <w:tc>
          <w:tcPr>
            <w:tcW w:w="1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615"/>
        </w:trPr>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20" w:type="dxa"/>
            <w:vAlign w:val="bottom"/>
            <w:gridSpan w:val="3"/>
          </w:tcPr>
          <w:p>
            <w:pPr>
              <w:jc w:val="right"/>
              <w:ind w:right="108"/>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02"/>
        </w:trPr>
        <w:tc>
          <w:tcPr>
            <w:tcW w:w="11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1813560</wp:posOffset>
            </wp:positionH>
            <wp:positionV relativeFrom="paragraph">
              <wp:posOffset>-639445</wp:posOffset>
            </wp:positionV>
            <wp:extent cx="94615" cy="571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-639445</wp:posOffset>
            </wp:positionV>
            <wp:extent cx="94615" cy="571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-639445</wp:posOffset>
            </wp:positionV>
            <wp:extent cx="85725" cy="571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-639445</wp:posOffset>
            </wp:positionV>
            <wp:extent cx="85725" cy="571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-639445</wp:posOffset>
            </wp:positionV>
            <wp:extent cx="85725" cy="571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19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global COVID-19 pandemic, to date, has had limited impact on the investment ratings of our debt investments, taken as a whole. However, the ongoing impact of the global COVID-19 pandemic is uncertain and we can make no assurances that the pandemic or changes in the macroeconomic environment will not have a negative impact on our investment portfolio in the future.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Debt Securities on Non-Accrual Status</w:t>
      </w:r>
    </w:p>
    <w:p>
      <w:pPr>
        <w:spacing w:after="0" w:line="216"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 xml:space="preserve">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June 30, 2022, we had one loan to Pivot3 Holdings, Inc., representing an aggregate principal funded of $19,172,353 at a fair value of $5,521,301 on non-accrual status, which represents 0.95% of the Company’s net assets. </w:t>
      </w:r>
      <w:r>
        <w:rPr>
          <w:rFonts w:ascii="Arial" w:cs="Arial" w:eastAsia="Arial" w:hAnsi="Arial"/>
          <w:sz w:val="18"/>
          <w:szCs w:val="18"/>
          <w:color w:val="231F20"/>
        </w:rPr>
        <w:t>As of December 31, 2021, we had</w:t>
      </w:r>
      <w:r>
        <w:rPr>
          <w:rFonts w:ascii="Arial" w:cs="Arial" w:eastAsia="Arial" w:hAnsi="Arial"/>
          <w:sz w:val="18"/>
          <w:szCs w:val="18"/>
          <w:color w:val="auto"/>
        </w:rPr>
        <w:t xml:space="preserve"> six loans to Mojix, Inc. and one loan to Pivot3 Holdings, Inc., representing an aggregate principal funded of $30,278,707 at a fair value of $28,259,976, on non-accrual status, which represented 4.66% of our net assets</w:t>
      </w:r>
      <w:r>
        <w:rPr>
          <w:rFonts w:ascii="Arial" w:cs="Arial" w:eastAsia="Arial" w:hAnsi="Arial"/>
          <w:sz w:val="18"/>
          <w:szCs w:val="18"/>
          <w:color w:val="231F20"/>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17"/>
          <w:szCs w:val="17"/>
          <w:color w:val="auto"/>
        </w:rPr>
        <w:t>An important measure of our financial performance is net increase/(decrease) in net assets resulting from operations, which includes net investment income/(loss), net realized gain/(loss) and net unrealized appreciation/(depreciation). Net investment income/(loss)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June 30, 2022</w:t>
            </w: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June 30, 2021</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vMerge w:val="continue"/>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vMerge w:val="continue"/>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right"/>
              <w:ind w:right="512"/>
              <w:spacing w:after="0" w:line="141" w:lineRule="exact"/>
              <w:rPr>
                <w:sz w:val="20"/>
                <w:szCs w:val="20"/>
                <w:color w:val="auto"/>
              </w:rPr>
            </w:pPr>
            <w:r>
              <w:rPr>
                <w:rFonts w:ascii="Arial" w:cs="Arial" w:eastAsia="Arial" w:hAnsi="Arial"/>
                <w:sz w:val="14"/>
                <w:szCs w:val="14"/>
                <w:b w:val="1"/>
                <w:bCs w:val="1"/>
                <w:color w:val="auto"/>
              </w:rPr>
              <w:t>Per</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right"/>
              <w:ind w:right="492"/>
              <w:spacing w:after="0" w:line="141" w:lineRule="exact"/>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204"/>
        </w:trPr>
        <w:tc>
          <w:tcPr>
            <w:tcW w:w="4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7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72"/>
              <w:spacing w:after="0" w:line="204"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9"/>
                <w:szCs w:val="19"/>
                <w:b w:val="1"/>
                <w:bCs w:val="1"/>
                <w:color w:val="auto"/>
                <w:vertAlign w:val="superscript"/>
              </w:rPr>
              <w:t>(1)</w:t>
            </w:r>
          </w:p>
        </w:tc>
        <w:tc>
          <w:tcPr>
            <w:tcW w:w="1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72"/>
              <w:spacing w:after="0" w:line="204"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Investment income</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Interest and dividend income</w:t>
            </w: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25,082,434</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0.61</w:t>
            </w:r>
          </w:p>
        </w:tc>
        <w:tc>
          <w:tcPr>
            <w:tcW w:w="700" w:type="dxa"/>
            <w:vAlign w:val="bottom"/>
            <w:gridSpan w:val="2"/>
          </w:tcPr>
          <w:p>
            <w:pPr>
              <w:jc w:val="right"/>
              <w:ind w:right="350"/>
              <w:spacing w:after="0" w:line="202"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18,618,785</w:t>
            </w:r>
          </w:p>
        </w:tc>
        <w:tc>
          <w:tcPr>
            <w:tcW w:w="4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03"/>
        </w:trPr>
        <w:tc>
          <w:tcPr>
            <w:tcW w:w="48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75,656</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126,817</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48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investment income</w:t>
            </w:r>
          </w:p>
        </w:tc>
        <w:tc>
          <w:tcPr>
            <w:tcW w:w="380" w:type="dxa"/>
            <w:vAlign w:val="bottom"/>
          </w:tcPr>
          <w:p>
            <w:pPr>
              <w:spacing w:after="0"/>
              <w:rPr>
                <w:sz w:val="17"/>
                <w:szCs w:val="17"/>
                <w:color w:val="auto"/>
              </w:rPr>
            </w:pPr>
          </w:p>
        </w:tc>
        <w:tc>
          <w:tcPr>
            <w:tcW w:w="13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25,158,090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0.61</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18,745,602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Management fees</w:t>
            </w:r>
          </w:p>
        </w:tc>
        <w:tc>
          <w:tcPr>
            <w:tcW w:w="380" w:type="dxa"/>
            <w:vAlign w:val="bottom"/>
          </w:tcPr>
          <w:p>
            <w:pPr>
              <w:spacing w:after="0"/>
              <w:rPr>
                <w:sz w:val="17"/>
                <w:szCs w:val="17"/>
                <w:color w:val="auto"/>
              </w:rPr>
            </w:pPr>
          </w:p>
        </w:tc>
        <w:tc>
          <w:tcPr>
            <w:tcW w:w="1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2,862,303</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0.07</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2,276,341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Incentive fees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3,621,139</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0.09</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2,836,303</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7"/>
                <w:szCs w:val="17"/>
                <w:color w:val="auto"/>
              </w:rPr>
            </w:pPr>
          </w:p>
        </w:tc>
        <w:tc>
          <w:tcPr>
            <w:tcW w:w="1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1,609,132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0.04</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761,815</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Professional fees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888,114</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0.02</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498,913</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Overhead allocation expense</w:t>
            </w:r>
          </w:p>
        </w:tc>
        <w:tc>
          <w:tcPr>
            <w:tcW w:w="380" w:type="dxa"/>
            <w:vAlign w:val="bottom"/>
          </w:tcPr>
          <w:p>
            <w:pPr>
              <w:spacing w:after="0"/>
              <w:rPr>
                <w:sz w:val="17"/>
                <w:szCs w:val="17"/>
                <w:color w:val="auto"/>
              </w:rPr>
            </w:pPr>
          </w:p>
        </w:tc>
        <w:tc>
          <w:tcPr>
            <w:tcW w:w="1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218,294</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0.01</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208,736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Insurance expense</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268,618</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0.01</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23,275</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Administration fees</w:t>
            </w:r>
          </w:p>
        </w:tc>
        <w:tc>
          <w:tcPr>
            <w:tcW w:w="380" w:type="dxa"/>
            <w:vAlign w:val="bottom"/>
          </w:tcPr>
          <w:p>
            <w:pPr>
              <w:spacing w:after="0"/>
              <w:rPr>
                <w:sz w:val="17"/>
                <w:szCs w:val="17"/>
                <w:color w:val="auto"/>
              </w:rPr>
            </w:pPr>
          </w:p>
        </w:tc>
        <w:tc>
          <w:tcPr>
            <w:tcW w:w="1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168,078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92,760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Debt financing fees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726,568</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0.02</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419,216</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Directors’ fees</w:t>
            </w:r>
          </w:p>
        </w:tc>
        <w:tc>
          <w:tcPr>
            <w:tcW w:w="380" w:type="dxa"/>
            <w:vAlign w:val="bottom"/>
          </w:tcPr>
          <w:p>
            <w:pPr>
              <w:spacing w:after="0"/>
              <w:rPr>
                <w:sz w:val="17"/>
                <w:szCs w:val="17"/>
                <w:color w:val="auto"/>
              </w:rPr>
            </w:pPr>
          </w:p>
        </w:tc>
        <w:tc>
          <w:tcPr>
            <w:tcW w:w="1320" w:type="dxa"/>
            <w:vAlign w:val="bottom"/>
          </w:tcPr>
          <w:p>
            <w:pPr>
              <w:jc w:val="right"/>
              <w:ind w:right="52"/>
              <w:spacing w:after="0" w:line="202" w:lineRule="exact"/>
              <w:rPr>
                <w:sz w:val="20"/>
                <w:szCs w:val="20"/>
                <w:color w:val="auto"/>
              </w:rPr>
            </w:pPr>
            <w:r>
              <w:rPr>
                <w:rFonts w:ascii="Arial" w:cs="Arial" w:eastAsia="Arial" w:hAnsi="Arial"/>
                <w:sz w:val="18"/>
                <w:szCs w:val="18"/>
                <w:color w:val="auto"/>
              </w:rPr>
              <w:t>82,500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ind w:right="32"/>
              <w:spacing w:after="0" w:line="202" w:lineRule="exact"/>
              <w:rPr>
                <w:sz w:val="20"/>
                <w:szCs w:val="20"/>
                <w:color w:val="auto"/>
              </w:rPr>
            </w:pPr>
            <w:r>
              <w:rPr>
                <w:rFonts w:ascii="Arial" w:cs="Arial" w:eastAsia="Arial" w:hAnsi="Arial"/>
                <w:sz w:val="18"/>
                <w:szCs w:val="18"/>
                <w:color w:val="auto"/>
              </w:rPr>
              <w:t>69,250</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Tax expense</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823</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41</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200"/>
              <w:spacing w:after="0" w:line="202" w:lineRule="exact"/>
              <w:rPr>
                <w:sz w:val="20"/>
                <w:szCs w:val="20"/>
                <w:color w:val="auto"/>
              </w:rPr>
            </w:pPr>
            <w:r>
              <w:rPr>
                <w:rFonts w:ascii="Arial" w:cs="Arial" w:eastAsia="Arial" w:hAnsi="Arial"/>
                <w:sz w:val="18"/>
                <w:szCs w:val="18"/>
                <w:color w:val="auto"/>
              </w:rPr>
              <w:t>Other expenses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2"/>
              <w:spacing w:after="0" w:line="202" w:lineRule="exact"/>
              <w:rPr>
                <w:sz w:val="20"/>
                <w:szCs w:val="20"/>
                <w:color w:val="auto"/>
              </w:rPr>
            </w:pPr>
            <w:r>
              <w:rPr>
                <w:rFonts w:ascii="Arial" w:cs="Arial" w:eastAsia="Arial" w:hAnsi="Arial"/>
                <w:sz w:val="18"/>
                <w:szCs w:val="18"/>
                <w:color w:val="auto"/>
              </w:rPr>
              <w:t>233,939</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0.01</w:t>
            </w:r>
          </w:p>
        </w:tc>
        <w:tc>
          <w:tcPr>
            <w:tcW w:w="1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218,475</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96"/>
        </w:trPr>
        <w:tc>
          <w:tcPr>
            <w:tcW w:w="486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2"/>
              <w:spacing w:after="0" w:line="196" w:lineRule="exact"/>
              <w:rPr>
                <w:sz w:val="20"/>
                <w:szCs w:val="20"/>
                <w:color w:val="auto"/>
              </w:rPr>
            </w:pPr>
            <w:r>
              <w:rPr>
                <w:rFonts w:ascii="Arial" w:cs="Arial" w:eastAsia="Arial" w:hAnsi="Arial"/>
                <w:sz w:val="18"/>
                <w:szCs w:val="18"/>
                <w:color w:val="auto"/>
              </w:rPr>
              <w:t>10,679,508</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0.26</w:t>
            </w:r>
          </w:p>
        </w:tc>
        <w:tc>
          <w:tcPr>
            <w:tcW w:w="160" w:type="dxa"/>
            <w:vAlign w:val="bottom"/>
            <w:tcBorders>
              <w:bottom w:val="single" w:sz="8" w:color="CFF0FC"/>
            </w:tcBorders>
            <w:shd w:val="clear" w:color="auto" w:fill="CFF0FC"/>
          </w:tcPr>
          <w:p>
            <w:pPr>
              <w:spacing w:after="0"/>
              <w:rPr>
                <w:sz w:val="17"/>
                <w:szCs w:val="17"/>
                <w:color w:val="auto"/>
              </w:rPr>
            </w:pPr>
          </w:p>
        </w:tc>
        <w:tc>
          <w:tcPr>
            <w:tcW w:w="54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7,405,125</w:t>
            </w:r>
          </w:p>
        </w:tc>
        <w:tc>
          <w:tcPr>
            <w:tcW w:w="1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32"/>
              <w:spacing w:after="0" w:line="196" w:lineRule="exact"/>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196"/>
        </w:trPr>
        <w:tc>
          <w:tcPr>
            <w:tcW w:w="48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investment income</w:t>
            </w:r>
          </w:p>
        </w:tc>
        <w:tc>
          <w:tcPr>
            <w:tcW w:w="380" w:type="dxa"/>
            <w:vAlign w:val="bottom"/>
          </w:tcPr>
          <w:p>
            <w:pPr>
              <w:spacing w:after="0"/>
              <w:rPr>
                <w:sz w:val="17"/>
                <w:szCs w:val="17"/>
                <w:color w:val="auto"/>
              </w:rPr>
            </w:pPr>
          </w:p>
        </w:tc>
        <w:tc>
          <w:tcPr>
            <w:tcW w:w="1320" w:type="dxa"/>
            <w:vAlign w:val="bottom"/>
          </w:tcPr>
          <w:p>
            <w:pPr>
              <w:jc w:val="right"/>
              <w:ind w:right="52"/>
              <w:spacing w:after="0" w:line="196" w:lineRule="exact"/>
              <w:rPr>
                <w:sz w:val="20"/>
                <w:szCs w:val="20"/>
                <w:color w:val="auto"/>
              </w:rPr>
            </w:pPr>
            <w:r>
              <w:rPr>
                <w:rFonts w:ascii="Arial" w:cs="Arial" w:eastAsia="Arial" w:hAnsi="Arial"/>
                <w:sz w:val="18"/>
                <w:szCs w:val="18"/>
                <w:color w:val="auto"/>
              </w:rPr>
              <w:t>14,478,582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jc w:val="right"/>
              <w:ind w:right="32"/>
              <w:spacing w:after="0" w:line="196" w:lineRule="exact"/>
              <w:rPr>
                <w:sz w:val="20"/>
                <w:szCs w:val="20"/>
                <w:color w:val="auto"/>
              </w:rPr>
            </w:pPr>
            <w:r>
              <w:rPr>
                <w:rFonts w:ascii="Arial" w:cs="Arial" w:eastAsia="Arial" w:hAnsi="Arial"/>
                <w:sz w:val="18"/>
                <w:szCs w:val="18"/>
                <w:color w:val="auto"/>
              </w:rPr>
              <w:t>0.35</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80" w:type="dxa"/>
            <w:vAlign w:val="bottom"/>
          </w:tcPr>
          <w:p>
            <w:pPr>
              <w:jc w:val="right"/>
              <w:ind w:right="32"/>
              <w:spacing w:after="0" w:line="196" w:lineRule="exact"/>
              <w:rPr>
                <w:sz w:val="20"/>
                <w:szCs w:val="20"/>
                <w:color w:val="auto"/>
              </w:rPr>
            </w:pPr>
            <w:r>
              <w:rPr>
                <w:rFonts w:ascii="Arial" w:cs="Arial" w:eastAsia="Arial" w:hAnsi="Arial"/>
                <w:sz w:val="18"/>
                <w:szCs w:val="18"/>
                <w:color w:val="auto"/>
              </w:rPr>
              <w:t>11,340,477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32"/>
              <w:spacing w:after="0" w:line="196" w:lineRule="exact"/>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Realized gain (loss) on investments</w:t>
            </w:r>
          </w:p>
        </w:tc>
        <w:tc>
          <w:tcPr>
            <w:tcW w:w="38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2"/>
              <w:spacing w:after="0" w:line="202" w:lineRule="exact"/>
              <w:rPr>
                <w:sz w:val="20"/>
                <w:szCs w:val="20"/>
                <w:color w:val="auto"/>
              </w:rPr>
            </w:pPr>
            <w:r>
              <w:rPr>
                <w:rFonts w:ascii="Arial" w:cs="Arial" w:eastAsia="Arial" w:hAnsi="Arial"/>
                <w:sz w:val="18"/>
                <w:szCs w:val="18"/>
                <w:color w:val="auto"/>
              </w:rPr>
              <w:t>903,722</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32"/>
              <w:spacing w:after="0" w:line="202" w:lineRule="exact"/>
              <w:rPr>
                <w:sz w:val="20"/>
                <w:szCs w:val="20"/>
                <w:color w:val="auto"/>
              </w:rPr>
            </w:pPr>
            <w:r>
              <w:rPr>
                <w:rFonts w:ascii="Arial" w:cs="Arial" w:eastAsia="Arial" w:hAnsi="Arial"/>
                <w:sz w:val="18"/>
                <w:szCs w:val="18"/>
                <w:color w:val="auto"/>
              </w:rPr>
              <w:t>0.02</w:t>
            </w: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(4,595,853 )</w:t>
            </w:r>
          </w:p>
        </w:tc>
        <w:tc>
          <w:tcPr>
            <w:tcW w:w="1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(0.14 )</w:t>
            </w:r>
          </w:p>
        </w:tc>
        <w:tc>
          <w:tcPr>
            <w:tcW w:w="0" w:type="dxa"/>
            <w:vAlign w:val="bottom"/>
          </w:tcPr>
          <w:p>
            <w:pPr>
              <w:spacing w:after="0"/>
              <w:rPr>
                <w:sz w:val="1"/>
                <w:szCs w:val="1"/>
                <w:color w:val="auto"/>
              </w:rPr>
            </w:pPr>
          </w:p>
        </w:tc>
      </w:tr>
      <w:tr>
        <w:trPr>
          <w:trHeight w:val="162"/>
        </w:trPr>
        <w:tc>
          <w:tcPr>
            <w:tcW w:w="4860" w:type="dxa"/>
            <w:vAlign w:val="bottom"/>
          </w:tcPr>
          <w:p>
            <w:pPr>
              <w:ind w:left="20"/>
              <w:spacing w:after="0" w:line="162" w:lineRule="exact"/>
              <w:rPr>
                <w:sz w:val="20"/>
                <w:szCs w:val="20"/>
                <w:color w:val="auto"/>
              </w:rPr>
            </w:pPr>
            <w:r>
              <w:rPr>
                <w:rFonts w:ascii="Arial" w:cs="Arial" w:eastAsia="Arial" w:hAnsi="Arial"/>
                <w:sz w:val="18"/>
                <w:szCs w:val="18"/>
                <w:b w:val="1"/>
                <w:bCs w:val="1"/>
                <w:color w:val="auto"/>
              </w:rPr>
              <w:t>Net change in unrealized appreciation (depreciation) on</w:t>
            </w:r>
          </w:p>
        </w:tc>
        <w:tc>
          <w:tcPr>
            <w:tcW w:w="38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(16,199,638 )</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(0.39 )</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(33,281 )</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vMerge w:val="restart"/>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investments</w:t>
            </w: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4860" w:type="dxa"/>
            <w:vAlign w:val="bottom"/>
            <w:shd w:val="clear" w:color="auto" w:fill="CFF0FC"/>
          </w:tcPr>
          <w:p>
            <w:pPr>
              <w:ind w:left="20"/>
              <w:spacing w:after="0" w:line="156" w:lineRule="exact"/>
              <w:rPr>
                <w:sz w:val="20"/>
                <w:szCs w:val="20"/>
                <w:color w:val="auto"/>
              </w:rPr>
            </w:pPr>
            <w:r>
              <w:rPr>
                <w:rFonts w:ascii="Arial" w:cs="Arial" w:eastAsia="Arial" w:hAnsi="Arial"/>
                <w:sz w:val="18"/>
                <w:szCs w:val="18"/>
                <w:b w:val="1"/>
                <w:bCs w:val="1"/>
                <w:color w:val="auto"/>
              </w:rPr>
              <w:t>Net increase (decrease) in net assets resulting from</w:t>
            </w:r>
          </w:p>
        </w:tc>
        <w:tc>
          <w:tcPr>
            <w:tcW w:w="380" w:type="dxa"/>
            <w:vAlign w:val="bottom"/>
            <w:vMerge w:val="restart"/>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(817,334 )</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(0.02 )</w:t>
            </w:r>
          </w:p>
        </w:tc>
        <w:tc>
          <w:tcPr>
            <w:tcW w:w="160" w:type="dxa"/>
            <w:vAlign w:val="bottom"/>
            <w:vMerge w:val="restart"/>
            <w:shd w:val="clear" w:color="auto" w:fill="CFF0FC"/>
          </w:tcPr>
          <w:p>
            <w:pPr>
              <w:spacing w:after="0"/>
              <w:rPr>
                <w:sz w:val="13"/>
                <w:szCs w:val="13"/>
                <w:color w:val="auto"/>
              </w:rPr>
            </w:pPr>
          </w:p>
        </w:tc>
        <w:tc>
          <w:tcPr>
            <w:tcW w:w="540" w:type="dxa"/>
            <w:vAlign w:val="bottom"/>
            <w:vMerge w:val="restart"/>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6,711,343</w:t>
            </w:r>
          </w:p>
        </w:tc>
        <w:tc>
          <w:tcPr>
            <w:tcW w:w="1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40" w:type="dxa"/>
            <w:vAlign w:val="bottom"/>
            <w:vMerge w:val="restart"/>
            <w:shd w:val="clear" w:color="auto" w:fill="CFF0FC"/>
          </w:tcPr>
          <w:p>
            <w:pPr>
              <w:jc w:val="right"/>
              <w:ind w:right="32"/>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5"/>
        </w:trPr>
        <w:tc>
          <w:tcPr>
            <w:tcW w:w="4860" w:type="dxa"/>
            <w:vAlign w:val="bottom"/>
            <w:tcBorders>
              <w:bottom w:val="single" w:sz="8" w:color="CFF0FC"/>
            </w:tcBorders>
            <w:shd w:val="clear" w:color="auto" w:fill="CFF0FC"/>
          </w:tcPr>
          <w:p>
            <w:pPr>
              <w:ind w:left="20"/>
              <w:spacing w:after="0" w:line="156" w:lineRule="exact"/>
              <w:rPr>
                <w:sz w:val="20"/>
                <w:szCs w:val="20"/>
                <w:color w:val="auto"/>
              </w:rPr>
            </w:pPr>
            <w:r>
              <w:rPr>
                <w:rFonts w:ascii="Arial" w:cs="Arial" w:eastAsia="Arial" w:hAnsi="Arial"/>
                <w:sz w:val="18"/>
                <w:szCs w:val="18"/>
                <w:b w:val="1"/>
                <w:bCs w:val="1"/>
                <w:color w:val="auto"/>
              </w:rPr>
              <w:t>operations</w:t>
            </w:r>
          </w:p>
        </w:tc>
        <w:tc>
          <w:tcPr>
            <w:tcW w:w="380" w:type="dxa"/>
            <w:vAlign w:val="bottom"/>
            <w:tcBorders>
              <w:bottom w:val="single" w:sz="8" w:color="auto"/>
            </w:tcBorders>
            <w:vMerge w:val="continue"/>
            <w:shd w:val="clear" w:color="auto" w:fill="CFF0FC"/>
          </w:tcPr>
          <w:p>
            <w:pPr>
              <w:spacing w:after="0"/>
              <w:rPr>
                <w:sz w:val="18"/>
                <w:szCs w:val="18"/>
                <w:color w:val="auto"/>
              </w:rPr>
            </w:pPr>
          </w:p>
        </w:tc>
        <w:tc>
          <w:tcPr>
            <w:tcW w:w="132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vMerge w:val="continue"/>
            <w:shd w:val="clear" w:color="auto" w:fill="CFF0FC"/>
          </w:tcPr>
          <w:p>
            <w:pPr>
              <w:spacing w:after="0"/>
              <w:rPr>
                <w:sz w:val="18"/>
                <w:szCs w:val="18"/>
                <w:color w:val="auto"/>
              </w:rPr>
            </w:pPr>
          </w:p>
        </w:tc>
        <w:tc>
          <w:tcPr>
            <w:tcW w:w="540" w:type="dxa"/>
            <w:vAlign w:val="bottom"/>
            <w:tcBorders>
              <w:bottom w:val="single" w:sz="8" w:color="auto"/>
            </w:tcBorders>
            <w:vMerge w:val="continue"/>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-2559685</wp:posOffset>
            </wp:positionV>
            <wp:extent cx="111125" cy="571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-2559685</wp:posOffset>
            </wp:positionV>
            <wp:extent cx="102870" cy="571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-2559685</wp:posOffset>
            </wp:positionV>
            <wp:extent cx="102870" cy="571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-742315</wp:posOffset>
            </wp:positionV>
            <wp:extent cx="111125" cy="571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-742315</wp:posOffset>
            </wp:positionV>
            <wp:extent cx="102870" cy="571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-742315</wp:posOffset>
            </wp:positionV>
            <wp:extent cx="102870" cy="571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-25400</wp:posOffset>
            </wp:positionV>
            <wp:extent cx="11112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-8255</wp:posOffset>
            </wp:positionV>
            <wp:extent cx="11112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-25400</wp:posOffset>
            </wp:positionV>
            <wp:extent cx="10287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-8255</wp:posOffset>
            </wp:positionV>
            <wp:extent cx="10287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-25400</wp:posOffset>
            </wp:positionV>
            <wp:extent cx="10287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-8255</wp:posOffset>
            </wp:positionV>
            <wp:extent cx="10287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2" w:lineRule="exact"/>
        <w:rPr>
          <w:sz w:val="20"/>
          <w:szCs w:val="20"/>
          <w:color w:val="auto"/>
        </w:rPr>
      </w:pPr>
    </w:p>
    <w:p>
      <w:pPr>
        <w:ind w:left="760" w:hanging="374"/>
        <w:spacing w:after="0" w:line="189" w:lineRule="auto"/>
        <w:tabs>
          <w:tab w:leader="none" w:pos="760" w:val="left"/>
        </w:tabs>
        <w:numPr>
          <w:ilvl w:val="0"/>
          <w:numId w:val="34"/>
        </w:numPr>
        <w:rPr>
          <w:rFonts w:ascii="Arial" w:cs="Arial" w:eastAsia="Arial" w:hAnsi="Arial"/>
          <w:sz w:val="24"/>
          <w:szCs w:val="24"/>
          <w:color w:val="auto"/>
          <w:vertAlign w:val="superscript"/>
        </w:rPr>
      </w:pPr>
      <w:r>
        <w:rPr>
          <w:rFonts w:ascii="Arial" w:cs="Arial" w:eastAsia="Arial" w:hAnsi="Arial"/>
          <w:sz w:val="14"/>
          <w:szCs w:val="14"/>
          <w:color w:val="auto"/>
        </w:rPr>
        <w:t>The basic per share figures noted above are based on weighted averages of 41,215,664 and 32,396,396 shares outstanding for the three months ended June 30, 2022 and 2021, respectively.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Our investment objective is to maximize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strategy also typically includes the receipt of warrants and/or other equity from venture-backed companies. We expect our investments in loans will generally range from between $5.0 million to $75.0 million, and the upper end of this range may increase as we raise additional capital.</w:t>
      </w:r>
    </w:p>
    <w:p>
      <w:pPr>
        <w:spacing w:after="0" w:line="18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7"/>
          <w:szCs w:val="17"/>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quarterly or semiannually, primarily based on a floating rate index, and subject to certain floors determined by market rates at the time the investment is made.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record prepayment premiums on loans and debt securities as interest income. Dividend income, if any, will be recognized on an accrual basis to the extent that we expect to collect such amounts.</w:t>
      </w:r>
    </w:p>
    <w:p>
      <w:pPr>
        <w:spacing w:after="0" w:line="18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Included in investment income are non-recurring fees primarily comprised of early prepayment fees and unamortized original issue discounts recorded as interest income. Other non-recurring income consisting of amendment fees, legal fees, reimbursable income, and any other fee income for services rendered, if any, are recorded as other income when earned.</w:t>
      </w:r>
    </w:p>
    <w:p>
      <w:pPr>
        <w:spacing w:after="0" w:line="18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Investment income for the three months ended June 30, 2022 and 2021 was $25,158,090 and $18,745,602, respectively, and includes non-recurring income of $1,825,151 and $2,966,937, respectively. The increase in investment income for the three months ended June 30, 2022 compared to the three months ended June 30, 2021 was primarily due to interest income and driven by our deployment of capital, increased invested balance, prepayments, end-of-term payments, and increased market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Our primary operating expenses include the payment of fees to RGC under the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41" w:lineRule="exact"/>
        <w:rPr>
          <w:sz w:val="20"/>
          <w:szCs w:val="20"/>
          <w:color w:val="auto"/>
        </w:rPr>
      </w:pPr>
    </w:p>
    <w:p>
      <w:pPr>
        <w:ind w:left="760" w:hanging="378"/>
        <w:spacing w:after="0"/>
        <w:tabs>
          <w:tab w:leader="none" w:pos="7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our pro-rata portion of fees and expenses related an initial public offering of the Public Fund in connection with a Spin-Off transaction;</w:t>
      </w:r>
    </w:p>
    <w:p>
      <w:pPr>
        <w:spacing w:after="0" w:line="196" w:lineRule="exact"/>
        <w:rPr>
          <w:rFonts w:ascii="Arial" w:cs="Arial" w:eastAsia="Arial" w:hAnsi="Arial"/>
          <w:sz w:val="17"/>
          <w:szCs w:val="17"/>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and expenses related to public and private offerings, sales and repurchases of our securities;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71" w:lineRule="exact"/>
        <w:rPr>
          <w:rFonts w:ascii="Arial" w:cs="Arial" w:eastAsia="Arial" w:hAnsi="Arial"/>
          <w:sz w:val="18"/>
          <w:szCs w:val="18"/>
          <w:color w:val="auto"/>
        </w:rPr>
      </w:pPr>
    </w:p>
    <w:p>
      <w:pPr>
        <w:jc w:val="both"/>
        <w:ind w:left="760" w:hanging="378"/>
        <w:spacing w:after="0" w:line="248" w:lineRule="auto"/>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54"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71"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costs of preparing and filing reports or other documents required by the SEC, the Financial Industry Regulatory Authority or other regulators;</w:t>
      </w:r>
    </w:p>
    <w:p>
      <w:pPr>
        <w:spacing w:after="0" w:line="194" w:lineRule="exact"/>
        <w:rPr>
          <w:rFonts w:ascii="Arial" w:cs="Arial" w:eastAsia="Arial" w:hAnsi="Arial"/>
          <w:sz w:val="16"/>
          <w:szCs w:val="16"/>
          <w:color w:val="auto"/>
        </w:rPr>
      </w:pPr>
    </w:p>
    <w:p>
      <w:pPr>
        <w:ind w:left="760" w:hanging="378"/>
        <w:spacing w:after="0"/>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184" w:lineRule="exact"/>
        <w:rPr>
          <w:rFonts w:ascii="Arial" w:cs="Arial" w:eastAsia="Arial" w:hAnsi="Arial"/>
          <w:sz w:val="18"/>
          <w:szCs w:val="18"/>
          <w:color w:val="auto"/>
        </w:rPr>
      </w:pPr>
    </w:p>
    <w:p>
      <w:pPr>
        <w:ind w:left="760" w:hanging="378"/>
        <w:spacing w:after="0"/>
        <w:tabs>
          <w:tab w:leader="none" w:pos="7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allocable portion of any fidelity bond, directors’ and officers’ errors and omissions liability insurance, and any other insurance premiums;</w:t>
      </w:r>
    </w:p>
    <w:p>
      <w:pPr>
        <w:spacing w:after="0" w:line="182" w:lineRule="exact"/>
        <w:rPr>
          <w:rFonts w:ascii="Arial" w:cs="Arial" w:eastAsia="Arial" w:hAnsi="Arial"/>
          <w:sz w:val="17"/>
          <w:szCs w:val="17"/>
          <w:color w:val="auto"/>
        </w:rPr>
      </w:pPr>
    </w:p>
    <w:p>
      <w:pPr>
        <w:ind w:left="760" w:hanging="378"/>
        <w:spacing w:after="0" w:line="261"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30" w:lineRule="exact"/>
        <w:rPr>
          <w:rFonts w:ascii="Arial" w:cs="Arial" w:eastAsia="Arial" w:hAnsi="Arial"/>
          <w:sz w:val="18"/>
          <w:szCs w:val="18"/>
          <w:color w:val="auto"/>
        </w:rPr>
      </w:pPr>
    </w:p>
    <w:p>
      <w:pPr>
        <w:jc w:val="both"/>
        <w:ind w:left="760" w:hanging="378"/>
        <w:spacing w:after="0" w:line="243" w:lineRule="auto"/>
        <w:tabs>
          <w:tab w:leader="none" w:pos="7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8"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Operating expenses for the three months ended June 30, 2022 and 2021 were $10,679,508 and $7,405,125 respectively. Operating expenses increased for the three months ended June 30, 2022 from the three months ended June 30, 2021 primarily due to an increase in incentive fees, management fees, debt financing fees, and interest expense. Operating expenses per share for the three months ended June 30, 2022 and 2021 were $0.26 per share and $0.23 per share,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7"/>
          <w:szCs w:val="17"/>
          <w:color w:val="auto"/>
        </w:rPr>
        <w:t>Incentive fees for the three months ended June 30, 2022 and 2021 were $3,621,139 and $2,836,303, respectively. Incentive fees increased for the three months ended June 30, 2022 from the three months ended June 30, 2021 primarily due to an increase in net investment income arising from the income acceleration from the loan repayment in Mojix, Inc. $3,028,355 of the incentive fees for the three months ended June 30, 2022 were earned, payable in cash, and included under Accrued incentive fees on the Statement of Assets and Liabilities as of June 30, 2022. $592,784 of the incentive fees for the three months ended June 30, 2022 were deferred and accrued, and included in Accrued incentive fees on the Statement of Assets and Liabilities as of June 30, 2022. $2,229,639 of the incentive fees for the three months ended June 30, 2021 were earned, payable in cash, and included under Accrued incentive fees on the Statement of Assets and Liabilities as of June 30, 2021. $606,664 of the incentive fees for the three months ended June 30, 2021 were deferred and accrued, and included under Accrued incentive fees on the Statement of Assets and Liabilities as of June 30, 2021. Incentive fees related to PIK or deferred interest are accrued and payment is deferred until such interest is collected in cash. Incentive fees per share for the three months ended June 30, 2022 and June 30, 2021 were $0.09 and $0.09 per share,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1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Net investment income for the three months ended June 30, 2022 and 2021 was $14,478,582 and $11,340,477, respectively. Net investment income increased for the three months ended June 30, 2022 from the three months ended June 30, 2021, primarily due to an increase in net investment income arising from the income acceleration from the loan repayment in Mojix, Inc. Net investment income per share for the three months ended June 30, 2022 and 2021 was $0.35 per share and $0.35 per share,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(Loss) on Investments</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net realized gain on investments of $903,722 for the three months ended June 30, 2022 was primarily due to the gain on a portion of our investment in the common stock of Brilliant Earth Group, Inc. The net realized loss on investments of $4,595,853 for the three months ended June 30, 2021 was primarily due to the loss on a portion of our investment in the preferred stock of CareCloud,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Net change in unrealized depreciation on investments of $16,199,638 for the three months ended June 30, 2022 was primarily due to decreases in the fair value of our senior secured loan to Pivot3 Holdings, Inc. and common stock of Brilliant Earth Group, Inc. The net change in unrealized depreciation on investments of $33,281 for the three months ended June 30, 2021 was primarily due to</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decreases in the fair value of our senior secured loans to Pivot3 Holdings, Inc. and our investment in the common stock of Pivto3 Holdings, Inc. This was partially offset by an increase in the fair value of our investment in the common stock of Ouster,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(Decrease) in Net Assets Resulting from Operations</w:t>
      </w:r>
    </w:p>
    <w:p>
      <w:pPr>
        <w:spacing w:after="0" w:line="21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We had a net decrease in net assets resulting from operations of $817,334 for the three months ended June 30, 2022, as compared to a net increase in net assets resulting from operations of $6,711,343 for the three months ended June 30, 2021. The net decrease in net assets resulting from operations for the three months ended June 30, 2022 from the three months ended June 30, 2021 was primarily due to an increase in unrealized depreciation in our portfolio and an increase in operating expenses for the three months ended June 30,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20" w:type="dxa"/>
            <w:vAlign w:val="bottom"/>
            <w:gridSpan w:val="3"/>
            <w:vMerge w:val="restart"/>
          </w:tcPr>
          <w:p>
            <w:pPr>
              <w:jc w:val="right"/>
              <w:ind w:right="70"/>
              <w:spacing w:after="0"/>
              <w:rPr>
                <w:sz w:val="20"/>
                <w:szCs w:val="20"/>
                <w:color w:val="auto"/>
              </w:rPr>
            </w:pPr>
            <w:r>
              <w:rPr>
                <w:rFonts w:ascii="Arial" w:cs="Arial" w:eastAsia="Arial" w:hAnsi="Arial"/>
                <w:sz w:val="14"/>
                <w:szCs w:val="14"/>
                <w:b w:val="1"/>
                <w:bCs w:val="1"/>
                <w:color w:val="auto"/>
              </w:rPr>
              <w:t>June 30, 2022</w:t>
            </w:r>
          </w:p>
        </w:tc>
        <w:tc>
          <w:tcPr>
            <w:tcW w:w="172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Six Months Ended</w:t>
            </w:r>
          </w:p>
        </w:tc>
        <w:tc>
          <w:tcPr>
            <w:tcW w:w="1520" w:type="dxa"/>
            <w:vAlign w:val="bottom"/>
            <w:gridSpan w:val="3"/>
            <w:vMerge w:val="restart"/>
          </w:tcPr>
          <w:p>
            <w:pPr>
              <w:jc w:val="right"/>
              <w:ind w:right="30"/>
              <w:spacing w:after="0"/>
              <w:rPr>
                <w:sz w:val="20"/>
                <w:szCs w:val="20"/>
                <w:color w:val="auto"/>
              </w:rPr>
            </w:pPr>
            <w:r>
              <w:rPr>
                <w:rFonts w:ascii="Arial" w:cs="Arial" w:eastAsia="Arial" w:hAnsi="Arial"/>
                <w:sz w:val="14"/>
                <w:szCs w:val="14"/>
                <w:b w:val="1"/>
                <w:bCs w:val="1"/>
                <w:color w:val="auto"/>
              </w:rPr>
              <w:t>June 30, 2021</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8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vMerge w:val="continue"/>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vMerge w:val="continue"/>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4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392"/>
              <w:spacing w:after="0" w:line="141" w:lineRule="exact"/>
              <w:rPr>
                <w:sz w:val="20"/>
                <w:szCs w:val="20"/>
                <w:color w:val="auto"/>
              </w:rPr>
            </w:pPr>
            <w:r>
              <w:rPr>
                <w:rFonts w:ascii="Arial" w:cs="Arial" w:eastAsia="Arial" w:hAnsi="Arial"/>
                <w:sz w:val="14"/>
                <w:szCs w:val="14"/>
                <w:b w:val="1"/>
                <w:bCs w:val="1"/>
                <w:color w:val="auto"/>
              </w:rPr>
              <w:t>Per</w:t>
            </w: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right"/>
              <w:ind w:right="392"/>
              <w:spacing w:after="0" w:line="141" w:lineRule="exact"/>
              <w:rPr>
                <w:sz w:val="20"/>
                <w:szCs w:val="20"/>
                <w:color w:val="auto"/>
              </w:rPr>
            </w:pPr>
            <w:r>
              <w:rPr>
                <w:rFonts w:ascii="Arial" w:cs="Arial" w:eastAsia="Arial" w:hAnsi="Arial"/>
                <w:sz w:val="14"/>
                <w:szCs w:val="14"/>
                <w:b w:val="1"/>
                <w:bCs w:val="1"/>
                <w:color w:val="auto"/>
              </w:rPr>
              <w:t>Per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4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220" w:type="dxa"/>
            <w:vAlign w:val="bottom"/>
            <w:gridSpan w:val="2"/>
          </w:tcPr>
          <w:p>
            <w:pPr>
              <w:jc w:val="right"/>
              <w:ind w:right="620"/>
              <w:spacing w:after="0" w:line="204"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9"/>
                <w:szCs w:val="19"/>
                <w:b w:val="1"/>
                <w:bCs w:val="1"/>
                <w:color w:val="auto"/>
                <w:vertAlign w:val="superscript"/>
              </w:rPr>
              <w:t>(1)</w:t>
            </w:r>
          </w:p>
        </w:tc>
        <w:tc>
          <w:tcPr>
            <w:tcW w:w="500" w:type="dxa"/>
            <w:vAlign w:val="bottom"/>
          </w:tcPr>
          <w:p>
            <w:pPr>
              <w:spacing w:after="0"/>
              <w:rPr>
                <w:sz w:val="17"/>
                <w:szCs w:val="17"/>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7"/>
                <w:szCs w:val="17"/>
                <w:color w:val="auto"/>
              </w:rPr>
            </w:pPr>
          </w:p>
        </w:tc>
        <w:tc>
          <w:tcPr>
            <w:tcW w:w="1040" w:type="dxa"/>
            <w:vAlign w:val="bottom"/>
            <w:gridSpan w:val="2"/>
          </w:tcPr>
          <w:p>
            <w:pPr>
              <w:jc w:val="right"/>
              <w:ind w:right="460"/>
              <w:spacing w:after="0" w:line="204"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9"/>
                <w:szCs w:val="19"/>
                <w:b w:val="1"/>
                <w:bCs w:val="1"/>
                <w:color w:val="auto"/>
                <w:vertAlign w:val="superscript"/>
              </w:rPr>
              <w:t>(1)</w:t>
            </w:r>
          </w:p>
        </w:tc>
        <w:tc>
          <w:tcPr>
            <w:tcW w:w="0" w:type="dxa"/>
            <w:vAlign w:val="bottom"/>
          </w:tcPr>
          <w:p>
            <w:pPr>
              <w:spacing w:after="0"/>
              <w:rPr>
                <w:sz w:val="1"/>
                <w:szCs w:val="1"/>
                <w:color w:val="auto"/>
              </w:rPr>
            </w:pPr>
          </w:p>
        </w:tc>
      </w:tr>
      <w:tr>
        <w:trPr>
          <w:trHeight w:val="196"/>
        </w:trPr>
        <w:tc>
          <w:tcPr>
            <w:tcW w:w="48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Investment income</w:t>
            </w:r>
          </w:p>
        </w:tc>
        <w:tc>
          <w:tcPr>
            <w:tcW w:w="38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line="202" w:lineRule="exact"/>
              <w:rPr>
                <w:sz w:val="20"/>
                <w:szCs w:val="20"/>
                <w:color w:val="auto"/>
              </w:rPr>
            </w:pPr>
            <w:r>
              <w:rPr>
                <w:rFonts w:ascii="Arial" w:cs="Arial" w:eastAsia="Arial" w:hAnsi="Arial"/>
                <w:sz w:val="18"/>
                <w:szCs w:val="18"/>
                <w:color w:val="auto"/>
              </w:rPr>
              <w:t>Interest and dividend income</w:t>
            </w:r>
          </w:p>
        </w:tc>
        <w:tc>
          <w:tcPr>
            <w:tcW w:w="380" w:type="dxa"/>
            <w:vAlign w:val="bottom"/>
          </w:tcPr>
          <w:p>
            <w:pPr>
              <w:jc w:val="right"/>
              <w:ind w:right="170"/>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44,151,094</w:t>
            </w:r>
          </w:p>
        </w:tc>
        <w:tc>
          <w:tcPr>
            <w:tcW w:w="30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1.07</w:t>
            </w:r>
          </w:p>
        </w:tc>
        <w:tc>
          <w:tcPr>
            <w:tcW w:w="280" w:type="dxa"/>
            <w:vAlign w:val="bottom"/>
          </w:tcPr>
          <w:p>
            <w:pPr>
              <w:spacing w:after="0"/>
              <w:rPr>
                <w:sz w:val="17"/>
                <w:szCs w:val="17"/>
                <w:color w:val="auto"/>
              </w:rPr>
            </w:pPr>
          </w:p>
        </w:tc>
        <w:tc>
          <w:tcPr>
            <w:tcW w:w="500" w:type="dxa"/>
            <w:vAlign w:val="bottom"/>
          </w:tcPr>
          <w:p>
            <w:pPr>
              <w:jc w:val="right"/>
              <w:ind w:right="310"/>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34,927,146</w:t>
            </w:r>
          </w:p>
        </w:tc>
        <w:tc>
          <w:tcPr>
            <w:tcW w:w="28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265,896</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0.01</w:t>
            </w:r>
          </w:p>
        </w:tc>
        <w:tc>
          <w:tcPr>
            <w:tcW w:w="2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241,230</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860" w:type="dxa"/>
            <w:vAlign w:val="bottom"/>
          </w:tcPr>
          <w:p>
            <w:pPr>
              <w:ind w:left="120"/>
              <w:spacing w:after="0"/>
              <w:rPr>
                <w:sz w:val="20"/>
                <w:szCs w:val="20"/>
                <w:color w:val="auto"/>
              </w:rPr>
            </w:pPr>
            <w:r>
              <w:rPr>
                <w:rFonts w:ascii="Arial" w:cs="Arial" w:eastAsia="Arial" w:hAnsi="Arial"/>
                <w:sz w:val="18"/>
                <w:szCs w:val="18"/>
                <w:b w:val="1"/>
                <w:bCs w:val="1"/>
                <w:color w:val="auto"/>
              </w:rPr>
              <w:t>Total investment income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44,416,990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35,168,376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line="202" w:lineRule="exact"/>
              <w:rPr>
                <w:sz w:val="20"/>
                <w:szCs w:val="20"/>
                <w:color w:val="auto"/>
              </w:rPr>
            </w:pPr>
            <w:r>
              <w:rPr>
                <w:rFonts w:ascii="Arial" w:cs="Arial" w:eastAsia="Arial" w:hAnsi="Arial"/>
                <w:sz w:val="18"/>
                <w:szCs w:val="18"/>
                <w:color w:val="auto"/>
              </w:rPr>
              <w:t>Management fees</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5,422,239</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4,345,550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Incentive fees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4,965,135</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0.12</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3,812,007</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2,482,617</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0.06</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1,489,730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Professional fees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1,247,921</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0.03</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820,505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line="202" w:lineRule="exact"/>
              <w:rPr>
                <w:sz w:val="20"/>
                <w:szCs w:val="20"/>
                <w:color w:val="auto"/>
              </w:rPr>
            </w:pPr>
            <w:r>
              <w:rPr>
                <w:rFonts w:ascii="Arial" w:cs="Arial" w:eastAsia="Arial" w:hAnsi="Arial"/>
                <w:sz w:val="18"/>
                <w:szCs w:val="18"/>
                <w:color w:val="auto"/>
              </w:rPr>
              <w:t>Overhead allocation expense</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455,266</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406,119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Insurance expense</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537,236</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0.01</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46,551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line="202" w:lineRule="exact"/>
              <w:rPr>
                <w:sz w:val="20"/>
                <w:szCs w:val="20"/>
                <w:color w:val="auto"/>
              </w:rPr>
            </w:pPr>
            <w:r>
              <w:rPr>
                <w:rFonts w:ascii="Arial" w:cs="Arial" w:eastAsia="Arial" w:hAnsi="Arial"/>
                <w:sz w:val="18"/>
                <w:szCs w:val="18"/>
                <w:color w:val="auto"/>
              </w:rPr>
              <w:t>Administration fees</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336,651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240,860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Debt financing fees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1,432,534</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0.03</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709,201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60" w:type="dxa"/>
            <w:vAlign w:val="bottom"/>
          </w:tcPr>
          <w:p>
            <w:pPr>
              <w:ind w:left="120"/>
              <w:spacing w:after="0" w:line="202" w:lineRule="exact"/>
              <w:rPr>
                <w:sz w:val="20"/>
                <w:szCs w:val="20"/>
                <w:color w:val="auto"/>
              </w:rPr>
            </w:pPr>
            <w:r>
              <w:rPr>
                <w:rFonts w:ascii="Arial" w:cs="Arial" w:eastAsia="Arial" w:hAnsi="Arial"/>
                <w:sz w:val="18"/>
                <w:szCs w:val="18"/>
                <w:color w:val="auto"/>
              </w:rPr>
              <w:t>Directors’ fees</w:t>
            </w:r>
          </w:p>
        </w:tc>
        <w:tc>
          <w:tcPr>
            <w:tcW w:w="38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171,000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134,000</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Tax expense</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1,073</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4860" w:type="dxa"/>
            <w:vAlign w:val="bottom"/>
          </w:tcPr>
          <w:p>
            <w:pPr>
              <w:ind w:left="120"/>
              <w:spacing w:after="0" w:line="202" w:lineRule="exact"/>
              <w:rPr>
                <w:sz w:val="20"/>
                <w:szCs w:val="20"/>
                <w:color w:val="auto"/>
              </w:rPr>
            </w:pPr>
            <w:r>
              <w:rPr>
                <w:rFonts w:ascii="Arial" w:cs="Arial" w:eastAsia="Arial" w:hAnsi="Arial"/>
                <w:sz w:val="18"/>
                <w:szCs w:val="18"/>
                <w:color w:val="auto"/>
              </w:rPr>
              <w:t>Other expenses</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426,848</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0.01</w:t>
            </w:r>
          </w:p>
        </w:tc>
        <w:tc>
          <w:tcPr>
            <w:tcW w:w="28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341,601</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Borders>
              <w:bottom w:val="single" w:sz="8" w:color="CFF0FC"/>
            </w:tcBorders>
            <w:shd w:val="clear" w:color="auto" w:fill="CFF0FC"/>
          </w:tcPr>
          <w:p>
            <w:pPr>
              <w:ind w:left="120"/>
              <w:spacing w:after="0" w:line="196" w:lineRule="exact"/>
              <w:rPr>
                <w:sz w:val="20"/>
                <w:szCs w:val="20"/>
                <w:color w:val="auto"/>
              </w:rPr>
            </w:pPr>
            <w:r>
              <w:rPr>
                <w:rFonts w:ascii="Arial" w:cs="Arial" w:eastAsia="Arial" w:hAnsi="Arial"/>
                <w:sz w:val="18"/>
                <w:szCs w:val="18"/>
                <w:b w:val="1"/>
                <w:bCs w:val="1"/>
                <w:color w:val="auto"/>
              </w:rPr>
              <w:t>Total operating expenses</w:t>
            </w:r>
          </w:p>
        </w:tc>
        <w:tc>
          <w:tcPr>
            <w:tcW w:w="380" w:type="dxa"/>
            <w:vAlign w:val="bottom"/>
            <w:tcBorders>
              <w:bottom w:val="single" w:sz="8" w:color="auto"/>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17,478,520</w:t>
            </w:r>
          </w:p>
        </w:tc>
        <w:tc>
          <w:tcPr>
            <w:tcW w:w="3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0.42</w:t>
            </w:r>
          </w:p>
        </w:tc>
        <w:tc>
          <w:tcPr>
            <w:tcW w:w="280" w:type="dxa"/>
            <w:vAlign w:val="bottom"/>
            <w:tcBorders>
              <w:bottom w:val="single" w:sz="8" w:color="CFF0FC"/>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12,346,165</w:t>
            </w:r>
          </w:p>
        </w:tc>
        <w:tc>
          <w:tcPr>
            <w:tcW w:w="28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0.39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investment income</w:t>
            </w:r>
          </w:p>
        </w:tc>
        <w:tc>
          <w:tcPr>
            <w:tcW w:w="380" w:type="dxa"/>
            <w:vAlign w:val="bottom"/>
          </w:tcPr>
          <w:p>
            <w:pPr>
              <w:spacing w:after="0"/>
              <w:rPr>
                <w:sz w:val="17"/>
                <w:szCs w:val="17"/>
                <w:color w:val="auto"/>
              </w:rPr>
            </w:pP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26,938,470</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0.65</w:t>
            </w: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22,822,211</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0.71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Realized gain (loss) on investments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532,461</w:t>
            </w: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0.01</w:t>
            </w:r>
          </w:p>
        </w:tc>
        <w:tc>
          <w:tcPr>
            <w:tcW w:w="2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(4,795,077 )</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(0.15 )</w:t>
            </w:r>
          </w:p>
        </w:tc>
        <w:tc>
          <w:tcPr>
            <w:tcW w:w="0" w:type="dxa"/>
            <w:vAlign w:val="bottom"/>
          </w:tcPr>
          <w:p>
            <w:pPr>
              <w:spacing w:after="0"/>
              <w:rPr>
                <w:sz w:val="1"/>
                <w:szCs w:val="1"/>
                <w:color w:val="auto"/>
              </w:rPr>
            </w:pPr>
          </w:p>
        </w:tc>
      </w:tr>
      <w:tr>
        <w:trPr>
          <w:trHeight w:val="162"/>
        </w:trPr>
        <w:tc>
          <w:tcPr>
            <w:tcW w:w="4860" w:type="dxa"/>
            <w:vAlign w:val="bottom"/>
          </w:tcPr>
          <w:p>
            <w:pPr>
              <w:ind w:left="20"/>
              <w:spacing w:after="0" w:line="162" w:lineRule="exact"/>
              <w:rPr>
                <w:sz w:val="20"/>
                <w:szCs w:val="20"/>
                <w:color w:val="auto"/>
              </w:rPr>
            </w:pPr>
            <w:r>
              <w:rPr>
                <w:rFonts w:ascii="Arial" w:cs="Arial" w:eastAsia="Arial" w:hAnsi="Arial"/>
                <w:sz w:val="18"/>
                <w:szCs w:val="18"/>
                <w:b w:val="1"/>
                <w:bCs w:val="1"/>
                <w:color w:val="auto"/>
              </w:rPr>
              <w:t>Net change in unrealized appreciation (depreciation) on</w:t>
            </w:r>
          </w:p>
        </w:tc>
        <w:tc>
          <w:tcPr>
            <w:tcW w:w="380" w:type="dxa"/>
            <w:vAlign w:val="bottom"/>
          </w:tcPr>
          <w:p>
            <w:pPr>
              <w:spacing w:after="0"/>
              <w:rPr>
                <w:sz w:val="14"/>
                <w:szCs w:val="14"/>
                <w:color w:val="auto"/>
              </w:rPr>
            </w:pPr>
          </w:p>
        </w:tc>
        <w:tc>
          <w:tcPr>
            <w:tcW w:w="15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(25,435,174 )</w:t>
            </w:r>
          </w:p>
        </w:tc>
        <w:tc>
          <w:tcPr>
            <w:tcW w:w="220" w:type="dxa"/>
            <w:vAlign w:val="bottom"/>
          </w:tcPr>
          <w:p>
            <w:pPr>
              <w:spacing w:after="0"/>
              <w:rPr>
                <w:sz w:val="14"/>
                <w:szCs w:val="14"/>
                <w:color w:val="auto"/>
              </w:rPr>
            </w:pP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(0.62 )</w:t>
            </w:r>
          </w:p>
        </w:tc>
        <w:tc>
          <w:tcPr>
            <w:tcW w:w="500" w:type="dxa"/>
            <w:vAlign w:val="bottom"/>
          </w:tcPr>
          <w:p>
            <w:pPr>
              <w:spacing w:after="0"/>
              <w:rPr>
                <w:sz w:val="14"/>
                <w:szCs w:val="14"/>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(1,944,463 )</w:t>
            </w:r>
          </w:p>
        </w:tc>
        <w:tc>
          <w:tcPr>
            <w:tcW w:w="220" w:type="dxa"/>
            <w:vAlign w:val="bottom"/>
          </w:tcPr>
          <w:p>
            <w:pPr>
              <w:spacing w:after="0"/>
              <w:rPr>
                <w:sz w:val="14"/>
                <w:szCs w:val="14"/>
                <w:color w:val="auto"/>
              </w:rPr>
            </w:pP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(0.06 )</w:t>
            </w:r>
          </w:p>
        </w:tc>
        <w:tc>
          <w:tcPr>
            <w:tcW w:w="0" w:type="dxa"/>
            <w:vAlign w:val="bottom"/>
          </w:tcPr>
          <w:p>
            <w:pPr>
              <w:spacing w:after="0"/>
              <w:rPr>
                <w:sz w:val="1"/>
                <w:szCs w:val="1"/>
                <w:color w:val="auto"/>
              </w:rPr>
            </w:pPr>
          </w:p>
        </w:tc>
      </w:tr>
      <w:tr>
        <w:trPr>
          <w:trHeight w:val="203"/>
        </w:trPr>
        <w:tc>
          <w:tcPr>
            <w:tcW w:w="48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investments</w:t>
            </w:r>
          </w:p>
        </w:tc>
        <w:tc>
          <w:tcPr>
            <w:tcW w:w="380" w:type="dxa"/>
            <w:vAlign w:val="bottom"/>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Net increase in net assets resulting from operations</w:t>
            </w:r>
          </w:p>
        </w:tc>
        <w:tc>
          <w:tcPr>
            <w:tcW w:w="38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2,035,757</w:t>
            </w:r>
          </w:p>
        </w:tc>
        <w:tc>
          <w:tcPr>
            <w:tcW w:w="3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0.05</w:t>
            </w:r>
          </w:p>
        </w:tc>
        <w:tc>
          <w:tcPr>
            <w:tcW w:w="2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top w:val="single" w:sz="8" w:color="auto"/>
              <w:bottom w:val="single" w:sz="8" w:color="auto"/>
            </w:tcBorders>
            <w:shd w:val="clear" w:color="auto" w:fill="CFF0FC"/>
          </w:tcPr>
          <w:p>
            <w:pPr>
              <w:jc w:val="right"/>
              <w:ind w:right="31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16,082,671</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0.50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-2602230</wp:posOffset>
            </wp:positionV>
            <wp:extent cx="77470" cy="571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-2602230</wp:posOffset>
            </wp:positionV>
            <wp:extent cx="68580" cy="571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-2602230</wp:posOffset>
            </wp:positionV>
            <wp:extent cx="68580" cy="571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-2602230</wp:posOffset>
            </wp:positionV>
            <wp:extent cx="68580" cy="571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-656590</wp:posOffset>
            </wp:positionV>
            <wp:extent cx="77470" cy="571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-656590</wp:posOffset>
            </wp:positionV>
            <wp:extent cx="68580" cy="571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-656590</wp:posOffset>
            </wp:positionV>
            <wp:extent cx="68580" cy="571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-656590</wp:posOffset>
            </wp:positionV>
            <wp:extent cx="68580" cy="571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-24765</wp:posOffset>
            </wp:positionV>
            <wp:extent cx="7747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-7620</wp:posOffset>
            </wp:positionV>
            <wp:extent cx="7747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-24765</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-7620</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-24765</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-7620</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72" w:lineRule="exact"/>
        <w:rPr>
          <w:sz w:val="20"/>
          <w:szCs w:val="20"/>
          <w:color w:val="auto"/>
        </w:rPr>
      </w:pPr>
    </w:p>
    <w:p>
      <w:pPr>
        <w:ind w:left="760" w:hanging="374"/>
        <w:spacing w:after="0" w:line="189" w:lineRule="auto"/>
        <w:tabs>
          <w:tab w:leader="none" w:pos="760" w:val="left"/>
        </w:tabs>
        <w:numPr>
          <w:ilvl w:val="0"/>
          <w:numId w:val="37"/>
        </w:numPr>
        <w:rPr>
          <w:rFonts w:ascii="Arial" w:cs="Arial" w:eastAsia="Arial" w:hAnsi="Arial"/>
          <w:sz w:val="24"/>
          <w:szCs w:val="24"/>
          <w:color w:val="auto"/>
          <w:vertAlign w:val="superscript"/>
        </w:rPr>
      </w:pPr>
      <w:r>
        <w:rPr>
          <w:rFonts w:ascii="Arial" w:cs="Arial" w:eastAsia="Arial" w:hAnsi="Arial"/>
          <w:sz w:val="14"/>
          <w:szCs w:val="14"/>
          <w:color w:val="auto"/>
        </w:rPr>
        <w:t>The basic per share figures noted above are based on weighted averages of 41,294,985 and 31,953,287 shares outstanding for the six months ended June 30, 2022 and 2021,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1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Investment income for the six months ended June 30, 2022 and 2021 was $44,416,990 and $35,168,376, respectively, and includes non-recurring income of $2,648,450 and $3,569,046, respectively. The increase in investment income for the six months ended June 30, 2022 compared to the six months ended June 30, 2021 was primarily due to interest income and driven by our deployment of capital, increased invested balance, prepayments, end-of-term payments, and increased market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Operating expenses for the six months ended June 30, 2022 and 2021 were $17,478,520 and $12,346,165 respectively. Operating expenses increased for the six months ended June 30, 2022 from the three months ended June 30, 2021 primarily due to an increase in incentive fees, management fees, debt financing fees, and interest expense. Operating expenses per share for the six months ended June 30, 2022 and 2021 were $0.42 per share and $0.39 per share, respectively.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1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6"/>
          <w:szCs w:val="16"/>
          <w:color w:val="auto"/>
        </w:rPr>
        <w:t>Incentive fees for the six months ended June 30, 2022 and 2021 were $4,965,135 and $3,812,007, respectively. Incentive fees increased for the six months ended June 30, 2022 from the six months ended June 30, 2021 primarily due to an increase in net investment income arising from increased market interest rates and from the income acceleration from the loan repayment in Mojix, Inc. $4,084,578 of the incentive fees for the six months ended June 30, 2022 were earned, payable in cash, and included under Accrued incentive fees on the Statement of Assets and Liabilities as of June 30, 2022. $880,557 of the incentive fees for the six months ended June 30, 2022 were deferred and accrued, and included in Accrued incentive fees on the Statement of Assets and Liabilities as of June 30, 2022. $2,968,870 of the incentive fees for the six months ended June 30, 2021 were earned, payable in cash, and included under Accrued incentive fees on the Statement of Assets and Liabilities as of June 30, 2021. $843,137 of the incentive fees for the six months ended June 30, 2021 were deferred and accrued, and included under Accrued incentive fees on the Statement of Assets and Liabilities as of June 30, 2021. Incentive fees related to PIK or deferred interest are accrued and payment is deferred until such interest is collected in cash. Incentive fees per share for the six months ended June 30, 2022 and June 30, 2021 were $0.12 and $0.12 per share,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12"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Net investment income for the six months ended June 30, 2022 and 2021 was $26,938,470 and $22,822,211, respectively. Net investment income increased for the six months ended June 30, 2022 from the six months ended June 30, 2021, primarily due to an increase in interest income resulting from an increase in the size of the investment portfolio and increased market interest rates and from the income acceleration from the loan repayment in Mojix, Inc. Net investment income per share for the six months ended June 30, 2022 and 2021 was $0.65 per share and $0.71 per share, respectively.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 (Loss) on Investments</w:t>
      </w:r>
    </w:p>
    <w:p>
      <w:pPr>
        <w:spacing w:after="0" w:line="21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The net realized gain on investments of $532,461 for the six months ended June 30, 2022 was primarily due to the gain on a portion of our investment in the common stock of Brilliant Earth Group, Inc. partially offset by the loss on our investments in the preferred stock and warrants in CareCloud, Inc. The net realized loss on investments of $4,795,077 for the six months ended June 30, 2021 was primarily due to the loss on a portion of our investment in the preferred stock of CareCloud, Inc.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Change in Unrealized Appreciation (Depreciation) on Investments</w:t>
      </w:r>
    </w:p>
    <w:p>
      <w:pPr>
        <w:spacing w:after="0" w:line="21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Net change in unrealized depreciation on investments of $25,435,174 for the six months ended June 30, 2022 was primarily due to decreases in the fair value of our senior secured loan to Pivot3 Holdings, Inc., common stock of Brilliant Earth Group, Inc., and common stock of Coginiti Corp. The net change in unrealized depreciation on investments of $1,944,463 for the six months ended June 30, 2021 was primarily due to decreases in the fair value of our senior secured loans to Pivot3 Holdings, Inc. and our investment in the preferred stock of Pivot3 Holdings, Inc. This was partially offset by an increase in the fair value of our investment in the common stock of Ouster, Inc.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(Decrease) in Net Assets Resulting from Operations</w:t>
      </w:r>
    </w:p>
    <w:p>
      <w:pPr>
        <w:spacing w:after="0" w:line="21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We had a net increase in net assets resulting from operations of $2,035,757 for the six months ended June 30, 2022, as compared to a net increase in net assets resulting from operations of $16,082,671 for the six months ended June 30, 2021. The net decrease in net assets resulting from operations for the six months ended June 30, 2022 from the six months ended June 30, 2021 was primarily due to an increase in unrealized depreciation in our portfolio and an increase in operating expenses for the six months ended June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16"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7"/>
          <w:szCs w:val="17"/>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Agreement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which may be secured or unsecured, through registered offerings or private placements. Our primary use of funds is to make investments in eligible portfolio companies, pay our operating expenses and make distributions to holders of our common stock.</w:t>
      </w:r>
    </w:p>
    <w:p>
      <w:pPr>
        <w:spacing w:after="0" w:line="17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During the six months ended June 30, 2022, cash and cash equivalents increased to $6,809,818 from $4,696,693 as of December 31, 2021. This decrease was primarily the result of the purchase of investments in portfolio companies and was partially offset by the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repayment of an investment in a portfolio company, proceeds from our 2026 Senior Notes, and net borrowings under the Credit Agreement.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Activity</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have the authority to issue 100,000,000 shares of common stock, $0.01 par value per share.</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On October 8, 2015, we issued 1,667 shares of our common stock to R. David Spreng, our President, Chief Executive Officer and Chairman of our Board of Directors, for an aggregate purchase price of $25,000. The remaining shares were issued in connection with the Initial Private Offering, the Second Private Offering, pursuant to the dividend reinvestment plan or the IPO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right"/>
              <w:ind w:right="539"/>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jc w:val="right"/>
              <w:ind w:right="631"/>
              <w:spacing w:after="0"/>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jc w:val="right"/>
              <w:ind w:right="551"/>
              <w:spacing w:after="0"/>
              <w:rPr>
                <w:sz w:val="20"/>
                <w:szCs w:val="20"/>
                <w:color w:val="auto"/>
              </w:rPr>
            </w:pPr>
            <w:r>
              <w:rPr>
                <w:rFonts w:ascii="Arial" w:cs="Arial" w:eastAsia="Arial" w:hAnsi="Arial"/>
                <w:sz w:val="14"/>
                <w:szCs w:val="14"/>
                <w:b w:val="1"/>
                <w:bCs w:val="1"/>
                <w:color w:val="auto"/>
              </w:rPr>
              <w:t>Gross</w:t>
            </w:r>
          </w:p>
        </w:tc>
      </w:tr>
      <w:tr>
        <w:trPr>
          <w:trHeight w:val="185"/>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Issuance Date</w:t>
            </w:r>
          </w:p>
        </w:tc>
        <w:tc>
          <w:tcPr>
            <w:tcW w:w="160" w:type="dxa"/>
            <w:vAlign w:val="bottom"/>
          </w:tcPr>
          <w:p>
            <w:pPr>
              <w:spacing w:after="0"/>
              <w:rPr>
                <w:sz w:val="16"/>
                <w:szCs w:val="16"/>
                <w:color w:val="auto"/>
              </w:rPr>
            </w:pPr>
          </w:p>
        </w:tc>
        <w:tc>
          <w:tcPr>
            <w:tcW w:w="150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Issued</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Per Share</w:t>
            </w:r>
          </w:p>
        </w:tc>
        <w:tc>
          <w:tcPr>
            <w:tcW w:w="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Proceeds</w:t>
            </w:r>
          </w:p>
        </w:tc>
      </w:tr>
      <w:tr>
        <w:trPr>
          <w:trHeight w:val="196"/>
        </w:trPr>
        <w:tc>
          <w:tcPr>
            <w:tcW w:w="61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December 22, 2016</w:t>
            </w:r>
          </w:p>
        </w:tc>
        <w:tc>
          <w:tcPr>
            <w:tcW w:w="160" w:type="dxa"/>
            <w:vAlign w:val="bottom"/>
            <w:shd w:val="clear" w:color="auto" w:fill="CFF0FC"/>
          </w:tcPr>
          <w:p>
            <w:pPr>
              <w:spacing w:after="0"/>
              <w:rPr>
                <w:sz w:val="17"/>
                <w:szCs w:val="17"/>
                <w:color w:val="auto"/>
              </w:rPr>
            </w:pPr>
          </w:p>
        </w:tc>
        <w:tc>
          <w:tcPr>
            <w:tcW w:w="1500" w:type="dxa"/>
            <w:vAlign w:val="bottom"/>
            <w:shd w:val="clear" w:color="auto" w:fill="CFF0FC"/>
          </w:tcPr>
          <w:p>
            <w:pPr>
              <w:jc w:val="right"/>
              <w:ind w:right="59"/>
              <w:spacing w:after="0" w:line="196" w:lineRule="exact"/>
              <w:rPr>
                <w:sz w:val="20"/>
                <w:szCs w:val="20"/>
                <w:color w:val="auto"/>
              </w:rPr>
            </w:pPr>
            <w:r>
              <w:rPr>
                <w:rFonts w:ascii="Arial" w:cs="Arial" w:eastAsia="Arial" w:hAnsi="Arial"/>
                <w:sz w:val="18"/>
                <w:szCs w:val="18"/>
                <w:color w:val="auto"/>
              </w:rPr>
              <w:t>333,333</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15.00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31"/>
              <w:spacing w:after="0" w:line="196" w:lineRule="exact"/>
              <w:rPr>
                <w:sz w:val="20"/>
                <w:szCs w:val="20"/>
                <w:color w:val="auto"/>
              </w:rPr>
            </w:pPr>
            <w:r>
              <w:rPr>
                <w:rFonts w:ascii="Arial" w:cs="Arial" w:eastAsia="Arial" w:hAnsi="Arial"/>
                <w:sz w:val="18"/>
                <w:szCs w:val="18"/>
                <w:color w:val="auto"/>
              </w:rPr>
              <w:t>5,000,000</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April 19, 2017</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1,000,000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15.00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15,000,000</w:t>
            </w: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June 26, 2017</w:t>
            </w:r>
          </w:p>
        </w:tc>
        <w:tc>
          <w:tcPr>
            <w:tcW w:w="166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1,666,667</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15.00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25,000,000</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September 12, 2017</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2,666,667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15.00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40,000,000</w:t>
            </w: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22, 2017</w:t>
            </w:r>
          </w:p>
        </w:tc>
        <w:tc>
          <w:tcPr>
            <w:tcW w:w="166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3,000,000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15.00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45,000,000</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7"/>
                <w:szCs w:val="17"/>
                <w:color w:val="auto"/>
              </w:rPr>
              <w:t>May 31, 2018</w:t>
            </w:r>
            <w:r>
              <w:rPr>
                <w:rFonts w:ascii="Arial" w:cs="Arial" w:eastAsia="Arial" w:hAnsi="Arial"/>
                <w:sz w:val="23"/>
                <w:szCs w:val="23"/>
                <w:color w:val="auto"/>
                <w:vertAlign w:val="superscript"/>
              </w:rPr>
              <w:t>(1)</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70,563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14.82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1,045,570</w:t>
            </w: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August 31, 2018</w:t>
            </w:r>
            <w:r>
              <w:rPr>
                <w:rFonts w:ascii="Arial" w:cs="Arial" w:eastAsia="Arial" w:hAnsi="Arial"/>
                <w:sz w:val="23"/>
                <w:szCs w:val="23"/>
                <w:color w:val="auto"/>
                <w:vertAlign w:val="superscript"/>
              </w:rPr>
              <w:t>(1)</w:t>
            </w:r>
          </w:p>
        </w:tc>
        <w:tc>
          <w:tcPr>
            <w:tcW w:w="166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117,582</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14.92</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1,754,244</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September 27, 2018</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1,997,337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15.02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30,000,000</w:t>
            </w: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November 15, 2018</w:t>
            </w:r>
            <w:r>
              <w:rPr>
                <w:rFonts w:ascii="Arial" w:cs="Arial" w:eastAsia="Arial" w:hAnsi="Arial"/>
                <w:sz w:val="23"/>
                <w:szCs w:val="23"/>
                <w:color w:val="auto"/>
                <w:vertAlign w:val="superscript"/>
              </w:rPr>
              <w:t>(1)</w:t>
            </w:r>
          </w:p>
        </w:tc>
        <w:tc>
          <w:tcPr>
            <w:tcW w:w="166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202,779</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15.07</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3,055,498</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January 14, 2019</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4,344,964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15.19</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66,000,000</w:t>
            </w: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March 26, 2019</w:t>
            </w:r>
            <w:r>
              <w:rPr>
                <w:rFonts w:ascii="Arial" w:cs="Arial" w:eastAsia="Arial" w:hAnsi="Arial"/>
                <w:sz w:val="23"/>
                <w:szCs w:val="23"/>
                <w:color w:val="auto"/>
                <w:vertAlign w:val="superscript"/>
              </w:rPr>
              <w:t>(1)</w:t>
            </w:r>
          </w:p>
        </w:tc>
        <w:tc>
          <w:tcPr>
            <w:tcW w:w="166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326,431</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15.14</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4,942,168</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7"/>
                <w:szCs w:val="17"/>
                <w:color w:val="auto"/>
              </w:rPr>
              <w:t>May 21, 2019</w:t>
            </w:r>
            <w:r>
              <w:rPr>
                <w:rFonts w:ascii="Arial" w:cs="Arial" w:eastAsia="Arial" w:hAnsi="Arial"/>
                <w:sz w:val="23"/>
                <w:szCs w:val="23"/>
                <w:color w:val="auto"/>
                <w:vertAlign w:val="superscript"/>
              </w:rPr>
              <w:t>(1)</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374,783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15.13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5,670,467</w:t>
            </w: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May 24, 2019</w:t>
            </w:r>
          </w:p>
        </w:tc>
        <w:tc>
          <w:tcPr>
            <w:tcW w:w="166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3,232,189</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15.16</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49,000,000</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7"/>
                <w:szCs w:val="17"/>
                <w:color w:val="auto"/>
              </w:rPr>
              <w:t>July 16, 2019</w:t>
            </w:r>
            <w:r>
              <w:rPr>
                <w:rFonts w:ascii="Arial" w:cs="Arial" w:eastAsia="Arial" w:hAnsi="Arial"/>
                <w:sz w:val="23"/>
                <w:szCs w:val="23"/>
                <w:color w:val="auto"/>
                <w:vertAlign w:val="superscript"/>
              </w:rPr>
              <w:t>(1)</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464,986</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15.13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7,035,236</w:t>
            </w: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August 26, 2019</w:t>
            </w:r>
            <w:r>
              <w:rPr>
                <w:rFonts w:ascii="Arial" w:cs="Arial" w:eastAsia="Arial" w:hAnsi="Arial"/>
                <w:sz w:val="23"/>
                <w:szCs w:val="23"/>
                <w:color w:val="auto"/>
                <w:vertAlign w:val="superscript"/>
              </w:rPr>
              <w:t>(1)</w:t>
            </w:r>
          </w:p>
        </w:tc>
        <w:tc>
          <w:tcPr>
            <w:tcW w:w="166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480,121</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14.76</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7,088,143</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October 15, 2019</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1,666,667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15.00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25,000,000</w:t>
            </w: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November 12, 2019</w:t>
            </w:r>
            <w:r>
              <w:rPr>
                <w:rFonts w:ascii="Arial" w:cs="Arial" w:eastAsia="Arial" w:hAnsi="Arial"/>
                <w:sz w:val="23"/>
                <w:szCs w:val="23"/>
                <w:color w:val="auto"/>
                <w:vertAlign w:val="superscript"/>
              </w:rPr>
              <w:t>(1)</w:t>
            </w:r>
          </w:p>
        </w:tc>
        <w:tc>
          <w:tcPr>
            <w:tcW w:w="166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43,979</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14.76</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649,123</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December 20, 2019</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3,333,333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15.00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50,000,000</w:t>
            </w: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December 23, 2019</w:t>
            </w:r>
            <w:r>
              <w:rPr>
                <w:rFonts w:ascii="Arial" w:cs="Arial" w:eastAsia="Arial" w:hAnsi="Arial"/>
                <w:sz w:val="23"/>
                <w:szCs w:val="23"/>
                <w:color w:val="auto"/>
                <w:vertAlign w:val="superscript"/>
              </w:rPr>
              <w:t>(1)</w:t>
            </w:r>
          </w:p>
        </w:tc>
        <w:tc>
          <w:tcPr>
            <w:tcW w:w="166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487,166</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14.52</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7,073,650</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7"/>
                <w:szCs w:val="17"/>
                <w:color w:val="auto"/>
              </w:rPr>
              <w:t>March 20, 2020</w:t>
            </w:r>
            <w:r>
              <w:rPr>
                <w:rFonts w:ascii="Arial" w:cs="Arial" w:eastAsia="Arial" w:hAnsi="Arial"/>
                <w:sz w:val="23"/>
                <w:szCs w:val="23"/>
                <w:color w:val="auto"/>
                <w:vertAlign w:val="superscript"/>
              </w:rPr>
              <w:t>(1)</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575,132</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14.58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8,385,423</w:t>
            </w: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March 31, 2020</w:t>
            </w:r>
          </w:p>
        </w:tc>
        <w:tc>
          <w:tcPr>
            <w:tcW w:w="166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21,021</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15.00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315,308</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7"/>
                <w:szCs w:val="17"/>
                <w:color w:val="auto"/>
              </w:rPr>
              <w:t>May 21, 2020</w:t>
            </w:r>
            <w:r>
              <w:rPr>
                <w:rFonts w:ascii="Arial" w:cs="Arial" w:eastAsia="Arial" w:hAnsi="Arial"/>
                <w:sz w:val="23"/>
                <w:szCs w:val="23"/>
                <w:color w:val="auto"/>
                <w:vertAlign w:val="superscript"/>
              </w:rPr>
              <w:t>(1)</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529,020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14.25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7,538,541</w:t>
            </w: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August 6, 2020</w:t>
            </w:r>
            <w:r>
              <w:rPr>
                <w:rFonts w:ascii="Arial" w:cs="Arial" w:eastAsia="Arial" w:hAnsi="Arial"/>
                <w:sz w:val="23"/>
                <w:szCs w:val="23"/>
                <w:color w:val="auto"/>
                <w:vertAlign w:val="superscript"/>
              </w:rPr>
              <w:t>(1)</w:t>
            </w:r>
          </w:p>
        </w:tc>
        <w:tc>
          <w:tcPr>
            <w:tcW w:w="166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550,639</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14.41</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7,934,712</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October 15, 2020</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3,333,333</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15.00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50,000,000</w:t>
            </w: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November 12, 2020</w:t>
            </w:r>
            <w:r>
              <w:rPr>
                <w:rFonts w:ascii="Arial" w:cs="Arial" w:eastAsia="Arial" w:hAnsi="Arial"/>
                <w:sz w:val="23"/>
                <w:szCs w:val="23"/>
                <w:color w:val="auto"/>
                <w:vertAlign w:val="superscript"/>
              </w:rPr>
              <w:t>(1)</w:t>
            </w:r>
          </w:p>
        </w:tc>
        <w:tc>
          <w:tcPr>
            <w:tcW w:w="166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593,692</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14.46</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8,584,772</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7"/>
                <w:szCs w:val="17"/>
                <w:color w:val="auto"/>
              </w:rPr>
              <w:t>March 19, 2021</w:t>
            </w:r>
            <w:r>
              <w:rPr>
                <w:rFonts w:ascii="Arial" w:cs="Arial" w:eastAsia="Arial" w:hAnsi="Arial"/>
                <w:sz w:val="23"/>
                <w:szCs w:val="23"/>
                <w:color w:val="auto"/>
                <w:vertAlign w:val="superscript"/>
              </w:rPr>
              <w:t>(1)</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618,815</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14.84</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9,183,220</w:t>
            </w: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March 24, 2021</w:t>
            </w:r>
          </w:p>
        </w:tc>
        <w:tc>
          <w:tcPr>
            <w:tcW w:w="166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20,461</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15.00</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306,911</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7"/>
                <w:szCs w:val="17"/>
                <w:color w:val="auto"/>
              </w:rPr>
              <w:t>May 13, 2021</w:t>
            </w:r>
            <w:r>
              <w:rPr>
                <w:rFonts w:ascii="Arial" w:cs="Arial" w:eastAsia="Arial" w:hAnsi="Arial"/>
                <w:sz w:val="23"/>
                <w:szCs w:val="23"/>
                <w:color w:val="auto"/>
                <w:vertAlign w:val="superscript"/>
              </w:rPr>
              <w:t>(1)</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637,127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14.77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9,410,371</w:t>
            </w:r>
          </w:p>
        </w:tc>
      </w:tr>
      <w:tr>
        <w:trPr>
          <w:trHeight w:val="203"/>
        </w:trPr>
        <w:tc>
          <w:tcPr>
            <w:tcW w:w="61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August 12, 2021</w:t>
            </w:r>
            <w:r>
              <w:rPr>
                <w:rFonts w:ascii="Arial" w:cs="Arial" w:eastAsia="Arial" w:hAnsi="Arial"/>
                <w:sz w:val="23"/>
                <w:szCs w:val="23"/>
                <w:color w:val="auto"/>
                <w:vertAlign w:val="superscript"/>
              </w:rPr>
              <w:t>(1)</w:t>
            </w:r>
          </w:p>
        </w:tc>
        <w:tc>
          <w:tcPr>
            <w:tcW w:w="1660" w:type="dxa"/>
            <w:vAlign w:val="bottom"/>
            <w:gridSpan w:val="2"/>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575,032</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14.61</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8,401,215</w:t>
            </w:r>
          </w:p>
        </w:tc>
      </w:tr>
      <w:tr>
        <w:trPr>
          <w:trHeight w:val="203"/>
        </w:trPr>
        <w:tc>
          <w:tcPr>
            <w:tcW w:w="6120" w:type="dxa"/>
            <w:vAlign w:val="bottom"/>
          </w:tcPr>
          <w:p>
            <w:pPr>
              <w:ind w:left="20"/>
              <w:spacing w:after="0" w:line="202" w:lineRule="exact"/>
              <w:rPr>
                <w:sz w:val="20"/>
                <w:szCs w:val="20"/>
                <w:color w:val="auto"/>
              </w:rPr>
            </w:pPr>
            <w:r>
              <w:rPr>
                <w:rFonts w:ascii="Arial" w:cs="Arial" w:eastAsia="Arial" w:hAnsi="Arial"/>
                <w:sz w:val="18"/>
                <w:szCs w:val="18"/>
                <w:color w:val="auto"/>
              </w:rPr>
              <w:t>September 29, 2021</w:t>
            </w:r>
          </w:p>
        </w:tc>
        <w:tc>
          <w:tcPr>
            <w:tcW w:w="1660" w:type="dxa"/>
            <w:vAlign w:val="bottom"/>
            <w:gridSpan w:val="2"/>
          </w:tcPr>
          <w:p>
            <w:pPr>
              <w:jc w:val="right"/>
              <w:ind w:right="59"/>
              <w:spacing w:after="0" w:line="202" w:lineRule="exact"/>
              <w:rPr>
                <w:sz w:val="20"/>
                <w:szCs w:val="20"/>
                <w:color w:val="auto"/>
              </w:rPr>
            </w:pPr>
            <w:r>
              <w:rPr>
                <w:rFonts w:ascii="Arial" w:cs="Arial" w:eastAsia="Arial" w:hAnsi="Arial"/>
                <w:sz w:val="18"/>
                <w:szCs w:val="18"/>
                <w:color w:val="auto"/>
              </w:rPr>
              <w:t>1,265,128</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15.00</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jc w:val="right"/>
              <w:ind w:right="31"/>
              <w:spacing w:after="0" w:line="202" w:lineRule="exact"/>
              <w:rPr>
                <w:sz w:val="20"/>
                <w:szCs w:val="20"/>
                <w:color w:val="auto"/>
              </w:rPr>
            </w:pPr>
            <w:r>
              <w:rPr>
                <w:rFonts w:ascii="Arial" w:cs="Arial" w:eastAsia="Arial" w:hAnsi="Arial"/>
                <w:sz w:val="18"/>
                <w:szCs w:val="18"/>
                <w:color w:val="auto"/>
              </w:rPr>
              <w:t>18,976,917</w:t>
            </w:r>
          </w:p>
        </w:tc>
      </w:tr>
      <w:tr>
        <w:trPr>
          <w:trHeight w:val="203"/>
        </w:trPr>
        <w:tc>
          <w:tcPr>
            <w:tcW w:w="61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October 25, 2021</w:t>
            </w:r>
          </w:p>
        </w:tc>
        <w:tc>
          <w:tcPr>
            <w:tcW w:w="16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jc w:val="right"/>
              <w:ind w:right="59"/>
              <w:spacing w:after="0" w:line="202" w:lineRule="exact"/>
              <w:rPr>
                <w:sz w:val="20"/>
                <w:szCs w:val="20"/>
                <w:color w:val="auto"/>
              </w:rPr>
            </w:pPr>
            <w:r>
              <w:rPr>
                <w:rFonts w:ascii="Arial" w:cs="Arial" w:eastAsia="Arial" w:hAnsi="Arial"/>
                <w:sz w:val="18"/>
                <w:szCs w:val="18"/>
                <w:color w:val="auto"/>
              </w:rPr>
              <w:t>6,850,000</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14.60</w:t>
            </w:r>
          </w:p>
        </w:tc>
        <w:tc>
          <w:tcPr>
            <w:tcW w:w="14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ind w:right="31"/>
              <w:spacing w:after="0" w:line="202" w:lineRule="exact"/>
              <w:rPr>
                <w:sz w:val="20"/>
                <w:szCs w:val="20"/>
                <w:color w:val="auto"/>
              </w:rPr>
            </w:pPr>
            <w:r>
              <w:rPr>
                <w:rFonts w:ascii="Arial" w:cs="Arial" w:eastAsia="Arial" w:hAnsi="Arial"/>
                <w:sz w:val="18"/>
                <w:szCs w:val="18"/>
                <w:color w:val="auto"/>
              </w:rPr>
              <w:t>100,010,000</w:t>
            </w:r>
          </w:p>
        </w:tc>
      </w:tr>
      <w:tr>
        <w:trPr>
          <w:trHeight w:val="196"/>
        </w:trPr>
        <w:tc>
          <w:tcPr>
            <w:tcW w:w="612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Total</w:t>
            </w:r>
          </w:p>
        </w:tc>
        <w:tc>
          <w:tcPr>
            <w:tcW w:w="1660" w:type="dxa"/>
            <w:vAlign w:val="bottom"/>
            <w:gridSpan w:val="2"/>
          </w:tcPr>
          <w:p>
            <w:pPr>
              <w:jc w:val="right"/>
              <w:ind w:right="59"/>
              <w:spacing w:after="0" w:line="182" w:lineRule="exact"/>
              <w:rPr>
                <w:sz w:val="20"/>
                <w:szCs w:val="20"/>
                <w:color w:val="auto"/>
              </w:rPr>
            </w:pPr>
            <w:r>
              <w:rPr>
                <w:rFonts w:ascii="Arial" w:cs="Arial" w:eastAsia="Arial" w:hAnsi="Arial"/>
                <w:sz w:val="18"/>
                <w:szCs w:val="18"/>
                <w:b w:val="1"/>
                <w:bCs w:val="1"/>
                <w:color w:val="auto"/>
              </w:rPr>
              <w:t>41,378,947</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gridSpan w:val="2"/>
          </w:tcPr>
          <w:p>
            <w:pPr>
              <w:jc w:val="right"/>
              <w:ind w:right="90"/>
              <w:spacing w:after="0" w:line="182" w:lineRule="exact"/>
              <w:rPr>
                <w:sz w:val="20"/>
                <w:szCs w:val="20"/>
                <w:color w:val="auto"/>
              </w:rPr>
            </w:pPr>
            <w:r>
              <w:rPr>
                <w:rFonts w:ascii="Arial" w:cs="Arial" w:eastAsia="Arial" w:hAnsi="Arial"/>
                <w:sz w:val="18"/>
                <w:szCs w:val="18"/>
                <w:b w:val="1"/>
                <w:bCs w:val="1"/>
                <w:color w:val="auto"/>
              </w:rPr>
              <w:t>$</w:t>
            </w:r>
          </w:p>
        </w:tc>
        <w:tc>
          <w:tcPr>
            <w:tcW w:w="1260" w:type="dxa"/>
            <w:vAlign w:val="bottom"/>
          </w:tcPr>
          <w:p>
            <w:pPr>
              <w:jc w:val="right"/>
              <w:ind w:right="31"/>
              <w:spacing w:after="0" w:line="182" w:lineRule="exact"/>
              <w:rPr>
                <w:sz w:val="20"/>
                <w:szCs w:val="20"/>
                <w:color w:val="auto"/>
              </w:rPr>
            </w:pPr>
            <w:r>
              <w:rPr>
                <w:rFonts w:ascii="Arial" w:cs="Arial" w:eastAsia="Arial" w:hAnsi="Arial"/>
                <w:sz w:val="18"/>
                <w:szCs w:val="18"/>
                <w:b w:val="1"/>
                <w:bCs w:val="1"/>
                <w:color w:val="auto"/>
              </w:rPr>
              <w:t>617,361,489</w:t>
            </w:r>
          </w:p>
        </w:tc>
      </w:tr>
      <w:tr>
        <w:trPr>
          <w:trHeight w:val="20"/>
        </w:trPr>
        <w:tc>
          <w:tcPr>
            <w:tcW w:w="6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-159385</wp:posOffset>
            </wp:positionV>
            <wp:extent cx="93980" cy="571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0" w:lineRule="exact"/>
        <w:rPr>
          <w:sz w:val="20"/>
          <w:szCs w:val="20"/>
          <w:color w:val="auto"/>
        </w:rPr>
      </w:pPr>
    </w:p>
    <w:p>
      <w:pPr>
        <w:ind w:left="760" w:hanging="374"/>
        <w:spacing w:after="0"/>
        <w:tabs>
          <w:tab w:leader="none" w:pos="760" w:val="left"/>
        </w:tabs>
        <w:numPr>
          <w:ilvl w:val="0"/>
          <w:numId w:val="38"/>
        </w:numPr>
        <w:rPr>
          <w:rFonts w:ascii="Arial" w:cs="Arial" w:eastAsia="Arial" w:hAnsi="Arial"/>
          <w:sz w:val="24"/>
          <w:szCs w:val="24"/>
          <w:color w:val="auto"/>
          <w:vertAlign w:val="superscript"/>
        </w:rPr>
      </w:pPr>
      <w:r>
        <w:rPr>
          <w:rFonts w:ascii="Arial" w:cs="Arial" w:eastAsia="Arial" w:hAnsi="Arial"/>
          <w:sz w:val="18"/>
          <w:szCs w:val="18"/>
          <w:color w:val="auto"/>
        </w:rPr>
        <w:t>Shares were issued as part of the dividend reinvestment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Plans</w:t>
      </w:r>
    </w:p>
    <w:p>
      <w:pPr>
        <w:spacing w:after="0" w:line="21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On February 24, 2022, the Board of Directors approved the Repurchase Program under which the Company may repurchase up to $25 million of its outstanding common stock . Under the Repurchase Program, purchases may be made at management’s discretion from time to time in open-market transactions, in accordance with all applicable securities laws and regulations. Unless extended by the Board of Directors, the repurchase program will terminate 12-months from the date it was approved.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The following table provides information regarding our repurchases of our common stock pursuant to the Repurchase Program for six months ended June 30,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223"/>
              <w:spacing w:after="0"/>
              <w:rPr>
                <w:sz w:val="20"/>
                <w:szCs w:val="20"/>
                <w:color w:val="auto"/>
              </w:rPr>
            </w:pPr>
            <w:r>
              <w:rPr>
                <w:rFonts w:ascii="Arial" w:cs="Arial" w:eastAsia="Arial" w:hAnsi="Arial"/>
                <w:sz w:val="14"/>
                <w:szCs w:val="14"/>
                <w:b w:val="1"/>
                <w:bCs w:val="1"/>
                <w:color w:val="auto"/>
                <w:w w:val="95"/>
              </w:rPr>
              <w:t>Approximate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223"/>
              <w:spacing w:after="0"/>
              <w:rPr>
                <w:sz w:val="20"/>
                <w:szCs w:val="20"/>
                <w:color w:val="auto"/>
              </w:rPr>
            </w:pPr>
            <w:r>
              <w:rPr>
                <w:rFonts w:ascii="Arial" w:cs="Arial" w:eastAsia="Arial" w:hAnsi="Arial"/>
                <w:sz w:val="14"/>
                <w:szCs w:val="14"/>
                <w:b w:val="1"/>
                <w:bCs w:val="1"/>
                <w:color w:val="auto"/>
                <w:w w:val="95"/>
              </w:rPr>
              <w:t>Approximate</w:t>
            </w:r>
          </w:p>
        </w:tc>
      </w:tr>
      <w:tr>
        <w:trPr>
          <w:trHeight w:val="176"/>
        </w:trPr>
        <w:tc>
          <w:tcPr>
            <w:tcW w:w="4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243"/>
              <w:spacing w:after="0"/>
              <w:rPr>
                <w:sz w:val="20"/>
                <w:szCs w:val="20"/>
                <w:color w:val="auto"/>
              </w:rPr>
            </w:pPr>
            <w:r>
              <w:rPr>
                <w:rFonts w:ascii="Arial" w:cs="Arial" w:eastAsia="Arial" w:hAnsi="Arial"/>
                <w:sz w:val="14"/>
                <w:szCs w:val="14"/>
                <w:b w:val="1"/>
                <w:bCs w:val="1"/>
                <w:color w:val="auto"/>
                <w:w w:val="93"/>
              </w:rPr>
              <w:t>Dollar Value of</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223"/>
              <w:spacing w:after="0"/>
              <w:rPr>
                <w:sz w:val="20"/>
                <w:szCs w:val="20"/>
                <w:color w:val="auto"/>
              </w:rPr>
            </w:pPr>
            <w:r>
              <w:rPr>
                <w:rFonts w:ascii="Arial" w:cs="Arial" w:eastAsia="Arial" w:hAnsi="Arial"/>
                <w:sz w:val="14"/>
                <w:szCs w:val="14"/>
                <w:b w:val="1"/>
                <w:bCs w:val="1"/>
                <w:color w:val="auto"/>
                <w:w w:val="95"/>
              </w:rPr>
              <w:t>Dollar Value of</w:t>
            </w:r>
          </w:p>
        </w:tc>
      </w:tr>
      <w:tr>
        <w:trPr>
          <w:trHeight w:val="175"/>
        </w:trPr>
        <w:tc>
          <w:tcPr>
            <w:tcW w:w="4200" w:type="dxa"/>
            <w:vAlign w:val="bottom"/>
          </w:tcPr>
          <w:p>
            <w:pPr>
              <w:spacing w:after="0"/>
              <w:rPr>
                <w:sz w:val="15"/>
                <w:szCs w:val="15"/>
                <w:color w:val="auto"/>
              </w:rPr>
            </w:pPr>
          </w:p>
        </w:tc>
        <w:tc>
          <w:tcPr>
            <w:tcW w:w="1540" w:type="dxa"/>
            <w:vAlign w:val="bottom"/>
          </w:tcPr>
          <w:p>
            <w:pPr>
              <w:jc w:val="center"/>
              <w:ind w:right="41"/>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261"/>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223"/>
              <w:spacing w:after="0"/>
              <w:rPr>
                <w:sz w:val="20"/>
                <w:szCs w:val="20"/>
                <w:color w:val="auto"/>
              </w:rPr>
            </w:pPr>
            <w:r>
              <w:rPr>
                <w:rFonts w:ascii="Arial" w:cs="Arial" w:eastAsia="Arial" w:hAnsi="Arial"/>
                <w:sz w:val="14"/>
                <w:szCs w:val="14"/>
                <w:b w:val="1"/>
                <w:bCs w:val="1"/>
                <w:color w:val="auto"/>
                <w:w w:val="93"/>
              </w:rPr>
              <w:t>Shares That Have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223"/>
              <w:spacing w:after="0"/>
              <w:rPr>
                <w:sz w:val="20"/>
                <w:szCs w:val="20"/>
                <w:color w:val="auto"/>
              </w:rPr>
            </w:pPr>
            <w:r>
              <w:rPr>
                <w:rFonts w:ascii="Arial" w:cs="Arial" w:eastAsia="Arial" w:hAnsi="Arial"/>
                <w:sz w:val="14"/>
                <w:szCs w:val="14"/>
                <w:b w:val="1"/>
                <w:bCs w:val="1"/>
                <w:color w:val="auto"/>
                <w:w w:val="95"/>
              </w:rPr>
              <w:t>Shares That May</w:t>
            </w:r>
          </w:p>
        </w:tc>
      </w:tr>
      <w:tr>
        <w:trPr>
          <w:trHeight w:val="176"/>
        </w:trPr>
        <w:tc>
          <w:tcPr>
            <w:tcW w:w="4200" w:type="dxa"/>
            <w:vAlign w:val="bottom"/>
          </w:tcPr>
          <w:p>
            <w:pPr>
              <w:spacing w:after="0"/>
              <w:rPr>
                <w:sz w:val="15"/>
                <w:szCs w:val="15"/>
                <w:color w:val="auto"/>
              </w:rPr>
            </w:pPr>
          </w:p>
        </w:tc>
        <w:tc>
          <w:tcPr>
            <w:tcW w:w="1540" w:type="dxa"/>
            <w:vAlign w:val="bottom"/>
          </w:tcPr>
          <w:p>
            <w:pPr>
              <w:jc w:val="center"/>
              <w:ind w:right="61"/>
              <w:spacing w:after="0"/>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Price Paid</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223"/>
              <w:spacing w:after="0"/>
              <w:rPr>
                <w:sz w:val="20"/>
                <w:szCs w:val="20"/>
                <w:color w:val="auto"/>
              </w:rPr>
            </w:pPr>
            <w:r>
              <w:rPr>
                <w:rFonts w:ascii="Arial" w:cs="Arial" w:eastAsia="Arial" w:hAnsi="Arial"/>
                <w:sz w:val="14"/>
                <w:szCs w:val="14"/>
                <w:b w:val="1"/>
                <w:bCs w:val="1"/>
                <w:color w:val="auto"/>
                <w:w w:val="89"/>
              </w:rPr>
              <w:t>Been Purchased</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center"/>
              <w:ind w:right="223"/>
              <w:spacing w:after="0"/>
              <w:rPr>
                <w:sz w:val="20"/>
                <w:szCs w:val="20"/>
                <w:color w:val="auto"/>
              </w:rPr>
            </w:pPr>
            <w:r>
              <w:rPr>
                <w:rFonts w:ascii="Arial" w:cs="Arial" w:eastAsia="Arial" w:hAnsi="Arial"/>
                <w:sz w:val="14"/>
                <w:szCs w:val="14"/>
                <w:b w:val="1"/>
                <w:bCs w:val="1"/>
                <w:color w:val="auto"/>
                <w:w w:val="89"/>
              </w:rPr>
              <w:t>Yet Be Purchased</w:t>
            </w:r>
          </w:p>
        </w:tc>
      </w:tr>
      <w:tr>
        <w:trPr>
          <w:trHeight w:val="185"/>
        </w:trPr>
        <w:tc>
          <w:tcPr>
            <w:tcW w:w="4200" w:type="dxa"/>
            <w:vAlign w:val="bottom"/>
          </w:tcPr>
          <w:p>
            <w:pPr>
              <w:spacing w:after="0"/>
              <w:rPr>
                <w:sz w:val="16"/>
                <w:szCs w:val="16"/>
                <w:color w:val="auto"/>
              </w:rPr>
            </w:pPr>
          </w:p>
        </w:tc>
        <w:tc>
          <w:tcPr>
            <w:tcW w:w="15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0"/>
              </w:rPr>
              <w:t>Repurchased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281"/>
              <w:spacing w:after="0"/>
              <w:rPr>
                <w:sz w:val="20"/>
                <w:szCs w:val="20"/>
                <w:color w:val="auto"/>
              </w:rPr>
            </w:pPr>
            <w:r>
              <w:rPr>
                <w:rFonts w:ascii="Arial" w:cs="Arial" w:eastAsia="Arial" w:hAnsi="Arial"/>
                <w:sz w:val="14"/>
                <w:szCs w:val="14"/>
                <w:b w:val="1"/>
                <w:bCs w:val="1"/>
                <w:color w:val="auto"/>
                <w:w w:val="91"/>
              </w:rPr>
              <w:t>Per Share</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95"/>
              </w:rPr>
              <w:t>Under the Plan</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23"/>
              <w:spacing w:after="0"/>
              <w:rPr>
                <w:sz w:val="20"/>
                <w:szCs w:val="20"/>
                <w:color w:val="auto"/>
              </w:rPr>
            </w:pPr>
            <w:r>
              <w:rPr>
                <w:rFonts w:ascii="Arial" w:cs="Arial" w:eastAsia="Arial" w:hAnsi="Arial"/>
                <w:sz w:val="14"/>
                <w:szCs w:val="14"/>
                <w:b w:val="1"/>
                <w:bCs w:val="1"/>
                <w:color w:val="auto"/>
                <w:w w:val="95"/>
              </w:rPr>
              <w:t>Under the Plan</w:t>
            </w:r>
          </w:p>
        </w:tc>
      </w:tr>
      <w:tr>
        <w:trPr>
          <w:trHeight w:val="196"/>
        </w:trPr>
        <w:tc>
          <w:tcPr>
            <w:tcW w:w="42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Quarter ended March 31, 2022</w:t>
            </w:r>
          </w:p>
        </w:tc>
        <w:tc>
          <w:tcPr>
            <w:tcW w:w="1540" w:type="dxa"/>
            <w:vAlign w:val="bottom"/>
            <w:shd w:val="clear" w:color="auto" w:fill="CFF0FC"/>
          </w:tcPr>
          <w:p>
            <w:pPr>
              <w:jc w:val="right"/>
              <w:ind w:right="61"/>
              <w:spacing w:after="0" w:line="196" w:lineRule="exact"/>
              <w:rPr>
                <w:sz w:val="20"/>
                <w:szCs w:val="20"/>
                <w:color w:val="auto"/>
              </w:rPr>
            </w:pPr>
            <w:r>
              <w:rPr>
                <w:rFonts w:ascii="Arial" w:cs="Arial" w:eastAsia="Arial" w:hAnsi="Arial"/>
                <w:sz w:val="18"/>
                <w:szCs w:val="18"/>
                <w:color w:val="auto"/>
              </w:rPr>
              <w:t>31,782</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1280" w:type="dxa"/>
            <w:vAlign w:val="bottom"/>
            <w:shd w:val="clear" w:color="auto" w:fill="CFF0FC"/>
          </w:tcPr>
          <w:p>
            <w:pPr>
              <w:jc w:val="right"/>
              <w:ind w:right="61"/>
              <w:spacing w:after="0" w:line="196" w:lineRule="exact"/>
              <w:rPr>
                <w:sz w:val="20"/>
                <w:szCs w:val="20"/>
                <w:color w:val="auto"/>
              </w:rPr>
            </w:pPr>
            <w:r>
              <w:rPr>
                <w:rFonts w:ascii="Arial" w:cs="Arial" w:eastAsia="Arial" w:hAnsi="Arial"/>
                <w:sz w:val="18"/>
                <w:szCs w:val="18"/>
                <w:color w:val="auto"/>
              </w:rPr>
              <w:t>12.88</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43"/>
              <w:spacing w:after="0" w:line="196" w:lineRule="exact"/>
              <w:rPr>
                <w:sz w:val="20"/>
                <w:szCs w:val="20"/>
                <w:color w:val="auto"/>
              </w:rPr>
            </w:pPr>
            <w:r>
              <w:rPr>
                <w:rFonts w:ascii="Arial" w:cs="Arial" w:eastAsia="Arial" w:hAnsi="Arial"/>
                <w:sz w:val="18"/>
                <w:szCs w:val="18"/>
                <w:color w:val="auto"/>
              </w:rPr>
              <w:t>409,223</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ind w:right="43"/>
              <w:spacing w:after="0" w:line="196" w:lineRule="exact"/>
              <w:rPr>
                <w:sz w:val="20"/>
                <w:szCs w:val="20"/>
                <w:color w:val="auto"/>
              </w:rPr>
            </w:pPr>
            <w:r>
              <w:rPr>
                <w:rFonts w:ascii="Arial" w:cs="Arial" w:eastAsia="Arial" w:hAnsi="Arial"/>
                <w:sz w:val="18"/>
                <w:szCs w:val="18"/>
                <w:color w:val="auto"/>
              </w:rPr>
              <w:t>24,590,776</w:t>
            </w:r>
          </w:p>
        </w:tc>
      </w:tr>
      <w:tr>
        <w:trPr>
          <w:trHeight w:val="243"/>
        </w:trPr>
        <w:tc>
          <w:tcPr>
            <w:tcW w:w="4200" w:type="dxa"/>
            <w:vAlign w:val="bottom"/>
          </w:tcPr>
          <w:p>
            <w:pPr>
              <w:ind w:left="20"/>
              <w:spacing w:after="0"/>
              <w:rPr>
                <w:sz w:val="20"/>
                <w:szCs w:val="20"/>
                <w:color w:val="auto"/>
              </w:rPr>
            </w:pPr>
            <w:r>
              <w:rPr>
                <w:rFonts w:ascii="Arial" w:cs="Arial" w:eastAsia="Arial" w:hAnsi="Arial"/>
                <w:sz w:val="18"/>
                <w:szCs w:val="18"/>
                <w:color w:val="auto"/>
              </w:rPr>
              <w:t>Quarter ended June 30, 2022</w:t>
            </w:r>
          </w:p>
        </w:tc>
        <w:tc>
          <w:tcPr>
            <w:tcW w:w="1540" w:type="dxa"/>
            <w:vAlign w:val="bottom"/>
          </w:tcPr>
          <w:p>
            <w:pPr>
              <w:jc w:val="right"/>
              <w:ind w:right="61"/>
              <w:spacing w:after="0"/>
              <w:rPr>
                <w:sz w:val="20"/>
                <w:szCs w:val="20"/>
                <w:color w:val="auto"/>
              </w:rPr>
            </w:pPr>
            <w:r>
              <w:rPr>
                <w:rFonts w:ascii="Arial" w:cs="Arial" w:eastAsia="Arial" w:hAnsi="Arial"/>
                <w:sz w:val="18"/>
                <w:szCs w:val="18"/>
                <w:color w:val="auto"/>
              </w:rPr>
              <w:t>381,710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tcPr>
          <w:p>
            <w:pPr>
              <w:jc w:val="right"/>
              <w:ind w:right="61"/>
              <w:spacing w:after="0"/>
              <w:rPr>
                <w:sz w:val="20"/>
                <w:szCs w:val="20"/>
                <w:color w:val="auto"/>
              </w:rPr>
            </w:pPr>
            <w:r>
              <w:rPr>
                <w:rFonts w:ascii="Arial" w:cs="Arial" w:eastAsia="Arial" w:hAnsi="Arial"/>
                <w:sz w:val="18"/>
                <w:szCs w:val="18"/>
                <w:color w:val="auto"/>
              </w:rPr>
              <w:t>12.76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43"/>
              <w:spacing w:after="0"/>
              <w:rPr>
                <w:sz w:val="20"/>
                <w:szCs w:val="20"/>
                <w:color w:val="auto"/>
              </w:rPr>
            </w:pPr>
            <w:r>
              <w:rPr>
                <w:rFonts w:ascii="Arial" w:cs="Arial" w:eastAsia="Arial" w:hAnsi="Arial"/>
                <w:sz w:val="18"/>
                <w:szCs w:val="18"/>
                <w:color w:val="auto"/>
              </w:rPr>
              <w:t>4,870,014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0" w:type="dxa"/>
            <w:vAlign w:val="bottom"/>
          </w:tcPr>
          <w:p>
            <w:pPr>
              <w:jc w:val="right"/>
              <w:ind w:right="43"/>
              <w:spacing w:after="0"/>
              <w:rPr>
                <w:sz w:val="20"/>
                <w:szCs w:val="20"/>
                <w:color w:val="auto"/>
              </w:rPr>
            </w:pPr>
            <w:r>
              <w:rPr>
                <w:rFonts w:ascii="Arial" w:cs="Arial" w:eastAsia="Arial" w:hAnsi="Arial"/>
                <w:sz w:val="18"/>
                <w:szCs w:val="18"/>
                <w:color w:val="auto"/>
              </w:rPr>
              <w:t>19,720,762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At June 30, 2022, the Company had $274,284,615 in unfunded loan commitments, many of which are subject to portfolio company performance milestones, to provide debt financing to 16 portfolio companies. The Company’s management believes that its available cash balances, availability under the Credit Agreement, provides sufficient funds to cover its unfunded commitments as of June 30, 2022.</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4"/>
                <w:szCs w:val="14"/>
                <w:b w:val="1"/>
                <w:bCs w:val="1"/>
                <w:color w:val="auto"/>
                <w:w w:val="92"/>
              </w:rPr>
              <w:t>Payments Due By Period</w:t>
            </w: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60"/>
        </w:trPr>
        <w:tc>
          <w:tcPr>
            <w:tcW w:w="4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center"/>
              <w:ind w:right="157"/>
              <w:spacing w:after="0" w:line="160" w:lineRule="exact"/>
              <w:rPr>
                <w:sz w:val="20"/>
                <w:szCs w:val="20"/>
                <w:color w:val="auto"/>
              </w:rPr>
            </w:pPr>
            <w:r>
              <w:rPr>
                <w:rFonts w:ascii="Arial" w:cs="Arial" w:eastAsia="Arial" w:hAnsi="Arial"/>
                <w:sz w:val="14"/>
                <w:szCs w:val="14"/>
                <w:b w:val="1"/>
                <w:bCs w:val="1"/>
                <w:color w:val="auto"/>
                <w:w w:val="88"/>
              </w:rPr>
              <w:t>Less than</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center"/>
              <w:ind w:right="197"/>
              <w:spacing w:after="0" w:line="160" w:lineRule="exact"/>
              <w:rPr>
                <w:sz w:val="20"/>
                <w:szCs w:val="20"/>
                <w:color w:val="auto"/>
              </w:rPr>
            </w:pPr>
            <w:r>
              <w:rPr>
                <w:rFonts w:ascii="Arial" w:cs="Arial" w:eastAsia="Arial" w:hAnsi="Arial"/>
                <w:sz w:val="14"/>
                <w:szCs w:val="14"/>
                <w:b w:val="1"/>
                <w:bCs w:val="1"/>
                <w:color w:val="auto"/>
                <w:w w:val="95"/>
              </w:rPr>
              <w:t>More than</w:t>
            </w:r>
          </w:p>
        </w:tc>
      </w:tr>
      <w:tr>
        <w:trPr>
          <w:trHeight w:val="185"/>
        </w:trPr>
        <w:tc>
          <w:tcPr>
            <w:tcW w:w="45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3"/>
              </w:rPr>
              <w:t>1 year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1–3 years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1"/>
              </w:rPr>
              <w:t>5 years</w:t>
            </w:r>
          </w:p>
        </w:tc>
      </w:tr>
      <w:tr>
        <w:trPr>
          <w:trHeight w:val="196"/>
        </w:trPr>
        <w:tc>
          <w:tcPr>
            <w:tcW w:w="4560" w:type="dxa"/>
            <w:vAlign w:val="bottom"/>
            <w:shd w:val="clear" w:color="auto" w:fill="CFF0FC"/>
          </w:tcPr>
          <w:p>
            <w:pPr>
              <w:ind w:left="20"/>
              <w:spacing w:after="0" w:line="195" w:lineRule="exact"/>
              <w:rPr>
                <w:sz w:val="20"/>
                <w:szCs w:val="20"/>
                <w:color w:val="auto"/>
              </w:rPr>
            </w:pPr>
            <w:r>
              <w:rPr>
                <w:rFonts w:ascii="Arial" w:cs="Arial" w:eastAsia="Arial" w:hAnsi="Arial"/>
                <w:sz w:val="17"/>
                <w:szCs w:val="17"/>
                <w:color w:val="auto"/>
              </w:rPr>
              <w:t>Credit facilities</w:t>
            </w:r>
            <w:r>
              <w:rPr>
                <w:rFonts w:ascii="Arial" w:cs="Arial" w:eastAsia="Arial" w:hAnsi="Arial"/>
                <w:sz w:val="22"/>
                <w:szCs w:val="22"/>
                <w:color w:val="auto"/>
                <w:vertAlign w:val="superscript"/>
              </w:rPr>
              <w:t>(1)</w:t>
            </w:r>
          </w:p>
        </w:tc>
        <w:tc>
          <w:tcPr>
            <w:tcW w:w="260" w:type="dxa"/>
            <w:vAlign w:val="bottom"/>
            <w:shd w:val="clear" w:color="auto" w:fill="CFF0FC"/>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ind w:right="55"/>
              <w:spacing w:after="0" w:line="196" w:lineRule="exact"/>
              <w:rPr>
                <w:sz w:val="20"/>
                <w:szCs w:val="20"/>
                <w:color w:val="auto"/>
              </w:rPr>
            </w:pPr>
            <w:r>
              <w:rPr>
                <w:rFonts w:ascii="Arial" w:cs="Arial" w:eastAsia="Arial" w:hAnsi="Arial"/>
                <w:sz w:val="18"/>
                <w:szCs w:val="18"/>
                <w:color w:val="auto"/>
              </w:rPr>
              <w:t>163,000,000</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ind w:left="520"/>
              <w:spacing w:after="0" w:line="19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ind w:left="800"/>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ind w:right="35"/>
              <w:spacing w:after="0" w:line="196" w:lineRule="exact"/>
              <w:rPr>
                <w:sz w:val="20"/>
                <w:szCs w:val="20"/>
                <w:color w:val="auto"/>
              </w:rPr>
            </w:pPr>
            <w:r>
              <w:rPr>
                <w:rFonts w:ascii="Arial" w:cs="Arial" w:eastAsia="Arial" w:hAnsi="Arial"/>
                <w:sz w:val="18"/>
                <w:szCs w:val="18"/>
                <w:color w:val="auto"/>
                <w:w w:val="97"/>
              </w:rPr>
              <w:t>163,000,000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ind w:left="740"/>
              <w:spacing w:after="0" w:line="196" w:lineRule="exact"/>
              <w:rPr>
                <w:sz w:val="20"/>
                <w:szCs w:val="20"/>
                <w:color w:val="auto"/>
              </w:rPr>
            </w:pPr>
            <w:r>
              <w:rPr>
                <w:rFonts w:ascii="Arial" w:cs="Arial" w:eastAsia="Arial" w:hAnsi="Arial"/>
                <w:sz w:val="18"/>
                <w:szCs w:val="18"/>
                <w:color w:val="auto"/>
              </w:rPr>
              <w:t>—</w:t>
            </w:r>
          </w:p>
        </w:tc>
      </w:tr>
      <w:tr>
        <w:trPr>
          <w:trHeight w:val="203"/>
        </w:trPr>
        <w:tc>
          <w:tcPr>
            <w:tcW w:w="4560" w:type="dxa"/>
            <w:vAlign w:val="bottom"/>
          </w:tcPr>
          <w:p>
            <w:pPr>
              <w:ind w:left="20"/>
              <w:spacing w:after="0" w:line="202" w:lineRule="exact"/>
              <w:rPr>
                <w:sz w:val="20"/>
                <w:szCs w:val="20"/>
                <w:color w:val="auto"/>
              </w:rPr>
            </w:pPr>
            <w:r>
              <w:rPr>
                <w:rFonts w:ascii="Arial" w:cs="Arial" w:eastAsia="Arial" w:hAnsi="Arial"/>
                <w:sz w:val="17"/>
                <w:szCs w:val="17"/>
                <w:color w:val="auto"/>
              </w:rPr>
              <w:t>2026 Senior Notes</w:t>
            </w:r>
            <w:r>
              <w:rPr>
                <w:rFonts w:ascii="Arial" w:cs="Arial" w:eastAsia="Arial" w:hAnsi="Arial"/>
                <w:sz w:val="23"/>
                <w:szCs w:val="23"/>
                <w:color w:val="auto"/>
                <w:vertAlign w:val="superscript"/>
              </w:rPr>
              <w:t>(1)</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
              <w:spacing w:after="0" w:line="202" w:lineRule="exact"/>
              <w:rPr>
                <w:sz w:val="20"/>
                <w:szCs w:val="20"/>
                <w:color w:val="auto"/>
              </w:rPr>
            </w:pPr>
            <w:r>
              <w:rPr>
                <w:rFonts w:ascii="Arial" w:cs="Arial" w:eastAsia="Arial" w:hAnsi="Arial"/>
                <w:sz w:val="18"/>
                <w:szCs w:val="18"/>
                <w:color w:val="auto"/>
              </w:rPr>
              <w:t>70,000,000</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5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ind w:left="8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70,000,000</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740"/>
              <w:spacing w:after="0" w:line="202" w:lineRule="exact"/>
              <w:rPr>
                <w:sz w:val="20"/>
                <w:szCs w:val="20"/>
                <w:color w:val="auto"/>
              </w:rPr>
            </w:pPr>
            <w:r>
              <w:rPr>
                <w:rFonts w:ascii="Arial" w:cs="Arial" w:eastAsia="Arial" w:hAnsi="Arial"/>
                <w:sz w:val="18"/>
                <w:szCs w:val="18"/>
                <w:color w:val="auto"/>
              </w:rPr>
              <w:t>—</w:t>
            </w:r>
          </w:p>
        </w:tc>
      </w:tr>
      <w:tr>
        <w:trPr>
          <w:trHeight w:val="236"/>
        </w:trPr>
        <w:tc>
          <w:tcPr>
            <w:tcW w:w="45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ind w:right="55"/>
              <w:spacing w:after="0" w:line="182" w:lineRule="exact"/>
              <w:rPr>
                <w:sz w:val="20"/>
                <w:szCs w:val="20"/>
                <w:color w:val="auto"/>
              </w:rPr>
            </w:pPr>
            <w:r>
              <w:rPr>
                <w:rFonts w:ascii="Arial" w:cs="Arial" w:eastAsia="Arial" w:hAnsi="Arial"/>
                <w:sz w:val="18"/>
                <w:szCs w:val="18"/>
                <w:color w:val="auto"/>
              </w:rPr>
              <w:t>233,000,000</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ind w:left="520"/>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ind w:left="800"/>
              <w:spacing w:after="0" w:line="18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w w:val="97"/>
              </w:rPr>
              <w:t>233,000,000</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ind w:left="740"/>
              <w:spacing w:after="0" w:line="18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-24765</wp:posOffset>
            </wp:positionV>
            <wp:extent cx="6858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-24765</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-7620</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1903095"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78" w:lineRule="exact"/>
        <w:rPr>
          <w:sz w:val="20"/>
          <w:szCs w:val="20"/>
          <w:color w:val="auto"/>
        </w:rPr>
      </w:pPr>
    </w:p>
    <w:p>
      <w:pPr>
        <w:ind w:left="760" w:hanging="374"/>
        <w:spacing w:after="0" w:line="276" w:lineRule="exact"/>
        <w:tabs>
          <w:tab w:leader="none" w:pos="760" w:val="left"/>
        </w:tabs>
        <w:numPr>
          <w:ilvl w:val="0"/>
          <w:numId w:val="39"/>
        </w:numPr>
        <w:rPr>
          <w:rFonts w:ascii="Arial" w:cs="Arial" w:eastAsia="Arial" w:hAnsi="Arial"/>
          <w:sz w:val="24"/>
          <w:szCs w:val="24"/>
          <w:color w:val="auto"/>
          <w:vertAlign w:val="superscript"/>
        </w:rPr>
      </w:pPr>
      <w:r>
        <w:rPr>
          <w:rFonts w:ascii="Arial" w:cs="Arial" w:eastAsia="Arial" w:hAnsi="Arial"/>
          <w:sz w:val="14"/>
          <w:szCs w:val="14"/>
          <w:color w:val="auto"/>
        </w:rPr>
        <w:t>See “Note 10 – Borrowings” to our financial statements in Part I, Item 1 of this Form 10</w:t>
      </w:r>
      <w:r>
        <w:rPr>
          <w:rFonts w:ascii="MS PGothic" w:cs="MS PGothic" w:eastAsia="MS PGothic" w:hAnsi="MS PGothic"/>
          <w:sz w:val="14"/>
          <w:szCs w:val="14"/>
          <w:color w:val="auto"/>
        </w:rPr>
        <w:t>‑</w:t>
      </w:r>
      <w:r>
        <w:rPr>
          <w:rFonts w:ascii="Arial" w:cs="Arial" w:eastAsia="Arial" w:hAnsi="Arial"/>
          <w:sz w:val="14"/>
          <w:szCs w:val="14"/>
          <w:color w:val="auto"/>
        </w:rPr>
        <w:t>Q for more information.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212"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On December 10, 2021, we entered into a Note Purchase Agreement governing the issuance of $70,000,000 in aggregate principal amount of 2026 Senior Notes to institutional accredited investors (as defined in Regulation D under the Securities Act) in a private placement. The 2026 Senior Notes were issued in two closings. The initial issuance of $20 million 2026 Senior Notes closed on December 10, 2021 and the second and final issuance of $50 million closed on February 10, 2022.</w:t>
      </w:r>
    </w:p>
    <w:p>
      <w:pPr>
        <w:spacing w:after="0" w:line="18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6"/>
          <w:szCs w:val="16"/>
          <w:color w:val="auto"/>
        </w:rPr>
        <w:t xml:space="preserve">The 2026 Senior Notes bear an interest rate of 4.25% per year and are due on December 10, 2026, unless redeemed, purchased or prepaid prior to such date by us or our affiliates in accordance with their terms. Interest on the 2026 Senior Notes will be due semiannually. The interest rate is subject to a 1.00% increase in the event that, subject to certain exceptions, the 2026 Senior Notes cease to have an investment grade rating or receive an investment grade rating below the Investment Grade (as defined in the Note Purchase Agreement). The 2026 Senior Notes are general unsecured obligations of the Company that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outstanding and future unsecured unsubordinated indebtedness issued by us.</w:t>
      </w:r>
    </w:p>
    <w:p>
      <w:pPr>
        <w:spacing w:after="0" w:line="159" w:lineRule="exact"/>
        <w:rPr>
          <w:sz w:val="20"/>
          <w:szCs w:val="20"/>
          <w:color w:val="auto"/>
        </w:rPr>
      </w:pPr>
    </w:p>
    <w:p>
      <w:pPr>
        <w:jc w:val="both"/>
        <w:ind w:right="20" w:firstLine="749"/>
        <w:spacing w:after="0" w:line="243" w:lineRule="auto"/>
        <w:rPr>
          <w:sz w:val="20"/>
          <w:szCs w:val="20"/>
          <w:color w:val="auto"/>
        </w:rPr>
      </w:pPr>
      <w:r>
        <w:rPr>
          <w:rFonts w:ascii="Arial" w:cs="Arial" w:eastAsia="Arial" w:hAnsi="Arial"/>
          <w:sz w:val="18"/>
          <w:szCs w:val="18"/>
          <w:color w:val="auto"/>
        </w:rPr>
        <w:t>Aggregate offering costs in connection with the 2026 Senior Notes issuance, including the underwriter’s discount and commissions, were $899,277 which were capitalized and deferred. As of June 30, 2022 and December 31, 2021, unamortized deferred debt costs related to the 2026 Senior Notes were $814,748 and $376,029, respectively. See “Note 10—Borrowings” to our financial statements in Part I of this Form 10-Q for more information on the 2026 Senior Notes.</w:t>
      </w:r>
    </w:p>
    <w:p>
      <w:pPr>
        <w:spacing w:after="0" w:line="188"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7"/>
          <w:szCs w:val="17"/>
          <w:color w:val="auto"/>
        </w:rPr>
        <w:t>On May 31, 2019, we entered into the Credit Agreement by and among us, as borrower, KeyBank National Association, as administrative agent, syndication agent, and a lender, CIBC, as documentation agent and a lender, and U.S. Bank National Association, as paying agent. 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of our cash and cash equivalent holdings. The Credit Agreement has an accordion feature that allows us to increase the aggregate commitments up to $200 million, subject to new or existing lenders agreeing to participate in the increase and other customary conditions.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07" w:lineRule="exact"/>
        <w:rPr>
          <w:sz w:val="20"/>
          <w:szCs w:val="20"/>
          <w:color w:val="auto"/>
        </w:rPr>
      </w:pPr>
      <w:r>
        <w:rPr>
          <w:rFonts w:ascii="Arial" w:cs="Arial" w:eastAsia="Arial" w:hAnsi="Arial"/>
          <w:sz w:val="16"/>
          <w:szCs w:val="16"/>
          <w:color w:val="auto"/>
        </w:rPr>
        <w:t>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We also pay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w:t>
      </w:r>
      <w:r>
        <w:rPr>
          <w:rFonts w:ascii="MS PGothic" w:cs="MS PGothic" w:eastAsia="MS PGothic" w:hAnsi="MS PGothic"/>
          <w:sz w:val="16"/>
          <w:szCs w:val="16"/>
          <w:color w:val="auto"/>
        </w:rPr>
        <w:t>‑</w:t>
      </w:r>
      <w:r>
        <w:rPr>
          <w:rFonts w:ascii="Arial" w:cs="Arial" w:eastAsia="Arial" w:hAnsi="Arial"/>
          <w:sz w:val="16"/>
          <w:szCs w:val="16"/>
          <w:color w:val="auto"/>
        </w:rPr>
        <w:t>month period. The availability period under the Credit Agreement expires on May 31, 2022 and is followed by a two-year amortization period. The stated maturity date under the Credit Agreement is May 31, 2024. The Credit Agreement is secured by a perfected first priority security interest in substantially all of our assets and portfolio investments.</w:t>
      </w:r>
    </w:p>
    <w:p>
      <w:pPr>
        <w:spacing w:after="0" w:line="190"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During the fourth quarter of 2020, we amended the Credit Agreement and others to increase its size to $215 million, increase the accordion feature to $300 million, add additional lenders, implement a 0.50% LIBOR floor and benchmark replacement rate floor on borrowings under the Credit Agreement and modify certain pricing elements and other provisions. We also amended the fee letter (the “Fee Letter”) to revise the interest rate margin to be 3.00% for the remaining term of the Credit Agreement regardless of the Credit Agreement average utilization or the number of unaffiliated obligors on loans in the collateral.</w:t>
      </w:r>
    </w:p>
    <w:p>
      <w:pPr>
        <w:spacing w:after="0" w:line="189"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During the second quarter of 2021, we amended the Credit Agreement to: (i) allow the Company to incur permitted indebtedness without the prior written consent of Keybank National Association, as administrative agent, subject to the limitations described in the Credit Agreement; (ii) increase the accordion amount under the Credit Agreement from a $300 million maximum aggregate commitment amount to a $350 million maximum aggregate commitment amount; and (iii) amend certain other terms of the Credit Agreement. See "Note 10—Borrowings" to our financial statements in Part I of this Form 10-Q for more information on the Credit Agreement.</w:t>
      </w:r>
    </w:p>
    <w:p>
      <w:pPr>
        <w:spacing w:after="0" w:line="189"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During the third quarter of 2021, we adopted the Second Amended and Restated Fee Letter to amend the first payment date of the minimum earnings fee, which will be payable annually starting on May 31, 2022. Under the Second Amended and Restated Fee Letter, we the Company will also pay a supplemental fee on the 15th calendar day of each month beginning August 16, 2021 and ending July 15, 2022 in an aggregate amount equal to $66,367, which is paid pro rata to the lenders listed in Schedule A of the Second Amended and Restated Fee Letter.</w:t>
      </w:r>
    </w:p>
    <w:p>
      <w:pPr>
        <w:spacing w:after="0" w:line="172" w:lineRule="exact"/>
        <w:rPr>
          <w:sz w:val="20"/>
          <w:szCs w:val="20"/>
          <w:color w:val="auto"/>
        </w:rPr>
      </w:pPr>
    </w:p>
    <w:p>
      <w:pPr>
        <w:jc w:val="both"/>
        <w:ind w:firstLine="749"/>
        <w:spacing w:after="0" w:line="207" w:lineRule="exact"/>
        <w:rPr>
          <w:sz w:val="20"/>
          <w:szCs w:val="20"/>
          <w:color w:val="auto"/>
        </w:rPr>
      </w:pPr>
      <w:r>
        <w:rPr>
          <w:rFonts w:ascii="Arial" w:cs="Arial" w:eastAsia="Arial" w:hAnsi="Arial"/>
          <w:sz w:val="18"/>
          <w:szCs w:val="18"/>
          <w:color w:val="auto"/>
        </w:rPr>
        <w:t>During the six months ended June 30, 2022, we drew down $173,000,000 on the Credit Agreement and repaid $71,000,000, of which $163,000,000 remains outstanding at June 30, 2022. We anticipate continued usage of the Credit Agreement as well as other potential debt financing alternatives to fund future portfolio growth. At June 30, 2022, interest was accruing at a rate of 3.97%. During the year ended December 31, 2021, we drew down $161,000,000 on the Credit Agreement and repaid $199,000,000 of which $61,000,000 remained outstanding at December 31, 2021. At December 31, 2021, interest was accruing at a rate of 3.50%. See “Note 10– Borrowings” to our financial statements in Part I, Item 1 of this Form 10</w:t>
      </w:r>
      <w:r>
        <w:rPr>
          <w:rFonts w:ascii="MS PGothic" w:cs="MS PGothic" w:eastAsia="MS PGothic" w:hAnsi="MS PGothic"/>
          <w:sz w:val="18"/>
          <w:szCs w:val="18"/>
          <w:color w:val="auto"/>
        </w:rPr>
        <w:t>‑</w:t>
      </w:r>
      <w:r>
        <w:rPr>
          <w:rFonts w:ascii="Arial" w:cs="Arial" w:eastAsia="Arial" w:hAnsi="Arial"/>
          <w:sz w:val="18"/>
          <w:szCs w:val="18"/>
          <w:color w:val="auto"/>
        </w:rPr>
        <w:t>Q for more information on the Credit Agreement.</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For more information regarding the Credit Agreement, see “Recent Developments.”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We currently have no off-balance sheet arrangements, including any risk management of commodity pricing or other hedging practices.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12"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7"/>
          <w:szCs w:val="17"/>
          <w:color w:val="auto"/>
        </w:rPr>
        <w:t>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8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If newly issued shares are used to implement the dividend reinvestment plan, the number of shares to be issued to a shareholder will be determined by dividing the total dollar amount of the cash dividend or distribution payable to a shareholder by the market price per share of our common stock at the close of regular trading on the Nasdaq Global Select Market on the payment date of a distribution, or if no sale is reported for such day, the average of the reported bid and ask prices. However, if the market price per share on the payment date of a cash dividend or distribution exceeds the most recently computed net asset value per share, we will issue shares at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greater of (i) the most recently computed net asset value per share and (ii) 95% of the current market price per share (or such lesser discount to the current market price per share that still exceeded the most recently computed net asset value per share).</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If shares are purchased in the open market to implement the dividend reinvestment plan, the number of shares to be issued to a shareholder shall be determined by dividing the dollar amount of the cash dividend payable to such shareholder by the weighted average price per share for all shares purchased by the plan administrator in the open market in connection with the dividend.</w:t>
      </w:r>
    </w:p>
    <w:p>
      <w:pPr>
        <w:spacing w:after="0" w:line="18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The number of shares to be issued to a participant in the dividend reinvestment plan are rounded downward to the nearest whole number to avoid the issuance of fractional shares, and any fractional share otherwise issuable to a participant but for this provision is instead be paid to such participant in cash contemporaneously with the issuance of such shares in connection with such cash dividend.</w:t>
      </w:r>
    </w:p>
    <w:p>
      <w:pPr>
        <w:spacing w:after="0" w:line="182"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 xml:space="preserve">During the three and six months ended June 30, 2022, we declared and paid dividends in the amount of $12,382,340 and $23,555,007, respectively, of which $10,172,229 and $13,925,314, respectively, was distributed in cash and the remainder distributed in shares to stockholders pursuant to the Company’s dividend reinvestment plan. </w:t>
      </w:r>
      <w:r>
        <w:rPr>
          <w:rFonts w:ascii="Arial" w:cs="Arial" w:eastAsia="Arial" w:hAnsi="Arial"/>
          <w:sz w:val="16"/>
          <w:szCs w:val="16"/>
          <w:color w:val="231F20"/>
        </w:rPr>
        <w:t>During the year ended December 31, 2021, we declared and paid dividends in the amount of $44,942,937, of</w:t>
      </w:r>
      <w:r>
        <w:rPr>
          <w:rFonts w:ascii="Arial" w:cs="Arial" w:eastAsia="Arial" w:hAnsi="Arial"/>
          <w:sz w:val="16"/>
          <w:szCs w:val="16"/>
          <w:color w:val="auto"/>
        </w:rPr>
        <w:t xml:space="preserve"> </w:t>
      </w:r>
      <w:r>
        <w:rPr>
          <w:rFonts w:ascii="Arial" w:cs="Arial" w:eastAsia="Arial" w:hAnsi="Arial"/>
          <w:sz w:val="16"/>
          <w:szCs w:val="16"/>
          <w:color w:val="231F20"/>
        </w:rPr>
        <w:t>which $17,948,126 was distributed in cash and the remainder distributed in shares to stockholders pursuant to our dividend reinvestment plan.</w:t>
      </w:r>
    </w:p>
    <w:p>
      <w:pPr>
        <w:spacing w:after="0" w:line="155"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June 30, 2022.</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528"/>
              <w:spacing w:after="0"/>
              <w:rPr>
                <w:sz w:val="20"/>
                <w:szCs w:val="20"/>
                <w:color w:val="auto"/>
              </w:rPr>
            </w:pPr>
            <w:r>
              <w:rPr>
                <w:rFonts w:ascii="Arial" w:cs="Arial" w:eastAsia="Arial" w:hAnsi="Arial"/>
                <w:sz w:val="14"/>
                <w:szCs w:val="14"/>
                <w:b w:val="1"/>
                <w:bCs w:val="1"/>
                <w:color w:val="auto"/>
              </w:rPr>
              <w:t>Amount</w:t>
            </w:r>
          </w:p>
        </w:tc>
      </w:tr>
      <w:tr>
        <w:trPr>
          <w:trHeight w:val="185"/>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Date Declared</w:t>
            </w:r>
          </w:p>
        </w:tc>
        <w:tc>
          <w:tcPr>
            <w:tcW w:w="160" w:type="dxa"/>
            <w:vAlign w:val="bottom"/>
          </w:tcPr>
          <w:p>
            <w:pPr>
              <w:spacing w:after="0"/>
              <w:rPr>
                <w:sz w:val="16"/>
                <w:szCs w:val="16"/>
                <w:color w:val="auto"/>
              </w:rPr>
            </w:pPr>
          </w:p>
        </w:tc>
        <w:tc>
          <w:tcPr>
            <w:tcW w:w="1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Record Date</w:t>
            </w:r>
          </w:p>
        </w:tc>
        <w:tc>
          <w:tcPr>
            <w:tcW w:w="160" w:type="dxa"/>
            <w:vAlign w:val="bottom"/>
          </w:tcPr>
          <w:p>
            <w:pPr>
              <w:spacing w:after="0"/>
              <w:rPr>
                <w:sz w:val="16"/>
                <w:szCs w:val="16"/>
                <w:color w:val="auto"/>
              </w:rPr>
            </w:pPr>
          </w:p>
        </w:tc>
        <w:tc>
          <w:tcPr>
            <w:tcW w:w="14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Payment Date</w:t>
            </w:r>
          </w:p>
        </w:tc>
        <w:tc>
          <w:tcPr>
            <w:tcW w:w="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per Share</w:t>
            </w:r>
          </w:p>
        </w:tc>
      </w:tr>
      <w:tr>
        <w:trPr>
          <w:trHeight w:val="169"/>
        </w:trPr>
        <w:tc>
          <w:tcPr>
            <w:tcW w:w="6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May 3, 2018</w:t>
            </w:r>
          </w:p>
        </w:tc>
        <w:tc>
          <w:tcPr>
            <w:tcW w:w="160" w:type="dxa"/>
            <w:vAlign w:val="bottom"/>
            <w:shd w:val="clear" w:color="auto" w:fill="CFF0FC"/>
          </w:tcPr>
          <w:p>
            <w:pPr>
              <w:spacing w:after="0"/>
              <w:rPr>
                <w:sz w:val="14"/>
                <w:szCs w:val="14"/>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May 15, 2018</w:t>
            </w:r>
          </w:p>
        </w:tc>
        <w:tc>
          <w:tcPr>
            <w:tcW w:w="160" w:type="dxa"/>
            <w:vAlign w:val="bottom"/>
            <w:shd w:val="clear" w:color="auto" w:fill="CFF0FC"/>
          </w:tcPr>
          <w:p>
            <w:pPr>
              <w:spacing w:after="0"/>
              <w:rPr>
                <w:sz w:val="14"/>
                <w:szCs w:val="14"/>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May 31, 2018</w:t>
            </w:r>
          </w:p>
        </w:tc>
        <w:tc>
          <w:tcPr>
            <w:tcW w:w="16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0.15</w:t>
            </w:r>
          </w:p>
        </w:tc>
      </w:tr>
      <w:tr>
        <w:trPr>
          <w:trHeight w:val="176"/>
        </w:trPr>
        <w:tc>
          <w:tcPr>
            <w:tcW w:w="6340" w:type="dxa"/>
            <w:vAlign w:val="bottom"/>
          </w:tcPr>
          <w:p>
            <w:pPr>
              <w:ind w:left="20"/>
              <w:spacing w:after="0"/>
              <w:rPr>
                <w:sz w:val="20"/>
                <w:szCs w:val="20"/>
                <w:color w:val="auto"/>
              </w:rPr>
            </w:pPr>
            <w:r>
              <w:rPr>
                <w:rFonts w:ascii="Arial" w:cs="Arial" w:eastAsia="Arial" w:hAnsi="Arial"/>
                <w:sz w:val="14"/>
                <w:szCs w:val="14"/>
                <w:color w:val="auto"/>
              </w:rPr>
              <w:t>July 26, 2018</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August 15, 2018</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August 31, 2018</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0.25</w:t>
            </w:r>
          </w:p>
        </w:tc>
      </w:tr>
      <w:tr>
        <w:trPr>
          <w:trHeight w:val="175"/>
        </w:trPr>
        <w:tc>
          <w:tcPr>
            <w:tcW w:w="6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November 1, 2018</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October 31, 2018</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November 15, 2018</w:t>
            </w:r>
          </w:p>
        </w:tc>
        <w:tc>
          <w:tcPr>
            <w:tcW w:w="4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0.35</w:t>
            </w:r>
          </w:p>
        </w:tc>
      </w:tr>
      <w:tr>
        <w:trPr>
          <w:trHeight w:val="176"/>
        </w:trPr>
        <w:tc>
          <w:tcPr>
            <w:tcW w:w="6340" w:type="dxa"/>
            <w:vAlign w:val="bottom"/>
          </w:tcPr>
          <w:p>
            <w:pPr>
              <w:ind w:left="20"/>
              <w:spacing w:after="0"/>
              <w:rPr>
                <w:sz w:val="20"/>
                <w:szCs w:val="20"/>
                <w:color w:val="auto"/>
              </w:rPr>
            </w:pPr>
            <w:r>
              <w:rPr>
                <w:rFonts w:ascii="Arial" w:cs="Arial" w:eastAsia="Arial" w:hAnsi="Arial"/>
                <w:sz w:val="14"/>
                <w:szCs w:val="14"/>
                <w:color w:val="auto"/>
              </w:rPr>
              <w:t>March 22, 2019</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March 22, 2019</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March 26, 2019</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0.40</w:t>
            </w:r>
          </w:p>
        </w:tc>
      </w:tr>
      <w:tr>
        <w:trPr>
          <w:trHeight w:val="176"/>
        </w:trPr>
        <w:tc>
          <w:tcPr>
            <w:tcW w:w="6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May 2, 2019</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May 7, 2019</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May 21, 2019</w:t>
            </w:r>
          </w:p>
        </w:tc>
        <w:tc>
          <w:tcPr>
            <w:tcW w:w="4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0.45</w:t>
            </w:r>
          </w:p>
        </w:tc>
      </w:tr>
      <w:tr>
        <w:trPr>
          <w:trHeight w:val="175"/>
        </w:trPr>
        <w:tc>
          <w:tcPr>
            <w:tcW w:w="6340" w:type="dxa"/>
            <w:vAlign w:val="bottom"/>
          </w:tcPr>
          <w:p>
            <w:pPr>
              <w:ind w:left="20"/>
              <w:spacing w:after="0"/>
              <w:rPr>
                <w:sz w:val="20"/>
                <w:szCs w:val="20"/>
                <w:color w:val="auto"/>
              </w:rPr>
            </w:pPr>
            <w:r>
              <w:rPr>
                <w:rFonts w:ascii="Arial" w:cs="Arial" w:eastAsia="Arial" w:hAnsi="Arial"/>
                <w:sz w:val="14"/>
                <w:szCs w:val="14"/>
                <w:color w:val="auto"/>
              </w:rPr>
              <w:t>May 2, 2019</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May 31, 2019</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July 16, 2019</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0.46</w:t>
            </w:r>
          </w:p>
        </w:tc>
      </w:tr>
      <w:tr>
        <w:trPr>
          <w:trHeight w:val="176"/>
        </w:trPr>
        <w:tc>
          <w:tcPr>
            <w:tcW w:w="6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July 30, 2019</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August 5, 2019</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August 26, 2019</w:t>
            </w:r>
          </w:p>
        </w:tc>
        <w:tc>
          <w:tcPr>
            <w:tcW w:w="4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0.45</w:t>
            </w:r>
          </w:p>
        </w:tc>
      </w:tr>
      <w:tr>
        <w:trPr>
          <w:trHeight w:val="175"/>
        </w:trPr>
        <w:tc>
          <w:tcPr>
            <w:tcW w:w="6340" w:type="dxa"/>
            <w:vAlign w:val="bottom"/>
          </w:tcPr>
          <w:p>
            <w:pPr>
              <w:ind w:left="20"/>
              <w:spacing w:after="0"/>
              <w:rPr>
                <w:sz w:val="20"/>
                <w:szCs w:val="20"/>
                <w:color w:val="auto"/>
              </w:rPr>
            </w:pPr>
            <w:r>
              <w:rPr>
                <w:rFonts w:ascii="Arial" w:cs="Arial" w:eastAsia="Arial" w:hAnsi="Arial"/>
                <w:sz w:val="14"/>
                <w:szCs w:val="14"/>
                <w:color w:val="auto"/>
              </w:rPr>
              <w:t>September 27, 2019</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September 30, 2019</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November 12, 2019</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0.04</w:t>
            </w:r>
          </w:p>
        </w:tc>
      </w:tr>
      <w:tr>
        <w:trPr>
          <w:trHeight w:val="176"/>
        </w:trPr>
        <w:tc>
          <w:tcPr>
            <w:tcW w:w="6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December 9, 2019</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December 10, 2019</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December 23, 2019</w:t>
            </w:r>
          </w:p>
        </w:tc>
        <w:tc>
          <w:tcPr>
            <w:tcW w:w="4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0.40</w:t>
            </w:r>
          </w:p>
        </w:tc>
      </w:tr>
      <w:tr>
        <w:trPr>
          <w:trHeight w:val="175"/>
        </w:trPr>
        <w:tc>
          <w:tcPr>
            <w:tcW w:w="6340" w:type="dxa"/>
            <w:vAlign w:val="bottom"/>
          </w:tcPr>
          <w:p>
            <w:pPr>
              <w:ind w:left="20"/>
              <w:spacing w:after="0"/>
              <w:rPr>
                <w:sz w:val="20"/>
                <w:szCs w:val="20"/>
                <w:color w:val="auto"/>
              </w:rPr>
            </w:pPr>
            <w:r>
              <w:rPr>
                <w:rFonts w:ascii="Arial" w:cs="Arial" w:eastAsia="Arial" w:hAnsi="Arial"/>
                <w:sz w:val="14"/>
                <w:szCs w:val="14"/>
                <w:color w:val="auto"/>
              </w:rPr>
              <w:t>March 5, 2020</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March 6, 2020</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March 20, 2020</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0.40</w:t>
            </w:r>
          </w:p>
        </w:tc>
      </w:tr>
      <w:tr>
        <w:trPr>
          <w:trHeight w:val="176"/>
        </w:trPr>
        <w:tc>
          <w:tcPr>
            <w:tcW w:w="6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May 7, 2020</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May 8, 2020</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May 21, 2020</w:t>
            </w:r>
          </w:p>
        </w:tc>
        <w:tc>
          <w:tcPr>
            <w:tcW w:w="4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0.35</w:t>
            </w:r>
          </w:p>
        </w:tc>
      </w:tr>
      <w:tr>
        <w:trPr>
          <w:trHeight w:val="175"/>
        </w:trPr>
        <w:tc>
          <w:tcPr>
            <w:tcW w:w="6340" w:type="dxa"/>
            <w:vAlign w:val="bottom"/>
          </w:tcPr>
          <w:p>
            <w:pPr>
              <w:ind w:left="20"/>
              <w:spacing w:after="0"/>
              <w:rPr>
                <w:sz w:val="20"/>
                <w:szCs w:val="20"/>
                <w:color w:val="auto"/>
              </w:rPr>
            </w:pPr>
            <w:r>
              <w:rPr>
                <w:rFonts w:ascii="Arial" w:cs="Arial" w:eastAsia="Arial" w:hAnsi="Arial"/>
                <w:sz w:val="14"/>
                <w:szCs w:val="14"/>
                <w:color w:val="auto"/>
              </w:rPr>
              <w:t>August 5, 2020</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August 6, 2020</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August 20, 2020</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0.36</w:t>
            </w:r>
          </w:p>
        </w:tc>
      </w:tr>
      <w:tr>
        <w:trPr>
          <w:trHeight w:val="175"/>
        </w:trPr>
        <w:tc>
          <w:tcPr>
            <w:tcW w:w="6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October 1, 2020</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October 1, 2020</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November 12, 2020</w:t>
            </w:r>
          </w:p>
        </w:tc>
        <w:tc>
          <w:tcPr>
            <w:tcW w:w="4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0.38</w:t>
            </w:r>
          </w:p>
        </w:tc>
      </w:tr>
      <w:tr>
        <w:trPr>
          <w:trHeight w:val="176"/>
        </w:trPr>
        <w:tc>
          <w:tcPr>
            <w:tcW w:w="6340" w:type="dxa"/>
            <w:vAlign w:val="bottom"/>
          </w:tcPr>
          <w:p>
            <w:pPr>
              <w:ind w:left="20"/>
              <w:spacing w:after="0"/>
              <w:rPr>
                <w:sz w:val="20"/>
                <w:szCs w:val="20"/>
                <w:color w:val="auto"/>
              </w:rPr>
            </w:pPr>
            <w:r>
              <w:rPr>
                <w:rFonts w:ascii="Arial" w:cs="Arial" w:eastAsia="Arial" w:hAnsi="Arial"/>
                <w:sz w:val="14"/>
                <w:szCs w:val="14"/>
                <w:color w:val="auto"/>
              </w:rPr>
              <w:t>March 4, 2021</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March 5, 2021</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March 19, 2021</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0.37</w:t>
            </w:r>
          </w:p>
        </w:tc>
      </w:tr>
      <w:tr>
        <w:trPr>
          <w:trHeight w:val="175"/>
        </w:trPr>
        <w:tc>
          <w:tcPr>
            <w:tcW w:w="6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April 29, 2021</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April 30, 2021</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May 13, 2021</w:t>
            </w:r>
          </w:p>
        </w:tc>
        <w:tc>
          <w:tcPr>
            <w:tcW w:w="4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0.37</w:t>
            </w:r>
          </w:p>
        </w:tc>
      </w:tr>
      <w:tr>
        <w:trPr>
          <w:trHeight w:val="175"/>
        </w:trPr>
        <w:tc>
          <w:tcPr>
            <w:tcW w:w="6340" w:type="dxa"/>
            <w:vAlign w:val="bottom"/>
          </w:tcPr>
          <w:p>
            <w:pPr>
              <w:ind w:left="20"/>
              <w:spacing w:after="0"/>
              <w:rPr>
                <w:sz w:val="20"/>
                <w:szCs w:val="20"/>
                <w:color w:val="auto"/>
              </w:rPr>
            </w:pPr>
            <w:r>
              <w:rPr>
                <w:rFonts w:ascii="Arial" w:cs="Arial" w:eastAsia="Arial" w:hAnsi="Arial"/>
                <w:sz w:val="14"/>
                <w:szCs w:val="14"/>
                <w:color w:val="auto"/>
              </w:rPr>
              <w:t>July 19, 2021</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July 20, 2021</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August 12, 2021</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0.34</w:t>
            </w:r>
          </w:p>
        </w:tc>
      </w:tr>
      <w:tr>
        <w:trPr>
          <w:trHeight w:val="175"/>
        </w:trPr>
        <w:tc>
          <w:tcPr>
            <w:tcW w:w="6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October 28, 2021</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November 8, 2021</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November 22, 2021</w:t>
            </w:r>
          </w:p>
        </w:tc>
        <w:tc>
          <w:tcPr>
            <w:tcW w:w="4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0.25</w:t>
            </w:r>
          </w:p>
        </w:tc>
      </w:tr>
      <w:tr>
        <w:trPr>
          <w:trHeight w:val="175"/>
        </w:trPr>
        <w:tc>
          <w:tcPr>
            <w:tcW w:w="6340" w:type="dxa"/>
            <w:vAlign w:val="bottom"/>
          </w:tcPr>
          <w:p>
            <w:pPr>
              <w:ind w:left="20"/>
              <w:spacing w:after="0"/>
              <w:rPr>
                <w:sz w:val="20"/>
                <w:szCs w:val="20"/>
                <w:color w:val="auto"/>
              </w:rPr>
            </w:pPr>
            <w:r>
              <w:rPr>
                <w:rFonts w:ascii="Arial" w:cs="Arial" w:eastAsia="Arial" w:hAnsi="Arial"/>
                <w:sz w:val="14"/>
                <w:szCs w:val="14"/>
                <w:color w:val="auto"/>
              </w:rPr>
              <w:t>February 24, 2022</w:t>
            </w:r>
          </w:p>
        </w:tc>
        <w:tc>
          <w:tcPr>
            <w:tcW w:w="1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March 8, 2022</w:t>
            </w:r>
          </w:p>
        </w:tc>
        <w:tc>
          <w:tcPr>
            <w:tcW w:w="16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March 22, 2022</w:t>
            </w:r>
          </w:p>
        </w:tc>
        <w:tc>
          <w:tcPr>
            <w:tcW w:w="4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0.27</w:t>
            </w:r>
          </w:p>
        </w:tc>
      </w:tr>
      <w:tr>
        <w:trPr>
          <w:trHeight w:val="175"/>
        </w:trPr>
        <w:tc>
          <w:tcPr>
            <w:tcW w:w="6340" w:type="dxa"/>
            <w:vAlign w:val="bottom"/>
            <w:shd w:val="clear" w:color="auto" w:fill="CFF0FC"/>
          </w:tcPr>
          <w:p>
            <w:pPr>
              <w:ind w:left="20"/>
              <w:spacing w:after="0"/>
              <w:rPr>
                <w:sz w:val="20"/>
                <w:szCs w:val="20"/>
                <w:color w:val="auto"/>
              </w:rPr>
            </w:pPr>
            <w:r>
              <w:rPr>
                <w:rFonts w:ascii="Arial" w:cs="Arial" w:eastAsia="Arial" w:hAnsi="Arial"/>
                <w:sz w:val="14"/>
                <w:szCs w:val="14"/>
                <w:color w:val="auto"/>
              </w:rPr>
              <w:t>April 28, 2022</w:t>
            </w:r>
          </w:p>
        </w:tc>
        <w:tc>
          <w:tcPr>
            <w:tcW w:w="160" w:type="dxa"/>
            <w:vAlign w:val="bottom"/>
            <w:shd w:val="clear" w:color="auto" w:fill="CFF0FC"/>
          </w:tcPr>
          <w:p>
            <w:pPr>
              <w:spacing w:after="0"/>
              <w:rPr>
                <w:sz w:val="15"/>
                <w:szCs w:val="15"/>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May 10, 2022</w:t>
            </w:r>
          </w:p>
        </w:tc>
        <w:tc>
          <w:tcPr>
            <w:tcW w:w="160" w:type="dxa"/>
            <w:vAlign w:val="bottom"/>
            <w:shd w:val="clear" w:color="auto" w:fill="CFF0FC"/>
          </w:tcPr>
          <w:p>
            <w:pPr>
              <w:spacing w:after="0"/>
              <w:rPr>
                <w:sz w:val="15"/>
                <w:szCs w:val="15"/>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May 24, 2022</w:t>
            </w:r>
          </w:p>
        </w:tc>
        <w:tc>
          <w:tcPr>
            <w:tcW w:w="420" w:type="dxa"/>
            <w:vAlign w:val="bottom"/>
            <w:gridSpan w:val="2"/>
            <w:shd w:val="clear" w:color="auto" w:fill="CFF0FC"/>
          </w:tcPr>
          <w:p>
            <w:pPr>
              <w:jc w:val="right"/>
              <w:ind w:right="10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0.30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2" w:lineRule="exact"/>
        <w:rPr>
          <w:sz w:val="20"/>
          <w:szCs w:val="20"/>
          <w:color w:val="auto"/>
        </w:rPr>
      </w:pPr>
    </w:p>
    <w:p>
      <w:pPr>
        <w:jc w:val="both"/>
        <w:ind w:firstLine="749"/>
        <w:spacing w:after="0" w:line="207" w:lineRule="exact"/>
        <w:rPr>
          <w:sz w:val="20"/>
          <w:szCs w:val="20"/>
          <w:color w:val="auto"/>
        </w:rPr>
      </w:pPr>
      <w:r>
        <w:rPr>
          <w:rFonts w:ascii="Arial" w:cs="Arial" w:eastAsia="Arial" w:hAnsi="Arial"/>
          <w:sz w:val="17"/>
          <w:szCs w:val="17"/>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in Part I, Item 1 of this Form 10</w:t>
      </w:r>
      <w:r>
        <w:rPr>
          <w:rFonts w:ascii="MS PGothic" w:cs="MS PGothic" w:eastAsia="MS PGothic" w:hAnsi="MS PGothic"/>
          <w:sz w:val="17"/>
          <w:szCs w:val="17"/>
          <w:color w:val="auto"/>
        </w:rPr>
        <w:t>‑</w:t>
      </w:r>
      <w:r>
        <w:rPr>
          <w:rFonts w:ascii="Arial" w:cs="Arial" w:eastAsia="Arial" w:hAnsi="Arial"/>
          <w:sz w:val="17"/>
          <w:szCs w:val="17"/>
          <w:color w:val="auto"/>
        </w:rPr>
        <w:t>Q, which describes our critical accounting policies and recently adopted accounting pronouncements not yet required to be adopted by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1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 xml:space="preserve">We measure the value of our portfolio investments at fair value in accordance with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issued by the FASB. Fair value is the price that would be received to sell an asset or paid to transfer a liability in an orderly transaction between market participants at the measurement date.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6"/>
          <w:szCs w:val="16"/>
          <w:color w:val="auto"/>
        </w:rPr>
        <w:t>The Audit Committee assists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of such portfolio investments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168"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9"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72" w:lineRule="exact"/>
        <w:rPr>
          <w:sz w:val="20"/>
          <w:szCs w:val="20"/>
          <w:color w:val="auto"/>
        </w:rPr>
      </w:pPr>
    </w:p>
    <w:p>
      <w:pPr>
        <w:ind w:left="760" w:hanging="378"/>
        <w:spacing w:after="0"/>
        <w:tabs>
          <w:tab w:leader="none" w:pos="7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Level 1—Valuations are based on quoted prices in active markets for identical assets or liabilities that are accessible at the measurement date.</w:t>
      </w:r>
    </w:p>
    <w:p>
      <w:pPr>
        <w:spacing w:after="0" w:line="194" w:lineRule="exact"/>
        <w:rPr>
          <w:rFonts w:ascii="Arial" w:cs="Arial" w:eastAsia="Arial" w:hAnsi="Arial"/>
          <w:sz w:val="16"/>
          <w:szCs w:val="16"/>
          <w:color w:val="auto"/>
        </w:rPr>
      </w:pPr>
    </w:p>
    <w:p>
      <w:pPr>
        <w:ind w:left="760" w:right="20" w:hanging="378"/>
        <w:spacing w:after="0" w:line="261"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43" w:lineRule="exact"/>
        <w:rPr>
          <w:rFonts w:ascii="Arial" w:cs="Arial" w:eastAsia="Arial" w:hAnsi="Arial"/>
          <w:sz w:val="18"/>
          <w:szCs w:val="18"/>
          <w:color w:val="auto"/>
        </w:rPr>
      </w:pPr>
    </w:p>
    <w:p>
      <w:pPr>
        <w:jc w:val="both"/>
        <w:ind w:left="760" w:hanging="378"/>
        <w:spacing w:after="0" w:line="243" w:lineRule="auto"/>
        <w:tabs>
          <w:tab w:leader="none" w:pos="7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8" w:lineRule="exact"/>
        <w:rPr>
          <w:sz w:val="20"/>
          <w:szCs w:val="20"/>
          <w:color w:val="auto"/>
        </w:rPr>
      </w:pPr>
    </w:p>
    <w:p>
      <w:pPr>
        <w:jc w:val="both"/>
        <w:ind w:firstLine="749"/>
        <w:spacing w:after="0" w:line="294"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47"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30" w:lineRule="exact"/>
        <w:rPr>
          <w:sz w:val="20"/>
          <w:szCs w:val="20"/>
          <w:color w:val="auto"/>
        </w:rPr>
      </w:pPr>
    </w:p>
    <w:p>
      <w:pPr>
        <w:ind w:left="760" w:hanging="378"/>
        <w:spacing w:after="0" w:line="261"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investment being initially valued by RGC’s investment professionals that are responsible for the portfolio investment;</w:t>
      </w:r>
    </w:p>
    <w:p>
      <w:pPr>
        <w:spacing w:after="0" w:line="130" w:lineRule="exact"/>
        <w:rPr>
          <w:rFonts w:ascii="Arial" w:cs="Arial" w:eastAsia="Arial" w:hAnsi="Arial"/>
          <w:sz w:val="18"/>
          <w:szCs w:val="18"/>
          <w:color w:val="auto"/>
        </w:rPr>
      </w:pPr>
    </w:p>
    <w:p>
      <w:pPr>
        <w:ind w:left="760" w:hanging="378"/>
        <w:spacing w:after="0"/>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184" w:lineRule="exact"/>
        <w:rPr>
          <w:rFonts w:ascii="Arial" w:cs="Arial" w:eastAsia="Arial" w:hAnsi="Arial"/>
          <w:sz w:val="18"/>
          <w:szCs w:val="18"/>
          <w:color w:val="auto"/>
        </w:rPr>
      </w:pPr>
    </w:p>
    <w:p>
      <w:pPr>
        <w:jc w:val="both"/>
        <w:ind w:left="760" w:hanging="378"/>
        <w:spacing w:after="0" w:line="248" w:lineRule="auto"/>
        <w:tabs>
          <w:tab w:leader="none" w:pos="7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ind w:left="760" w:hanging="378"/>
        <w:spacing w:after="0" w:line="261"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130" w:lineRule="exact"/>
        <w:rPr>
          <w:rFonts w:ascii="Arial" w:cs="Arial" w:eastAsia="Arial" w:hAnsi="Arial"/>
          <w:sz w:val="18"/>
          <w:szCs w:val="18"/>
          <w:color w:val="auto"/>
        </w:rPr>
      </w:pPr>
    </w:p>
    <w:p>
      <w:pPr>
        <w:ind w:left="760" w:right="20" w:hanging="378"/>
        <w:spacing w:after="0" w:line="261" w:lineRule="auto"/>
        <w:tabs>
          <w:tab w:leader="none" w:pos="7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17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Our investments are primarily loans made to high growth-potential companies focused in technology, life sciences, healthcare information and services, business services, select consumer services and products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8"/>
          <w:szCs w:val="18"/>
          <w:color w:val="auto"/>
        </w:rPr>
        <w:t>Rule 2a-5 under the 1940 Act was adopted by the SEC in December 2020 and establishes a framework for determining fair value in good faith for purposes of the 1940 Act. The Company is evaluating the impact of adopting Rule 2a-5 on the financial statements and intends to comply with the new rule’s requirements on or before the compliance date in September 2022.</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12" w:lineRule="exact"/>
        <w:rPr>
          <w:sz w:val="20"/>
          <w:szCs w:val="20"/>
          <w:color w:val="auto"/>
        </w:rPr>
      </w:pPr>
    </w:p>
    <w:p>
      <w:pPr>
        <w:jc w:val="both"/>
        <w:ind w:firstLine="749"/>
        <w:spacing w:after="0" w:line="257" w:lineRule="auto"/>
        <w:rPr>
          <w:sz w:val="20"/>
          <w:szCs w:val="20"/>
          <w:color w:val="auto"/>
        </w:rPr>
      </w:pPr>
      <w:r>
        <w:rPr>
          <w:rFonts w:ascii="Arial" w:cs="Arial" w:eastAsia="Arial" w:hAnsi="Arial"/>
          <w:sz w:val="17"/>
          <w:szCs w:val="17"/>
          <w:i w:val="1"/>
          <w:iCs w:val="1"/>
          <w:color w:val="auto"/>
        </w:rPr>
        <w:t xml:space="preserve">Debt Investments. </w:t>
      </w:r>
      <w:r>
        <w:rPr>
          <w:rFonts w:ascii="Arial" w:cs="Arial" w:eastAsia="Arial" w:hAnsi="Arial"/>
          <w:sz w:val="17"/>
          <w:szCs w:val="17"/>
          <w:color w:val="auto"/>
        </w:rPr>
        <w:t>To determine the fair value of our debt investments, we compare the cost basis of the debt investment, which includes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that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5"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 however, a significantly higher or lower fair value measurement of any of the Company’s portfolio investments may occur regardless of whether there is a significant increase or decrease in these unobservable inputs.</w:t>
      </w:r>
    </w:p>
    <w:p>
      <w:pPr>
        <w:spacing w:after="0" w:line="191" w:lineRule="exact"/>
        <w:rPr>
          <w:sz w:val="20"/>
          <w:szCs w:val="20"/>
          <w:color w:val="auto"/>
        </w:rPr>
      </w:pPr>
    </w:p>
    <w:p>
      <w:pPr>
        <w:jc w:val="both"/>
        <w:ind w:firstLine="749"/>
        <w:spacing w:after="0" w:line="243" w:lineRule="auto"/>
        <w:rPr>
          <w:sz w:val="20"/>
          <w:szCs w:val="20"/>
          <w:color w:val="auto"/>
        </w:rPr>
      </w:pPr>
      <w:r>
        <w:rPr>
          <w:rFonts w:ascii="Arial" w:cs="Arial" w:eastAsia="Arial" w:hAnsi="Arial"/>
          <w:sz w:val="18"/>
          <w:szCs w:val="18"/>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88" w:lineRule="exact"/>
        <w:rPr>
          <w:sz w:val="20"/>
          <w:szCs w:val="20"/>
          <w:color w:val="auto"/>
        </w:rPr>
      </w:pPr>
    </w:p>
    <w:p>
      <w:pPr>
        <w:jc w:val="both"/>
        <w:ind w:right="20" w:firstLine="749"/>
        <w:spacing w:after="0" w:line="261"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Fair value of warrants is primarily determined using a Black Scholes option-pricing model. Privately held warrants and equity-related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valued based on an analysis of various factors including, but not limited to, the following:</w:t>
      </w:r>
    </w:p>
    <w:p>
      <w:pPr>
        <w:spacing w:after="0" w:line="144" w:lineRule="exact"/>
        <w:rPr>
          <w:sz w:val="20"/>
          <w:szCs w:val="20"/>
          <w:color w:val="auto"/>
        </w:rPr>
      </w:pPr>
    </w:p>
    <w:p>
      <w:pPr>
        <w:jc w:val="both"/>
        <w:ind w:left="760" w:hanging="378"/>
        <w:spacing w:after="0" w:line="238" w:lineRule="auto"/>
        <w:tabs>
          <w:tab w:leader="none" w:pos="7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53" w:lineRule="exact"/>
        <w:rPr>
          <w:rFonts w:ascii="Arial" w:cs="Arial" w:eastAsia="Arial" w:hAnsi="Arial"/>
          <w:sz w:val="18"/>
          <w:szCs w:val="18"/>
          <w:color w:val="auto"/>
        </w:rPr>
      </w:pPr>
    </w:p>
    <w:p>
      <w:pPr>
        <w:jc w:val="both"/>
        <w:ind w:left="760" w:hanging="378"/>
        <w:spacing w:after="0" w:line="284" w:lineRule="auto"/>
        <w:tabs>
          <w:tab w:leader="none" w:pos="7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left="760" w:hanging="378"/>
        <w:spacing w:after="0" w:line="284"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14" w:lineRule="exact"/>
        <w:rPr>
          <w:rFonts w:ascii="Arial" w:cs="Arial" w:eastAsia="Arial" w:hAnsi="Arial"/>
          <w:sz w:val="16"/>
          <w:szCs w:val="16"/>
          <w:color w:val="auto"/>
        </w:rPr>
      </w:pPr>
    </w:p>
    <w:p>
      <w:pPr>
        <w:jc w:val="both"/>
        <w:ind w:left="760" w:hanging="378"/>
        <w:spacing w:after="0" w:line="243" w:lineRule="auto"/>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60" w:lineRule="exact"/>
        <w:rPr>
          <w:rFonts w:ascii="Arial" w:cs="Arial" w:eastAsia="Arial" w:hAnsi="Arial"/>
          <w:sz w:val="18"/>
          <w:szCs w:val="18"/>
          <w:color w:val="auto"/>
        </w:rPr>
      </w:pPr>
    </w:p>
    <w:p>
      <w:pPr>
        <w:jc w:val="both"/>
        <w:ind w:left="760" w:hanging="378"/>
        <w:spacing w:after="0" w:line="257" w:lineRule="auto"/>
        <w:tabs>
          <w:tab w:leader="none" w:pos="7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5"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72"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89" w:lineRule="exact"/>
        <w:rPr>
          <w:sz w:val="20"/>
          <w:szCs w:val="20"/>
          <w:color w:val="auto"/>
        </w:rPr>
      </w:pPr>
    </w:p>
    <w:p>
      <w:pPr>
        <w:jc w:val="both"/>
        <w:ind w:firstLine="749"/>
        <w:spacing w:after="0" w:line="270"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 amount invested. We</w:t>
      </w:r>
      <w:r>
        <w:rPr>
          <w:rFonts w:ascii="Arial" w:cs="Arial" w:eastAsia="Arial" w:hAnsi="Arial"/>
          <w:sz w:val="16"/>
          <w:szCs w:val="16"/>
          <w:i w:val="1"/>
          <w:iCs w:val="1"/>
          <w:color w:val="auto"/>
        </w:rPr>
        <w:t xml:space="preserve"> </w:t>
      </w:r>
      <w:r>
        <w:rPr>
          <w:rFonts w:ascii="Arial" w:cs="Arial" w:eastAsia="Arial" w:hAnsi="Arial"/>
          <w:sz w:val="16"/>
          <w:szCs w:val="16"/>
          <w:color w:val="auto"/>
        </w:rPr>
        <w:t>adjust 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12"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The Company’s assets measured at fair value on a recurring basis subject to the requirements of ASC Topic 820 at June 30, 2022 and December 31, 2021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428"/>
              <w:spacing w:after="0"/>
              <w:rPr>
                <w:sz w:val="20"/>
                <w:szCs w:val="20"/>
                <w:color w:val="auto"/>
              </w:rPr>
            </w:pPr>
            <w:r>
              <w:rPr>
                <w:rFonts w:ascii="Arial" w:cs="Arial" w:eastAsia="Arial" w:hAnsi="Arial"/>
                <w:sz w:val="14"/>
                <w:szCs w:val="14"/>
                <w:b w:val="1"/>
                <w:bCs w:val="1"/>
                <w:color w:val="auto"/>
                <w:w w:val="99"/>
              </w:rPr>
              <w:t>As of June 30, 2022 (Unaudited)</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169"/>
        </w:trPr>
        <w:tc>
          <w:tcPr>
            <w:tcW w:w="5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24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r>
      <w:tr>
        <w:trPr>
          <w:trHeight w:val="175"/>
        </w:trPr>
        <w:tc>
          <w:tcPr>
            <w:tcW w:w="5360" w:type="dxa"/>
            <w:vAlign w:val="bottom"/>
          </w:tcPr>
          <w:p>
            <w:pPr>
              <w:ind w:left="200"/>
              <w:spacing w:after="0"/>
              <w:rPr>
                <w:sz w:val="20"/>
                <w:szCs w:val="20"/>
                <w:color w:val="auto"/>
              </w:rPr>
            </w:pPr>
            <w:r>
              <w:rPr>
                <w:rFonts w:ascii="Arial" w:cs="Arial" w:eastAsia="Arial" w:hAnsi="Arial"/>
                <w:sz w:val="14"/>
                <w:szCs w:val="14"/>
                <w:color w:val="auto"/>
              </w:rPr>
              <w:t>Common Stock</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1,571,310</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Pr>
          <w:p>
            <w:pPr>
              <w:ind w:left="92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1,324,707</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2,896,017</w:t>
            </w:r>
          </w:p>
        </w:tc>
      </w:tr>
      <w:tr>
        <w:trPr>
          <w:trHeight w:val="176"/>
        </w:trPr>
        <w:tc>
          <w:tcPr>
            <w:tcW w:w="5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Senior Secured Term Loans</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758,996,569</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758,996,569</w:t>
            </w:r>
          </w:p>
        </w:tc>
      </w:tr>
      <w:tr>
        <w:trPr>
          <w:trHeight w:val="175"/>
        </w:trPr>
        <w:tc>
          <w:tcPr>
            <w:tcW w:w="5360" w:type="dxa"/>
            <w:vAlign w:val="bottom"/>
          </w:tcPr>
          <w:p>
            <w:pPr>
              <w:ind w:left="200"/>
              <w:spacing w:after="0"/>
              <w:rPr>
                <w:sz w:val="20"/>
                <w:szCs w:val="20"/>
                <w:color w:val="auto"/>
              </w:rPr>
            </w:pPr>
            <w:r>
              <w:rPr>
                <w:rFonts w:ascii="Arial" w:cs="Arial" w:eastAsia="Arial" w:hAnsi="Arial"/>
                <w:sz w:val="14"/>
                <w:szCs w:val="14"/>
                <w:color w:val="auto"/>
              </w:rPr>
              <w:t>Second Lien Term Loans</w:t>
            </w:r>
          </w:p>
        </w:tc>
        <w:tc>
          <w:tcPr>
            <w:tcW w:w="240" w:type="dxa"/>
            <w:vAlign w:val="bottom"/>
          </w:tcPr>
          <w:p>
            <w:pPr>
              <w:spacing w:after="0"/>
              <w:rPr>
                <w:sz w:val="15"/>
                <w:szCs w:val="15"/>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ind w:left="9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13,247,638</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13,247,638</w:t>
            </w:r>
          </w:p>
        </w:tc>
      </w:tr>
      <w:tr>
        <w:trPr>
          <w:trHeight w:val="175"/>
        </w:trPr>
        <w:tc>
          <w:tcPr>
            <w:tcW w:w="5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Preferred Stock</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12,230,834</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80" w:type="dxa"/>
            <w:vAlign w:val="bottom"/>
            <w:shd w:val="clear" w:color="auto" w:fill="CFF0FC"/>
          </w:tcPr>
          <w:p>
            <w:pPr>
              <w:ind w:left="9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408,727</w:t>
            </w:r>
          </w:p>
        </w:tc>
        <w:tc>
          <w:tcPr>
            <w:tcW w:w="1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12,639,561</w:t>
            </w:r>
          </w:p>
        </w:tc>
      </w:tr>
      <w:tr>
        <w:trPr>
          <w:trHeight w:val="175"/>
        </w:trPr>
        <w:tc>
          <w:tcPr>
            <w:tcW w:w="5360" w:type="dxa"/>
            <w:vAlign w:val="bottom"/>
          </w:tcPr>
          <w:p>
            <w:pPr>
              <w:ind w:left="200"/>
              <w:spacing w:after="0"/>
              <w:rPr>
                <w:sz w:val="20"/>
                <w:szCs w:val="20"/>
                <w:color w:val="auto"/>
              </w:rPr>
            </w:pPr>
            <w:r>
              <w:rPr>
                <w:rFonts w:ascii="Arial" w:cs="Arial" w:eastAsia="Arial" w:hAnsi="Arial"/>
                <w:sz w:val="14"/>
                <w:szCs w:val="14"/>
                <w:color w:val="auto"/>
              </w:rPr>
              <w:t>Warrants</w:t>
            </w: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19,948,819</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19,948,819</w:t>
            </w:r>
          </w:p>
        </w:tc>
      </w:tr>
      <w:tr>
        <w:trPr>
          <w:trHeight w:val="169"/>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Total Portfolio Investments</w:t>
            </w:r>
          </w:p>
        </w:tc>
        <w:tc>
          <w:tcPr>
            <w:tcW w:w="240" w:type="dxa"/>
            <w:vAlign w:val="bottom"/>
            <w:tcBorders>
              <w:bottom w:val="single" w:sz="8" w:color="auto"/>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13,802,144</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ind w:left="9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793,926,460</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807,728,604</w:t>
            </w:r>
          </w:p>
        </w:tc>
      </w:tr>
      <w:tr>
        <w:trPr>
          <w:trHeight w:val="169"/>
        </w:trPr>
        <w:tc>
          <w:tcPr>
            <w:tcW w:w="536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Total Investments</w:t>
            </w: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ind w:right="68"/>
              <w:spacing w:after="0" w:line="155" w:lineRule="exact"/>
              <w:rPr>
                <w:sz w:val="20"/>
                <w:szCs w:val="20"/>
                <w:color w:val="auto"/>
              </w:rPr>
            </w:pPr>
            <w:r>
              <w:rPr>
                <w:rFonts w:ascii="Arial" w:cs="Arial" w:eastAsia="Arial" w:hAnsi="Arial"/>
                <w:sz w:val="14"/>
                <w:szCs w:val="14"/>
                <w:color w:val="auto"/>
              </w:rPr>
              <w:t>13,802,144</w:t>
            </w:r>
          </w:p>
        </w:tc>
        <w:tc>
          <w:tcPr>
            <w:tcW w:w="3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180" w:type="dxa"/>
            <w:vAlign w:val="bottom"/>
          </w:tcPr>
          <w:p>
            <w:pPr>
              <w:ind w:left="920"/>
              <w:spacing w:after="0" w:line="155"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line="155" w:lineRule="exact"/>
              <w:rPr>
                <w:sz w:val="20"/>
                <w:szCs w:val="20"/>
                <w:color w:val="auto"/>
              </w:rPr>
            </w:pPr>
            <w:r>
              <w:rPr>
                <w:rFonts w:ascii="Arial" w:cs="Arial" w:eastAsia="Arial" w:hAnsi="Arial"/>
                <w:sz w:val="14"/>
                <w:szCs w:val="14"/>
                <w:color w:val="auto"/>
              </w:rPr>
              <w:t>793,926,460</w:t>
            </w:r>
          </w:p>
        </w:tc>
        <w:tc>
          <w:tcPr>
            <w:tcW w:w="42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line="155" w:lineRule="exact"/>
              <w:rPr>
                <w:sz w:val="20"/>
                <w:szCs w:val="20"/>
                <w:color w:val="auto"/>
              </w:rPr>
            </w:pPr>
            <w:r>
              <w:rPr>
                <w:rFonts w:ascii="Arial" w:cs="Arial" w:eastAsia="Arial" w:hAnsi="Arial"/>
                <w:sz w:val="14"/>
                <w:szCs w:val="14"/>
                <w:color w:val="auto"/>
              </w:rPr>
              <w:t>807,728,604</w:t>
            </w:r>
          </w:p>
        </w:tc>
      </w:tr>
      <w:tr>
        <w:trPr>
          <w:trHeight w:val="20"/>
        </w:trPr>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-142240</wp:posOffset>
            </wp:positionV>
            <wp:extent cx="85725" cy="571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-142240</wp:posOffset>
            </wp:positionV>
            <wp:extent cx="76835" cy="571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-142240</wp:posOffset>
            </wp:positionV>
            <wp:extent cx="77470" cy="571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48"/>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69"/>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Total</w:t>
            </w:r>
          </w:p>
        </w:tc>
      </w:tr>
      <w:tr>
        <w:trPr>
          <w:trHeight w:val="169"/>
        </w:trPr>
        <w:tc>
          <w:tcPr>
            <w:tcW w:w="5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Portfolio Investments</w:t>
            </w: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r>
      <w:tr>
        <w:trPr>
          <w:trHeight w:val="175"/>
        </w:trPr>
        <w:tc>
          <w:tcPr>
            <w:tcW w:w="5360" w:type="dxa"/>
            <w:vAlign w:val="bottom"/>
          </w:tcPr>
          <w:p>
            <w:pPr>
              <w:ind w:left="200"/>
              <w:spacing w:after="0"/>
              <w:rPr>
                <w:sz w:val="20"/>
                <w:szCs w:val="20"/>
                <w:color w:val="auto"/>
              </w:rPr>
            </w:pPr>
            <w:r>
              <w:rPr>
                <w:rFonts w:ascii="Arial" w:cs="Arial" w:eastAsia="Arial" w:hAnsi="Arial"/>
                <w:sz w:val="14"/>
                <w:szCs w:val="14"/>
                <w:color w:val="auto"/>
              </w:rPr>
              <w:t>Common Stock</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2,559,932</w:t>
            </w:r>
          </w:p>
        </w:tc>
        <w:tc>
          <w:tcPr>
            <w:tcW w:w="380" w:type="dxa"/>
            <w:vAlign w:val="bottom"/>
            <w:gridSpan w:val="2"/>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8,903,933</w:t>
            </w:r>
          </w:p>
        </w:tc>
        <w:tc>
          <w:tcPr>
            <w:tcW w:w="36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11,463,865</w:t>
            </w:r>
          </w:p>
        </w:tc>
      </w:tr>
      <w:tr>
        <w:trPr>
          <w:trHeight w:val="176"/>
        </w:trPr>
        <w:tc>
          <w:tcPr>
            <w:tcW w:w="5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Corporate Bonds</w:t>
            </w: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623,053,646</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623,053,646</w:t>
            </w:r>
          </w:p>
        </w:tc>
      </w:tr>
      <w:tr>
        <w:trPr>
          <w:trHeight w:val="176"/>
        </w:trPr>
        <w:tc>
          <w:tcPr>
            <w:tcW w:w="5360" w:type="dxa"/>
            <w:vAlign w:val="bottom"/>
          </w:tcPr>
          <w:p>
            <w:pPr>
              <w:ind w:left="200"/>
              <w:spacing w:after="0"/>
              <w:rPr>
                <w:sz w:val="20"/>
                <w:szCs w:val="20"/>
                <w:color w:val="auto"/>
              </w:rPr>
            </w:pPr>
            <w:r>
              <w:rPr>
                <w:rFonts w:ascii="Arial" w:cs="Arial" w:eastAsia="Arial" w:hAnsi="Arial"/>
                <w:sz w:val="14"/>
                <w:szCs w:val="14"/>
                <w:color w:val="auto"/>
              </w:rPr>
              <w:t>Senior Secured Term Loans</w:t>
            </w:r>
          </w:p>
        </w:tc>
        <w:tc>
          <w:tcPr>
            <w:tcW w:w="240" w:type="dxa"/>
            <w:vAlign w:val="bottom"/>
          </w:tcPr>
          <w:p>
            <w:pPr>
              <w:spacing w:after="0"/>
              <w:rPr>
                <w:sz w:val="15"/>
                <w:szCs w:val="15"/>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12,872,588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12,872,588</w:t>
            </w:r>
          </w:p>
        </w:tc>
      </w:tr>
      <w:tr>
        <w:trPr>
          <w:trHeight w:val="175"/>
        </w:trPr>
        <w:tc>
          <w:tcPr>
            <w:tcW w:w="53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Preferred Stock</w:t>
            </w:r>
          </w:p>
        </w:tc>
        <w:tc>
          <w:tcPr>
            <w:tcW w:w="24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15,704,705</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1,332,420</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17,037,125</w:t>
            </w:r>
          </w:p>
        </w:tc>
      </w:tr>
      <w:tr>
        <w:trPr>
          <w:trHeight w:val="176"/>
        </w:trPr>
        <w:tc>
          <w:tcPr>
            <w:tcW w:w="5360" w:type="dxa"/>
            <w:vAlign w:val="bottom"/>
          </w:tcPr>
          <w:p>
            <w:pPr>
              <w:ind w:left="200"/>
              <w:spacing w:after="0"/>
              <w:rPr>
                <w:sz w:val="20"/>
                <w:szCs w:val="20"/>
                <w:color w:val="auto"/>
              </w:rPr>
            </w:pPr>
            <w:r>
              <w:rPr>
                <w:rFonts w:ascii="Arial" w:cs="Arial" w:eastAsia="Arial" w:hAnsi="Arial"/>
                <w:sz w:val="14"/>
                <w:szCs w:val="14"/>
                <w:color w:val="auto"/>
              </w:rPr>
              <w:t>Warrants</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20,087,550</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20,087,550</w:t>
            </w:r>
          </w:p>
        </w:tc>
      </w:tr>
      <w:tr>
        <w:trPr>
          <w:trHeight w:val="169"/>
        </w:trPr>
        <w:tc>
          <w:tcPr>
            <w:tcW w:w="53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Total Portfolio Investments</w:t>
            </w:r>
          </w:p>
        </w:tc>
        <w:tc>
          <w:tcPr>
            <w:tcW w:w="240" w:type="dxa"/>
            <w:vAlign w:val="bottom"/>
            <w:shd w:val="clear" w:color="auto" w:fill="CFF0FC"/>
          </w:tcPr>
          <w:p>
            <w:pPr>
              <w:spacing w:after="0"/>
              <w:rPr>
                <w:sz w:val="14"/>
                <w:szCs w:val="14"/>
                <w:color w:val="auto"/>
              </w:rPr>
            </w:pPr>
          </w:p>
        </w:tc>
        <w:tc>
          <w:tcPr>
            <w:tcW w:w="11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18,264,637</w:t>
            </w:r>
          </w:p>
        </w:tc>
        <w:tc>
          <w:tcPr>
            <w:tcW w:w="1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8,903,933</w:t>
            </w:r>
          </w:p>
        </w:tc>
        <w:tc>
          <w:tcPr>
            <w:tcW w:w="1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657,346,204</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684,514,774</w:t>
            </w:r>
          </w:p>
        </w:tc>
      </w:tr>
      <w:tr>
        <w:trPr>
          <w:trHeight w:val="175"/>
        </w:trPr>
        <w:tc>
          <w:tcPr>
            <w:tcW w:w="5360" w:type="dxa"/>
            <w:vAlign w:val="bottom"/>
          </w:tcPr>
          <w:p>
            <w:pPr>
              <w:ind w:left="20"/>
              <w:spacing w:after="0"/>
              <w:rPr>
                <w:sz w:val="20"/>
                <w:szCs w:val="20"/>
                <w:color w:val="auto"/>
              </w:rPr>
            </w:pPr>
            <w:r>
              <w:rPr>
                <w:rFonts w:ascii="Arial" w:cs="Arial" w:eastAsia="Arial" w:hAnsi="Arial"/>
                <w:sz w:val="14"/>
                <w:szCs w:val="14"/>
                <w:b w:val="1"/>
                <w:bCs w:val="1"/>
                <w:color w:val="auto"/>
              </w:rPr>
              <w:t>U.S. Treasury Bill</w:t>
            </w:r>
          </w:p>
        </w:tc>
        <w:tc>
          <w:tcPr>
            <w:tcW w:w="2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45,001,500</w:t>
            </w: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45,001,500</w:t>
            </w:r>
          </w:p>
        </w:tc>
      </w:tr>
      <w:tr>
        <w:trPr>
          <w:trHeight w:val="209"/>
        </w:trPr>
        <w:tc>
          <w:tcPr>
            <w:tcW w:w="5360" w:type="dxa"/>
            <w:vAlign w:val="bottom"/>
            <w:tcBorders>
              <w:bottom w:val="single" w:sz="8" w:color="CFF0FC"/>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rPr>
              <w:t>Total Investments</w:t>
            </w: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63,266,137</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8,903,933</w:t>
            </w:r>
          </w:p>
        </w:tc>
        <w:tc>
          <w:tcPr>
            <w:tcW w:w="1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657,346,204</w:t>
            </w: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729,516,274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-25400</wp:posOffset>
            </wp:positionV>
            <wp:extent cx="85725"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-8255</wp:posOffset>
            </wp:positionV>
            <wp:extent cx="8572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7683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-8255</wp:posOffset>
            </wp:positionV>
            <wp:extent cx="7683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-25400</wp:posOffset>
            </wp:positionV>
            <wp:extent cx="77470" cy="825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-8255</wp:posOffset>
            </wp:positionV>
            <wp:extent cx="7747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12"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on the statement of operations.</w:t>
      </w:r>
    </w:p>
    <w:p>
      <w:pPr>
        <w:spacing w:after="0" w:line="172" w:lineRule="exact"/>
        <w:rPr>
          <w:sz w:val="20"/>
          <w:szCs w:val="20"/>
          <w:color w:val="auto"/>
        </w:rPr>
      </w:pPr>
    </w:p>
    <w:p>
      <w:pPr>
        <w:jc w:val="both"/>
        <w:ind w:firstLine="749"/>
        <w:spacing w:after="0" w:line="238" w:lineRule="auto"/>
        <w:rPr>
          <w:sz w:val="20"/>
          <w:szCs w:val="20"/>
          <w:color w:val="auto"/>
        </w:rPr>
      </w:pPr>
      <w:r>
        <w:rPr>
          <w:rFonts w:ascii="Arial" w:cs="Arial" w:eastAsia="Arial" w:hAnsi="Arial"/>
          <w:sz w:val="18"/>
          <w:szCs w:val="18"/>
          <w:color w:val="auto"/>
        </w:rPr>
        <w:t>Dividends are recorded on the applicable ex-dividend date. Interest income, if any, adjusted for amortization of market premium and accretion of market discount, is recorded on an accrual basis to the extent that we expect to collect such amounts. OID, principally representing the estimated fair value of detachable equity or warrants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Fees</w:t>
      </w:r>
    </w:p>
    <w:p>
      <w:pPr>
        <w:spacing w:after="0" w:line="212" w:lineRule="exact"/>
        <w:rPr>
          <w:sz w:val="20"/>
          <w:szCs w:val="20"/>
          <w:color w:val="auto"/>
        </w:rPr>
      </w:pPr>
    </w:p>
    <w:p>
      <w:pPr>
        <w:jc w:val="both"/>
        <w:ind w:firstLine="749"/>
        <w:spacing w:after="0" w:line="209" w:lineRule="exact"/>
        <w:rPr>
          <w:sz w:val="20"/>
          <w:szCs w:val="20"/>
          <w:color w:val="auto"/>
        </w:rPr>
      </w:pPr>
      <w:r>
        <w:rPr>
          <w:rFonts w:ascii="Arial" w:cs="Arial" w:eastAsia="Arial" w:hAnsi="Arial"/>
          <w:sz w:val="18"/>
          <w:szCs w:val="18"/>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–Related Party Agreements and Transactions” to our financial statements in Part I, Item 1 of this Form 10</w:t>
      </w:r>
      <w:r>
        <w:rPr>
          <w:rFonts w:ascii="MS PGothic" w:cs="MS PGothic" w:eastAsia="MS PGothic" w:hAnsi="MS PGothic"/>
          <w:sz w:val="18"/>
          <w:szCs w:val="18"/>
          <w:color w:val="auto"/>
        </w:rPr>
        <w:t>‑</w:t>
      </w:r>
      <w:r>
        <w:rPr>
          <w:rFonts w:ascii="Arial" w:cs="Arial" w:eastAsia="Arial" w:hAnsi="Arial"/>
          <w:sz w:val="18"/>
          <w:szCs w:val="18"/>
          <w:color w:val="auto"/>
        </w:rPr>
        <w:t>Q for more information on the Advisory Agreement and the fee structure thereunder.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1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We have elected to be treated, have qualified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We evaluated events subsequent to June 30, 2022 through August 4, 2022.</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On July 19, 2022, we funded an investment of $4,000,000 to Intellisite Holdings, Inc. (dba Epic IO Technologies, Inc.).</w:t>
      </w:r>
    </w:p>
    <w:p>
      <w:pPr>
        <w:spacing w:after="0" w:line="198" w:lineRule="exact"/>
        <w:rPr>
          <w:sz w:val="20"/>
          <w:szCs w:val="20"/>
          <w:color w:val="auto"/>
        </w:rPr>
      </w:pPr>
    </w:p>
    <w:p>
      <w:pPr>
        <w:jc w:val="both"/>
        <w:ind w:firstLine="599"/>
        <w:spacing w:after="0" w:line="241" w:lineRule="auto"/>
        <w:rPr>
          <w:sz w:val="20"/>
          <w:szCs w:val="20"/>
          <w:color w:val="auto"/>
        </w:rPr>
      </w:pPr>
      <w:r>
        <w:rPr>
          <w:rFonts w:ascii="Arial" w:cs="Arial" w:eastAsia="Arial" w:hAnsi="Arial"/>
          <w:sz w:val="18"/>
          <w:szCs w:val="18"/>
          <w:color w:val="auto"/>
        </w:rPr>
        <w:t>On July 28, 2022, we entered into the First Supplemental Indenture (the “First Supplemental Indenture”) to the Indenture with the U.S. Bank Trust Company, National Association, as trustee (the “Trustee”), dated July 28, 2022, between us and the Trustee (together with the First Supplemental Indenture, the “Indenture”). The First Supplemental Indenture relates to our issuance, offer and sale of $80.5 million in aggregate principal amount of its 7.50% Notes due 2027 (the “2027 Notes”) pursuant to an underwriting agreement. Net of underwriting fees, we received total net cash proceeds of $78.1 million, before expenses.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86" w:lineRule="exact"/>
        <w:rPr>
          <w:sz w:val="20"/>
          <w:szCs w:val="20"/>
          <w:color w:val="auto"/>
        </w:rPr>
      </w:pPr>
    </w:p>
    <w:p>
      <w:pPr>
        <w:jc w:val="both"/>
        <w:ind w:firstLine="701"/>
        <w:spacing w:after="0" w:line="254" w:lineRule="auto"/>
        <w:rPr>
          <w:sz w:val="20"/>
          <w:szCs w:val="20"/>
          <w:color w:val="auto"/>
        </w:rPr>
      </w:pPr>
      <w:r>
        <w:rPr>
          <w:rFonts w:ascii="Arial" w:cs="Arial" w:eastAsia="Arial" w:hAnsi="Arial"/>
          <w:sz w:val="17"/>
          <w:szCs w:val="17"/>
          <w:color w:val="auto"/>
        </w:rPr>
        <w:t xml:space="preserve">The 2027 Notes will mature on July 28, 2027, unless previously redeemed or repurchased in accordance with their terms. The interest rate of the 2027 Notes is 7.50% per year and will be paid quarterly in arrears on March 1, June 1, September 1 and December 1 of each year, commencing September 1, 2022. The 2027 Notes are our direct unsecured obligations and rank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with our existing and future unsecured, unsubordinated indebtedness, including the 2026 Senior Notes; senior to any of our future indebtedness that expressly provides it is subordinated to the 2027 Notes; effectively subordinated to all of our existing and future secured indebtedness (including indebtedness that is initially unsecured to which the Company subsequently grants security), to the extent of the value of the assets securing such indebtedness, including, without limitation, borrowings under our Credit Agreement; and structurally subordinated to all existing and future indebtedness and other obligations of any of our existing or future subsidiaries, financing vehicles or similar facilities, including the Credit Agreement.</w:t>
      </w:r>
    </w:p>
    <w:p>
      <w:pPr>
        <w:spacing w:after="0" w:line="167" w:lineRule="exact"/>
        <w:rPr>
          <w:sz w:val="20"/>
          <w:szCs w:val="20"/>
          <w:color w:val="auto"/>
        </w:rPr>
      </w:pPr>
    </w:p>
    <w:p>
      <w:pPr>
        <w:jc w:val="both"/>
        <w:ind w:firstLine="569"/>
        <w:spacing w:after="0" w:line="270" w:lineRule="auto"/>
        <w:rPr>
          <w:sz w:val="20"/>
          <w:szCs w:val="20"/>
          <w:color w:val="auto"/>
        </w:rPr>
      </w:pPr>
      <w:r>
        <w:rPr>
          <w:rFonts w:ascii="Arial" w:cs="Arial" w:eastAsia="Arial" w:hAnsi="Arial"/>
          <w:sz w:val="17"/>
          <w:szCs w:val="17"/>
          <w:color w:val="auto"/>
        </w:rPr>
        <w:t>The 2027 Notes may be redeemed in whole or in part at any time or from time to time at our option on or after July 28, 2024, upon not less than 30 days nor more than 60 days written notice by mail prior to the date fixed for redemption thereof, at a redemption price of $25 per 2027 Note plus accrued and unpaid interest payments otherwise payable for the then-current quarterly interest period accrued to the date fixed for redemption.</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On July 28, 2022, we declared a dividend of $0.33 per share payable on August 23, 2022 to shareholders of record as of August 9, 2022.</w:t>
      </w:r>
    </w:p>
    <w:p>
      <w:pPr>
        <w:spacing w:after="0" w:line="223"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On July 29, 2022, our investment in FiscalNote, Inc. was refinanced resulting in $10,000,000 of the original investment being prepaid and a new investment of $65,000,000.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commenced investment activities in portfolio securities during the quarter ended June 30, 2017 and commenced investment activities in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Treasury Bills during the quarter ended December 31, 2016.</w:t>
      </w:r>
    </w:p>
    <w:p>
      <w:pPr>
        <w:spacing w:after="0" w:line="196" w:lineRule="exact"/>
        <w:rPr>
          <w:sz w:val="20"/>
          <w:szCs w:val="20"/>
          <w:color w:val="auto"/>
        </w:rPr>
      </w:pPr>
    </w:p>
    <w:p>
      <w:pPr>
        <w:jc w:val="both"/>
        <w:ind w:firstLine="749"/>
        <w:spacing w:after="0" w:line="284" w:lineRule="auto"/>
        <w:rPr>
          <w:sz w:val="20"/>
          <w:szCs w:val="20"/>
          <w:color w:val="auto"/>
        </w:rPr>
      </w:pPr>
      <w:r>
        <w:rPr>
          <w:rFonts w:ascii="Arial" w:cs="Arial" w:eastAsia="Arial" w:hAnsi="Arial"/>
          <w:sz w:val="16"/>
          <w:szCs w:val="16"/>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212" w:lineRule="exact"/>
        <w:rPr>
          <w:sz w:val="20"/>
          <w:szCs w:val="20"/>
          <w:color w:val="auto"/>
        </w:rPr>
      </w:pPr>
    </w:p>
    <w:p>
      <w:pPr>
        <w:jc w:val="both"/>
        <w:ind w:firstLine="749"/>
        <w:spacing w:after="0" w:line="239" w:lineRule="auto"/>
        <w:rPr>
          <w:sz w:val="20"/>
          <w:szCs w:val="20"/>
          <w:color w:val="auto"/>
        </w:rPr>
      </w:pPr>
      <w:r>
        <w:rPr>
          <w:rFonts w:ascii="Arial" w:cs="Arial" w:eastAsia="Arial" w:hAnsi="Arial"/>
          <w:sz w:val="18"/>
          <w:szCs w:val="18"/>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1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7"/>
          <w:szCs w:val="17"/>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In connection with the COVID-19 pandemic, the U.S. Federal Reserve and other central banks have reduced certain interest rates and LIBOR has decreased.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4" w:lineRule="exact"/>
        <w:rPr>
          <w:sz w:val="20"/>
          <w:szCs w:val="20"/>
          <w:color w:val="auto"/>
        </w:rPr>
      </w:pPr>
    </w:p>
    <w:p>
      <w:pPr>
        <w:jc w:val="both"/>
        <w:ind w:firstLine="749"/>
        <w:spacing w:after="0" w:line="272" w:lineRule="auto"/>
        <w:rPr>
          <w:sz w:val="20"/>
          <w:szCs w:val="20"/>
          <w:color w:val="auto"/>
        </w:rPr>
      </w:pPr>
      <w:r>
        <w:rPr>
          <w:rFonts w:ascii="Arial" w:cs="Arial" w:eastAsia="Arial" w:hAnsi="Arial"/>
          <w:sz w:val="16"/>
          <w:szCs w:val="16"/>
          <w:color w:val="auto"/>
        </w:rPr>
        <w:t>We typically expect that interest rates on the investments held in our portfolio will be based on LIBOR, SOFR or U.S. Prime Rate, with many of these investments also having a floor. As of June 30, 2022, 98%, or $700,683,844 (at cost), of our debt portfolio investments bore interest at variable rates, which are U.S. Prime Rate, SOFR or LIBOR-based and subject to certain floors, and one of our debt portfolio investments bore interest at a fixed rate. Interest rate floors are established based on prevailing rates at the time of the investment. As a policy, any interest above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$15,259,115 and decrease our investment income by a maximum of $10,418,547, due to certain floors, on an annual basis. In a low interest rate environment, debt investments with interest rate floors substantially in excess of current prevailing interest rates may be more likely to experience early termination.</w:t>
      </w:r>
    </w:p>
    <w:p>
      <w:pPr>
        <w:spacing w:after="0" w:line="168"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6"/>
          <w:szCs w:val="16"/>
          <w:color w:val="auto"/>
        </w:rPr>
        <w:t>Borrowings under the Credit Agreement bear interest, at our election at the time of drawdown, at a rate per annum equal to the SOFR rate for the applicable interest period, subject to a SOFR rate floor of 0.15%, plus (1) 3.35% at any time that there are fourteen or fewer obligors that are not affiliates of the Company with respect to the loan; (2) 3.10% at any time that there are fifteen or more obligors that are not affiliates but fewer than thirty obligors that are not affiliates with respect to the loan; and (3) 2.95% at any time that there are thirty or more obligors that are not affiliates with respect to the loan; and (b) when the Company’s leverage ratio on the last day of the immediately preceding interest period was greater than 1.0x, 3.35%.</w:t>
      </w:r>
    </w:p>
    <w:p>
      <w:pPr>
        <w:spacing w:after="0" w:line="159" w:lineRule="exact"/>
        <w:rPr>
          <w:sz w:val="20"/>
          <w:szCs w:val="20"/>
          <w:color w:val="auto"/>
        </w:rPr>
      </w:pPr>
    </w:p>
    <w:p>
      <w:pPr>
        <w:jc w:val="both"/>
        <w:ind w:firstLine="749"/>
        <w:spacing w:after="0" w:line="254" w:lineRule="auto"/>
        <w:rPr>
          <w:sz w:val="20"/>
          <w:szCs w:val="20"/>
          <w:color w:val="auto"/>
        </w:rPr>
      </w:pPr>
      <w:r>
        <w:rPr>
          <w:rFonts w:ascii="Arial" w:cs="Arial" w:eastAsia="Arial" w:hAnsi="Arial"/>
          <w:sz w:val="17"/>
          <w:szCs w:val="17"/>
          <w:color w:val="auto"/>
        </w:rPr>
        <w:t>On March 5, 2021, the United Kingdom’s Financial Conduct Authority (the “FCA”), which regulates LIBOR, announced that (i) 24 LIBOR settings would cease to exist immediately after December 31, 2021 (all seven euro LIBOR settings; all seven Swiss franc LIBOR settings; the Spot Next, 1-week, 2-month, and 12-month Japanese yen LIBOR settings; the overnight, 1-week, 2-month, and 12-month sterling LIBOR settings; and the 1-week and 2-month US dollar LIBOR settings) and (ii) the overnight and 1, 3, 6 and 12-month US LIBOR settings would cease to exist after June 30, 2023; and (iii) the FCA would consult on whether the remaining LIBOR settings should continue to be published on a synthetic basis for a certain period using the FCA’s proposed new powers that the UK government is legislating to grant to them. Additionally, on March 15, 2022, President Biden signed into law the Consolidated Appropriations Act of 2022, which among other things, provides for the use of interest rates based on SOFR in certain contracts currently based on LIBOR and a safe harbor from liability for utilizing SOFR-based interest rates as a replacement for LIBOR.</w:t>
      </w:r>
    </w:p>
    <w:p>
      <w:pPr>
        <w:spacing w:after="0" w:line="181" w:lineRule="exact"/>
        <w:rPr>
          <w:sz w:val="20"/>
          <w:szCs w:val="20"/>
          <w:color w:val="auto"/>
        </w:rPr>
      </w:pPr>
    </w:p>
    <w:p>
      <w:pPr>
        <w:jc w:val="both"/>
        <w:ind w:firstLine="749"/>
        <w:spacing w:after="0" w:line="274" w:lineRule="auto"/>
        <w:rPr>
          <w:sz w:val="20"/>
          <w:szCs w:val="20"/>
          <w:color w:val="auto"/>
        </w:rPr>
      </w:pPr>
      <w:r>
        <w:rPr>
          <w:rFonts w:ascii="Arial" w:cs="Arial" w:eastAsia="Arial" w:hAnsi="Arial"/>
          <w:sz w:val="16"/>
          <w:szCs w:val="16"/>
          <w:color w:val="auto"/>
        </w:rPr>
        <w:t>The elimination of LIBOR could have an adverse impact on the market for or value of any LIBOR-linked securities, loans, and other financial obligations or extensions of credit held by or due to us or on our overall financial condition or results of operations. In addition, we may need to renegotiate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agreements may bear interest a lower interest rate, which could have an adverse impact on our results of operations. In addition, the amendments to the terms of our Credit Agreement in connection with the discontinuation of LIBOR may cause the Credit Agreement to bear interest at a higher rate, which would increase the cost of our borrowings and, in turn, affect our results of operations.</w:t>
      </w:r>
    </w:p>
    <w:p>
      <w:pPr>
        <w:spacing w:after="0" w:line="163"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would be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89"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189"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market disruptions, including the continued impact of the the COVID 19 pandemic on foreign financial markets.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2" w:lineRule="exact"/>
        <w:rPr>
          <w:sz w:val="20"/>
          <w:szCs w:val="20"/>
          <w:color w:val="auto"/>
        </w:rPr>
      </w:pPr>
    </w:p>
    <w:p>
      <w:pPr>
        <w:jc w:val="both"/>
        <w:ind w:firstLine="749"/>
        <w:spacing w:after="0" w:line="208" w:lineRule="exact"/>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w:t>
      </w:r>
      <w:r>
        <w:rPr>
          <w:rFonts w:ascii="MS PGothic" w:cs="MS PGothic" w:eastAsia="MS PGothic" w:hAnsi="MS PGothic"/>
          <w:sz w:val="18"/>
          <w:szCs w:val="18"/>
          <w:color w:val="auto"/>
        </w:rPr>
        <w:t>‑</w:t>
      </w:r>
      <w:r>
        <w:rPr>
          <w:rFonts w:ascii="Arial" w:cs="Arial" w:eastAsia="Arial" w:hAnsi="Arial"/>
          <w:sz w:val="18"/>
          <w:szCs w:val="18"/>
          <w:color w:val="auto"/>
        </w:rPr>
        <w:t>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89"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jc w:val="both"/>
        <w:ind w:firstLine="749"/>
        <w:spacing w:after="0" w:line="241"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any such legal proceedings cannot be predicted with certainty, we do not expect that any such proceedings will have a material effect upon our financial condition or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ind w:firstLine="749"/>
        <w:spacing w:after="0" w:line="209" w:lineRule="exact"/>
        <w:rPr>
          <w:sz w:val="20"/>
          <w:szCs w:val="20"/>
          <w:color w:val="auto"/>
        </w:rPr>
      </w:pPr>
      <w:r>
        <w:rPr>
          <w:rFonts w:ascii="Arial" w:cs="Arial" w:eastAsia="Arial" w:hAnsi="Arial"/>
          <w:sz w:val="18"/>
          <w:szCs w:val="18"/>
          <w:color w:val="auto"/>
        </w:rPr>
        <w:t>You should carefully consider the risks described below and all other information contained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including our interim financial statements and the related notes thereto, before making a decision to purchase our securities. The risks and uncertainties described below are not the only ones facing us. Additional risks and uncertainties not currently known to us or that we currently deem to be immaterial also may materially adversely affect our business, financial condition and/or operating results.</w:t>
      </w:r>
    </w:p>
    <w:p>
      <w:pPr>
        <w:spacing w:after="0" w:line="191"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17"/>
          <w:szCs w:val="17"/>
          <w:color w:val="auto"/>
        </w:rPr>
        <w:t>If any of the following risks actually occur, our business, financial condition or results of operations could be materially adversely affected. If that happens, you may lose all or part of your investment. Other than as set forth below, there have been no material changes known to us during the period ended June 30, 2022 to the risk factors discussed in “Risk Factors” in Part I, Item 1A of our annual report on Form 10-K, as modified by the annual report on Form 10-K/A for the year ended December 31, 2021, filed with the SEC on March 2, 2022 and March 14, 2022, respectively.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Russian invasion of Ukraine may have a material adverse impact on us and our portfolio companies.</w:t>
      </w:r>
    </w:p>
    <w:p>
      <w:pPr>
        <w:spacing w:after="0" w:line="212" w:lineRule="exact"/>
        <w:rPr>
          <w:sz w:val="20"/>
          <w:szCs w:val="20"/>
          <w:color w:val="auto"/>
        </w:rPr>
      </w:pPr>
    </w:p>
    <w:p>
      <w:pPr>
        <w:jc w:val="both"/>
        <w:ind w:firstLine="749"/>
        <w:spacing w:after="0"/>
        <w:rPr>
          <w:sz w:val="20"/>
          <w:szCs w:val="20"/>
          <w:color w:val="auto"/>
        </w:rPr>
      </w:pPr>
      <w:r>
        <w:rPr>
          <w:rFonts w:ascii="Arial" w:cs="Arial" w:eastAsia="Arial" w:hAnsi="Arial"/>
          <w:sz w:val="18"/>
          <w:szCs w:val="18"/>
          <w:color w:val="auto"/>
        </w:rPr>
        <w:t>On February 24, 2022, the President of Russia, Vladimir Putin, announced a military invasion of Ukraine. In response, countries worldwide, including the United States, have imposed sanctions against Russia on certain businesses and individuals, including, but not limited to, those in the banking, import and export sectors. This invasion has led, is currently leading, and for an unknown period of time will continue to lead to disruptions in local, regional, national, and global markets and economies affected thereby. These disruptions caused by the invasion have included, and may continue to include, political, social, and economic disruptions and uncertainties that may affect our business operations or the business operations of our portfolio companies.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6" w:lineRule="exact"/>
        <w:rPr>
          <w:sz w:val="20"/>
          <w:szCs w:val="20"/>
          <w:color w:val="auto"/>
        </w:rPr>
      </w:pPr>
    </w:p>
    <w:p>
      <w:pPr>
        <w:jc w:val="both"/>
        <w:ind w:right="20" w:firstLine="749"/>
        <w:spacing w:after="0" w:line="216" w:lineRule="exact"/>
        <w:rPr>
          <w:sz w:val="20"/>
          <w:szCs w:val="20"/>
          <w:color w:val="auto"/>
        </w:rPr>
      </w:pPr>
      <w:r>
        <w:rPr>
          <w:rFonts w:ascii="Arial" w:cs="Arial" w:eastAsia="Arial" w:hAnsi="Arial"/>
          <w:sz w:val="18"/>
          <w:szCs w:val="18"/>
          <w:color w:val="auto"/>
        </w:rPr>
        <w:t>Other than pursuant to our dividend reinvestment plan, and except as previously reported by us on our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 we did not sell any securities during the period covered by this Form 10</w:t>
      </w:r>
      <w:r>
        <w:rPr>
          <w:rFonts w:ascii="MS PGothic" w:cs="MS PGothic" w:eastAsia="MS PGothic" w:hAnsi="MS PGothic"/>
          <w:sz w:val="18"/>
          <w:szCs w:val="18"/>
          <w:color w:val="auto"/>
        </w:rPr>
        <w:t>‑</w:t>
      </w:r>
      <w:r>
        <w:rPr>
          <w:rFonts w:ascii="Arial" w:cs="Arial" w:eastAsia="Arial" w:hAnsi="Arial"/>
          <w:sz w:val="18"/>
          <w:szCs w:val="18"/>
          <w:color w:val="auto"/>
        </w:rPr>
        <w:t>Q that were not registered under the Securities Act.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exhibits are filed as part of this report or hereby incorporated by reference to exhibits previously filed with the SEC:</w:t>
      </w:r>
    </w:p>
    <w:p>
      <w:pPr>
        <w:spacing w:after="0" w:line="212" w:lineRule="exact"/>
        <w:rPr>
          <w:sz w:val="20"/>
          <w:szCs w:val="20"/>
          <w:color w:val="auto"/>
        </w:rPr>
      </w:pPr>
    </w:p>
    <w:p>
      <w:pPr>
        <w:ind w:left="20"/>
        <w:spacing w:after="0"/>
        <w:tabs>
          <w:tab w:leader="none" w:pos="440" w:val="left"/>
        </w:tabs>
        <w:rPr>
          <w:rFonts w:ascii="Arial" w:cs="Arial" w:eastAsia="Arial" w:hAnsi="Arial"/>
          <w:sz w:val="16"/>
          <w:szCs w:val="16"/>
          <w:u w:val="single" w:color="auto"/>
          <w:color w:val="0000FF"/>
        </w:rPr>
      </w:pPr>
      <w:r>
        <w:rPr>
          <w:rFonts w:ascii="Arial" w:cs="Arial" w:eastAsia="Arial" w:hAnsi="Arial"/>
          <w:sz w:val="18"/>
          <w:szCs w:val="18"/>
          <w:color w:val="auto"/>
        </w:rPr>
        <w:t>3.1</w:t>
      </w:r>
      <w:r>
        <w:rPr>
          <w:sz w:val="20"/>
          <w:szCs w:val="20"/>
          <w:color w:val="auto"/>
        </w:rPr>
        <w:tab/>
      </w:r>
      <w:hyperlink r:id="rId702">
        <w:r>
          <w:rPr>
            <w:rFonts w:ascii="Arial" w:cs="Arial" w:eastAsia="Arial" w:hAnsi="Arial"/>
            <w:sz w:val="16"/>
            <w:szCs w:val="16"/>
            <w:u w:val="single" w:color="auto"/>
            <w:color w:val="0000FF"/>
          </w:rPr>
          <w:t xml:space="preserve">Articles of Amendment and Restatement </w:t>
        </w:r>
        <w:r>
          <w:rPr>
            <w:rFonts w:ascii="Arial" w:cs="Arial" w:eastAsia="Arial" w:hAnsi="Arial"/>
            <w:sz w:val="21"/>
            <w:szCs w:val="21"/>
            <w:u w:val="single" w:color="auto"/>
            <w:color w:val="0000FF"/>
            <w:vertAlign w:val="superscript"/>
          </w:rPr>
          <w:t>(1)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-32385</wp:posOffset>
            </wp:positionV>
            <wp:extent cx="189420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3">
                      <a:extLst>
                        <a:ext uri="{28A0092B-C50C-407E-A947-70E740481C1C}"/>
                      </a:extLst>
                    </a:blip>
                    <a:srcRect/>
                    <a:stretch>
                      <a:fillRect/>
                    </a:stretch>
                  </pic:blipFill>
                  <pic:spPr bwMode="auto">
                    <a:xfrm>
                      <a:off x="0" y="0"/>
                      <a:ext cx="189420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-83820</wp:posOffset>
            </wp:positionV>
            <wp:extent cx="8890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4">
                      <a:extLst>
                        <a:ext uri="{28A0092B-C50C-407E-A947-70E740481C1C}"/>
                      </a:extLst>
                    </a:blip>
                    <a:srcRect/>
                    <a:stretch>
                      <a:fillRect/>
                    </a:stretch>
                  </pic:blipFill>
                  <pic:spPr bwMode="auto">
                    <a:xfrm>
                      <a:off x="0" y="0"/>
                      <a:ext cx="88900" cy="8255"/>
                    </a:xfrm>
                    <a:prstGeom prst="rect">
                      <a:avLst/>
                    </a:prstGeom>
                    <a:noFill/>
                  </pic:spPr>
                </pic:pic>
              </a:graphicData>
            </a:graphic>
          </wp:anchor>
        </w:drawing>
      </w:r>
    </w:p>
    <w:p>
      <w:pPr>
        <w:spacing w:after="0" w:line="121" w:lineRule="exact"/>
        <w:rPr>
          <w:sz w:val="20"/>
          <w:szCs w:val="20"/>
          <w:color w:val="auto"/>
        </w:rPr>
      </w:pPr>
    </w:p>
    <w:p>
      <w:pPr>
        <w:ind w:left="20"/>
        <w:spacing w:after="0"/>
        <w:tabs>
          <w:tab w:leader="none" w:pos="44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705">
        <w:r>
          <w:rPr>
            <w:rFonts w:ascii="Arial" w:cs="Arial" w:eastAsia="Arial" w:hAnsi="Arial"/>
            <w:sz w:val="16"/>
            <w:szCs w:val="16"/>
            <w:u w:val="single" w:color="auto"/>
            <w:color w:val="0000FF"/>
          </w:rPr>
          <w:t xml:space="preserve">Articles of Amendment </w:t>
        </w:r>
        <w:r>
          <w:rPr>
            <w:rFonts w:ascii="Arial" w:cs="Arial" w:eastAsia="Arial" w:hAnsi="Arial"/>
            <w:sz w:val="21"/>
            <w:szCs w:val="21"/>
            <w:u w:val="single" w:color="auto"/>
            <w:color w:val="0000FF"/>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-18415</wp:posOffset>
            </wp:positionV>
            <wp:extent cx="110744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6">
                      <a:extLst>
                        <a:ext uri="{28A0092B-C50C-407E-A947-70E740481C1C}"/>
                      </a:extLst>
                    </a:blip>
                    <a:srcRect/>
                    <a:stretch>
                      <a:fillRect/>
                    </a:stretch>
                  </pic:blipFill>
                  <pic:spPr bwMode="auto">
                    <a:xfrm>
                      <a:off x="0" y="0"/>
                      <a:ext cx="1107440" cy="8890"/>
                    </a:xfrm>
                    <a:prstGeom prst="rect">
                      <a:avLst/>
                    </a:prstGeom>
                    <a:noFill/>
                  </pic:spPr>
                </pic:pic>
              </a:graphicData>
            </a:graphic>
          </wp:anchor>
        </w:drawing>
        <w:drawing>
          <wp:anchor simplePos="0" relativeHeight="251657728" behindDoc="1" locked="0" layoutInCell="0" allowOverlap="1">
            <wp:simplePos x="0" y="0"/>
            <wp:positionH relativeFrom="column">
              <wp:posOffset>1403985</wp:posOffset>
            </wp:positionH>
            <wp:positionV relativeFrom="paragraph">
              <wp:posOffset>-69850</wp:posOffset>
            </wp:positionV>
            <wp:extent cx="8890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7">
                      <a:extLst>
                        <a:ext uri="{28A0092B-C50C-407E-A947-70E740481C1C}"/>
                      </a:extLst>
                    </a:blip>
                    <a:srcRect/>
                    <a:stretch>
                      <a:fillRect/>
                    </a:stretch>
                  </pic:blipFill>
                  <pic:spPr bwMode="auto">
                    <a:xfrm>
                      <a:off x="0" y="0"/>
                      <a:ext cx="88900" cy="8255"/>
                    </a:xfrm>
                    <a:prstGeom prst="rect">
                      <a:avLst/>
                    </a:prstGeom>
                    <a:noFill/>
                  </pic:spPr>
                </pic:pic>
              </a:graphicData>
            </a:graphic>
          </wp:anchor>
        </w:drawing>
      </w:r>
    </w:p>
    <w:p>
      <w:pPr>
        <w:spacing w:after="0" w:line="144" w:lineRule="exact"/>
        <w:rPr>
          <w:sz w:val="20"/>
          <w:szCs w:val="20"/>
          <w:color w:val="auto"/>
        </w:rPr>
      </w:pPr>
    </w:p>
    <w:p>
      <w:pPr>
        <w:ind w:left="20"/>
        <w:spacing w:after="0"/>
        <w:tabs>
          <w:tab w:leader="none" w:pos="440" w:val="left"/>
        </w:tabs>
        <w:rPr>
          <w:rFonts w:ascii="Arial" w:cs="Arial" w:eastAsia="Arial" w:hAnsi="Arial"/>
          <w:sz w:val="15"/>
          <w:szCs w:val="15"/>
          <w:u w:val="single" w:color="auto"/>
          <w:color w:val="0000FF"/>
        </w:rPr>
      </w:pPr>
      <w:r>
        <w:rPr>
          <w:rFonts w:ascii="Arial" w:cs="Arial" w:eastAsia="Arial" w:hAnsi="Arial"/>
          <w:sz w:val="18"/>
          <w:szCs w:val="18"/>
          <w:color w:val="auto"/>
        </w:rPr>
        <w:t>3.3</w:t>
      </w:r>
      <w:r>
        <w:rPr>
          <w:sz w:val="20"/>
          <w:szCs w:val="20"/>
          <w:color w:val="auto"/>
        </w:rPr>
        <w:tab/>
      </w:r>
      <w:hyperlink r:id="rId708">
        <w:r>
          <w:rPr>
            <w:rFonts w:ascii="Arial" w:cs="Arial" w:eastAsia="Arial" w:hAnsi="Arial"/>
            <w:sz w:val="15"/>
            <w:szCs w:val="15"/>
            <w:u w:val="single" w:color="auto"/>
            <w:color w:val="0000FF"/>
          </w:rPr>
          <w:t xml:space="preserve">Second Amended and Restated Bylaws </w:t>
        </w:r>
        <w:r>
          <w:rPr>
            <w:rFonts w:ascii="Arial" w:cs="Arial" w:eastAsia="Arial" w:hAnsi="Arial"/>
            <w:sz w:val="20"/>
            <w:szCs w:val="20"/>
            <w:u w:val="single" w:color="auto"/>
            <w:color w:val="0000FF"/>
            <w:vertAlign w:val="superscript"/>
          </w:rPr>
          <w:t>(2)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-10795</wp:posOffset>
            </wp:positionV>
            <wp:extent cx="1824355"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9">
                      <a:extLst>
                        <a:ext uri="{28A0092B-C50C-407E-A947-70E740481C1C}"/>
                      </a:extLst>
                    </a:blip>
                    <a:srcRect/>
                    <a:stretch>
                      <a:fillRect/>
                    </a:stretch>
                  </pic:blipFill>
                  <pic:spPr bwMode="auto">
                    <a:xfrm>
                      <a:off x="0" y="0"/>
                      <a:ext cx="1824355" cy="8890"/>
                    </a:xfrm>
                    <a:prstGeom prst="rect">
                      <a:avLst/>
                    </a:prstGeom>
                    <a:noFill/>
                  </pic:spPr>
                </pic:pic>
              </a:graphicData>
            </a:graphic>
          </wp:anchor>
        </w:drawing>
        <w:drawing>
          <wp:anchor simplePos="0" relativeHeight="251657728" behindDoc="1" locked="0" layoutInCell="0" allowOverlap="1">
            <wp:simplePos x="0" y="0"/>
            <wp:positionH relativeFrom="column">
              <wp:posOffset>2120900</wp:posOffset>
            </wp:positionH>
            <wp:positionV relativeFrom="paragraph">
              <wp:posOffset>-62230</wp:posOffset>
            </wp:positionV>
            <wp:extent cx="8890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0">
                      <a:extLst>
                        <a:ext uri="{28A0092B-C50C-407E-A947-70E740481C1C}"/>
                      </a:extLst>
                    </a:blip>
                    <a:srcRect/>
                    <a:stretch>
                      <a:fillRect/>
                    </a:stretch>
                  </pic:blipFill>
                  <pic:spPr bwMode="auto">
                    <a:xfrm>
                      <a:off x="0" y="0"/>
                      <a:ext cx="88900" cy="8255"/>
                    </a:xfrm>
                    <a:prstGeom prst="rect">
                      <a:avLst/>
                    </a:prstGeom>
                    <a:noFill/>
                  </pic:spPr>
                </pic:pic>
              </a:graphicData>
            </a:graphic>
          </wp:anchor>
        </w:drawing>
      </w:r>
    </w:p>
    <w:p>
      <w:pPr>
        <w:spacing w:after="0" w:line="177" w:lineRule="exact"/>
        <w:rPr>
          <w:sz w:val="20"/>
          <w:szCs w:val="20"/>
          <w:color w:val="auto"/>
        </w:rPr>
      </w:pPr>
    </w:p>
    <w:p>
      <w:pPr>
        <w:jc w:val="both"/>
        <w:ind w:left="460" w:hanging="445"/>
        <w:spacing w:after="0" w:line="228" w:lineRule="auto"/>
        <w:rPr>
          <w:rFonts w:ascii="Arial" w:cs="Arial" w:eastAsia="Arial" w:hAnsi="Arial"/>
          <w:sz w:val="17"/>
          <w:szCs w:val="17"/>
          <w:u w:val="single" w:color="auto"/>
          <w:color w:val="0000FF"/>
        </w:rPr>
      </w:pPr>
      <w:r>
        <w:rPr>
          <w:rFonts w:ascii="Arial" w:cs="Arial" w:eastAsia="Arial" w:hAnsi="Arial"/>
          <w:sz w:val="17"/>
          <w:szCs w:val="17"/>
          <w:color w:val="auto"/>
        </w:rPr>
        <w:t xml:space="preserve">10.1 </w:t>
      </w:r>
      <w:hyperlink r:id="rId711">
        <w:r>
          <w:rPr>
            <w:rFonts w:ascii="Arial" w:cs="Arial" w:eastAsia="Arial" w:hAnsi="Arial"/>
            <w:sz w:val="17"/>
            <w:szCs w:val="17"/>
            <w:u w:val="single" w:color="auto"/>
            <w:color w:val="0000FF"/>
          </w:rPr>
          <w:t>Sixth Amendment to Credit Agreement, dated as of April 20, 2022, among Runway Growth Finance Corp., as borrower; the financial institutions</w:t>
        </w:r>
      </w:hyperlink>
      <w:r>
        <w:rPr>
          <w:rFonts w:ascii="Arial" w:cs="Arial" w:eastAsia="Arial" w:hAnsi="Arial"/>
          <w:sz w:val="17"/>
          <w:szCs w:val="17"/>
          <w:color w:val="auto"/>
        </w:rPr>
        <w:t xml:space="preserve"> </w:t>
      </w:r>
      <w:hyperlink r:id="rId711">
        <w:r>
          <w:rPr>
            <w:rFonts w:ascii="Arial" w:cs="Arial" w:eastAsia="Arial" w:hAnsi="Arial"/>
            <w:sz w:val="17"/>
            <w:szCs w:val="17"/>
            <w:u w:val="single" w:color="auto"/>
            <w:color w:val="0000FF"/>
          </w:rPr>
          <w:t>party thereto as lenders; Key Bank National Association, as administrative agent and lender; CIBC Bank USA, as documentation agent and lender;</w:t>
        </w:r>
      </w:hyperlink>
      <w:r>
        <w:rPr>
          <w:rFonts w:ascii="Arial" w:cs="Arial" w:eastAsia="Arial" w:hAnsi="Arial"/>
          <w:sz w:val="17"/>
          <w:szCs w:val="17"/>
          <w:u w:val="single" w:color="auto"/>
          <w:color w:val="0000FF"/>
        </w:rPr>
        <w:t xml:space="preserve"> </w:t>
      </w:r>
      <w:hyperlink r:id="rId711">
        <w:r>
          <w:rPr>
            <w:rFonts w:ascii="Arial" w:cs="Arial" w:eastAsia="Arial" w:hAnsi="Arial"/>
            <w:sz w:val="17"/>
            <w:szCs w:val="17"/>
            <w:u w:val="single" w:color="auto"/>
            <w:color w:val="0000FF"/>
          </w:rPr>
          <w:t xml:space="preserve">MUFG Union Bank, N.A. as co documentation agent and lender; and U.S. Bank National Association, as paying agent </w:t>
        </w:r>
        <w:r>
          <w:rPr>
            <w:rFonts w:ascii="Arial" w:cs="Arial" w:eastAsia="Arial" w:hAnsi="Arial"/>
            <w:sz w:val="23"/>
            <w:szCs w:val="23"/>
            <w:u w:val="single" w:color="auto"/>
            <w:color w:val="0000FF"/>
            <w:vertAlign w:val="superscript"/>
          </w:rPr>
          <w:t>(5)</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296545</wp:posOffset>
            </wp:positionH>
            <wp:positionV relativeFrom="paragraph">
              <wp:posOffset>-274320</wp:posOffset>
            </wp:positionV>
            <wp:extent cx="682752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2">
                      <a:extLst>
                        <a:ext uri="{28A0092B-C50C-407E-A947-70E740481C1C}"/>
                      </a:extLst>
                    </a:blip>
                    <a:srcRect/>
                    <a:stretch>
                      <a:fillRect/>
                    </a:stretch>
                  </pic:blipFill>
                  <pic:spPr bwMode="auto">
                    <a:xfrm>
                      <a:off x="0" y="0"/>
                      <a:ext cx="682752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-162560</wp:posOffset>
            </wp:positionV>
            <wp:extent cx="683133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3">
                      <a:extLst>
                        <a:ext uri="{28A0092B-C50C-407E-A947-70E740481C1C}"/>
                      </a:extLst>
                    </a:blip>
                    <a:srcRect/>
                    <a:stretch>
                      <a:fillRect/>
                    </a:stretch>
                  </pic:blipFill>
                  <pic:spPr bwMode="auto">
                    <a:xfrm>
                      <a:off x="0" y="0"/>
                      <a:ext cx="683133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-51435</wp:posOffset>
            </wp:positionV>
            <wp:extent cx="545782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4">
                      <a:extLst>
                        <a:ext uri="{28A0092B-C50C-407E-A947-70E740481C1C}"/>
                      </a:extLst>
                    </a:blip>
                    <a:srcRect/>
                    <a:stretch>
                      <a:fillRect/>
                    </a:stretch>
                  </pic:blipFill>
                  <pic:spPr bwMode="auto">
                    <a:xfrm>
                      <a:off x="0" y="0"/>
                      <a:ext cx="5457825" cy="8890"/>
                    </a:xfrm>
                    <a:prstGeom prst="rect">
                      <a:avLst/>
                    </a:prstGeom>
                    <a:noFill/>
                  </pic:spPr>
                </pic:pic>
              </a:graphicData>
            </a:graphic>
          </wp:anchor>
        </w:drawing>
        <w:drawing>
          <wp:anchor simplePos="0" relativeHeight="251657728" behindDoc="1" locked="0" layoutInCell="0" allowOverlap="1">
            <wp:simplePos x="0" y="0"/>
            <wp:positionH relativeFrom="column">
              <wp:posOffset>5754370</wp:posOffset>
            </wp:positionH>
            <wp:positionV relativeFrom="paragraph">
              <wp:posOffset>-102870</wp:posOffset>
            </wp:positionV>
            <wp:extent cx="8890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5">
                      <a:extLst>
                        <a:ext uri="{28A0092B-C50C-407E-A947-70E740481C1C}"/>
                      </a:extLst>
                    </a:blip>
                    <a:srcRect/>
                    <a:stretch>
                      <a:fillRect/>
                    </a:stretch>
                  </pic:blipFill>
                  <pic:spPr bwMode="auto">
                    <a:xfrm>
                      <a:off x="0" y="0"/>
                      <a:ext cx="88900" cy="8255"/>
                    </a:xfrm>
                    <a:prstGeom prst="rect">
                      <a:avLst/>
                    </a:prstGeom>
                    <a:noFill/>
                  </pic:spPr>
                </pic:pic>
              </a:graphicData>
            </a:graphic>
          </wp:anchor>
        </w:drawing>
      </w:r>
    </w:p>
    <w:p>
      <w:pPr>
        <w:spacing w:after="0" w:line="113" w:lineRule="exact"/>
        <w:rPr>
          <w:rFonts w:ascii="Arial" w:cs="Arial" w:eastAsia="Arial" w:hAnsi="Arial"/>
          <w:sz w:val="17"/>
          <w:szCs w:val="17"/>
          <w:color w:val="auto"/>
        </w:rPr>
      </w:pPr>
    </w:p>
    <w:p>
      <w:pPr>
        <w:ind w:left="460" w:right="720" w:hanging="445"/>
        <w:spacing w:after="0" w:line="222"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10.2 </w:t>
      </w:r>
      <w:hyperlink r:id="rId716">
        <w:r>
          <w:rPr>
            <w:rFonts w:ascii="Arial" w:cs="Arial" w:eastAsia="Arial" w:hAnsi="Arial"/>
            <w:sz w:val="18"/>
            <w:szCs w:val="18"/>
            <w:u w:val="single" w:color="auto"/>
            <w:color w:val="0000FF"/>
          </w:rPr>
          <w:t>Underwriting Agreement, dated July 21, 2022, by and among the Company, Runway Growth Capital LLC and Oppenheimer &amp; Co. Inc., as</w:t>
        </w:r>
      </w:hyperlink>
      <w:r>
        <w:rPr>
          <w:rFonts w:ascii="Arial" w:cs="Arial" w:eastAsia="Arial" w:hAnsi="Arial"/>
          <w:sz w:val="18"/>
          <w:szCs w:val="18"/>
          <w:color w:val="auto"/>
        </w:rPr>
        <w:t xml:space="preserve"> </w:t>
      </w:r>
      <w:hyperlink r:id="rId716">
        <w:r>
          <w:rPr>
            <w:rFonts w:ascii="Arial" w:cs="Arial" w:eastAsia="Arial" w:hAnsi="Arial"/>
            <w:sz w:val="18"/>
            <w:szCs w:val="18"/>
            <w:u w:val="single" w:color="auto"/>
            <w:color w:val="0000FF"/>
          </w:rPr>
          <w:t xml:space="preserve">representative of each of the several underwriter </w:t>
        </w:r>
        <w:r>
          <w:rPr>
            <w:rFonts w:ascii="Arial" w:cs="Arial" w:eastAsia="Arial" w:hAnsi="Arial"/>
            <w:sz w:val="24"/>
            <w:szCs w:val="24"/>
            <w:u w:val="single" w:color="auto"/>
            <w:color w:val="0000FF"/>
            <w:vertAlign w:val="superscript"/>
          </w:rPr>
          <w:t>(3)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-162560</wp:posOffset>
            </wp:positionV>
            <wp:extent cx="639572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7">
                      <a:extLst>
                        <a:ext uri="{28A0092B-C50C-407E-A947-70E740481C1C}"/>
                      </a:extLst>
                    </a:blip>
                    <a:srcRect/>
                    <a:stretch>
                      <a:fillRect/>
                    </a:stretch>
                  </pic:blipFill>
                  <pic:spPr bwMode="auto">
                    <a:xfrm>
                      <a:off x="0" y="0"/>
                      <a:ext cx="6395720" cy="8890"/>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-50800</wp:posOffset>
            </wp:positionV>
            <wp:extent cx="223647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8">
                      <a:extLst>
                        <a:ext uri="{28A0092B-C50C-407E-A947-70E740481C1C}"/>
                      </a:extLst>
                    </a:blip>
                    <a:srcRect/>
                    <a:stretch>
                      <a:fillRect/>
                    </a:stretch>
                  </pic:blipFill>
                  <pic:spPr bwMode="auto">
                    <a:xfrm>
                      <a:off x="0" y="0"/>
                      <a:ext cx="2236470" cy="8255"/>
                    </a:xfrm>
                    <a:prstGeom prst="rect">
                      <a:avLst/>
                    </a:prstGeom>
                    <a:noFill/>
                  </pic:spPr>
                </pic:pic>
              </a:graphicData>
            </a:graphic>
          </wp:anchor>
        </w:drawing>
        <w:drawing>
          <wp:anchor simplePos="0" relativeHeight="251657728" behindDoc="1" locked="0" layoutInCell="0" allowOverlap="1">
            <wp:simplePos x="0" y="0"/>
            <wp:positionH relativeFrom="column">
              <wp:posOffset>2533015</wp:posOffset>
            </wp:positionH>
            <wp:positionV relativeFrom="paragraph">
              <wp:posOffset>-102235</wp:posOffset>
            </wp:positionV>
            <wp:extent cx="8890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9">
                      <a:extLst>
                        <a:ext uri="{28A0092B-C50C-407E-A947-70E740481C1C}"/>
                      </a:extLst>
                    </a:blip>
                    <a:srcRect/>
                    <a:stretch>
                      <a:fillRect/>
                    </a:stretch>
                  </pic:blipFill>
                  <pic:spPr bwMode="auto">
                    <a:xfrm>
                      <a:off x="0" y="0"/>
                      <a:ext cx="88900" cy="8255"/>
                    </a:xfrm>
                    <a:prstGeom prst="rect">
                      <a:avLst/>
                    </a:prstGeom>
                    <a:noFill/>
                  </pic:spPr>
                </pic:pic>
              </a:graphicData>
            </a:graphic>
          </wp:anchor>
        </w:drawing>
      </w:r>
    </w:p>
    <w:p>
      <w:pPr>
        <w:spacing w:after="0" w:line="92"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10.3  </w:t>
      </w:r>
      <w:hyperlink r:id="rId720">
        <w:r>
          <w:rPr>
            <w:rFonts w:ascii="Arial" w:cs="Arial" w:eastAsia="Arial" w:hAnsi="Arial"/>
            <w:sz w:val="18"/>
            <w:szCs w:val="18"/>
            <w:u w:val="single" w:color="auto"/>
            <w:color w:val="0000FF"/>
          </w:rPr>
          <w:t>Amended and Restated Dividend Reinvestment Plan</w:t>
        </w:r>
        <w:r>
          <w:rPr>
            <w:rFonts w:ascii="Arial" w:cs="Arial" w:eastAsia="Arial" w:hAnsi="Arial"/>
            <w:sz w:val="18"/>
            <w:szCs w:val="18"/>
            <w:u w:val="single" w:color="auto"/>
            <w:color w:val="auto"/>
          </w:rPr>
          <w:t xml:space="preserve"> </w:t>
        </w:r>
        <w:r>
          <w:rPr>
            <w:rFonts w:ascii="Arial" w:cs="Arial" w:eastAsia="Arial" w:hAnsi="Arial"/>
            <w:sz w:val="24"/>
            <w:szCs w:val="24"/>
            <w:u w:val="single" w:color="auto"/>
            <w:color w:val="0000FF"/>
            <w:vertAlign w:val="superscript"/>
          </w:rPr>
          <w:t>(4)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-40005</wp:posOffset>
            </wp:positionV>
            <wp:extent cx="243078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1">
                      <a:extLst>
                        <a:ext uri="{28A0092B-C50C-407E-A947-70E740481C1C}"/>
                      </a:extLst>
                    </a:blip>
                    <a:srcRect/>
                    <a:stretch>
                      <a:fillRect/>
                    </a:stretch>
                  </pic:blipFill>
                  <pic:spPr bwMode="auto">
                    <a:xfrm>
                      <a:off x="0" y="0"/>
                      <a:ext cx="2430780" cy="8255"/>
                    </a:xfrm>
                    <a:prstGeom prst="rect">
                      <a:avLst/>
                    </a:prstGeom>
                    <a:noFill/>
                  </pic:spPr>
                </pic:pic>
              </a:graphicData>
            </a:graphic>
          </wp:anchor>
        </w:drawing>
        <w:drawing>
          <wp:anchor simplePos="0" relativeHeight="251657728" behindDoc="1" locked="0" layoutInCell="0" allowOverlap="1">
            <wp:simplePos x="0" y="0"/>
            <wp:positionH relativeFrom="column">
              <wp:posOffset>2727325</wp:posOffset>
            </wp:positionH>
            <wp:positionV relativeFrom="paragraph">
              <wp:posOffset>-91440</wp:posOffset>
            </wp:positionV>
            <wp:extent cx="88900"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2">
                      <a:extLst>
                        <a:ext uri="{28A0092B-C50C-407E-A947-70E740481C1C}"/>
                      </a:extLst>
                    </a:blip>
                    <a:srcRect/>
                    <a:stretch>
                      <a:fillRect/>
                    </a:stretch>
                  </pic:blipFill>
                  <pic:spPr bwMode="auto">
                    <a:xfrm>
                      <a:off x="0" y="0"/>
                      <a:ext cx="88900" cy="8255"/>
                    </a:xfrm>
                    <a:prstGeom prst="rect">
                      <a:avLst/>
                    </a:prstGeom>
                    <a:noFill/>
                  </pic:spPr>
                </pic:pic>
              </a:graphicData>
            </a:graphic>
          </wp:anchor>
        </w:drawing>
      </w:r>
    </w:p>
    <w:p>
      <w:pPr>
        <w:spacing w:after="0" w:line="131" w:lineRule="exact"/>
        <w:rPr>
          <w:sz w:val="20"/>
          <w:szCs w:val="20"/>
          <w:color w:val="auto"/>
        </w:rPr>
      </w:pPr>
    </w:p>
    <w:p>
      <w:pPr>
        <w:ind w:left="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31.1  </w:t>
      </w:r>
      <w:hyperlink w:anchor="page77">
        <w:r>
          <w:rPr>
            <w:rFonts w:ascii="Arial" w:cs="Arial" w:eastAsia="Arial" w:hAnsi="Arial"/>
            <w:sz w:val="18"/>
            <w:szCs w:val="18"/>
            <w:u w:val="single" w:color="auto"/>
            <w:color w:val="0000FF"/>
          </w:rPr>
          <w:t>Certification of Chief Executive Officer pursuant to Rule 13a</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14 of the Securities Exchange Act of 1934,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-10160</wp:posOffset>
            </wp:positionV>
            <wp:extent cx="542988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3">
                      <a:extLst>
                        <a:ext uri="{28A0092B-C50C-407E-A947-70E740481C1C}"/>
                      </a:extLst>
                    </a:blip>
                    <a:srcRect/>
                    <a:stretch>
                      <a:fillRect/>
                    </a:stretch>
                  </pic:blipFill>
                  <pic:spPr bwMode="auto">
                    <a:xfrm>
                      <a:off x="0" y="0"/>
                      <a:ext cx="5429885" cy="8255"/>
                    </a:xfrm>
                    <a:prstGeom prst="rect">
                      <a:avLst/>
                    </a:prstGeom>
                    <a:noFill/>
                  </pic:spPr>
                </pic:pic>
              </a:graphicData>
            </a:graphic>
          </wp:anchor>
        </w:drawing>
      </w:r>
    </w:p>
    <w:p>
      <w:pPr>
        <w:spacing w:after="0" w:line="178" w:lineRule="exact"/>
        <w:rPr>
          <w:sz w:val="20"/>
          <w:szCs w:val="20"/>
          <w:color w:val="auto"/>
        </w:rPr>
      </w:pPr>
    </w:p>
    <w:p>
      <w:pPr>
        <w:ind w:left="20"/>
        <w:spacing w:after="0" w:line="207" w:lineRule="exact"/>
        <w:rPr>
          <w:rFonts w:ascii="Arial" w:cs="Arial" w:eastAsia="Arial" w:hAnsi="Arial"/>
          <w:sz w:val="18"/>
          <w:szCs w:val="18"/>
          <w:color w:val="auto"/>
        </w:rPr>
      </w:pPr>
      <w:r>
        <w:rPr>
          <w:rFonts w:ascii="Arial" w:cs="Arial" w:eastAsia="Arial" w:hAnsi="Arial"/>
          <w:sz w:val="18"/>
          <w:szCs w:val="18"/>
          <w:color w:val="auto"/>
        </w:rPr>
        <w:t xml:space="preserve">31.2  </w:t>
      </w:r>
      <w:hyperlink w:anchor="page78">
        <w:r>
          <w:rPr>
            <w:rFonts w:ascii="Arial" w:cs="Arial" w:eastAsia="Arial" w:hAnsi="Arial"/>
            <w:sz w:val="18"/>
            <w:szCs w:val="18"/>
            <w:u w:val="single" w:color="auto"/>
            <w:color w:val="0000FF"/>
          </w:rPr>
          <w:t>Certification of Chief Financial Officer pursuant to Rule 13a</w:t>
        </w:r>
        <w:r>
          <w:rPr>
            <w:rFonts w:ascii="MS PGothic" w:cs="MS PGothic" w:eastAsia="MS PGothic" w:hAnsi="MS PGothic"/>
            <w:sz w:val="18"/>
            <w:szCs w:val="18"/>
            <w:u w:val="single" w:color="auto"/>
            <w:color w:val="0000FF"/>
          </w:rPr>
          <w:t>‑</w:t>
        </w:r>
        <w:r>
          <w:rPr>
            <w:rFonts w:ascii="Arial" w:cs="Arial" w:eastAsia="Arial" w:hAnsi="Arial"/>
            <w:sz w:val="18"/>
            <w:szCs w:val="18"/>
            <w:u w:val="single" w:color="auto"/>
            <w:color w:val="0000FF"/>
          </w:rPr>
          <w:t>14 of the Securities Exchange Act of 1934,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-10160</wp:posOffset>
            </wp:positionV>
            <wp:extent cx="539813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4">
                      <a:extLst>
                        <a:ext uri="{28A0092B-C50C-407E-A947-70E740481C1C}"/>
                      </a:extLst>
                    </a:blip>
                    <a:srcRect/>
                    <a:stretch>
                      <a:fillRect/>
                    </a:stretch>
                  </pic:blipFill>
                  <pic:spPr bwMode="auto">
                    <a:xfrm>
                      <a:off x="0" y="0"/>
                      <a:ext cx="5398135" cy="8255"/>
                    </a:xfrm>
                    <a:prstGeom prst="rect">
                      <a:avLst/>
                    </a:prstGeom>
                    <a:noFill/>
                  </pic:spPr>
                </pic:pic>
              </a:graphicData>
            </a:graphic>
          </wp:anchor>
        </w:drawing>
      </w:r>
    </w:p>
    <w:p>
      <w:pPr>
        <w:spacing w:after="0" w:line="178"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32.1  </w:t>
      </w:r>
      <w:hyperlink w:anchor="page79">
        <w:r>
          <w:rPr>
            <w:rFonts w:ascii="Arial" w:cs="Arial" w:eastAsia="Arial" w:hAnsi="Arial"/>
            <w:sz w:val="18"/>
            <w:szCs w:val="18"/>
            <w:u w:val="single" w:color="auto"/>
            <w:color w:val="0000FF"/>
          </w:rPr>
          <w:t>Certification of Chief Executive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-10160</wp:posOffset>
            </wp:positionV>
            <wp:extent cx="461772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5">
                      <a:extLst>
                        <a:ext uri="{28A0092B-C50C-407E-A947-70E740481C1C}"/>
                      </a:extLst>
                    </a:blip>
                    <a:srcRect/>
                    <a:stretch>
                      <a:fillRect/>
                    </a:stretch>
                  </pic:blipFill>
                  <pic:spPr bwMode="auto">
                    <a:xfrm>
                      <a:off x="0" y="0"/>
                      <a:ext cx="4617720" cy="8255"/>
                    </a:xfrm>
                    <a:prstGeom prst="rect">
                      <a:avLst/>
                    </a:prstGeom>
                    <a:noFill/>
                  </pic:spPr>
                </pic:pic>
              </a:graphicData>
            </a:graphic>
          </wp:anchor>
        </w:drawing>
      </w:r>
    </w:p>
    <w:p>
      <w:pPr>
        <w:spacing w:after="0" w:line="178" w:lineRule="exact"/>
        <w:rPr>
          <w:sz w:val="20"/>
          <w:szCs w:val="20"/>
          <w:color w:val="auto"/>
        </w:rPr>
      </w:pPr>
    </w:p>
    <w:p>
      <w:pPr>
        <w:ind w:left="20"/>
        <w:spacing w:after="0"/>
        <w:rPr>
          <w:rFonts w:ascii="Arial" w:cs="Arial" w:eastAsia="Arial" w:hAnsi="Arial"/>
          <w:sz w:val="18"/>
          <w:szCs w:val="18"/>
          <w:color w:val="auto"/>
        </w:rPr>
      </w:pPr>
      <w:r>
        <w:rPr>
          <w:rFonts w:ascii="Arial" w:cs="Arial" w:eastAsia="Arial" w:hAnsi="Arial"/>
          <w:sz w:val="18"/>
          <w:szCs w:val="18"/>
          <w:color w:val="auto"/>
        </w:rPr>
        <w:t xml:space="preserve">32.2  </w:t>
      </w:r>
      <w:hyperlink w:anchor="page80">
        <w:r>
          <w:rPr>
            <w:rFonts w:ascii="Arial" w:cs="Arial" w:eastAsia="Arial" w:hAnsi="Arial"/>
            <w:sz w:val="18"/>
            <w:szCs w:val="18"/>
            <w:u w:val="single" w:color="auto"/>
            <w:color w:val="0000FF"/>
          </w:rPr>
          <w:t>Certification of Chief Financial Officer 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-10160</wp:posOffset>
            </wp:positionV>
            <wp:extent cx="458597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7">
                      <a:extLst>
                        <a:ext uri="{28A0092B-C50C-407E-A947-70E740481C1C}"/>
                      </a:extLst>
                    </a:blip>
                    <a:srcRect/>
                    <a:stretch>
                      <a:fillRect/>
                    </a:stretch>
                  </pic:blipFill>
                  <pic:spPr bwMode="auto">
                    <a:xfrm>
                      <a:off x="0" y="0"/>
                      <a:ext cx="4585970" cy="8255"/>
                    </a:xfrm>
                    <a:prstGeom prst="rect">
                      <a:avLst/>
                    </a:prstGeom>
                    <a:noFill/>
                  </pic:spPr>
                </pic:pic>
              </a:graphicData>
            </a:graphic>
          </wp:anchor>
        </w:drawing>
      </w:r>
    </w:p>
    <w:p>
      <w:pPr>
        <w:spacing w:after="0" w:line="192" w:lineRule="exact"/>
        <w:rPr>
          <w:sz w:val="20"/>
          <w:szCs w:val="20"/>
          <w:color w:val="auto"/>
        </w:rPr>
      </w:pPr>
    </w:p>
    <w:p>
      <w:pPr>
        <w:ind w:left="360" w:hanging="352"/>
        <w:spacing w:after="0"/>
        <w:tabs>
          <w:tab w:leader="none" w:pos="3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71" w:lineRule="exact"/>
        <w:rPr>
          <w:sz w:val="20"/>
          <w:szCs w:val="20"/>
          <w:color w:val="auto"/>
        </w:rPr>
      </w:pPr>
    </w:p>
    <w:p>
      <w:pPr>
        <w:ind w:left="380" w:hanging="372"/>
        <w:spacing w:after="0" w:line="207" w:lineRule="exact"/>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with the SEC on December 19, 2016.</w:t>
      </w:r>
    </w:p>
    <w:p>
      <w:pPr>
        <w:spacing w:after="0" w:line="184" w:lineRule="exact"/>
        <w:rPr>
          <w:rFonts w:ascii="Arial" w:cs="Arial" w:eastAsia="Arial" w:hAnsi="Arial"/>
          <w:sz w:val="18"/>
          <w:szCs w:val="18"/>
          <w:color w:val="auto"/>
        </w:rPr>
      </w:pPr>
    </w:p>
    <w:p>
      <w:pPr>
        <w:ind w:left="380" w:hanging="372"/>
        <w:spacing w:after="0" w:line="207" w:lineRule="exact"/>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with the SEC on August 19, 2021.</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July 22, 2022.</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October 27, 2021.</w:t>
      </w:r>
    </w:p>
    <w:p>
      <w:pPr>
        <w:spacing w:after="0" w:line="184" w:lineRule="exact"/>
        <w:rPr>
          <w:rFonts w:ascii="Arial" w:cs="Arial" w:eastAsia="Arial" w:hAnsi="Arial"/>
          <w:sz w:val="18"/>
          <w:szCs w:val="18"/>
          <w:color w:val="auto"/>
        </w:rPr>
      </w:pPr>
    </w:p>
    <w:p>
      <w:pPr>
        <w:ind w:left="380" w:hanging="372"/>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April 22, 2022.</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5" w:name="page76"/>
    <w:bookmarkEnd w:id="75"/>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6"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RUNWAY GROWTH FINANCE CORP.</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2022</w:t>
      </w:r>
    </w:p>
    <w:p>
      <w:pPr>
        <w:ind w:left="5760"/>
        <w:spacing w:after="0"/>
        <w:rPr>
          <w:sz w:val="20"/>
          <w:szCs w:val="20"/>
          <w:color w:val="auto"/>
        </w:rPr>
      </w:pPr>
      <w:r>
        <w:rPr>
          <w:rFonts w:ascii="Arial" w:cs="Arial" w:eastAsia="Arial" w:hAnsi="Arial"/>
          <w:sz w:val="18"/>
          <w:szCs w:val="18"/>
          <w:color w:val="auto"/>
        </w:rPr>
        <w:t>By: /s/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-3175</wp:posOffset>
            </wp:positionV>
            <wp:extent cx="327469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6100"/>
        <w:spacing w:after="0"/>
        <w:rPr>
          <w:sz w:val="20"/>
          <w:szCs w:val="20"/>
          <w:color w:val="auto"/>
        </w:rPr>
      </w:pPr>
      <w:r>
        <w:rPr>
          <w:rFonts w:ascii="Arial" w:cs="Arial" w:eastAsia="Arial" w:hAnsi="Arial"/>
          <w:sz w:val="18"/>
          <w:szCs w:val="18"/>
          <w:color w:val="auto"/>
        </w:rPr>
        <w:t>R. David Spreng</w:t>
      </w:r>
    </w:p>
    <w:p>
      <w:pPr>
        <w:ind w:left="6100"/>
        <w:spacing w:after="0" w:line="203" w:lineRule="auto"/>
        <w:rPr>
          <w:sz w:val="20"/>
          <w:szCs w:val="20"/>
          <w:color w:val="auto"/>
        </w:rPr>
      </w:pPr>
      <w:r>
        <w:rPr>
          <w:rFonts w:ascii="Arial" w:cs="Arial" w:eastAsia="Arial" w:hAnsi="Arial"/>
          <w:sz w:val="18"/>
          <w:szCs w:val="18"/>
          <w:color w:val="auto"/>
        </w:rPr>
        <w:t>President, Chief Executive Officer and Chairman of the Board of</w:t>
      </w:r>
    </w:p>
    <w:p>
      <w:pPr>
        <w:ind w:left="6100"/>
        <w:spacing w:after="0"/>
        <w:rPr>
          <w:sz w:val="20"/>
          <w:szCs w:val="20"/>
          <w:color w:val="auto"/>
        </w:rPr>
      </w:pPr>
      <w:r>
        <w:rPr>
          <w:rFonts w:ascii="Arial" w:cs="Arial" w:eastAsia="Arial" w:hAnsi="Arial"/>
          <w:sz w:val="18"/>
          <w:szCs w:val="18"/>
          <w:color w:val="auto"/>
        </w:rPr>
        <w:t>Directors</w:t>
      </w:r>
    </w:p>
    <w:p>
      <w:pPr>
        <w:spacing w:after="0" w:line="182" w:lineRule="exact"/>
        <w:rPr>
          <w:sz w:val="20"/>
          <w:szCs w:val="20"/>
          <w:color w:val="auto"/>
        </w:rPr>
      </w:pPr>
    </w:p>
    <w:p>
      <w:pPr>
        <w:ind w:left="20"/>
        <w:spacing w:after="0"/>
        <w:tabs>
          <w:tab w:leader="none" w:pos="5740" w:val="left"/>
        </w:tabs>
        <w:rPr>
          <w:sz w:val="20"/>
          <w:szCs w:val="20"/>
          <w:color w:val="auto"/>
        </w:rPr>
      </w:pPr>
      <w:r>
        <w:rPr>
          <w:rFonts w:ascii="Arial" w:cs="Arial" w:eastAsia="Arial" w:hAnsi="Arial"/>
          <w:sz w:val="18"/>
          <w:szCs w:val="18"/>
          <w:color w:val="auto"/>
        </w:rPr>
        <w:t>Date: August 4, 2022</w:t>
      </w:r>
      <w:r>
        <w:rPr>
          <w:sz w:val="20"/>
          <w:szCs w:val="20"/>
          <w:color w:val="auto"/>
        </w:rPr>
        <w:tab/>
      </w:r>
      <w:r>
        <w:rPr>
          <w:rFonts w:ascii="Arial" w:cs="Arial" w:eastAsia="Arial" w:hAnsi="Arial"/>
          <w:sz w:val="16"/>
          <w:szCs w:val="16"/>
          <w:color w:val="auto"/>
        </w:rPr>
        <w:t>By: /s/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6350</wp:posOffset>
            </wp:positionV>
            <wp:extent cx="327469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1">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Thomas B. Raterman</w:t>
      </w:r>
    </w:p>
    <w:p>
      <w:pPr>
        <w:ind w:left="6100"/>
        <w:spacing w:after="0" w:line="234" w:lineRule="auto"/>
        <w:rPr>
          <w:sz w:val="20"/>
          <w:szCs w:val="20"/>
          <w:color w:val="auto"/>
        </w:rPr>
      </w:pPr>
      <w:r>
        <w:rPr>
          <w:rFonts w:ascii="Arial" w:cs="Arial" w:eastAsia="Arial" w:hAnsi="Arial"/>
          <w:sz w:val="18"/>
          <w:szCs w:val="18"/>
          <w:color w:val="auto"/>
        </w:rPr>
        <w:t>Chief Financial Officer, Treasurer and Secretary</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 David Spreng, as Chief Executive Officer, certify that:</w:t>
      </w:r>
    </w:p>
    <w:p>
      <w:pPr>
        <w:spacing w:after="0" w:line="212" w:lineRule="exact"/>
        <w:rPr>
          <w:sz w:val="20"/>
          <w:szCs w:val="20"/>
          <w:color w:val="auto"/>
        </w:rPr>
      </w:pPr>
    </w:p>
    <w:p>
      <w:pPr>
        <w:ind w:left="520" w:hanging="512"/>
        <w:spacing w:after="0"/>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From 10-Q of Runway Growth Finance Corp.;</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4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 David Spreng</w:t>
            </w:r>
          </w:p>
        </w:tc>
      </w:tr>
      <w:tr>
        <w:trPr>
          <w:trHeight w:val="151"/>
        </w:trPr>
        <w:tc>
          <w:tcPr>
            <w:tcW w:w="36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4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7"/>
              </w:rPr>
              <w:t>R. David Spreng</w:t>
            </w:r>
          </w:p>
        </w:tc>
      </w:tr>
      <w:tr>
        <w:trPr>
          <w:trHeight w:val="234"/>
        </w:trPr>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722"/>
        </w:trPr>
        <w:tc>
          <w:tcPr>
            <w:tcW w:w="36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Thomas B. Raterman, as Chief Financial Officer, certify that:</w:t>
      </w:r>
    </w:p>
    <w:p>
      <w:pPr>
        <w:spacing w:after="0" w:line="212" w:lineRule="exact"/>
        <w:rPr>
          <w:sz w:val="20"/>
          <w:szCs w:val="20"/>
          <w:color w:val="auto"/>
        </w:rPr>
      </w:pPr>
    </w:p>
    <w:p>
      <w:pPr>
        <w:ind w:left="520" w:hanging="512"/>
        <w:spacing w:after="0"/>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Finance Corp.;</w:t>
      </w:r>
    </w:p>
    <w:p>
      <w:pPr>
        <w:spacing w:after="0" w:line="211" w:lineRule="exact"/>
        <w:rPr>
          <w:rFonts w:ascii="Arial" w:cs="Arial" w:eastAsia="Arial" w:hAnsi="Arial"/>
          <w:sz w:val="18"/>
          <w:szCs w:val="18"/>
          <w:color w:val="auto"/>
        </w:rPr>
      </w:pPr>
    </w:p>
    <w:p>
      <w:pPr>
        <w:jc w:val="both"/>
        <w:ind w:left="520" w:right="260" w:hanging="512"/>
        <w:spacing w:after="0" w:line="248"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20" w:right="220" w:hanging="512"/>
        <w:spacing w:after="0" w:line="291"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20" w:right="260" w:hanging="512"/>
        <w:spacing w:after="0" w:line="248" w:lineRule="auto"/>
        <w:tabs>
          <w:tab w:leader="none" w:pos="5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20" w:hanging="503"/>
        <w:spacing w:after="0" w:line="248"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20" w:right="320" w:hanging="503"/>
        <w:spacing w:after="0" w:line="248"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20" w:right="480" w:hanging="503"/>
        <w:spacing w:after="0" w:line="324"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020" w:right="40" w:hanging="503"/>
        <w:spacing w:after="0" w:line="248"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20" w:right="240" w:hanging="512"/>
        <w:spacing w:after="0" w:line="324" w:lineRule="auto"/>
        <w:tabs>
          <w:tab w:leader="none" w:pos="52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020" w:right="740" w:hanging="503"/>
        <w:spacing w:after="0" w:line="324" w:lineRule="auto"/>
        <w:tabs>
          <w:tab w:leader="none" w:pos="10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020" w:right="440" w:hanging="503"/>
        <w:spacing w:after="0" w:line="261" w:lineRule="auto"/>
        <w:tabs>
          <w:tab w:leader="none" w:pos="102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Thomas B. Raterman</w:t>
            </w:r>
          </w:p>
        </w:tc>
      </w:tr>
      <w:tr>
        <w:trPr>
          <w:trHeight w:val="151"/>
        </w:trPr>
        <w:tc>
          <w:tcPr>
            <w:tcW w:w="36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4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6"/>
              </w:rPr>
              <w:t>Thomas B. Raterman</w:t>
            </w:r>
          </w:p>
        </w:tc>
      </w:tr>
      <w:tr>
        <w:trPr>
          <w:trHeight w:val="234"/>
        </w:trPr>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506"/>
        </w:trPr>
        <w:tc>
          <w:tcPr>
            <w:tcW w:w="36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In connection with the Quarterly Report of Runway Growth Finance Corp.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R. David Spreng</w:t>
            </w:r>
          </w:p>
        </w:tc>
      </w:tr>
      <w:tr>
        <w:trPr>
          <w:trHeight w:val="151"/>
        </w:trPr>
        <w:tc>
          <w:tcPr>
            <w:tcW w:w="36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4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7"/>
              </w:rPr>
              <w:t>R. David Spreng</w:t>
            </w:r>
          </w:p>
        </w:tc>
      </w:tr>
      <w:tr>
        <w:trPr>
          <w:trHeight w:val="234"/>
        </w:trPr>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507"/>
        </w:trPr>
        <w:tc>
          <w:tcPr>
            <w:tcW w:w="36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32.2</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6"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auto"/>
        </w:rPr>
        <w:t>In connection with the Quarterly Report of Runway Growth Finance Corp. (the “Company”) on Form 10-Q for the period ending June 30, 2022 as filed with the Securities and Exchange Commission on the date hereof (the “Report”), I certify, pursuant to 18 U.S.C. § 1350, as adopted pursuant to § 906 of the Sarbanes-Oxley Act of 2002, that:</w:t>
      </w:r>
    </w:p>
    <w:p>
      <w:pPr>
        <w:spacing w:after="0" w:line="182" w:lineRule="exact"/>
        <w:rPr>
          <w:sz w:val="20"/>
          <w:szCs w:val="20"/>
          <w:color w:val="auto"/>
        </w:rPr>
      </w:pPr>
    </w:p>
    <w:p>
      <w:pPr>
        <w:ind w:left="1020" w:hanging="503"/>
        <w:spacing w:after="0"/>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20" w:type="dxa"/>
            <w:vAlign w:val="bottom"/>
          </w:tcPr>
          <w:p>
            <w:pPr>
              <w:ind w:left="20"/>
              <w:spacing w:after="0"/>
              <w:rPr>
                <w:sz w:val="20"/>
                <w:szCs w:val="20"/>
                <w:color w:val="auto"/>
              </w:rPr>
            </w:pPr>
            <w:r>
              <w:rPr>
                <w:rFonts w:ascii="Arial" w:cs="Arial" w:eastAsia="Arial" w:hAnsi="Arial"/>
                <w:sz w:val="18"/>
                <w:szCs w:val="18"/>
                <w:color w:val="auto"/>
              </w:rPr>
              <w:t>Date: August 4, 2022</w:t>
            </w:r>
          </w:p>
        </w:tc>
        <w:tc>
          <w:tcPr>
            <w:tcW w:w="2380" w:type="dxa"/>
            <w:vAlign w:val="bottom"/>
          </w:tcPr>
          <w:p>
            <w:pPr>
              <w:ind w:left="2060"/>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Thomas B. Raterman</w:t>
            </w:r>
          </w:p>
        </w:tc>
      </w:tr>
      <w:tr>
        <w:trPr>
          <w:trHeight w:val="151"/>
        </w:trPr>
        <w:tc>
          <w:tcPr>
            <w:tcW w:w="362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524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6"/>
              </w:rPr>
              <w:t>Thomas B. Raterman</w:t>
            </w:r>
          </w:p>
        </w:tc>
      </w:tr>
      <w:tr>
        <w:trPr>
          <w:trHeight w:val="234"/>
        </w:trPr>
        <w:tc>
          <w:tcPr>
            <w:tcW w:w="3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723"/>
        </w:trPr>
        <w:tc>
          <w:tcPr>
            <w:tcW w:w="36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2"/>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5"/>
    </w:lvl>
  </w:abstractNum>
  <w:abstractNum w:abstractNumId="7">
    <w:nsid w:val="2901D82"/>
    <w:multiLevelType w:val="hybridMultilevel"/>
    <w:lvl w:ilvl="0">
      <w:lvlJc w:val="left"/>
      <w:lvlText w:val="(%1)"/>
      <w:numFmt w:val="decimal"/>
      <w:start w:val="7"/>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2"/>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w:numFmt w:val="bullet"/>
      <w:start w:val="1"/>
    </w:lvl>
    <w:lvl w:ilvl="1">
      <w:lvlJc w:val="left"/>
      <w:lvlText w:val="•"/>
      <w:numFmt w:val="bullet"/>
      <w:start w:val="1"/>
    </w:lvl>
  </w:abstractNum>
  <w:abstractNum w:abstractNumId="18">
    <w:nsid w:val="419AC241"/>
    <w:multiLevelType w:val="hybridMultilevel"/>
    <w:lvl w:ilvl="0">
      <w:lvlJc w:val="left"/>
      <w:lvlText w:val="(%1)"/>
      <w:numFmt w:val="decimal"/>
      <w:start w:val="2"/>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2"/>
    </w:lvl>
  </w:abstractNum>
  <w:abstractNum w:abstractNumId="24">
    <w:nsid w:val="7724C67E"/>
    <w:multiLevelType w:val="hybridMultilevel"/>
    <w:lvl w:ilvl="0">
      <w:lvlJc w:val="left"/>
      <w:lvlText w:val="•"/>
      <w:numFmt w:val="bullet"/>
      <w:start w:val="1"/>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1)"/>
      <w:numFmt w:val="lowerRoman"/>
      <w:start w:val="3"/>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bullet"/>
      <w:start w:val="1"/>
    </w:lvl>
  </w:abstractNum>
  <w:abstractNum w:abstractNumId="29">
    <w:nsid w:val="2D517796"/>
    <w:multiLevelType w:val="hybridMultilevel"/>
    <w:lvl w:ilvl="0">
      <w:lvlJc w:val="left"/>
      <w:lvlText w:val="2"/>
      <w:numFmt w:val="bullet"/>
      <w:start w:val="1"/>
    </w:lvl>
  </w:abstractNum>
  <w:abstractNum w:abstractNumId="30">
    <w:nsid w:val="580BD78F"/>
    <w:multiLevelType w:val="hybridMultilevel"/>
    <w:lvl w:ilvl="0">
      <w:lvlJc w:val="left"/>
      <w:lvlText w:val="3"/>
      <w:numFmt w:val="bullet"/>
      <w:start w:val="1"/>
    </w:lvl>
  </w:abstractNum>
  <w:abstractNum w:abstractNumId="31">
    <w:nsid w:val="153EA438"/>
    <w:multiLevelType w:val="hybridMultilevel"/>
    <w:lvl w:ilvl="0">
      <w:lvlJc w:val="left"/>
      <w:lvlText w:val="4"/>
      <w:numFmt w:val="bullet"/>
      <w:start w:val="1"/>
    </w:lvl>
  </w:abstractNum>
  <w:abstractNum w:abstractNumId="32">
    <w:nsid w:val="3855585C"/>
    <w:multiLevelType w:val="hybridMultilevel"/>
    <w:lvl w:ilvl="0">
      <w:lvlJc w:val="left"/>
      <w:lvlText w:val="5"/>
      <w:numFmt w:val="bullet"/>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decimal"/>
      <w:start w:val="1"/>
    </w:lvl>
  </w:abstractNum>
  <w:abstractNum w:abstractNumId="37">
    <w:nsid w:val="725A06FB"/>
    <w:multiLevelType w:val="hybridMultilevel"/>
    <w:lvl w:ilvl="0">
      <w:lvlJc w:val="left"/>
      <w:lvlText w:val="(%1)"/>
      <w:numFmt w:val="decimal"/>
      <w:start w:val="1"/>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3" Type="http://schemas.openxmlformats.org/officeDocument/2006/relationships/image" Target="media/image695.png"/><Relationship Id="rId704" Type="http://schemas.openxmlformats.org/officeDocument/2006/relationships/image" Target="media/image696.png"/><Relationship Id="rId706" Type="http://schemas.openxmlformats.org/officeDocument/2006/relationships/image" Target="media/image697.png"/><Relationship Id="rId707" Type="http://schemas.openxmlformats.org/officeDocument/2006/relationships/image" Target="media/image698.png"/><Relationship Id="rId709" Type="http://schemas.openxmlformats.org/officeDocument/2006/relationships/image" Target="media/image699.png"/><Relationship Id="rId710" Type="http://schemas.openxmlformats.org/officeDocument/2006/relationships/image" Target="media/image700.png"/><Relationship Id="rId712" Type="http://schemas.openxmlformats.org/officeDocument/2006/relationships/image" Target="media/image701.png"/><Relationship Id="rId713" Type="http://schemas.openxmlformats.org/officeDocument/2006/relationships/image" Target="media/image702.png"/><Relationship Id="rId714" Type="http://schemas.openxmlformats.org/officeDocument/2006/relationships/image" Target="media/image703.png"/><Relationship Id="rId715" Type="http://schemas.openxmlformats.org/officeDocument/2006/relationships/image" Target="media/image704.png"/><Relationship Id="rId717" Type="http://schemas.openxmlformats.org/officeDocument/2006/relationships/image" Target="media/image705.png"/><Relationship Id="rId718" Type="http://schemas.openxmlformats.org/officeDocument/2006/relationships/image" Target="media/image706.png"/><Relationship Id="rId719" Type="http://schemas.openxmlformats.org/officeDocument/2006/relationships/image" Target="media/image707.png"/><Relationship Id="rId721" Type="http://schemas.openxmlformats.org/officeDocument/2006/relationships/image" Target="media/image708.png"/><Relationship Id="rId722" Type="http://schemas.openxmlformats.org/officeDocument/2006/relationships/image" Target="media/image709.png"/><Relationship Id="rId723" Type="http://schemas.openxmlformats.org/officeDocument/2006/relationships/image" Target="media/image710.png"/><Relationship Id="rId724" Type="http://schemas.openxmlformats.org/officeDocument/2006/relationships/image" Target="media/image711.png"/><Relationship Id="rId725" Type="http://schemas.openxmlformats.org/officeDocument/2006/relationships/image" Target="media/image712.png"/><Relationship Id="rId726" Type="http://schemas.openxmlformats.org/officeDocument/2006/relationships/image" Target="media/image713.png"/><Relationship Id="rId727" Type="http://schemas.openxmlformats.org/officeDocument/2006/relationships/image" Target="media/image714.png"/><Relationship Id="rId728" Type="http://schemas.openxmlformats.org/officeDocument/2006/relationships/image" Target="media/image715.png"/><Relationship Id="rId729" Type="http://schemas.openxmlformats.org/officeDocument/2006/relationships/image" Target="media/image716.png"/><Relationship Id="rId730" Type="http://schemas.openxmlformats.org/officeDocument/2006/relationships/image" Target="media/image717.png"/><Relationship Id="rId731" Type="http://schemas.openxmlformats.org/officeDocument/2006/relationships/image" Target="media/image718.png"/><Relationship Id="rId732" Type="http://schemas.openxmlformats.org/officeDocument/2006/relationships/image" Target="media/image719.png"/><Relationship Id="rId733" Type="http://schemas.openxmlformats.org/officeDocument/2006/relationships/image" Target="media/image720.png"/><Relationship Id="rId734" Type="http://schemas.openxmlformats.org/officeDocument/2006/relationships/image" Target="media/image721.png"/><Relationship Id="rId735" Type="http://schemas.openxmlformats.org/officeDocument/2006/relationships/image" Target="media/image722.png"/><Relationship Id="rId736" Type="http://schemas.openxmlformats.org/officeDocument/2006/relationships/image" Target="media/image723.png"/><Relationship Id="rId737" Type="http://schemas.openxmlformats.org/officeDocument/2006/relationships/image" Target="media/image724.png"/><Relationship Id="rId738" Type="http://schemas.openxmlformats.org/officeDocument/2006/relationships/image" Target="media/image725.png"/><Relationship Id="rId739" Type="http://schemas.openxmlformats.org/officeDocument/2006/relationships/image" Target="media/image726.png"/><Relationship Id="rId740" Type="http://schemas.openxmlformats.org/officeDocument/2006/relationships/image" Target="media/image727.png"/><Relationship Id="rId702" Type="http://schemas.openxmlformats.org/officeDocument/2006/relationships/hyperlink" Target="https://www.sec.gov/Archives/edgar/data/1653384/000114420416140270/v454968_ex3-1.htm" TargetMode="External"/><Relationship Id="rId705" Type="http://schemas.openxmlformats.org/officeDocument/2006/relationships/hyperlink" Target="https://www.sec.gov/Archives/edgar/data/0001653384/000165338421000016/rgc-20210819ex31cb84ffa.htm" TargetMode="External"/><Relationship Id="rId708" Type="http://schemas.openxmlformats.org/officeDocument/2006/relationships/hyperlink" Target="https://www.sec.gov/Archives/edgar/data/0001653384/000165338421000016/rgc-20210819ex32804659c.htm" TargetMode="External"/><Relationship Id="rId711" Type="http://schemas.openxmlformats.org/officeDocument/2006/relationships/hyperlink" Target="https://www.sec.gov/Archives/edgar/data/1653384/000110465922048941/tm2213243d1_ex10-1.htm" TargetMode="External"/><Relationship Id="rId716" Type="http://schemas.openxmlformats.org/officeDocument/2006/relationships/hyperlink" Target="https://www.sec.gov/Archives/edgar/data/1653384/000110465922082030/tm2221671d1_ex1-1.htm" TargetMode="External"/><Relationship Id="rId720" Type="http://schemas.openxmlformats.org/officeDocument/2006/relationships/hyperlink" Target="https://www.sec.gov/Archives/edgar/data/0001653384/000165338421000025/rgc-20211027xex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2022-08-05T11:11:54Z</dcterms:created>
  <dcterms:modified xsi:type="dcterms:W3CDTF">2022-08-05T11:11:54Z</dcterms:modified>
</cp:coreProperties>
</file>