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June 23,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814-01180</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47-5049745</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60" w:space="720"/>
            <w:col w:w="3040" w:space="720"/>
            <w:col w:w="2800"/>
          </w:cols>
          <w:pgMar w:left="320" w:top="1440"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 N. Michigan Ave., Suite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(312) 698-6902</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RWAY</w:t>
            </w:r>
          </w:p>
        </w:tc>
        <w:tc>
          <w:tcPr>
            <w:tcW w:w="20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 Notes due 2027</w:t>
            </w:r>
          </w:p>
        </w:tc>
        <w:tc>
          <w:tcPr>
            <w:tcW w:w="2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RWAYL</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7.25% Notes due 2031</w:t>
            </w:r>
          </w:p>
        </w:tc>
        <w:tc>
          <w:tcPr>
            <w:tcW w:w="2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RWAYI</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 Notes due 2027</w:t>
            </w:r>
          </w:p>
        </w:tc>
        <w:tc>
          <w:tcPr>
            <w:tcW w:w="2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SWKHL</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80"/>
        <w:spacing w:after="0" w:line="25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9"/>
          <w:szCs w:val="19"/>
          <w:color w:val="auto"/>
        </w:rPr>
        <w:t>☒</w:t>
      </w:r>
    </w:p>
    <w:p>
      <w:pPr>
        <w:spacing w:after="0" w:line="163"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On June 23, 2026, Runway Growth Finance Corp. (the “Company”) held its 2026 Annual Meeting of Stockholders (the “Annual Meeting”). The Company submitted two (2) matters to the vote of its stockholders, each of which is described in detail in the Company’s definitive proxy statement for the Annual Meeting filed with the Securities and Exchange Commission on April 29, 2026.</w:t>
      </w:r>
    </w:p>
    <w:p>
      <w:pPr>
        <w:spacing w:after="0" w:line="17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As of the close of business on April 24, 2026, the record date for the Annual Meeting, there were 42,464,546 shares of the Company’s common stock outstanding and entitled to vote at the Annual Meeting. A summary of the matters voted upon by the Company’s stockholders at the Annual Meeting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Company’s stockholders re-elected Alexander Duka and Gary Kovacs to the Board of Directors as Class I directors to serve until the 2029 Annual Meeting of Stockholders and until their respective successors are duly elected and qualified. The following votes were taken in connection with this proposal: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3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3060" w:type="dxa"/>
            <w:vAlign w:val="bottom"/>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8"/>
              </w:rPr>
              <w:t>16,142,431</w:t>
            </w:r>
          </w:p>
        </w:tc>
        <w:tc>
          <w:tcPr>
            <w:tcW w:w="25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8,625,120</w:t>
            </w:r>
          </w:p>
        </w:tc>
        <w:tc>
          <w:tcPr>
            <w:tcW w:w="308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7,750,344</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Gary Kovacs</w:t>
            </w:r>
          </w:p>
        </w:tc>
        <w:tc>
          <w:tcPr>
            <w:tcW w:w="3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15,965,968</w:t>
            </w:r>
          </w:p>
        </w:tc>
        <w:tc>
          <w:tcPr>
            <w:tcW w:w="25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8,801,583</w:t>
            </w:r>
          </w:p>
        </w:tc>
        <w:tc>
          <w:tcPr>
            <w:tcW w:w="3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7,750,344</w:t>
            </w:r>
          </w:p>
        </w:tc>
      </w:tr>
    </w:tbl>
    <w:p>
      <w:pPr>
        <w:spacing w:after="0" w:line="3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 Ratification of the selection of Deloitte &amp; Touche LLP to serve as the Company’s independent registered public accounting firm for the fiscal year ending December 31, 2026</w:t>
      </w:r>
    </w:p>
    <w:p>
      <w:pPr>
        <w:spacing w:after="0" w:line="15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Company’s stockholder ratified the selection of Deloitte &amp; Touche LLP to serve as the Company’s independent registered public accounting firm for the fiscal year ending December 31, 2026. The following votes were taken in connection with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98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25,348,416</w:t>
            </w:r>
          </w:p>
        </w:tc>
        <w:tc>
          <w:tcPr>
            <w:tcW w:w="26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6,981,350</w:t>
            </w:r>
          </w:p>
        </w:tc>
        <w:tc>
          <w:tcPr>
            <w:tcW w:w="25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188,129</w:t>
            </w:r>
          </w:p>
        </w:tc>
        <w:tc>
          <w:tcPr>
            <w:tcW w:w="310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r>
        <w:trPr>
          <w:trHeight w:val="1843"/>
        </w:trPr>
        <w:tc>
          <w:tcPr>
            <w:tcW w:w="29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June 25, 2026</w:t>
            </w:r>
          </w:p>
        </w:tc>
        <w:tc>
          <w:tcPr>
            <w:tcW w:w="75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RUNWAY GROWTH FINANCE CORP.</w:t>
            </w:r>
          </w:p>
        </w:tc>
      </w:tr>
      <w:tr>
        <w:trPr>
          <w:trHeight w:val="608"/>
        </w:trPr>
        <w:tc>
          <w:tcPr>
            <w:tcW w:w="3660" w:type="dxa"/>
            <w:vAlign w:val="bottom"/>
          </w:tcPr>
          <w:p>
            <w:pPr>
              <w:spacing w:after="0"/>
              <w:rPr>
                <w:sz w:val="24"/>
                <w:szCs w:val="24"/>
                <w:color w:val="auto"/>
              </w:rPr>
            </w:pPr>
          </w:p>
        </w:tc>
        <w:tc>
          <w:tcPr>
            <w:tcW w:w="26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B. Raterman</w:t>
            </w:r>
          </w:p>
        </w:tc>
      </w:tr>
      <w:tr>
        <w:trPr>
          <w:trHeight w:val="218"/>
        </w:trPr>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Thomas B. Raterman</w:t>
            </w:r>
          </w:p>
        </w:tc>
        <w:tc>
          <w:tcPr>
            <w:tcW w:w="32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 Chief Financial Officer, Treasurer and</w:t>
            </w:r>
          </w:p>
        </w:tc>
      </w:tr>
      <w:tr>
        <w:trPr>
          <w:trHeight w:val="234"/>
        </w:trPr>
        <w:tc>
          <w:tcPr>
            <w:tcW w:w="3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1843"/>
        </w:trPr>
        <w:tc>
          <w:tcPr>
            <w:tcW w:w="36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2026-06-25T15:33:40Z</dcterms:created>
  <dcterms:modified xsi:type="dcterms:W3CDTF">2026-06-25T15:33:40Z</dcterms:modified>
</cp:coreProperties>
</file>