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47625</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80010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ind w:left="3920" w:right="3820" w:hanging="3912"/>
        <w:spacing w:after="0" w:line="311" w:lineRule="auto"/>
        <w:tabs>
          <w:tab w:leader="none" w:pos="376" w:val="left"/>
        </w:tabs>
        <w:numPr>
          <w:ilvl w:val="0"/>
          <w:numId w:val="1"/>
        </w:numPr>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spacing w:after="0" w:line="2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814-01180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Runway Growth Finance Corp.</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81"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3960" w:type="dxa"/>
            <w:vAlign w:val="bottom"/>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7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47-5049745</w:t>
            </w:r>
          </w:p>
        </w:tc>
        <w:tc>
          <w:tcPr>
            <w:tcW w:w="0" w:type="dxa"/>
            <w:vAlign w:val="bottom"/>
          </w:tcPr>
          <w:p>
            <w:pPr>
              <w:spacing w:after="0"/>
              <w:rPr>
                <w:sz w:val="1"/>
                <w:szCs w:val="1"/>
                <w:color w:val="auto"/>
              </w:rPr>
            </w:pPr>
          </w:p>
        </w:tc>
      </w:tr>
      <w:tr>
        <w:trPr>
          <w:trHeight w:val="188"/>
        </w:trPr>
        <w:tc>
          <w:tcPr>
            <w:tcW w:w="3960" w:type="dxa"/>
            <w:vAlign w:val="bottom"/>
          </w:tcPr>
          <w:p>
            <w:pPr>
              <w:jc w:val="center"/>
              <w:ind w:right="1628"/>
              <w:spacing w:after="0"/>
              <w:rPr>
                <w:sz w:val="20"/>
                <w:szCs w:val="20"/>
                <w:color w:val="auto"/>
              </w:rPr>
            </w:pPr>
            <w:r>
              <w:rPr>
                <w:rFonts w:ascii="Times New Roman" w:cs="Times New Roman" w:eastAsia="Times New Roman" w:hAnsi="Times New Roman"/>
                <w:sz w:val="14"/>
                <w:szCs w:val="14"/>
                <w:color w:val="auto"/>
              </w:rPr>
              <w:t>(State of incorporation)</w:t>
            </w:r>
          </w:p>
        </w:tc>
        <w:tc>
          <w:tcPr>
            <w:tcW w:w="3780" w:type="dxa"/>
            <w:vAlign w:val="bottom"/>
          </w:tcPr>
          <w:p>
            <w:pPr>
              <w:jc w:val="center"/>
              <w:ind w:left="16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205 N. Michigan Ave., Suite 4200</w:t>
            </w:r>
          </w:p>
        </w:tc>
        <w:tc>
          <w:tcPr>
            <w:tcW w:w="3780" w:type="dxa"/>
            <w:vAlign w:val="bottom"/>
            <w:vMerge w:val="restart"/>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60601</w:t>
            </w:r>
          </w:p>
        </w:tc>
        <w:tc>
          <w:tcPr>
            <w:tcW w:w="0" w:type="dxa"/>
            <w:vAlign w:val="bottom"/>
          </w:tcPr>
          <w:p>
            <w:pPr>
              <w:spacing w:after="0"/>
              <w:rPr>
                <w:sz w:val="1"/>
                <w:szCs w:val="1"/>
                <w:color w:val="auto"/>
              </w:rPr>
            </w:pPr>
          </w:p>
        </w:tc>
      </w:tr>
      <w:tr>
        <w:trPr>
          <w:trHeight w:val="151"/>
        </w:trPr>
        <w:tc>
          <w:tcPr>
            <w:tcW w:w="3960" w:type="dxa"/>
            <w:vAlign w:val="bottom"/>
          </w:tcPr>
          <w:p>
            <w:pPr>
              <w:jc w:val="center"/>
              <w:ind w:right="1608"/>
              <w:spacing w:after="0" w:line="151" w:lineRule="exact"/>
              <w:rPr>
                <w:sz w:val="20"/>
                <w:szCs w:val="20"/>
                <w:color w:val="auto"/>
              </w:rPr>
            </w:pPr>
            <w:r>
              <w:rPr>
                <w:rFonts w:ascii="Times New Roman" w:cs="Times New Roman" w:eastAsia="Times New Roman" w:hAnsi="Times New Roman"/>
                <w:sz w:val="14"/>
                <w:szCs w:val="14"/>
                <w:b w:val="1"/>
                <w:bCs w:val="1"/>
                <w:color w:val="auto"/>
              </w:rPr>
              <w:t>Chicago, Illinois</w:t>
            </w:r>
          </w:p>
        </w:tc>
        <w:tc>
          <w:tcPr>
            <w:tcW w:w="3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60" w:type="dxa"/>
            <w:vAlign w:val="bottom"/>
          </w:tcPr>
          <w:p>
            <w:pPr>
              <w:jc w:val="center"/>
              <w:ind w:right="16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780" w:type="dxa"/>
            <w:vAlign w:val="bottom"/>
          </w:tcPr>
          <w:p>
            <w:pPr>
              <w:jc w:val="center"/>
              <w:ind w:left="16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9"/>
        <w:spacing w:after="0" w:line="188" w:lineRule="exact"/>
        <w:rPr>
          <w:sz w:val="20"/>
          <w:szCs w:val="20"/>
          <w:color w:val="auto"/>
        </w:rPr>
      </w:pPr>
      <w:r>
        <w:rPr>
          <w:rFonts w:ascii="Times New Roman" w:cs="Times New Roman" w:eastAsia="Times New Roman" w:hAnsi="Times New Roman"/>
          <w:sz w:val="14"/>
          <w:szCs w:val="14"/>
          <w:b w:val="1"/>
          <w:bCs w:val="1"/>
          <w:color w:val="auto"/>
        </w:rPr>
        <w:t>(312) 698</w:t>
      </w:r>
      <w:r>
        <w:rPr>
          <w:rFonts w:ascii="Arial Unicode MS" w:cs="Arial Unicode MS" w:eastAsia="Arial Unicode MS" w:hAnsi="Arial Unicode MS"/>
          <w:sz w:val="14"/>
          <w:szCs w:val="14"/>
          <w:color w:val="auto"/>
          <w:strike w:val="1"/>
        </w:rPr>
        <w:t>‑</w:t>
      </w:r>
      <w:r>
        <w:rPr>
          <w:rFonts w:ascii="Times New Roman" w:cs="Times New Roman" w:eastAsia="Times New Roman" w:hAnsi="Times New Roman"/>
          <w:sz w:val="14"/>
          <w:szCs w:val="14"/>
          <w:b w:val="1"/>
          <w:bCs w:val="1"/>
          <w:color w:val="auto"/>
        </w:rPr>
        <w:t>6902</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4" w:lineRule="exact"/>
        <w:rPr>
          <w:sz w:val="24"/>
          <w:szCs w:val="24"/>
          <w:color w:val="auto"/>
        </w:rPr>
      </w:pPr>
    </w:p>
    <w:tbl>
      <w:tblPr>
        <w:tblLayout w:type="fixed"/>
        <w:tblInd w:w="780" w:type="dxa"/>
        <w:tblCellMar>
          <w:top w:w="0" w:type="dxa"/>
          <w:left w:w="0" w:type="dxa"/>
          <w:bottom w:w="0" w:type="dxa"/>
          <w:right w:w="0" w:type="dxa"/>
        </w:tblCellMar>
      </w:tblPr>
      <w:tr>
        <w:trPr>
          <w:trHeight w:val="149"/>
        </w:trPr>
        <w:tc>
          <w:tcPr>
            <w:tcW w:w="3420" w:type="dxa"/>
            <w:vAlign w:val="bottom"/>
          </w:tcPr>
          <w:p>
            <w:pPr>
              <w:jc w:val="center"/>
              <w:ind w:right="93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340" w:type="dxa"/>
            <w:vAlign w:val="bottom"/>
          </w:tcPr>
          <w:p>
            <w:pPr>
              <w:jc w:val="center"/>
              <w:ind w:left="93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5"/>
        </w:trPr>
        <w:tc>
          <w:tcPr>
            <w:tcW w:w="3420" w:type="dxa"/>
            <w:vAlign w:val="bottom"/>
          </w:tcPr>
          <w:p>
            <w:pPr>
              <w:jc w:val="center"/>
              <w:ind w:right="93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RWAY</w:t>
            </w:r>
          </w:p>
        </w:tc>
        <w:tc>
          <w:tcPr>
            <w:tcW w:w="3340" w:type="dxa"/>
            <w:vAlign w:val="bottom"/>
          </w:tcPr>
          <w:p>
            <w:pPr>
              <w:jc w:val="center"/>
              <w:ind w:left="950"/>
              <w:spacing w:after="0"/>
              <w:rPr>
                <w:sz w:val="20"/>
                <w:szCs w:val="20"/>
                <w:color w:val="auto"/>
              </w:rPr>
            </w:pPr>
            <w:r>
              <w:rPr>
                <w:rFonts w:ascii="Times New Roman" w:cs="Times New Roman" w:eastAsia="Times New Roman" w:hAnsi="Times New Roman"/>
                <w:sz w:val="14"/>
                <w:szCs w:val="14"/>
                <w:color w:val="auto"/>
              </w:rPr>
              <w:t>Nasdaq Global Select Market LLC</w:t>
            </w:r>
          </w:p>
        </w:tc>
      </w:tr>
      <w:tr>
        <w:trPr>
          <w:trHeight w:val="176"/>
        </w:trPr>
        <w:tc>
          <w:tcPr>
            <w:tcW w:w="3420" w:type="dxa"/>
            <w:vAlign w:val="bottom"/>
          </w:tcPr>
          <w:p>
            <w:pPr>
              <w:jc w:val="center"/>
              <w:ind w:right="910"/>
              <w:spacing w:after="0"/>
              <w:rPr>
                <w:sz w:val="20"/>
                <w:szCs w:val="20"/>
                <w:color w:val="auto"/>
              </w:rPr>
            </w:pPr>
            <w:r>
              <w:rPr>
                <w:rFonts w:ascii="Times New Roman" w:cs="Times New Roman" w:eastAsia="Times New Roman" w:hAnsi="Times New Roman"/>
                <w:sz w:val="14"/>
                <w:szCs w:val="14"/>
                <w:color w:val="auto"/>
              </w:rPr>
              <w:t>7.50% Notes due 2027</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RWAYL</w:t>
            </w:r>
          </w:p>
        </w:tc>
        <w:tc>
          <w:tcPr>
            <w:tcW w:w="3340" w:type="dxa"/>
            <w:vAlign w:val="bottom"/>
          </w:tcPr>
          <w:p>
            <w:pPr>
              <w:jc w:val="center"/>
              <w:ind w:left="950"/>
              <w:spacing w:after="0"/>
              <w:rPr>
                <w:sz w:val="20"/>
                <w:szCs w:val="20"/>
                <w:color w:val="auto"/>
              </w:rPr>
            </w:pPr>
            <w:r>
              <w:rPr>
                <w:rFonts w:ascii="Times New Roman" w:cs="Times New Roman" w:eastAsia="Times New Roman" w:hAnsi="Times New Roman"/>
                <w:sz w:val="14"/>
                <w:szCs w:val="14"/>
                <w:color w:val="auto"/>
              </w:rPr>
              <w:t>Nasdaq Global Select Market LLC</w:t>
            </w:r>
          </w:p>
        </w:tc>
      </w:tr>
      <w:tr>
        <w:trPr>
          <w:trHeight w:val="188"/>
        </w:trPr>
        <w:tc>
          <w:tcPr>
            <w:tcW w:w="3420" w:type="dxa"/>
            <w:vAlign w:val="bottom"/>
          </w:tcPr>
          <w:p>
            <w:pPr>
              <w:jc w:val="center"/>
              <w:ind w:right="910"/>
              <w:spacing w:after="0"/>
              <w:rPr>
                <w:sz w:val="20"/>
                <w:szCs w:val="20"/>
                <w:color w:val="auto"/>
              </w:rPr>
            </w:pPr>
            <w:r>
              <w:rPr>
                <w:rFonts w:ascii="Times New Roman" w:cs="Times New Roman" w:eastAsia="Times New Roman" w:hAnsi="Times New Roman"/>
                <w:sz w:val="14"/>
                <w:szCs w:val="14"/>
                <w:color w:val="auto"/>
              </w:rPr>
              <w:t>8.00% Notes due 2027</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RWAYZ</w:t>
            </w:r>
          </w:p>
        </w:tc>
        <w:tc>
          <w:tcPr>
            <w:tcW w:w="3340" w:type="dxa"/>
            <w:vAlign w:val="bottom"/>
          </w:tcPr>
          <w:p>
            <w:pPr>
              <w:jc w:val="center"/>
              <w:ind w:left="950"/>
              <w:spacing w:after="0"/>
              <w:rPr>
                <w:sz w:val="20"/>
                <w:szCs w:val="20"/>
                <w:color w:val="auto"/>
              </w:rPr>
            </w:pPr>
            <w:r>
              <w:rPr>
                <w:rFonts w:ascii="Times New Roman" w:cs="Times New Roman" w:eastAsia="Times New Roman" w:hAnsi="Times New Roman"/>
                <w:sz w:val="14"/>
                <w:szCs w:val="14"/>
                <w:color w:val="auto"/>
              </w:rPr>
              <w:t>Nasdaq Global Select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177800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73660</wp:posOffset>
            </wp:positionV>
            <wp:extent cx="1903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4" w:lineRule="exact"/>
        <w:rPr>
          <w:sz w:val="24"/>
          <w:szCs w:val="24"/>
          <w:color w:val="auto"/>
        </w:rPr>
      </w:pPr>
    </w:p>
    <w:p>
      <w:pPr>
        <w:ind w:left="420" w:right="3020"/>
        <w:spacing w:after="0" w:line="234"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firstLine="416"/>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firstLine="416"/>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firstLine="419"/>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1240"/>
          </w:cols>
          <w:pgMar w:left="320" w:top="229" w:right="339" w:bottom="1440" w:gutter="0" w:footer="0" w:header="0"/>
        </w:sectPr>
      </w:pPr>
    </w:p>
    <w:p>
      <w:pPr>
        <w:spacing w:after="0" w:line="59" w:lineRule="exact"/>
        <w:rPr>
          <w:sz w:val="24"/>
          <w:szCs w:val="24"/>
          <w:color w:val="auto"/>
        </w:r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ind w:right="4480"/>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4920" w:space="720"/>
            <w:col w:w="5600"/>
          </w:cols>
          <w:pgMar w:left="320" w:top="229" w:right="339" w:bottom="1440" w:gutter="0" w:footer="0" w:header="0"/>
          <w:type w:val="continuous"/>
        </w:sect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jc w:val="center"/>
        <w:ind w:right="3860"/>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4920" w:space="720"/>
            <w:col w:w="5600"/>
          </w:cols>
          <w:pgMar w:left="320" w:top="229" w:right="339" w:bottom="1440" w:gutter="0" w:footer="0" w:header="0"/>
          <w:type w:val="continuous"/>
        </w:sectPr>
      </w:pPr>
    </w:p>
    <w:p>
      <w:pPr>
        <w:ind w:left="2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65" w:lineRule="exact"/>
        <w:rPr>
          <w:sz w:val="24"/>
          <w:szCs w:val="24"/>
          <w:color w:val="auto"/>
        </w:rPr>
      </w:pPr>
    </w:p>
    <w:p>
      <w:pPr>
        <w:ind w:firstLine="416"/>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20" w:firstLine="41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firstLine="419"/>
        <w:spacing w:after="0" w:line="18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spacing w:after="0" w:line="28" w:lineRule="exact"/>
        <w:rPr>
          <w:sz w:val="24"/>
          <w:szCs w:val="24"/>
          <w:color w:val="auto"/>
        </w:rPr>
      </w:pPr>
    </w:p>
    <w:p>
      <w:pPr>
        <w:ind w:right="440" w:firstLine="419"/>
        <w:spacing w:after="0" w:line="182" w:lineRule="exact"/>
        <w:rPr>
          <w:sz w:val="20"/>
          <w:szCs w:val="20"/>
          <w:color w:val="auto"/>
        </w:rPr>
      </w:pPr>
      <w:r>
        <w:rPr>
          <w:rFonts w:ascii="Times New Roman" w:cs="Times New Roman" w:eastAsia="Times New Roman" w:hAnsi="Times New Roman"/>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Times New Roman" w:cs="Times New Roman" w:eastAsia="Times New Roman" w:hAnsi="Times New Roman"/>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19" w:lineRule="exact"/>
        <w:rPr>
          <w:sz w:val="24"/>
          <w:szCs w:val="24"/>
          <w:color w:val="auto"/>
        </w:rPr>
      </w:pPr>
    </w:p>
    <w:p>
      <w:pPr>
        <w:ind w:left="420"/>
        <w:spacing w:after="0" w:line="188"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65" w:lineRule="exact"/>
        <w:rPr>
          <w:sz w:val="24"/>
          <w:szCs w:val="24"/>
          <w:color w:val="auto"/>
        </w:rPr>
      </w:pPr>
    </w:p>
    <w:p>
      <w:pPr>
        <w:ind w:right="20" w:firstLine="419"/>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as of the last day of the Registrant's most recently completed second fiscal quarter was approximately $219 million based upon the last close price of $11.31 reported for such date on the Nasdaq Global Select Market LLC.</w:t>
      </w:r>
    </w:p>
    <w:p>
      <w:pPr>
        <w:spacing w:after="0" w:line="1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There were 40,509,269 shares of the Registrant’s common stock outstanding as of March 2, 2023.</w:t>
      </w:r>
    </w:p>
    <w:p>
      <w:pPr>
        <w:spacing w:after="0" w:line="136" w:lineRule="exact"/>
        <w:rPr>
          <w:sz w:val="24"/>
          <w:szCs w:val="24"/>
          <w:color w:val="auto"/>
        </w:rPr>
      </w:pPr>
    </w:p>
    <w:p>
      <w:pPr>
        <w:ind w:left="2460"/>
        <w:spacing w:after="0"/>
        <w:tabs>
          <w:tab w:leader="none" w:pos="4180" w:val="left"/>
          <w:tab w:leader="none" w:pos="6480" w:val="left"/>
        </w:tabs>
        <w:rPr>
          <w:sz w:val="20"/>
          <w:szCs w:val="20"/>
          <w:color w:val="auto"/>
        </w:rPr>
      </w:pPr>
      <w:r>
        <w:rPr>
          <w:rFonts w:ascii="Times New Roman" w:cs="Times New Roman" w:eastAsia="Times New Roman" w:hAnsi="Times New Roman"/>
          <w:sz w:val="14"/>
          <w:szCs w:val="14"/>
          <w:color w:val="auto"/>
        </w:rPr>
        <w:t>Auditor Firm ID: 49</w:t>
      </w:r>
      <w:r>
        <w:rPr>
          <w:sz w:val="20"/>
          <w:szCs w:val="20"/>
          <w:color w:val="auto"/>
        </w:rPr>
        <w:tab/>
      </w:r>
      <w:r>
        <w:rPr>
          <w:rFonts w:ascii="Times New Roman" w:cs="Times New Roman" w:eastAsia="Times New Roman" w:hAnsi="Times New Roman"/>
          <w:sz w:val="14"/>
          <w:szCs w:val="14"/>
          <w:color w:val="auto"/>
        </w:rPr>
        <w:t>Auditor Name: RSM US LLP</w:t>
      </w:r>
      <w:r>
        <w:rPr>
          <w:sz w:val="20"/>
          <w:szCs w:val="20"/>
          <w:color w:val="auto"/>
        </w:rPr>
        <w:tab/>
      </w:r>
      <w:r>
        <w:rPr>
          <w:rFonts w:ascii="Times New Roman" w:cs="Times New Roman" w:eastAsia="Times New Roman" w:hAnsi="Times New Roman"/>
          <w:sz w:val="14"/>
          <w:szCs w:val="14"/>
          <w:color w:val="auto"/>
        </w:rPr>
        <w:t>Auditor Location: Chicago, Illinois</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3" w:lineRule="exact"/>
        <w:rPr>
          <w:sz w:val="24"/>
          <w:szCs w:val="24"/>
          <w:color w:val="auto"/>
        </w:rPr>
      </w:pPr>
    </w:p>
    <w:p>
      <w:pPr>
        <w:ind w:firstLine="416"/>
        <w:spacing w:after="0" w:line="182" w:lineRule="exact"/>
        <w:rPr>
          <w:sz w:val="20"/>
          <w:szCs w:val="20"/>
          <w:color w:val="auto"/>
        </w:rPr>
      </w:pPr>
      <w:r>
        <w:rPr>
          <w:rFonts w:ascii="Times New Roman" w:cs="Times New Roman" w:eastAsia="Times New Roman" w:hAnsi="Times New Roman"/>
          <w:sz w:val="14"/>
          <w:szCs w:val="14"/>
          <w:color w:val="auto"/>
        </w:rPr>
        <w:t>Portions of the registrant’s Proxy Statement for its 2023 Annual Meeting of Stockholders to be filed with the Securities and Exchange Commission within 120 days after the close of the registrant's fiscal year end are incorporated by reference into Part III of this Annual Report on Form 10</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gridSpan w:val="12"/>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RUNWAY GROWTH FINANCE CORP.</w:t>
            </w: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6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20" w:type="dxa"/>
            <w:vAlign w:val="bottom"/>
          </w:tcPr>
          <w:p>
            <w:pPr>
              <w:spacing w:after="0"/>
              <w:rPr>
                <w:sz w:val="20"/>
                <w:szCs w:val="20"/>
                <w:color w:val="auto"/>
              </w:rPr>
            </w:pPr>
          </w:p>
        </w:tc>
      </w:tr>
      <w:tr>
        <w:trPr>
          <w:trHeight w:val="52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20" w:type="dxa"/>
            <w:vAlign w:val="bottom"/>
            <w:shd w:val="clear" w:color="auto" w:fill="CCEEFF"/>
          </w:tcPr>
          <w:p>
            <w:pPr>
              <w:spacing w:after="0"/>
              <w:rPr>
                <w:sz w:val="21"/>
                <w:szCs w:val="21"/>
                <w:color w:val="auto"/>
              </w:rPr>
            </w:pPr>
          </w:p>
        </w:tc>
        <w:tc>
          <w:tcPr>
            <w:tcW w:w="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Item 1A.</w:t>
            </w:r>
          </w:p>
        </w:tc>
        <w:tc>
          <w:tcPr>
            <w:tcW w:w="220" w:type="dxa"/>
            <w:vAlign w:val="bottom"/>
            <w:gridSpan w:val="2"/>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220" w:type="dxa"/>
            <w:vAlign w:val="bottom"/>
            <w:gridSpan w:val="2"/>
          </w:tcPr>
          <w:p>
            <w:pPr>
              <w:spacing w:after="0"/>
              <w:rPr>
                <w:sz w:val="16"/>
                <w:szCs w:val="16"/>
                <w:color w:val="auto"/>
              </w:rPr>
            </w:pP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Item 2.</w:t>
            </w:r>
          </w:p>
        </w:tc>
        <w:tc>
          <w:tcPr>
            <w:tcW w:w="360" w:type="dxa"/>
            <w:vAlign w:val="bottom"/>
            <w:gridSpan w:val="5"/>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Item 3.</w:t>
            </w:r>
          </w:p>
        </w:tc>
        <w:tc>
          <w:tcPr>
            <w:tcW w:w="360" w:type="dxa"/>
            <w:vAlign w:val="bottom"/>
            <w:gridSpan w:val="5"/>
          </w:tcPr>
          <w:p>
            <w:pPr>
              <w:spacing w:after="0"/>
              <w:rPr>
                <w:sz w:val="16"/>
                <w:szCs w:val="16"/>
                <w:color w:val="auto"/>
              </w:rPr>
            </w:pP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Item 4.</w:t>
            </w:r>
          </w:p>
        </w:tc>
        <w:tc>
          <w:tcPr>
            <w:tcW w:w="360" w:type="dxa"/>
            <w:vAlign w:val="bottom"/>
            <w:gridSpan w:val="5"/>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241"/>
        </w:trPr>
        <w:tc>
          <w:tcPr>
            <w:tcW w:w="20" w:type="dxa"/>
            <w:vAlign w:val="bottom"/>
          </w:tcPr>
          <w:p>
            <w:pPr>
              <w:spacing w:after="0"/>
              <w:rPr>
                <w:sz w:val="20"/>
                <w:szCs w:val="20"/>
                <w:color w:val="auto"/>
              </w:rPr>
            </w:pPr>
          </w:p>
        </w:tc>
        <w:tc>
          <w:tcPr>
            <w:tcW w:w="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1"/>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7"/>
              </w:rPr>
              <w:t>Item 5.</w:t>
            </w:r>
          </w:p>
        </w:tc>
        <w:tc>
          <w:tcPr>
            <w:tcW w:w="360" w:type="dxa"/>
            <w:vAlign w:val="bottom"/>
            <w:gridSpan w:val="5"/>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60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0000EE"/>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Item 6.</w:t>
            </w:r>
          </w:p>
        </w:tc>
        <w:tc>
          <w:tcPr>
            <w:tcW w:w="360" w:type="dxa"/>
            <w:vAlign w:val="bottom"/>
            <w:gridSpan w:val="5"/>
          </w:tcPr>
          <w:p>
            <w:pPr>
              <w:spacing w:after="0"/>
              <w:rPr>
                <w:sz w:val="16"/>
                <w:szCs w:val="16"/>
                <w:color w:val="auto"/>
              </w:rPr>
            </w:pP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Item 7.</w:t>
            </w:r>
          </w:p>
        </w:tc>
        <w:tc>
          <w:tcPr>
            <w:tcW w:w="360" w:type="dxa"/>
            <w:vAlign w:val="bottom"/>
            <w:gridSpan w:val="5"/>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7"/>
              </w:rPr>
              <w:t>Item 8.</w:t>
            </w:r>
          </w:p>
        </w:tc>
        <w:tc>
          <w:tcPr>
            <w:tcW w:w="360" w:type="dxa"/>
            <w:vAlign w:val="bottom"/>
            <w:gridSpan w:val="5"/>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Item 9.</w:t>
            </w:r>
          </w:p>
        </w:tc>
        <w:tc>
          <w:tcPr>
            <w:tcW w:w="360" w:type="dxa"/>
            <w:vAlign w:val="bottom"/>
            <w:gridSpan w:val="5"/>
          </w:tcPr>
          <w:p>
            <w:pPr>
              <w:spacing w:after="0"/>
              <w:rPr>
                <w:sz w:val="16"/>
                <w:szCs w:val="16"/>
                <w:color w:val="auto"/>
              </w:rPr>
            </w:pP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134</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Item 9A.</w:t>
            </w:r>
          </w:p>
        </w:tc>
        <w:tc>
          <w:tcPr>
            <w:tcW w:w="220" w:type="dxa"/>
            <w:vAlign w:val="bottom"/>
            <w:gridSpan w:val="2"/>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right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w w:val="95"/>
              </w:rPr>
              <w:t>Item 9B.</w:t>
            </w:r>
          </w:p>
        </w:tc>
        <w:tc>
          <w:tcPr>
            <w:tcW w:w="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right w:val="single" w:sz="8" w:color="0000EE"/>
            </w:tcBorders>
            <w:gridSpan w:val="7"/>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240" w:type="dxa"/>
            <w:vAlign w:val="bottom"/>
            <w:gridSpan w:val="3"/>
          </w:tcPr>
          <w:p>
            <w:pPr>
              <w:spacing w:after="0"/>
              <w:rPr>
                <w:sz w:val="19"/>
                <w:szCs w:val="19"/>
                <w:color w:val="auto"/>
              </w:rPr>
            </w:pPr>
          </w:p>
        </w:tc>
        <w:tc>
          <w:tcPr>
            <w:tcW w:w="9320" w:type="dxa"/>
            <w:vAlign w:val="bottom"/>
            <w:gridSpan w:val="27"/>
          </w:tcPr>
          <w:p>
            <w:pPr>
              <w:ind w:left="1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Item 11.</w:t>
            </w:r>
          </w:p>
        </w:tc>
        <w:tc>
          <w:tcPr>
            <w:tcW w:w="240" w:type="dxa"/>
            <w:vAlign w:val="bottom"/>
            <w:gridSpan w:val="3"/>
            <w:shd w:val="clear" w:color="auto" w:fill="CCEEFF"/>
          </w:tcPr>
          <w:p>
            <w:pPr>
              <w:spacing w:after="0"/>
              <w:rPr>
                <w:sz w:val="16"/>
                <w:szCs w:val="16"/>
                <w:color w:val="auto"/>
              </w:rPr>
            </w:pP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8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320" w:type="dxa"/>
            <w:vAlign w:val="bottom"/>
            <w:gridSpan w:val="27"/>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8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320" w:type="dxa"/>
            <w:vAlign w:val="bottom"/>
            <w:gridSpan w:val="27"/>
          </w:tcPr>
          <w:p>
            <w:pPr>
              <w:ind w:left="10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143</w:t>
            </w:r>
          </w:p>
        </w:tc>
      </w:tr>
      <w:tr>
        <w:trPr>
          <w:trHeight w:val="979"/>
        </w:trPr>
        <w:tc>
          <w:tcPr>
            <w:tcW w:w="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0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life sciences, healthcare information and services, business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appreciation on our warrants and other equity positions. Our offices are in Chicago, Illinois; Woodside, California; San Diego, California; Dallas, Texas; and New York, New York.</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currently qualify, and intend to continue to qualify for treatment as a RIC. While we intend to qualify to be treated as a RIC annually, no assurance can be provided that we will be able to maintain our tax treatment as a RIC. If we fail to qualify for tax treatment as a RIC for any taxable year, we will be subject to U.S. federal income tax at corporate rates on any net taxable income for such year. See "— Certain U.S. Federal Income Tax Considerations" and "Note 2 — Summary of Significant Accounting Policies" to our financial statements in Part II, Item 8 of this Form 10-K for more information.</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From the commencement of investment operations on December 16, 2016, through December 31, 2022, we funded 57 portfolio companies and invested $1.6 billion in debt investments. As of December 31, 2022, our debt investment portfolio consisted of 56 debt investments in 35 portfolio companies with an aggregate fair value of $1,094 million while our equity portfolio consisted of 48 warrant positions, three preferred stock positions and four common stock positions in 42 portfolio companies with an aggregate fair value of $32.5 million. As of December 31, 2022, 98.8%, or $1.08 billion, of our debt investment portfolio at fair value consisted of senior term loans. As of December 31, 2022, our net assets were $576.1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188" w:lineRule="exact"/>
        <w:rPr>
          <w:sz w:val="20"/>
          <w:szCs w:val="20"/>
          <w:color w:val="auto"/>
        </w:rPr>
      </w:pPr>
    </w:p>
    <w:p>
      <w:pPr>
        <w:jc w:val="both"/>
        <w:ind w:right="60" w:firstLine="374"/>
        <w:spacing w:after="0" w:line="254" w:lineRule="auto"/>
        <w:rPr>
          <w:sz w:val="20"/>
          <w:szCs w:val="20"/>
          <w:color w:val="auto"/>
        </w:rPr>
      </w:pPr>
      <w:r>
        <w:rPr>
          <w:rFonts w:ascii="Times New Roman" w:cs="Times New Roman" w:eastAsia="Times New Roman" w:hAnsi="Times New Roman"/>
          <w:sz w:val="18"/>
          <w:szCs w:val="18"/>
          <w:color w:val="231F20"/>
        </w:rPr>
        <w:t>For the year ended December 31, 2022, our debt investment portfolio had a dollar-weighted annualized yield of 13.71%. For the year ended December 31, 2021, our debt investment portfolio had a dollar-weighted annualized yield of 13.77%. For the year ended December 31, 2020, our debt investment portfolio had a dollar-weighted annualized yield of 14.91%. We calculate the yield on dollar-weighted debt investments for any period measured as (1) total related investment income during the period divided by (2) the daily average of the fair value of debt investments outstanding during the period. As of December 31, 2022, our debt investments had a dollar-weighted average outstanding term of 56 months at origination and a dollar-weighted average remaining term of 44 months, or approximately 3.7 years. As of December 31, 2022, substantially all of our debt investments had an original committed principal amount of between $6.0 million and $85.0 million, repayment terms of between 36 months and 62 months and pay cash interest at annual interest rates of between 5.69% and 15.79%.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231F20"/>
        </w:rPr>
        <w:t>The following table shows our dollar-weighted annualized yield by investment type for the years ended December 31, 2022, and December 31, 2021, and December 31,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19"/>
                <w:szCs w:val="19"/>
                <w:b w:val="1"/>
                <w:bCs w:val="1"/>
                <w:color w:val="auto"/>
                <w:w w:val="96"/>
                <w:vertAlign w:val="superscript"/>
              </w:rPr>
              <w:t>(1)</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5"/>
              </w:rPr>
              <w:t>Cost</w:t>
            </w:r>
            <w:r>
              <w:rPr>
                <w:rFonts w:ascii="Times New Roman" w:cs="Times New Roman" w:eastAsia="Times New Roman" w:hAnsi="Times New Roman"/>
                <w:sz w:val="19"/>
                <w:szCs w:val="19"/>
                <w:b w:val="1"/>
                <w:bCs w:val="1"/>
                <w:color w:val="auto"/>
                <w:w w:val="95"/>
                <w:vertAlign w:val="superscript"/>
              </w:rPr>
              <w:t>(2)</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58"/>
        </w:trPr>
        <w:tc>
          <w:tcPr>
            <w:tcW w:w="1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4"/>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7"/>
        </w:trPr>
        <w:tc>
          <w:tcPr>
            <w:tcW w:w="1980" w:type="dxa"/>
            <w:vAlign w:val="bottom"/>
          </w:tcPr>
          <w:p>
            <w:pPr>
              <w:spacing w:after="0"/>
              <w:rPr>
                <w:sz w:val="16"/>
                <w:szCs w:val="16"/>
                <w:color w:val="auto"/>
              </w:rPr>
            </w:pP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32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8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6"/>
                <w:szCs w:val="16"/>
                <w:color w:val="auto"/>
              </w:rPr>
            </w:pPr>
          </w:p>
        </w:tc>
      </w:tr>
      <w:tr>
        <w:trPr>
          <w:trHeight w:val="169"/>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1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13.71</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investments</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13.22</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6" w:lineRule="exact"/>
        <w:rPr>
          <w:sz w:val="20"/>
          <w:szCs w:val="20"/>
          <w:color w:val="auto"/>
        </w:rPr>
      </w:pPr>
    </w:p>
    <w:p>
      <w:pPr>
        <w:jc w:val="both"/>
        <w:ind w:left="760" w:right="20" w:hanging="374"/>
        <w:spacing w:after="0" w:line="194" w:lineRule="auto"/>
        <w:tabs>
          <w:tab w:leader="none" w:pos="76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110" w:lineRule="exact"/>
        <w:rPr>
          <w:rFonts w:ascii="Times New Roman" w:cs="Times New Roman" w:eastAsia="Times New Roman" w:hAnsi="Times New Roman"/>
          <w:sz w:val="24"/>
          <w:szCs w:val="24"/>
          <w:color w:val="auto"/>
          <w:vertAlign w:val="superscript"/>
        </w:rPr>
      </w:pPr>
    </w:p>
    <w:p>
      <w:pPr>
        <w:jc w:val="both"/>
        <w:ind w:left="760" w:hanging="374"/>
        <w:spacing w:after="0" w:line="194" w:lineRule="auto"/>
        <w:tabs>
          <w:tab w:leader="none" w:pos="76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183"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We could remain an emerging growth company until the last day of our fiscal year following the fifth anniversary of the closing of our IPO, which occurred on October 25, 2021, or until the earliest of (i) the last day of the first fiscal year in which we have total annual gross revenue of  $1.07 billion or more, (ii) December 31 of the fiscal year in which we become a "large accelerated filer"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RGC</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externally managed by Runway Growth Capital LLC ("RGC" or the "Adviser"), an investment adviser that has registered with the U.S. Securities and Exchange Commission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("Board of Directors"), RGC manages our day-to-day operations and provides us with investment advisory services pursuant to an investment advisory agreement, as amended and restated (the "Advisory Agreement"). Under the terms of the Advisory Agreement, RGC:</w:t>
      </w:r>
    </w:p>
    <w:p>
      <w:pPr>
        <w:spacing w:after="0" w:line="187"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the portfolio and the manner of implementing such changes;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and monitors the investments we make;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we will purchase, retain or sell;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investments;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with other such investment advisory, research and related services as we may, from time to time, reasonably require for the investment of our funds.</w:t>
      </w:r>
    </w:p>
    <w:p>
      <w:pPr>
        <w:spacing w:after="0" w:line="16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8 —  Related Party Agreements and Transactions" to our financial statements in Part II, Item 8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more information on the Advisory Agreement and the fee structure thereunder.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17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portion of fees and expenses related to an initial public offering in connection with a spin-off transaction;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related to public and private offerings, sales and repurchases of the Company’s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incurred to finance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purchases of our common stock and other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 with the Administrator (the "Administration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securities on any securities exchange;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the Financial Industry Regulatory Authority or other regulators;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 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us, our Administrator or RGC in connection with administering our business, including payments under the amended and restated administration agreement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Committee</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RGC’s investment committee (the "Investment Committee") consists of R. David Spreng, who is its Chairman and Chief Investment Officer, as well as our President, Chief Executive Officer and Chairman of our Board of Directors, Thomas B. Raterman, RGC’s Chief Financial Officer, and our Chief Operating Officer, Chief Financial Officer, Treasurer and Secretary, Greg Greifeld, Managing Director, Deputy Chief Investment Officer and Head of Credit at RGC, and Brian Laibow, OCM Growth Holdings, LLC’s appointee.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 In addition, Mr. Spreng, as Chairman of the Investment Committee, has the right to veto the approval of any investment, and any investment by us that is outside of certain agreed upon investment criteria requires the affirmative vote of OCM Growth Holdings, LLC’s appointee to the Investment Committee. See "—  Oaktree Strategic Relationship" below for more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Advisory Agreement</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Board of Directors, including a majority of the directors who were not "interested persons," as defined in Section 2(a)(19) of the 1940 Act, of us or RGC, approved the Advisory Agreement at a virtual meeting on April 7, 2021 and recommended that our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In its consideration of the approval of the Advisory Agreement, our Board of Directors focused on information it had received relating to, among other things:</w:t>
      </w:r>
    </w:p>
    <w:p>
      <w:pPr>
        <w:spacing w:after="0" w:line="189"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provided to us by RGC under the terms of the Advisory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performance and the investment performance of RGC;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being performed and the personnel performing such services under the Advisory Agreement;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expense ratio compared to BDCs with similar investment objectives, including expenses related to investment due diligence, travel and investigating and monitoring investments;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RGC from its relationship with us and RGC’s profitability; 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fee levels reflect these economies of scale for the benefit of our stockholders.</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 and recommended that our stockholders approve the Advisory Agreement as well.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227"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directors who are not "interested persons," as defined in Section 2(a)(19) of the 1940 Act, of us, RGC or our respective affiliates. The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directors who are not "interested persons," as defined in Section 2(a)(19) of the 1940 Act, of us, RGC or our respective affiliates,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Administrator</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Oaktree Strategic Relationship</w:t>
      </w:r>
    </w:p>
    <w:p>
      <w:pPr>
        <w:spacing w:after="0" w:line="229"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In December 2016, we and RGC entered into a strategic relationship with Oaktree Capital Management, L.P. ("Oaktree"). Oaktree is a leading global alternative investment management firm with expertise in credit strategies. The firm was formed in 1995 by a group of individuals who had been investing together since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1980s in high yield bonds, convertible securities, distressed debt, real estate, control investments and listed equities. Oaktree is a leader among global investment managers specializing in alternative investments, with $170.0 billion in assets under management as of December 31, 2022. The firm emphasizes an opportunistic, value-oriented and risk-controlled approach to investments in credit, private equity, real assets and listed equities. The firm has over 1,050 employees and offices in 20 cities worldwide.</w:t>
      </w:r>
    </w:p>
    <w:p>
      <w:pPr>
        <w:spacing w:after="0" w:line="20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strategic relationship, OCM Growth Holdings, LLC, a Delaware limited liability company ("OCM") managed by Oaktree, purchased an aggregate of 14,571,334 shares of our common stock for an aggregate purchase price of $219.3 million in our Initial Private Offering and our Second Private Offering (the "OCM Commitment"). As of December 31, 2022, OCM owns 21,129,668 shares of our common stock or 52% of our total issued and outstanding shares. OCM has granted a proxy to us pursuant to which the shares held by OCM will be voted in the same proportion as our other stockholders vote their shares.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the OCM Commitment, we entered into a stockholder agreement, dated December 15, 2016, with OCM, pursuant to which OCM has a right to nominate a member of our Board of Directors for election for so long as OCM holds shares of our common stock in an amount equal to, in the aggregate, at least one-third (33%) of OCM’s initial $125.0 million capital commitment. Brian Laibow, Co-Head of North America &amp; Managing Director of Oaktree's Global Opportunities Funds, serves on our Board of Directors as OCM’s director nominee and is considered an interested director. OCM also holds a minority interest in RGC and has the right to appoint a member of RGC’s board of managers and a member of the Investment Committee. Brian Laibow is OCM’s appointee to RGC’s board of managers and Investment Committee. OCM also purchased additional equity in RGC in connection with its commitment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 and Approach</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investment objective is to maximize our total return to our stockholders primarily through current income on our loan portfolio, and secondarily through capital appreciation on our warrants and other equity positions. 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focus on lending to late and growth stage companies in technology, life sciences, healthcare information and services, business services, select consumer services and products and other high-growth industries.</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are typically the sole lender to our portfolio companies and do not actively syndicate the loans we originate to other lenders nor do we participate in syndications built by other lenders.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w:t>
      </w:r>
    </w:p>
    <w:p>
      <w:pPr>
        <w:spacing w:after="0" w:line="17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Sponsored Growth Lending. </w:t>
      </w:r>
      <w:r>
        <w:rPr>
          <w:rFonts w:ascii="Times New Roman" w:cs="Times New Roman" w:eastAsia="Times New Roman" w:hAnsi="Times New Roman"/>
          <w:sz w:val="18"/>
          <w:szCs w:val="18"/>
          <w:color w:val="auto"/>
        </w:rPr>
        <w:t>Our Sponsored Growth Lending generally includes loans to late and growth stage companies that are already backed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venture capital and private equity firms. Our Sponsored Growth Lending strategy typically includes the receipt of warrants and/or other equity from the venture-backed companies.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p>
      <w:pPr>
        <w:spacing w:after="0" w:line="176"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access to many high-quality companies backed by top-tier venture capital and private equity investors;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delivers consistent returns through double-digit loan yields;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often offers us the ability to participate in equity upside of portfolio companies through the acquisition of warrants.</w:t>
      </w:r>
    </w:p>
    <w:p>
      <w:pPr>
        <w:spacing w:after="0" w:line="22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Non-Sponsored Growth Lending</w:t>
      </w:r>
      <w:r>
        <w:rPr>
          <w:rFonts w:ascii="Times New Roman" w:cs="Times New Roman" w:eastAsia="Times New Roman" w:hAnsi="Times New Roman"/>
          <w:sz w:val="18"/>
          <w:szCs w:val="18"/>
          <w:color w:val="auto"/>
        </w:rPr>
        <w:t>. Our Non-Sponsored Growth Lending strategy generally includes loans to late and growth stage, private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funded directly by entrepreneurs and founders, or companies that no longer require institutional equity investment (which may selectively include publicly traded companies). We refer to these target borrowers as "non-sponsored growth companies".</w:t>
      </w:r>
    </w:p>
    <w:p>
      <w:pPr>
        <w:spacing w:after="0" w:line="17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Generally, financing available to these non-sponsored companies is predicated on the underlying value of the business’s assets, in can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Exemptive Relief</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an exemptive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9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amended Order, such affiliated funds that are private funds would not be able to participate in such co-investments with us unless the affiliated funds had previously acquired securities of the portfolio company in a co-investment transaction with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believe that the market environment is favorable for us to continue to pursue an investment strategy primarily focused on late stage and high-growth companies in technology, life sciences, healthcare information and services, business services, select consumer services and products and other high-growth industries.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Innovative Companies Across a Variety of High-Growth Industries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Diversified high growth-potential industries: </w:t>
      </w:r>
      <w:r>
        <w:rPr>
          <w:rFonts w:ascii="Times New Roman" w:cs="Times New Roman" w:eastAsia="Times New Roman" w:hAnsi="Times New Roman"/>
          <w:sz w:val="18"/>
          <w:szCs w:val="18"/>
          <w:color w:val="auto"/>
        </w:rPr>
        <w:t>We target companies active in industries that support high growth-potential. Our Sponsored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Lending strategy is focused on the largest industry sectors where venture capital investors are active, primarily technology, life sciences, healthcare information and services, business services, select consumer services and products and other high-growth industries. These industries’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Sponsored and Non-Sponsored Growth Lending Represents an Attractive Source of Funding</w:t>
      </w:r>
    </w:p>
    <w:p>
      <w:pPr>
        <w:spacing w:after="0" w:line="227" w:lineRule="exact"/>
        <w:rPr>
          <w:sz w:val="20"/>
          <w:szCs w:val="20"/>
          <w:color w:val="auto"/>
        </w:rPr>
      </w:pPr>
    </w:p>
    <w:p>
      <w:pPr>
        <w:jc w:val="both"/>
        <w:ind w:right="2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Sponsored Growth Lending: </w:t>
      </w:r>
      <w:r>
        <w:rPr>
          <w:rFonts w:ascii="Times New Roman" w:cs="Times New Roman" w:eastAsia="Times New Roman" w:hAnsi="Times New Roman"/>
          <w:sz w:val="18"/>
          <w:szCs w:val="18"/>
          <w:color w:val="auto"/>
        </w:rPr>
        <w:t>An attractive market opportunity exists for a lender that invests in secured loans to late and growth stage companies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 yet achieved profitability. Sponsored growth lending provides an attractive source of funds for venture-backed companies, their management teams, and their equity capital investors, as it:</w:t>
      </w:r>
    </w:p>
    <w:p>
      <w:pPr>
        <w:spacing w:after="0" w:line="17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typically less dilutive and complements equity financing from venture capital and private equity funds;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often extends the time period during which a company can operate before seeking additional equity capital or pursuing a sale transaction or other liquidity event;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allows companies to better match cash sources with uses.</w:t>
      </w:r>
    </w:p>
    <w:p>
      <w:pPr>
        <w:spacing w:after="0" w:line="223" w:lineRule="exact"/>
        <w:rPr>
          <w:sz w:val="20"/>
          <w:szCs w:val="20"/>
          <w:color w:val="auto"/>
        </w:rPr>
      </w:pPr>
    </w:p>
    <w:p>
      <w:pPr>
        <w:jc w:val="both"/>
        <w:ind w:right="2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Non-Sponsored Growth Lending: </w:t>
      </w:r>
      <w:r>
        <w:rPr>
          <w:rFonts w:ascii="Times New Roman" w:cs="Times New Roman" w:eastAsia="Times New Roman" w:hAnsi="Times New Roman"/>
          <w:sz w:val="18"/>
          <w:szCs w:val="18"/>
          <w:color w:val="auto"/>
        </w:rPr>
        <w:t>An attractive market opportunity exists for a lender that invests in secured loans to late and growth stage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p>
      <w:pPr>
        <w:spacing w:after="0" w:line="17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growth capital without the requirement to take on institutional-size investments that may exceed the company’s capital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deductible interest payments;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significant operational involvement;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personal guarantees;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modest dilution, if any;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loss of managerial control or forced redemption.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and Growing Market for Debt Financing to Venture Capital-Backed Companies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Healthy, stable venture environment: </w:t>
      </w:r>
      <w:r>
        <w:rPr>
          <w:rFonts w:ascii="Times New Roman" w:cs="Times New Roman" w:eastAsia="Times New Roman" w:hAnsi="Times New Roman"/>
          <w:sz w:val="18"/>
          <w:szCs w:val="18"/>
          <w:color w:val="auto"/>
        </w:rPr>
        <w:t>Approximately 15,000 companies received venture capital financing in 2022, according to the Pitchbook-NVCA Venture Monitor, a quarterly report published jointly by NVCA and Pitchbook on venture capital activity ("Pitchbook-NVCA"), and approximately 9.8% of these transactions were first-round financings. Since 2006, the annual level of venture deal volume has increased to and is at about $238 billion of total volume in 2022. The significant increase in investment amounts beginning in 2014 through 2022 is largely the result of growth investments in later-stage companies that are staying private longer. The venture debt lending market, as defined in the Q4 2022 Pitchbook-NVCA Venture Monitor, is estimated at $31.8 billion or roughly 13.3% of total U.S. venture capital deal value.</w:t>
      </w:r>
    </w:p>
    <w:p>
      <w:pPr>
        <w:spacing w:after="0" w:line="18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Growing pool of target companies: </w:t>
      </w:r>
      <w:r>
        <w:rPr>
          <w:rFonts w:ascii="Times New Roman" w:cs="Times New Roman" w:eastAsia="Times New Roman" w:hAnsi="Times New Roman"/>
          <w:sz w:val="18"/>
          <w:szCs w:val="18"/>
          <w:color w:val="auto"/>
        </w:rPr>
        <w:t>The average time from initial venture capital investment to transaction exit of such investment, either by an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or merger and acquisition transaction, has lengthened considerably. According to the Pitchbook-NVCA 2016 Yearbook, in 1998 the average number of years from initial venture investment to initial public offering of a U.S. venture capital-backed company was 3.1 years and the average number of years from initial venture investment to merger and acquisition transaction was 4.5 years. These numbers have steadily increased and have ranged between 6.0 years and 6.3 years from 2017 through 2020. According to the Q4 2022 Pitchbook-NVCA Venture Monitor, the current average time from initial venture investment to exit transaction is now 6.3 years. Exit transactions are a small proportion of companies financed by venture capital each year. As a result, the pool of target companies has grown larger with increased demand for private capital.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Fragmented, Underserved Market with High Barriers to Entry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we are well positioned to address the market for growth lending in a manner that will result in a competitive advantage over other established sponsored growth lenders. We believe our competitive strengths and key differentiators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Proven Management Team Supported by a Deep Bench of Dedicated Investment Professionals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senior investment professionals of RGC have over 30 years of experience as venture capitalists and lenders who have developed a disciplined, repeatable approach to investing and managing investments in high potential growth businesses. We believe that the experience, relationships and disciplined investment and risk management processes of RGC’s investment professionals are a competitive advantage for us.</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President and Chief Executive Officer, David Spreng, who is also the founder, Chief Executive Officer and Chief Investment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and Chief Operating Officers, Treasurer and Secretary, Thomas Raterman, who is also Chief Financial Officer of RGC, has more than 30 years of corporate finance, investment banking, private equity and financial executive management experience with rapidly growing entrepreneurial companies. Greg Greifeld, Managing Director, Deputy Chief Investment Officer and Head of Credit at RGC, has over 13 years of lending, venture capital, and investment management experience.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RGC has a broad team of professionals focused on every aspect of the investment life 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 Capital to Robust, High-Growth Venture-backed Companies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2022 Pitchbook-NVCA Venture Monitor and Pitchbook-NVCA industry classifications, venture capital deal volume for technology totaled approximately $203.6 billion in 2022, representing an 18.1% CAGR from 2012 to 2022. Venture capital deal volume for life sciences totaled approximately $42.1 billion in 2022, representing a 14.5% CAGR from 2012 to 2022. We believe companies within these industries can often be characterized as having asset-light business models, attractive recurring revenue streams and strong growth trajectories.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invest across industries to diversify risk and deliver more stable returns. The investment professionals at RGC have extensive experience investing in the industries on which we focus, including technology, life sciences, healthcare information and services, business services, select consumer services and products and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Robust Disciplined Investment Process and Credit Analysis</w:t>
      </w:r>
    </w:p>
    <w:p>
      <w:pPr>
        <w:spacing w:after="0" w:line="229"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the focused and disciplined approach that RGC applies to our lending strategy enables us to deliver strong, consistent returns to our investors. Our debt portfolio is 98.8% first lien senior secured. Of our $2.3 billion total commitments since inception, our cumulative gross loss rate, as a percentage of total commitments since inception, has been 0.66% and our net losses, as a percentage of total commitments since inception, has been 0.00%. At the point of origination, our portfolio companies have raised on average $108.9 million of equity proceeds relative to our average loan size of $26.9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foreseeable future.</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Risk Analytics and Return Optimization.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Opportunity-Specific Pricing and Structure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RGC’s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EBITDA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Reputation and Deep Relationships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25 years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RGC’s senior investment professionals also have established a network of relationships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spacing w:after="0" w:line="180"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In addition, our strategic relationship with Oaktree provides us with access to additional resources and relationships that are incremental to our already broad network of venture backed companies and venture capital sponsors.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00"/>
        <w:spacing w:after="0" w:line="220" w:lineRule="exact"/>
        <w:rPr>
          <w:sz w:val="20"/>
          <w:szCs w:val="20"/>
          <w:color w:val="auto"/>
        </w:rPr>
      </w:pPr>
      <w:r>
        <w:rPr>
          <w:rFonts w:ascii="Times New Roman" w:cs="Times New Roman" w:eastAsia="Times New Roman" w:hAnsi="Times New Roman"/>
          <w:sz w:val="18"/>
          <w:szCs w:val="18"/>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R. David Spreng, our President, Chief Executive Officer and Chairman of our Board of Directors, is also the founder, President, Chief Executive Officer and Chief Investment Officer of RGC. Thomas B. Raterman is our Chief Financial Officer, Chief Operating Officer, Treasurer, and Secretary, and serves as the Chief Financial Officer and Chief Operating Officer of RGC. Our Chief Financial Officer performs his functions for us under the terms of our Administration Agreement. We have also retained Colleen Corwell of ACA Group to serve as our Chief Compliance Officer pursuant to an agreement with ACA Group. Ms. Corwell also serves as the Chief Compliance Officer for RGC.</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we reimburse the Administrator for its costs and expenses and our allocable portion of overhead incurred by it in performing its obligations under the Administration Agreement, including compensation paid to or compensatory distributions received by our officers (including our Chief Compliance Officer and Chief Financial Officer) and any of their respective staff who provide services to us, operations staff who provide services to us, and any internal audit staff, to the extent internal audit performs a role in our internal control assessment under Sarbanes-Oxley Act of 2002, as amended (the "Sarbanes-Oxley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currently are, and expect to remain, an "emerging growth company," as that term is used in the JOBS Act until the earliest of:</w:t>
      </w:r>
    </w:p>
    <w:p>
      <w:pPr>
        <w:spacing w:after="0" w:line="225" w:lineRule="exact"/>
        <w:rPr>
          <w:sz w:val="20"/>
          <w:szCs w:val="20"/>
          <w:color w:val="auto"/>
        </w:rPr>
      </w:pPr>
    </w:p>
    <w:p>
      <w:pPr>
        <w:ind w:left="5540" w:right="1520" w:hanging="5158"/>
        <w:spacing w:after="0" w:line="783" w:lineRule="auto"/>
        <w:tabs>
          <w:tab w:leader="none" w:pos="7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closing of our IPO, which occurred on October 25, 2021;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are equal to or greater than $1.07 billion;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preceding three-year period, issued more than $1.0 billion in non-convertible debt; and</w:t>
      </w:r>
    </w:p>
    <w:p>
      <w:pPr>
        <w:spacing w:after="0" w:line="88" w:lineRule="exact"/>
        <w:rPr>
          <w:rFonts w:ascii="Times New Roman" w:cs="Times New Roman" w:eastAsia="Times New Roman" w:hAnsi="Times New Roman"/>
          <w:sz w:val="18"/>
          <w:szCs w:val="18"/>
          <w:color w:val="auto"/>
        </w:rPr>
      </w:pPr>
    </w:p>
    <w:p>
      <w:pPr>
        <w:ind w:left="760" w:hanging="378"/>
        <w:spacing w:after="0" w:line="239" w:lineRule="exact"/>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we become a "large accelerated filer"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under the Exchange Act, which would occur if the market value of our common stock that is held by non-affiliates exceeds $700.0 million as of any June 30.</w:t>
      </w:r>
    </w:p>
    <w:p>
      <w:pPr>
        <w:spacing w:after="0" w:line="199"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ind w:firstLine="374"/>
        <w:spacing w:after="0" w:line="229" w:lineRule="exact"/>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"U.S. stockholder" is a beneficial owner of shares of our common stock that is for U.S. federal income tax purposes:</w:t>
      </w:r>
    </w:p>
    <w:p>
      <w:pPr>
        <w:spacing w:after="0" w:line="225"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another entity taxable as a corporation)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jurisdiction over the administration of the trust and one or more U.S. persons have authority to control all substantial decisions of the trust.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"non-U.S. stockholder" means a beneficial owner of shares of our common stock that is for U.S. federal income tax purposes neither a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nor partnership.</w:t>
      </w:r>
    </w:p>
    <w:p>
      <w:pPr>
        <w:spacing w:after="0" w:line="20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Company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currently qualify and intend to continue to qualify for treatment as a RIC. As a RIC, we generally will not be subject to U.S. federal income taxes on any ordinary income or capital gains that we timely distribute to our stockholders as dividends.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qualify as a RIC, we must, among other things:</w:t>
      </w:r>
    </w:p>
    <w:p>
      <w:pPr>
        <w:spacing w:after="0" w:line="22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Annual Distribution Requirement (defined below);</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each taxable year;</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(other than the securities of other RICs), or the securities of one or more QPTPs, or the "Diversification Tests."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spacing w:after="0" w:line="1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are subject to a nondeductible 4% U.S. federal excise tax on certain of our undistributed income, unless we timely distribute (or are deemed to have timely distributed) an amount equal to the sum of:</w:t>
      </w:r>
    </w:p>
    <w:p>
      <w:pPr>
        <w:spacing w:after="0" w:line="162"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98% of our ordinary income (not taking into account any capital gains or losses) for the calendar year;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98.2% of our capital gain net income for a one-year period generally ending on October 31 of the calendar year (unless an election is made by us to use our taxable year);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ordinary income and capital gain net income that we recognized for preceding years, but were not distributed during such years, and on which we paid no U.S. federal income tax.</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Regulation as a Business Development Company —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Qualify as a RIC</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While we have elected to be treated as a RIC and intend to qualify to be treated as a RIC annually, no assurance can be provided that we will qualify for tax treatment as a RIC for any taxable year. If we fail to satisfy the 90% Gross Income Test or the Diversification Tests for any taxable year, we may nevertheless continue to qualify as a RIC for such year if certain relief provisions are applicable (which may, among other things, require us to pay certain U.S. federal income tax at corporate rates or to dispose of certain assets). 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may qualify as qualified dividends that are subject to U.S. federal income tax at a rate of 20% to the extent of our current and accumulated earnings and profits provided certain holding period and other requirements were met. Subject to certain limitations under the Code, corporate distributees may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for each taxable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Investments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or gain without a corresponding receipt of cash, (v) adversely affect the time as to when a purchase or sale of stock or securities is deemed to occur,</w:t>
      </w:r>
    </w:p>
    <w:p>
      <w:pPr>
        <w:spacing w:after="0" w:line="27" w:lineRule="exact"/>
        <w:rPr>
          <w:sz w:val="20"/>
          <w:szCs w:val="20"/>
          <w:color w:val="auto"/>
        </w:rPr>
      </w:pPr>
    </w:p>
    <w:p>
      <w:pPr>
        <w:jc w:val="both"/>
        <w:ind w:firstLine="8"/>
        <w:spacing w:after="0" w:line="253"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Instruments. </w:t>
      </w:r>
      <w:r>
        <w:rPr>
          <w:rFonts w:ascii="Times New Roman" w:cs="Times New Roman" w:eastAsia="Times New Roman" w:hAnsi="Times New Roman"/>
          <w:sz w:val="18"/>
          <w:szCs w:val="18"/>
          <w:color w:val="auto"/>
        </w:rPr>
        <w:t>In certain circumstances, we may be required to recognize taxable income prior to the time at which we receive cash. For example,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hold debt instruments that are treated under applicable tax rules as having original issue discount (such as debt instruments with an end-of-term payment and/or payment-in-kind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8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Gain or loss realized by us from the sale or exchange of warrants acquired by us as well as any loss attributable to the lapse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generally are treated as capital gain or loss. The treatment of such gain or loss as long-term or short-term generally depends on how long we held a particular warrant and on the nature of the disposition transaction.</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Investments. </w:t>
      </w:r>
      <w:r>
        <w:rPr>
          <w:rFonts w:ascii="Times New Roman" w:cs="Times New Roman" w:eastAsia="Times New Roman" w:hAnsi="Times New Roman"/>
          <w:sz w:val="18"/>
          <w:szCs w:val="18"/>
          <w:color w:val="auto"/>
        </w:rPr>
        <w:t>In the event we invest in foreign securities, we may be subject to withholding and other foreign taxes with respect to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We do not expect to satisfy the requirement to pass through to our stockholders their share of the foreign taxes paid by us.</w:t>
      </w:r>
    </w:p>
    <w:p>
      <w:pPr>
        <w:spacing w:after="0" w:line="15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Passive Foreign Investment Companies. </w:t>
      </w:r>
      <w:r>
        <w:rPr>
          <w:rFonts w:ascii="Times New Roman" w:cs="Times New Roman" w:eastAsia="Times New Roman" w:hAnsi="Times New Roman"/>
          <w:sz w:val="18"/>
          <w:szCs w:val="18"/>
          <w:color w:val="auto"/>
        </w:rPr>
        <w:t>We may invest in the stock of a foreign corporation which is classified as a "passive foreign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(within the meaning of Section 1297 of the Code), or "PFIC." As a result,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w:t>
      </w:r>
    </w:p>
    <w:p>
      <w:pPr>
        <w:spacing w:after="0" w:line="19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Controlled Foreign Corporations</w:t>
      </w:r>
      <w:r>
        <w:rPr>
          <w:rFonts w:ascii="Times New Roman" w:cs="Times New Roman" w:eastAsia="Times New Roman" w:hAnsi="Times New Roman"/>
          <w:sz w:val="18"/>
          <w:szCs w:val="18"/>
          <w:color w:val="auto"/>
        </w:rPr>
        <w:t>. If we hold more than 10% of the shares in a foreign corporation that is treated as a controlled foreign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will the income be taken into account for purposes of the 4% excise tax.</w:t>
      </w:r>
    </w:p>
    <w:p>
      <w:pPr>
        <w:spacing w:after="0" w:line="19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Income inclusions from a QEF or CFC will be "good income" for purposes of the 90% Gross Income Test provided that they are derived in connection with our business of investing in stocks and securities or the QEF or CFC distributes such income to us in the same taxable year to which the income is included in our income.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Under the Code, gains or losses attributable to fluctuations in exchange rates which occur between the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 BDC must be organized in the United States for the purpose of investing in or lending to primarily private companies and making significant managerial assistance available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would be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On October 28, 2021, the Board of Directors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w:t>
      </w:r>
    </w:p>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and the rules and regulations thereunder. Under these limits, we generally cannot acquire more than 3% of the voting stock of any registered investment company (as defined in the 1940 Act), invest more than 5% of the value of our total assets in the securities of one investment company, or invest more than 10% of the value of our total assets in the securities of more than one investment company. The SEC rules permit us to exceed these limits without obtaining exemptive relief if we comply with certain conditions. If we invest in securities issued by investment companies, if any, it should be noted that such investments might subject our stockholders to additional expenses as they will be indirectly responsible for the costs and expenses of such companies.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 — Risks Related to Our Business and Structure" in Part I, Item 1A of this Form 10-K for more information.</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20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As a BDC, we are subject to certain risks and uncertainties. See "Risk Factors — Risks Related to Our Business and Structure"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Qualifying Assets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gross assets. The principal categories of qualifying assets relevant to our business are any of the following:</w:t>
      </w:r>
    </w:p>
    <w:p>
      <w:pPr>
        <w:spacing w:after="0" w:line="176" w:lineRule="exact"/>
        <w:rPr>
          <w:sz w:val="20"/>
          <w:szCs w:val="20"/>
          <w:color w:val="auto"/>
        </w:rPr>
      </w:pPr>
    </w:p>
    <w:p>
      <w:pPr>
        <w:jc w:val="both"/>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1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117" w:lineRule="exact"/>
        <w:rPr>
          <w:rFonts w:ascii="Times New Roman" w:cs="Times New Roman" w:eastAsia="Times New Roman" w:hAnsi="Times New Roman"/>
          <w:sz w:val="18"/>
          <w:szCs w:val="18"/>
          <w:color w:val="auto"/>
        </w:rPr>
      </w:pPr>
    </w:p>
    <w:p>
      <w:pPr>
        <w:ind w:left="1500" w:right="400" w:hanging="369"/>
        <w:spacing w:after="0" w:line="282" w:lineRule="auto"/>
        <w:tabs>
          <w:tab w:leader="none" w:pos="15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$250.0 million;</w:t>
      </w:r>
    </w:p>
    <w:p>
      <w:pPr>
        <w:spacing w:after="0" w:line="53" w:lineRule="exact"/>
        <w:rPr>
          <w:rFonts w:ascii="Times New Roman" w:cs="Times New Roman" w:eastAsia="Times New Roman" w:hAnsi="Times New Roman"/>
          <w:sz w:val="18"/>
          <w:szCs w:val="18"/>
          <w:color w:val="auto"/>
        </w:rPr>
      </w:pPr>
    </w:p>
    <w:p>
      <w:pPr>
        <w:ind w:left="1500" w:right="20" w:hanging="369"/>
        <w:spacing w:after="0" w:line="282" w:lineRule="auto"/>
        <w:tabs>
          <w:tab w:leader="none" w:pos="15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 or</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$4.0 million and capital and surplus of not less than $2.0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the Company already owns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a BDC must be operated for the purpose of making investments in the types of securities described in (1), (2) or (3) above. Control, as defined by the 1940 Act, is presumed to exist where a BDC beneficially owns more than 25% of the outstanding voting securities of the portfolio company but may exist in other circumstances based on the facts and circumstances. The regulations defining qualifying assets may change over time. The Company may adjust its investment focus as needed to comply with and/or take advantage of any regulatory, legislative, administrative, or judicial 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Managerial Assistance to Portfolio Companies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1940 Act, a BDC is subject to restrictions on the issuance, terms and number of warrants, options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stockholders authorize the proposal to issue such warrants, and the Board of Directors approves such issuance on the basis that the issuance is in our best interests and the stockholders best interests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Securities; Coverage Ratio</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generally permitted, under specified conditions, to issue multiple classes of indebtedness and one class of stock senior to our common stock if our asset coverage, as defined in the 1940 Act, is at least equal to 200% immediately after each such issuance. However, the 1940 Act has been modified to allow a BDC to increase the maximum amount of leverage it may incur from an asset coverage ratio of 200% to an asset coverage ratio of 150%, if certain requirements are met. We are permitted to increase our leverage capacity if stockholders representing at least a majority of the votes cast, at an annual or special meeting at which quorum is met, approve a proposal to do so. If we receive such stockholder approval, we are permitted to increase our leverage capacity on the first day after such approval. Alternatively, we may increase the maximum amount of leverage we may incur to an asset coverage ratio of 150% if the "required majority" of our independent directors as defined in Section 57(o) of the 1940 Act approve such increase, with such approval becoming effective after one year. On October 28, 2021, the Board of Directors approved a proposal that permits us to reduce our asset coverage ratio to 150%. On June 16, 2022, our stockholders approved the reduced asset coverage ratio at our 2022 annual meeting of stockholders. The reduced asset coverage ratio of 150% became effective upon receiving stockholder approval.</w:t>
      </w:r>
    </w:p>
    <w:p>
      <w:pPr>
        <w:spacing w:after="0" w:line="194" w:lineRule="exact"/>
        <w:rPr>
          <w:sz w:val="20"/>
          <w:szCs w:val="20"/>
          <w:color w:val="auto"/>
        </w:rPr>
      </w:pPr>
    </w:p>
    <w:p>
      <w:pPr>
        <w:jc w:val="both"/>
        <w:ind w:firstLine="374"/>
        <w:spacing w:after="0" w:line="224" w:lineRule="exact"/>
        <w:rPr>
          <w:sz w:val="20"/>
          <w:szCs w:val="20"/>
          <w:color w:val="auto"/>
        </w:rPr>
      </w:pPr>
      <w:r>
        <w:rPr>
          <w:rFonts w:ascii="Times New Roman" w:cs="Times New Roman" w:eastAsia="Times New Roman" w:hAnsi="Times New Roman"/>
          <w:sz w:val="18"/>
          <w:szCs w:val="18"/>
          <w:color w:val="auto"/>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Policies and Procedures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Our Chief Compliance Officer is responsible for administering the policies and procedures. Colleen Corwell currently serves as our Chief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Sarbanes-Oxley Act of 2002</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Sarbanes-Oxley Act imposes a wide variety of regulatory requirements on publicly held companies and their insiders. Many of these requirements affect us. For example:</w:t>
      </w:r>
    </w:p>
    <w:p>
      <w:pPr>
        <w:spacing w:after="0" w:line="133" w:lineRule="exact"/>
        <w:rPr>
          <w:sz w:val="20"/>
          <w:szCs w:val="20"/>
          <w:color w:val="auto"/>
        </w:rPr>
      </w:pPr>
    </w:p>
    <w:p>
      <w:pPr>
        <w:ind w:left="760" w:right="20" w:hanging="378"/>
        <w:spacing w:after="0" w:line="239" w:lineRule="exact"/>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 of the Exchange Act, our Chief Executive Officer and Chief Financial Officer must certify the accuracy of the financial statements contained in our periodic reports;</w:t>
      </w:r>
    </w:p>
    <w:p>
      <w:pPr>
        <w:spacing w:after="0" w:line="9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24" w:lineRule="exact"/>
        <w:rPr>
          <w:rFonts w:ascii="Times New Roman" w:cs="Times New Roman" w:eastAsia="Times New Roman" w:hAnsi="Times New Roman"/>
          <w:sz w:val="18"/>
          <w:szCs w:val="18"/>
          <w:color w:val="auto"/>
        </w:rPr>
      </w:pPr>
    </w:p>
    <w:p>
      <w:pPr>
        <w:jc w:val="both"/>
        <w:ind w:left="760" w:hanging="378"/>
        <w:spacing w:after="0" w:line="228" w:lineRule="exact"/>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61" w:lineRule="exact"/>
        <w:rPr>
          <w:rFonts w:ascii="Times New Roman" w:cs="Times New Roman" w:eastAsia="Times New Roman" w:hAnsi="Times New Roman"/>
          <w:sz w:val="18"/>
          <w:szCs w:val="18"/>
          <w:color w:val="auto"/>
        </w:rPr>
      </w:pPr>
    </w:p>
    <w:p>
      <w:pPr>
        <w:jc w:val="both"/>
        <w:ind w:left="760" w:hanging="378"/>
        <w:spacing w:after="0" w:line="232" w:lineRule="exact"/>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9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delegated our proxy voting responsibility to RGC. The proxy voting policies and procedures of RGC are set forth below. The guidelines will be reviewed periodically by RGC and our independent directors, and, accordingly, are subject to change. For purposes of the Proxy Voting Policies and Procedures described below, "we," "our" and "us" refers to RGC.</w:t>
      </w:r>
    </w:p>
    <w:p>
      <w:pPr>
        <w:spacing w:after="0" w:line="176"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an investment adviser registered under the Advisers Act, RGC has a fiduciary duty to act solely in the best interests of its clients. As part of this duty, RGC recognizes that it must vote client securities in a timely manner, free of conflicts of interest and in the best interests of our clients.</w:t>
      </w:r>
    </w:p>
    <w:p>
      <w:pPr>
        <w:spacing w:after="0" w:line="162"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These policies and procedures for voting proxies for RGC's investment advisory clients are intended to comply with Section 206 of, and Rule 206(4)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 under, the Advisers 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Policies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RGC will vote proxies relating to our portfolio securities in the best interest of its clients’ stockholders. RGC will review on a case-by-case basis each proposal submitted to a stockholder vote to determine its impact on the portfolio securities held by us. Although RGC will generally vote against proposals that may have a negative impact on its clients’ portfolio securities, RGC may vote for such a proposal if there exist compelling long-term reasons to do so.</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RGC's proxy-voting decisions will be made by the senior officers who are responsible for monitoring each of its clients’ investments. To ensure that its vote is not the product of a conflict of interest, RGC will require that: (1) anyone involved in the decision-making process disclose to its management any potential conflict that he or she is aware of and any contact that he or she has had with any interested party regarding a proxy vote; and (2) employees involved in the decision-making process or vote administration are prohibited from revealing how RGC intend to vote on a proposal in order to reduce any attempted influence from interested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Records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You may obtain information about how we voted proxies by making a written request for proxy voting information to: Runway Growth Capital LLC, 205 N. Michigan Ave., Suite 4200, Chicago, IL 60601.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6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Obligations</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7" w:lineRule="exact"/>
        <w:rPr>
          <w:sz w:val="20"/>
          <w:szCs w:val="20"/>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well as reports on Forms 3, 4 and 5 regarding directors, officers or 10% beneficial owners of us, filed or furnished pursuant to section 13(a), 15(d) or 16(a) of the Exchange Act, are available on our website free of charge (https://investors.runwaygrowth.com/financial-information/sec-filings).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Stockholders and the public may also view any materials we file with the SEC on the SEC’s website (http://www.sec.gov).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the following section, Item 1A. of this Annual Report on Form 10-K, and the other reports and documents filed by us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the Economy</w:t>
      </w:r>
    </w:p>
    <w:p>
      <w:pPr>
        <w:spacing w:after="0" w:line="22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uncertainty creates and exacerbates risks.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markets are currently in a period of disruption and economic uncertainty. Such market conditions have materially and adversely affected debt and equity capital markets, which have had, and may continue to have, a negative impact on our business and operations.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 of inflation and rising interest rate could impact our portfolio company’s operations and cash flows and harm our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Business and Structure</w:t>
      </w:r>
    </w:p>
    <w:p>
      <w:pPr>
        <w:spacing w:after="0" w:line="225" w:lineRule="exact"/>
        <w:rPr>
          <w:sz w:val="20"/>
          <w:szCs w:val="20"/>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results of operations depend on our ability to effectively manage and deploy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 and we may not be able to compete effectively.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grow because we must distribute most of our income.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under our credit facility or other borrowings, including the 2026 or 2027 Notes, could adversely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Investments</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strategy focused primarily on privately held companies presents certain challenges, including the lack of available information about these companies and a greater vulnerability to economic downturns.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may adversely affect our and our portfolio companies’ business,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Conflicts of Interest</w:t>
      </w:r>
    </w:p>
    <w:p>
      <w:pPr>
        <w:spacing w:after="0" w:line="22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relationship with Oaktree may create conflicts of interest.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potential conflicts of interest which could impact our investment returns.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Common Stock</w:t>
      </w:r>
    </w:p>
    <w:p>
      <w:pPr>
        <w:spacing w:after="0" w:line="225"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a market for our common stock will develop or, if one develops, that the market will continue, which would adversely affect the liquidity and price of our common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stockholder’s interest in us will be diluted if we issue additional shares, which could reduce the overall value of an investment in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in the public market may have an adverse effect on the market price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RIC Tax Treatment</w:t>
      </w:r>
    </w:p>
    <w:p>
      <w:pPr>
        <w:spacing w:after="0" w:line="225"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U.S. federal income tax at corporate rates if we are unable to qualify as a RIC.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paying our required distributions if we recognize income before or without receiving cash representing such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Risks</w:t>
      </w:r>
    </w:p>
    <w:p>
      <w:pPr>
        <w:spacing w:after="0" w:line="2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our quarterly and annual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in the credit markets could adversely affect our business.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Economy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social and economic uncertainty creates and exacerbates risks.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capital markets are currently in a period of disruption and economic uncertainty. Such market conditions have materially and adversely affected debt and equity capital markets, which have had, and may continue to have, a negative impact on our business and operations.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as evidenced by the volatility in global stock markets as a result of, among other things, the impact of the COVID-19 pandemic, rising interest rates in the United States, and the fluctuating price of commodities such as oil. Despite actions of the U.S. federal government and foreign governments, these events have contributed to unpredictable general economic conditions that are materially and adversely impacting the broader financial and credit markets and reducing the availability of debt and equity capital for the market as a whole. These conditions could continue for a prolonged period of time or worsen in the future.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Given the ongoing and dynamic nature of the circumstances, it is difficult to predict the full impact that current market conditions may have on our business. The extent of such impact will depend on future developments, which are highly uncertain and current market conditions, and the related adverse local and national economic consequences, we could be subject to any of the following risks, any of which could have a material, adverse effect on our business, financial condition, liquidity, and results of operations:</w:t>
      </w:r>
    </w:p>
    <w:p>
      <w:pPr>
        <w:spacing w:after="0" w:line="180" w:lineRule="exact"/>
        <w:rPr>
          <w:sz w:val="20"/>
          <w:szCs w:val="20"/>
          <w:color w:val="auto"/>
        </w:rPr>
      </w:pPr>
    </w:p>
    <w:p>
      <w:pPr>
        <w:jc w:val="both"/>
        <w:ind w:left="7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market conditions may make it difficult to raise equity capital because, subject to some limited exceptions, as a BDC, we are generally not able to issue additional shares of our common stock at a price less than the NAV per share without first obtaining approval for such issuance from our stockholders and our independent directors. In addition, these market conditions may make it difficult to access or obtain new indebtedness with similar terms to our existing indebtedness.</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capital markets may adversely affect the pace of our investment activity and economic activity generally.</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including as a result of the COVID-19 pandemic or economic cycles, as well as inflation and rising interest rates could impair our portfolio companies and harm our operating results.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may be unable to repay the loans we made to them during these periods, including as a result of the COVID-19 pandemic, inflation and the rising interest rate environment.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 decision by lenders not to extend credit to us or our portfolio companies. In similar fashion, increasing or excessive levels of inflation and rising interest rates could also impair our portfolio companies cash flow and operations. These events could prevent us from increasing investments and harm our operating results.</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caused severe disruptions in the U.S. economy and disrupted financial activity in the areas in which we or our portfolio companies operate.</w:t>
      </w:r>
    </w:p>
    <w:p>
      <w:pPr>
        <w:spacing w:after="0" w:line="3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impact of COVID-19 led to significant volatility and declines in the global public equity markets and it is uncertain how long this volatility will continue. As the COVID-19 pandemic persists, the potential impacts, including a global, regional or other economic recession, are increasingly uncertain and difficult to assess. The COVID-19 pandemic and restrictive measures taken to contain or mitigate its spread caused, and may continue to cause, business shutdowns, or the re-introduction of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w:t>
      </w:r>
    </w:p>
    <w:p>
      <w:pPr>
        <w:spacing w:after="0" w:line="200" w:lineRule="exact"/>
        <w:rPr>
          <w:sz w:val="20"/>
          <w:szCs w:val="20"/>
          <w:color w:val="auto"/>
        </w:rPr>
      </w:pPr>
    </w:p>
    <w:p>
      <w:pPr>
        <w:spacing w:after="0" w:line="20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could limit our investment originations, limit our ability to grow and have a material negative impact on our and our prospective portfolio companies’ operating results and the fair values of our debt and equity investments.</w:t>
      </w:r>
    </w:p>
    <w:p>
      <w:pPr>
        <w:spacing w:after="0" w:line="200" w:lineRule="exact"/>
        <w:rPr>
          <w:sz w:val="20"/>
          <w:szCs w:val="20"/>
          <w:color w:val="auto"/>
        </w:rPr>
      </w:pPr>
    </w:p>
    <w:p>
      <w:pPr>
        <w:spacing w:after="0" w:line="20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General uncertainty surrounding the impact of COVID-19 (including the preventative measures taken in response thereto and additional uncertainty regarding new variants) has to date created significant disruption in supply chains and economic activity, which has had any may continue to have a particularly adverse impact on transportation, hospitality, tourism, entertainment and other industries, including industries in which certain of our portfolio companies operate, which has in turn created significant business disruption issues for certain of our portfolio companies, and materially and adversely impacted the value and performance of certain of our portfolio companies. Even after the COVID-19 pandemic subsides, the U.S. economy and most other major global economies may continue to experience a recession, and our business and operations, as well as the business and operations of our portfolio companies, could be materially adversely affected by a prolonged recession in the U.S. and other major markets.</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may adversely affect our business, financial condition and results of operations, including our revenue growth and profitability.</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U.S. debt ceiling and budget deficit concerns have raised the possibility of additional credit-rating downgrades and economic slowdowns in the United States and globally. Legislation passed in December 2021 suspends the debt ceiling through early 2023, unless Congress takes further legislative action to extend it. 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(the "U.K.") leaving the European Union (the "EU"), instability in the Chinese capital markets and the COVID-19 pandemic.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9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Various social and political circumstances in the U.S.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ongoing conflict between Russia and Ukraine, and the resulting market volatility, could adversely affect our business, financial condition or results of operations.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Additionally, the Federal Reserve may further raise, or may announce its intention to further raise, the Federal Funds Rate in 2023. These developments, along with the United States government’s credit and deficit concerns, global economic uncertainties and market volatility and the impacts of COVID-19, could cause interest rates to be volatile, which may negatively impact our ability to access the debt markets and capital markets on favorable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recorded at fair value, with our Board of Directors having final responsibility for overseeing, reviewing and determining, in good faith, the fair value of our investment portfolio and, as a result, there is uncertainty as to the value of our portfolio investments.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the audit committee of our Board of Directors (the "Audit Committee") and with the oversight, review and approval of our Board of Directors. The fair value of such securities may meaningfully change between the date of the fair value determination by our Board of Directors, as assisted by third-party independent valuation firms and the Audit Committee, and the release of the financial results for the corresponding period or the next date at which fair value is determined.</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depend on our ability to effectively manage and deploy capital.</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may distract our investment team or slow the rate at which we may make investments.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 and we may not be able to compete effectively.</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Our primary competitors for investments include both existing and newly formed debt, and to a lesser extent equity,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19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do not compete primarily on the financing terms we offer and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 The competitive pressures we face may have a material adverse effect on our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5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existing relationships, or to develop new relationships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 The failure of RGC to maintain existing relationships, grow new relationships, or for any of those relationships to generate investment opportunities could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RGC’s key personnel for our future success.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depend on the diligence, skill and investment acumen of R. David Spreng, our President, Chief Executive Officer and the Chairman of our Board of Directors, along with the other investment professionals at RGC, including Thomas Raterman, our Chief Operating Officer, Chief Financial Officer, Treasurer and Secretary. Mr. Spreng also serves as the President, Chief Executive Officer and Chief Investment Officer of RGC, and the Chairman of its Investment Committee. Mr. Raterman also serves as the Chief Financial Officer of RGC. Mr. Spreng, Mr. Raterman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in particular, Mr. Raterman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ability of RGC to attract and retain qualified personnel in a competitive environment.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growth requires that RGC retains and attracts new investment and administrative personnel in a competitive market. RGC’s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venture capital funds, private equity funds and mezzanine funds) and traditional financial services companies, with which RGC competes for experienced personnel have greater resources than it possesses, which could have a negative impact on RGC’s ability to attract and retain qualified personnel and, as a result, have a material adverse effect on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compensation we pay to RGC and our Administrator was not determined on an arm’s-length basis. Thus, the terms of such compensation may be less advantageous to us than if such terms had been the subject of arm’s-length negotiations.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compensation we pay to RGC and our Administrator was not determined on an arm’s-length basis with an unaffiliated third party. As a result, the form and amount of such compensation may be less favorable to us than if the respective agreements had been entered into through arm’s-length transactions with an unaffiliated third party. In addition, we may choose not to 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fee may induce RGC to purchase assets with borrowed funds and to use leverage despite any enhanced risk.</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capital gains portion of our incentive fee may induce RGC to make speculative investments.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RGC receives the incentive fee based, in part, upon net capital gains realized on our investments. Under the incentive fee structure, RGC may benefit when we recognize capital gains and, because RGC, in certain circumstances, will determine when to sell an investment,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grow because we must distribute most of our income.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need additional capital to fund growth in our investments.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have and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150% of our total borrowings and preferred stock. See "— 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shares of BDCs have recently traded at discounts to their net asset values. If our common stock trades below its net asset value, we will not be able to issue additional shares of our common stock at its market price without first obtaining the approval for such issuance from our stockholders and our independent directors. If additional funds are not available to us, we could be forced to curtail or cease new lending and investment activities and our net asset value could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reduction in the availability of new capital or an inability on our part to access the capital markets successfully could limit our ability to grow our business and execute our business strategy fully and decrease our earnings, if any, which could have a material adverse effect on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on our part to maintain our status as a BDC or fail to qualify as a RIC would reduce our operating flexibility.</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$250.0 million at the time of such investment. Moreover, as a RIC, the treatment for which we intend to qualify annually, we are required to satisfy certain source-of-income, diversification and distribution requirements.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constraints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 These constraints, among others, may hinder our ability to take advantage of attractive investment opportunities and to achieve our investment objective.</w:t>
      </w:r>
    </w:p>
    <w:p>
      <w:pPr>
        <w:spacing w:after="0" w:line="19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150% of gross assets less all liabilities and indebtedness not represented by senior securities, after each issuance of senior securities.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the value of our assets decline,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borrow money, which would magnify the potential for gain or loss on amounts invested and may increase the risk of investing in us.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use of leverage magnifies the potential for gain or loss on amounts invested and, therefore, increases the risks associated with investing in our securities.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w:t>
      </w:r>
    </w:p>
    <w:p>
      <w:pPr>
        <w:spacing w:after="0" w:line="19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150% after each issuance of senior securities. If this ratio declines below 150%,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the effect of leverage on returns from an investment in our common stock assuming various annual returns on our portfolio as of December 31, 2022,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214"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spacing w:after="0" w:line="29"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(Net of Expenses)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0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-10%</w:t>
            </w:r>
          </w:p>
        </w:tc>
        <w:tc>
          <w:tcPr>
            <w:tcW w:w="1360" w:type="dxa"/>
            <w:vAlign w:val="bottom"/>
            <w:tcBorders>
              <w:top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-5%</w:t>
            </w:r>
          </w:p>
        </w:tc>
        <w:tc>
          <w:tcPr>
            <w:tcW w:w="1320" w:type="dxa"/>
            <w:vAlign w:val="bottom"/>
            <w:tcBorders>
              <w:top w:val="single" w:sz="8" w:color="auto"/>
            </w:tcBorders>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0%</w:t>
            </w:r>
          </w:p>
        </w:tc>
        <w:tc>
          <w:tcPr>
            <w:tcW w:w="1360" w:type="dxa"/>
            <w:vAlign w:val="bottom"/>
            <w:tcBorders>
              <w:top w:val="single" w:sz="8" w:color="auto"/>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5%</w:t>
            </w:r>
          </w:p>
        </w:tc>
        <w:tc>
          <w:tcPr>
            <w:tcW w:w="1240" w:type="dxa"/>
            <w:vAlign w:val="bottom"/>
            <w:tcBorders>
              <w:top w:val="single" w:sz="8" w:color="auto"/>
            </w:tcBorders>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25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Corresponding return to common stockholder</w:t>
            </w:r>
            <w:r>
              <w:rPr>
                <w:rFonts w:ascii="Times New Roman" w:cs="Times New Roman" w:eastAsia="Times New Roman" w:hAnsi="Times New Roman"/>
                <w:sz w:val="19"/>
                <w:szCs w:val="19"/>
                <w:color w:val="auto"/>
                <w:vertAlign w:val="superscript"/>
              </w:rPr>
              <w:t>(1)</w:t>
            </w:r>
          </w:p>
        </w:tc>
        <w:tc>
          <w:tcPr>
            <w:tcW w:w="12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-14.9%</w:t>
            </w: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-5.0%</w:t>
            </w: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4.9%</w:t>
            </w:r>
          </w:p>
        </w:tc>
        <w:tc>
          <w:tcPr>
            <w:tcW w:w="13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14.8%</w:t>
            </w:r>
          </w:p>
        </w:tc>
        <w:tc>
          <w:tcPr>
            <w:tcW w:w="12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80" w:right="160" w:hanging="375"/>
        <w:spacing w:after="0" w:line="202" w:lineRule="auto"/>
        <w:tabs>
          <w:tab w:leader="none" w:pos="716"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Assumes (i) $1.1 billion in total assets, (ii) $559.3 million in outstanding indebtedness, (iii) $576.1 million in net assets and (iv) weighted average interest rate, excluding fees (such as fees on undrawn amounts and amortization of financing costs) of 5.02%.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defaults under our credit facility or other borrowings, including the 2026 or 2027 Notes, could adversely affect our business.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31, 2019 (as subsequently amended), the Company entered into a credit agreement ("Credit Facility") by and among us, as borrower, the financial institutions party thereto as lenders, KeyBank National Association, as administrative agent, syndication agent, and a lender, CIBC Bank USA, as documentation agent and a lender, MUFG Union Bank, N.A., as co-documentation agent and lender and U.S. Bank National Association, as paying agent. In the event we default under our Credit Facility, or other borrowings, including the 2026 Notes and 2027 Notes, our business could be adversely affected as we may be forced to sell a portion of our investments quickly and prematurely at what may be unfavorable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additional debt financing, or if our borrowing capacity is materially reduced, our business could be materially adversely affected.</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want to obtain additional debt financing or need to do so upon maturity of the Credit Facility, in order to obtain funds which may be made available for investments. The availability period under the Credit Facility expires on April 20, 2025 and is followed by a one year amortization period. The stated maturity date under the Credit Facility is April 20, 2026, unless extended. If we are unable to increase, renew or replace the Credit Facility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interest rates may affect our cost of capital, the ability of our portfolio companies to service their debt obligations and our net investment income.</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SOFR and Prime rate.</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SOFR or Prime rate to zero, the difference between the total interest income earned on interest earning assets and the total interest expense incurred on interest bearing borrowings may be compressed, reducing our net interest income and potentially adversely affecting our operating results.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and the applicable third-party valuation firm. The participation of RGC in our valuation process could result in a conflict of interest, since the management fees are based in part on our gross assets and also because RGC is receiving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performance-based incentive fees. The factors that are considered in the fair value pricing of our investments include the nature and realizable value of any collateral, the portfolio company’s ability to make payments on loans and its earnings, the markets in which the portfolio company does business, comparisons to publicly traded companies, discounted cash flow, relevant credit market indices, and other relevant factors. Because such valuations, and particularly valuations of private investments and private companies, are inherently uncertain, may fluctuate over short periods of time and are often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our investment objective, current operating policies, investment criteria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of changes to our investment objective or criteria by our Board might be adverse, which could negatively impact our ability to pay you dividends and cause you to lose all or part of your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5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Certain of our investments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176" w:lineRule="exact"/>
        <w:rPr>
          <w:sz w:val="20"/>
          <w:szCs w:val="20"/>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interest rates of original issue discount and PIK instruments reflect the payment deferral, which results in a higher principal amount at the maturity of the instrument as compared to the original principal amount of the instrument. Increased credit risk associated with these instruments, and original issue discount and PIK instruments generally, represent a significantly higher credit risk than coupon loans.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accounting conditions for income accrual are met, the borrower could still default when our actual collection is supposed to occur at the maturity of the obligation.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interest rates of our loans to our portfolio companies might be subject to change based on recent regulatory changes.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LIBOR, the London Interbank Offered Rate, is an index rate that historically has been widely used in lending transactions and remains a common reference rate for setting the floating interest rate on private loans. LIBOR typically has been the reference rate used in floating-rate loans extended to our portfolio companies and, to some degree, is expected to continue to be used as a reference rate until such time that private markets have fully transitioned to using SOFR, or other alternative reference rates recommended by applicable market regulators. Uncertainty relating to the LIBOR calculation process, the valuation of LIBOR alternatives, and other economic consequences from the phasing out of LIBOR may adversely affect our results of operations, financial condition and liquidity.</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identify a successor rate for U.S. dollar LIBOR, the Alternative Reference Rates Committee ("ARRC"), a U.S.-based group convened by the Federal Reserve Board of Directors and the Federal Reserve Bank of New York, was formed. The ARRC has identified SOFR as its preferred alternative rate for LIBOR. SOFR is a measure of the cost of borrowing cash overnight, collateralized by U.S. Treasury securities, and is based on directly observable U.S. Treasury-backed repurchase transactions.</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New York and several other states have passed laws intended to apply to U.S. dollar LIBOR-based contracts, securities, and instruments governed by those states’ laws. These laws established fallbacks for LIBOR when there is no or insufficient fallback rates in these contracts. The federal Adjustable Interstate Rate (LIBOR) Act (the "LIBOR Act") was signed into law on March 15, 2022. The federal legislation provides a statutory fallback mechanism on a nation-wide basis to replace U.S. dollar LIBOR with a benchmark rate, selected by the Federal Reserve Board and based on SOFR, for certain contracts that reference U.S. dollar LIBOR and contain no or insufficient fallback provisions. The New York and other state laws were superseded by the LIBOR Act. On December 16, 2022, the Federal Reserve Board adopted a final rule implementing certain provisions of the LIBOR Act ("Regulation ZZ"). Regulation ZZ specifies that on the LIBOR replacement date, which is the first London banking day after June 30, 2023, the Federal Reserve Board-selected benchmark replacement, based on SOFR and including any tenor spread adjustment as provided by Regulation ZZ, will replace references to overnight 1, 3, 6, and 12-month LIBOR in certain contracts that do not mature before the LIBOR replacement date, and that do not contain adequate fallback language.</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negotiated amendments to our existing credit agreements governing such instruments that utilize LIBOR as a factor in determining the interest rate, in order to incorporate either SOFR or the U.S. Prime rate as the new alternative reference rate. To the extent that we need to negotiate further modifications to such credit agreements, or need to incorporate any conforming changes to the applicable credit spreads or margins, some or all of these credit agreements may bear interest at a lower rate, which could have an adverse impact on our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and will continue to expend significant financial and other resources to comply with the requirements of being a public reporting entity.</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public reporting company, we are subject to the reporting requirements of the Exchange Act and certain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initiatives, strategies or business concerns, which could have a material adverse effect on our business, financial condition, results of operations and cash flows. We expect to incur significant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systems and resources necessary to comply with public company reporting requirements will increase further once we cease to be an "emerging growth company" under the Jumpstart Our Business Startups Act of 2012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our IPO, which we completed on October 21,2021, although if the market value of our common stock that is held by non-affiliates exceeds $700.0 million as of any June 30 before that time or we issue an aggregate of $1.0 billion in non-convertible debt securities in any three year period, we would cease to be an emerging growth company as of the following December 31. See "Business — Implications of Being an Emerging Growth Company" in Part I, Item 1 of this Form 10-K.</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obligated to maintain proper and effective internal control over financial reporting, including the internal control evaluation and certification requirements of Section 404 of the Sarbanes-Oxley Act ("Section 404").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(i) we are no longer an "emerging growth company" under the JOBS Act, and (ii) we become an "accelerated filer" as defined in Rule 12b-2 under the Exchange Act. Accordingly, our internal controls over financial reporting may not currently meet all of the standards contemplated by Section 404 that we will eventually be required to meet.</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invest primarily in senior secured term loans and other senior debt obligations and may on occasion invest in second lien loans issued by high growth-potential companies. We also have and continue to expect to acquire warrants and other equity securities from portfolio companies in connection with our investments in loans to these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18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Senior Secured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a risk that the collateral securing our loans may decrease in value over time, may be difficult to sell in a timely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Second Lien Secured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structuring our loans, we may subordinate our security interest in certain assets of a borrower to another lender,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Equity Investments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we invest in secured loans, we may acquire equity securities as well, including warrants. In addition, we may also,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basis, invest 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investing in small, fast-growing, private companies involves a number of significant risks, including the following:</w:t>
      </w:r>
    </w:p>
    <w:p>
      <w:pPr>
        <w:spacing w:after="0" w:line="225" w:lineRule="exact"/>
        <w:rPr>
          <w:sz w:val="20"/>
          <w:szCs w:val="20"/>
          <w:color w:val="auto"/>
        </w:rPr>
      </w:pPr>
    </w:p>
    <w:p>
      <w:pPr>
        <w:jc w:val="both"/>
        <w:ind w:left="1140" w:hanging="383"/>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53"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7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have difficulty accessing the capital markets to meet future capital needs, which may limit their ability to grow or to repay their outstanding debt upon maturity.</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use the term "covenant-lite" loans to refer generally to loans that do not 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expect that our portfolio will continue to consist primarily of debt investments in privately-owned companies, and to a lesser extent equity investments in privately-owned companies. Investing in these companies involves a number of significant risks. Typically, the debt in which we intend to invest will not be initially rated by any rating agency; however, we believe that if such investments were rated, they would generally be below investment grade. Securities rated below investment grade are often referred to as "high yield" securities and "junk bonds," and are considered "high risk" and speculative in nature compared to debt instruments that are rated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resulting in increased compliance measures and possibly more susceptibility to regulatory breaches or violations.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Some of these companies cannot obtain financing from public capital markets or from traditional credit sources, such as commercial banks. Accordingly, the loans we make to these types of companies pose a higher default risk than loans made to companies that have access to traditional credit sources.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invest primarily in high growth-potential, privately held companies and these companies may not have third-party credit ratings or audited financial statements subject to public accounting standards or otherwise. Generally, little public information exists about these companies, and we are required to rely on the ability of RGC’s investment team to obtain adequate financial or other information to evaluate the potential returns from investing in these companies. Furthermore, private companies and their financial information will not generally be subject to the Sarbanes-Oxley Act and other rules that govern public companies. If we are unable to uncover all material information about these companies through our diligence and underwriting process, we may not make a fully informed investment decision. This could adversely affect our investment returns as compared to companies investing primarily in the securities of public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and our portfolio companies’ business, results of operations and financial condition.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Recent market indicators show a rise in inflation, and the Federal Reserve has raised certain benchmark interest rates in an effort to slow inflation. Certain of our portfolio companies may be impacted by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have limited operating histories and financial resources.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portfolio consists of investments in companies that may have relatively limited operating histories. Generally, limited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These companies may be particularly vulnerable to U.S. economic downturns and may have limited access to capital. These companies also frequently have less diverse product lines and a smaller market presence than larger competitors and may experience substantial variations in operating results. These companies may face intense competition, including from companies with greater financial, technical, operational and marketing resources, and typically depend upon the expertise and experience of a single individual executive or a small management team. Our success depends, in large part, upon the abilities of the key management personnel of our portfolio companies, who are responsible for the day-to-day operations of our portfolio companies. Competition for qualified personnel is intense at any stage of a company’s development, but even more so at the growth stage of the companies we typically invest in. The inability to attract and retain and/or the loss of one or more key managers can hinder or delay a company’s implementation of its business plan and harm its financial condition, which could negatively affect our investment returns.</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our existing and future portfolio companies may compete with each other for investment or business opportunities and the success of one could negatively impact the other. Furthermore, some of our portfolio companies do business in regulated industries and could be affected by changes in government regulation. Accordingly, these factors could impair their cash flow or result in other events, such as bankruptcy, which could limit their ability to repay their obligations to us, and may materially and adversely affect the return on, or the recovery of, our investment. As a result, we may lose our entire investment in any of our portfolio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projections of our portfolio companies could prove inaccurate.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macroeconomic factors and specific factors of the portfolio company,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of portfolio companies could thus cause our performance to fall short of our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may incur debt that ranks equally with, or senior to, our investments in such companies.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invest primarily in senior secured loans made to high growth-potential private companies but, on occasion make second lien loans to portfolio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 In the case of second lien loans that we make to portfolio companies, we would not recover any of our principal amount of the loan until the first lien holder is fully repaid, which would likely result in us recovering less or no amounts due on our loan and, in turn, could have a materials adverse effect on our operations and financial condition.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circumstances in which our debt investments could be subordinated to claims of other creditors or we could be subject to lender liability claims.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Even though we intend to structure most of our debt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In our case, we may, if requested to do so, provide managerial assistance to our portfolio companies.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our investments in covenant-lite loans.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 Generally, covenant-lite loans permit borrowers more opportunity to negatively impact lenders because their covenants, if any, tend to be incurrence-based, which means they are only tested and can only be breached following certain actions of the borrower, rather than 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typically invest in companies whose securities are not publicly traded, and whose securities will be subject to legal and other restrictions on resale or will otherwise be less liquid than publicly traded securities. There is typically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and, in particular, with respect to the equity securities we acquire in our portfolio companies.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or at all, and we may suffer losses as a result.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portfolio.</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lack diversification among portfolio companies, which subjects us to a risk of significant loss if one or more of these companies default on their repayment obligations under any of their debt instruments.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As a result, if a significant loan fails to perform as expected, our business, financial condition, results of operation and cash flows could be more negatively affected and the magnitude of the loss could be more significant than if we had made smaller investments in more companies. Similarly, the aggregate returns we realize may be significantly adversely affected if a small number of investments perform poorly or if we need to write down the value of any one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portfolio is concentrated in a limited number of industries. We invest primarily in companies focused in technology, life sciences, healthcare information and services, business services, select consumer services and products and other high growth industries. A downturn in any particular industry in which we are invested could significantly impact the aggregate returns we realize. As our portfolio may be less diversified than the portfolios of other investment vehicles, we may be more susceptible to losses if a single loan is not repaid. Similarly, the aggregate returns we realize may be significantly adversely affected if a small number of investments perform poorly or if we need to write down the value of any one investment.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lack diversification among our Sponsored Growth Lending and Non-Sponsored Growth Lending strategies and among sponsors within the Sponsored Growth Lending strategy.</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objective is to build a balanced portfolio with diversification among sponsored and non-sponsored transactions, diversification among sponsors within the Sponsored Growth Lending strategy, and diversification among industry, geography, and stage of development generally, which we believe will contribute to a favorable risk adjusted return for the portfolio viewed as a whole. If we are unable to achieve diversification or retain it, we may not achieve favorable risk adjusted returns for the portfolio viewed as a whole.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in sectors including technology, life sciences, healthcare information and services, business services, select consumer services and products and other high-growth industries, which are subject to specific risks related to each.</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intend to continue to invest the largest portions of our portfolio in technology, life sciences, healthcare information and services, business services, select consumer services and products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our investments in life sciences-related companies.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life sciences portfolio consists primarily of companies that commercialize and integrate products in life sciences-related industries, including biotechnology, drug discovery, drug delivery, bioinformatics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life sciences industry is dominated by large multinational corporations with substantially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 Specifically, our investments in electronic equipment may be subject to risks unique to this industry. The products manufactured in the electronic equipment industry are subject to rapid technological change and intense competition. The electronic equipment industry is also subject to fluctuations in demand, which may adversely affect the operating results of our portfolio companies in this industry.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technology-related industries are subject to extensive government regulation, which exposes us to the risk of significant loss if any of these industry sectors experiences a downturn.</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portfolio companies in technology-related industries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2022, our investments in healthcare technology represented 21.4%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portfolio companies may be subject to extensive regulation by U.S. and foreign federal, stated and/or local agencies. Our healthcare information and services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Changes in existing laws, rules or regulations, or judicial or administrative interpretations, or new laws, rules or regulations could have an adverse impact on the business and industries of our portfolio companies. In addition, changes in government priorities or limitations on government resources could also adversely impact our portfolio companies.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and services industry are also subject to the risk that changes in applicable regulations will render their technology obsolete or less desirable in the marketplace. We are unable to predict whether any such changes in laws, rules or regulations will occur and, if they do occur, the impact of these changes on our portfolio companies and our investment returns.</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internet retail industry is subject to many risks and is highly competitive.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and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our investments in the software industry.</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some instances, we may control our portfolio companies or provide our portfolio companies with significant managerial assistance. However, although we may do so in the future, we typically do not hold controlling equity positions in our portfolio companies. Thus, we generally do not, and do not expect to, control the decision making in many of our portfolio companies. As a result, we are subject to the risk that a portfolio company in which we invest will make business decisions with which we disagree and the management of such company, as representatives of the holders of their common equity, will take risks or otherwise act in ways that do not serve our interests as debt investors. Due to the lack of liquidity of the debt and equity investments that we typically hold in our portfolio companies, we may not be able to dispose of our interests as readily as we would like or at an appropriate valuation in the event we disagree with the actions of a portfolio company. As a result, a portfolio company may make decisions that would decrease the value of our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Defaults by our portfolio companies will harm our operating results.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portfolio companies are unable to commercialize their technologies, products, business concepts or services, the returns on our investments could be adversely affected.</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and life science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of our debt investments by our portfolio companies could adversely impact our results of operations and reduce our return on equity.</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yields of the loans being prepaid and we could experience significant delays in reinvesting these amounts. Any future investment in a new portfolio company may also be at lower yields than the debt that was previously prepaid by a portfolio company. As a result, our results of operations could be materially adversely affected if any of our portfolio companies elect to prepay amounts owed to us. Additionally, prepayments of loans made to portfolio companies could negatively impact our return on equity.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leveraged portfolio companies may be risky, and you could lose all or part of your investment.</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gains from our equity investments.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restraining our ability to transfer or sell such securities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expose ourselves to risks if we engage in hedging transactions.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portfolio companies may expose us to environmental risks.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invest in portfolio companies that are subject to changing and increasingly stringent environmental and health and safety laws, regulations and permit requirements and environmental costs that could place increasing financial burdens on such portfolio entities. Required expenditures for environmental compliance may adversely impact investment returns on portfolio companies. The imposition of new environmental and other laws, regulations and initiatives could adversely affect the business operations and financial stability of such portfolio companies.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There can be no guarantee that all costs and risks regarding compliance with environmental laws and regulations can be identified. New and more stringent environmental and health and safety laws, regulations and permit requirements or stricter interpretations of current laws or regulations could impose substantial additional costs on our portfolio companies.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expenditures. Moreover, failure to comply with any such requirements could have a material adverse effect on a portfolio company, and we can offer no assurance that any such portfolio companies will at all times comply with all applicable environmental laws, regulations and permit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Conflicts of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relationship with Oaktree may create conflicts of interest.</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of December 31, 2022, OCM owned approximately 52% of our outstanding common stock. Pursuant to an irrevocable proxy, the shares of our common stock held by OCM must be voted in the same manner that our other stockholders vote their shares. OCM has a right to nominate a member of our Board of Directors for election for so long as OCM holds shares of our common stock in an amount equal to, in the aggregate, at least one-third (33.33%) of OCM’s initial $125.0 million capital commitment to us, which percentage shall be determined based on the dollar value of the shares of common stock owned by OCM. OCM holds the right to appoint a nominee to the Board of Directors, subject to the conditions previously described, regardless of the Company's size (e.g., assets under management or market capitalization) or the beneficial ownership interests of other stockholders. Further, to the extent OCM’s share ownership falls below one-third of its initial $125.0 million capital commitment under any circumstances, OCM will no longer have the right to appoint a director nominee and will use reasonable efforts to cause such nominee to resign immediately (subject to his or her existing fiduciary duties). Brian Laibow serves on our Board of Directors as OCM’s director nominee and is considered an interested director.</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OCM owns a minority interest in RGC and has the right to appoint a member of RGC’s board of managers as well as a member of RGC’s Investment Committee. Mr. Laibow serves on RGC’s board of managers and investment committee on behalf of OCM.</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Mr. Laibow is Managing Director and Co-Head of North America for Oaktree's Global Opportunities Strategy and we expect that he will continue to engage in investment advisory activities for Oaktree, which could result in a conflict of interest and may distract him from his responsibilities to us and RGC. As a result of the relationship with Oaktree and OCM, we are presumed to be an affiliate of Oaktree and OCM under the 1940 Act. As a result, we are not able to invest in the same portfolio companies in which any funds managed by Oaktree or OCM invest without seeking exemptive relief from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conflicts of interest which could impact our investment returns.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course of our investing activities, we pay management and incentive fees to RGC and reimburse our Administrator for certain expenses it incurs on our behalf.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entered into a license agreement with RGC (the "License Agreement") pursuant to which RGC has granted us a personal, non-exclusive, royalty-free right and license to use the name "Runway Growth Finance". Under the License Agreement, we have the right to use the "Runway Growth Finance" name for so long as RGC or one of its affiliates remains our investment adviser. Other than with respect to this limited license, we have no legal right to the "Runway Growth Finance" name.</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accounting and compliance functions. These arrangements may create conflicts of interest that our Board of Directors must monitor.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valuation process for certain of our investments may create a conflict of interest.</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For the majority of our investments, no market-based price quotation is available. As a result, our Board of Directors determines the fair value of these securities in good faith as described in "— 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 In connection with that determination, RGC’s investment team provides our Board of Directors with valuation recommendations based upon the most recent and available information, which generally includes industry outlook, capitalization, financial statements and projected financial results of each portfolio company.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of the Board of Directors and the applicable third-party valuation firm. The participation of RGC’s investment team in our valuation process, and the pecuniary interest in RGC by certain members of our Board of Directors, could result in a conflict of interest as RGC’s base management fee is based, in part, on the value of our average adjusted gross assets, and RGC’s incentive fee is based, in part, on realized gains and realized and unrealized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pay our Adviser an incentive fee on certain investments that include a deferred interest feature.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underwrite our loans to generally include an end-of-term payment, a PIK interest payment and/or original issue discount.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original issue discount until they are paid. In addition, in connection with our equity-related investments, we may be required to accrue original issue discount, which decreases the balance on our secured loans by an amount equal to the value of the warrant investment we receive in connection with the applicable secured loan over its lifetime. Under these types of investments, we accrue interest during the life of the loan on the end-of-term payment, PIK interest payment and/or original issue discount but do not receive the cash income from the investment until the end of the term. However, our pre-incentive fee net investment income, which is used to calculate the income portion of our incentive fee, includes accrued interest. Thus, a portion of this incentive fee is based on income that we have not yet received in cash, such as an end-of-term payment, a PIK interest payment and/or original issue discount.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 market for our common stock will develop or, if one develops, that the market will continue, which would adversely affect the liquidity and price of our common stock.</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LLC under the symbol "RWAY" on October 21, 2021. We cannot assure you that an active trading market will develop for our common stock or, if one develops, that the trading market can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our stockholders and our independent directors for such issuance.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stockholder’s interest in us will be diluted if we issue additional shares, which could reduce the overall value of an investment in us.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stockholders do not have preemptive rights to purchase any shares we issue in the future. Our charter authorizes us to issue up to 100.0 million shares of common stock. Pursuant to our charter, a majority of our entire Board of Directors may amend our charter to increase the number of shares of common stock we may issue without stockholder approval. Our Board of Directors may elect to sell additional shares in the future or issue equity interests in private offerings. To the extent we issue additional equity interests at or below net asset value, your percentage ownership interest in us may be diluted. In addition, depending upon the terms and pricing of any additional offerings and the value of our investments, you may also experience dilution in the book value and fair value of your shares.</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1940 Act, we generally are prohibited from issuing or selling our common stock at a price below net asset value per share, which may be a disadvantage as compared with certain public companies. We may, however, sell our common stock, or warrants, options, or rights to acquire our common stock, at a price below the current net asset value of our common stock if our Board of Directors and independent directors determine that such sale is in our best interests and the best interests of our stockholders, and our stockholders approve such sale. In any such case, the price at which our securities are to be issued and sold may not be less than a price that, in the determination of our Board of Directors, closely approximates the fair value of such securities (less any distributing commission or discount). If we raise additional funds by issuing common stock or senior securities convertible into, or exchangeable for, our common stock, then the percentage ownership of our stockholders at that time will decrease and you will experience dilution.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shares of our common stock that were outstanding prior to the completion of the IPO are "restricted securities" under the meaning of Rule 144 promulgated under the Securities Act and may only be sold if such sale is registered under the Securities Act or exempt from registration, including the exemption under Rule 144.</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2022, OCM owned approximately 52% of our total outstanding shares.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common stock involves a high degree of risk.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including volatility or loss of principal. Our investments in portfolio companies may be highly speculative and aggressive and, therefore, an investment in our common stock may not be suitable for someone with lower risk tolerance.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our common stock may fluctuate significantly.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market value and liquidity, if any, of the market for shares of our common stock may be significantly affected by numerous factors, some of which are beyond our control and may not be directly related to our operating performance. These factors include:</w:t>
      </w:r>
    </w:p>
    <w:p>
      <w:pPr>
        <w:spacing w:after="0" w:line="162" w:lineRule="exact"/>
        <w:rPr>
          <w:sz w:val="20"/>
          <w:szCs w:val="20"/>
          <w:color w:val="auto"/>
        </w:rPr>
      </w:pPr>
    </w:p>
    <w:p>
      <w:pPr>
        <w:ind w:left="114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portfolio of investments and derivative instruments as a result of changes in market factors, such as interest rate shifts, and also portfolio specific performance, such as portfolio company defaults, among other reasons;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that exceed our net investment income and net income as reported according to U.S. GAAP;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or variations in operating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our Adviser or certain of its key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amount of any distributions we may make is uncertain. We may not be able to pay you distributions, or be able to sustain distributions at any particular level, and our distributions per share, if any, may not grow over time, and our distributions per share may be reduced. We have not established any limit on the extent to which we may use borrowings, if any, to sustain distributions and we may also use offering proceeds to fund distributions (which may reduce the amount of capital we ultimately invest in portfolio companies).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Subject to our Board of Director’s discretion and applicable legal restrictions, we intend to authorize and declare cash distributions and pay such distributions on a quarterly basis. We expect to pay distributions out of assets legally available for distribution. However, we cannot assure you that we will achieve investment results that will allow us to make a consistent targeted level of distributions or year-to-year increases in distributions. Our ability to pay distributions might be adversely affected by the impact of the risks described herein. In addition, the inability to satisfy the asset coverage test applicable to us as a BDC under the 1940 Act can limit our ability to pay distributions. Distributions from offering proceeds also could reduce the amount of capital we ultimately invest in debt or equity securities of portfolio companies. We cannot assure you that we will pay distributions to our stockholders in the future. See "Business — Regulation as a Business Development Company" in Part I, Item 1 of this Form 10-K.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Distributions on our common stock may exceed our taxable earnings and profits. Therefore, portions of the distributions that we pay may represent a return of capital to you.</w:t>
      </w:r>
    </w:p>
    <w:p>
      <w:pPr>
        <w:spacing w:after="0" w:line="15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 return of capital is a return of a portion of your original investment in shares of our common stock. As a result, a return of capital will (i) lower your adjusted tax basis in your shares and thereby increase the amount of capital gain (or decrease the amount of capital loss) realized upon a subsequent sale or redemption of such shares, and (ii) reduce the amount of funds we have for investment in portfolio companies.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pay our distributions from offering proceeds in anticipation of future cash flow, which may constitute a return of your capital and will lower your adjusted tax basis in your shares, thereby increasing the amount of capital gain (or decreasing the amount of capital loss) realized upon a subsequent sale or redemption of such shares, even if such shares have not increased in value or have, in fact, lost value.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Stockholders may experience dilution in the net asset value of their shares if they do not participate in our Dividend Reinvestment Plan and if our shares are trading at a discount to net asset value.</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All distributions declared in cash payable to stockholders that are participants in our Dividend Reinvestment Plan will be automatically reinvested in shares of our common stock. In addition, stockholders who elect not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preferred stock or convertible debt securities, the net asset value of our common stock may become more volatile.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issue preferred stock or convertible debt in the future. We cannot assure you that the issuance of preferred stock and/or convertible debt securities would result in a higher yield or return to the holders of our common stock. The issuance of preferred stock or convertible debt would likely cause the net asset value of our common stock to become more volatile. If the dividend rate on the preferred stock, or the interest rate on the convertible debt securities, were to approach the net rate of return on our investment portfolio, the benefit of such leverage to the holders of our common stock would be reduced. If the dividend rate on the preferred stock, or the interest rate on the convertible debt securities, were to exceed the net rate of return on our portfolio, the use of leverage would result in a lower rate of return to the holders of common stock than if we had not issued the preferred stock or convertible debt securities. Any decline in the net asset value of our investment would be borne entirely by the holders of our common stock. Therefore, if the market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value of our portfolio were to decline, the leverage would result in a greater decrease in net asset value to the holders of our common stock than if we were not leveraged through the issuance of preferred stock or debt securities. This decline in net asset value would also tend to cause a greater decline in the market price, if any, for our common stock.</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There is also a risk that, in the event of a sharp decline in the value of our net assets, we would be in danger of failing to maintain required asset coverage ratios, which may be required by the preferred stock or convertible debt, or our current investment income might not be sufficient to meet the dividend requirements on the preferred stock or the interest payments on the debt securities. In order to counteract such an event, we might need to liquidate investments in order to fund the redemption of some or all of the preferred stock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or convertible debt may have different interests than holders of common stock and may at times have disproportionate influence over our affairs.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MGCL and of our charter and bylaws could deter takeover attempts and have an adverse impact on the price of our common stock.</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Under Maryland General Corporation Law (the "MGCL") and our charter and bylaws contain provisions that may discourage, delay or make more difficult a change in control of us or the removal of our directors. We are subject to the Maryland Business Combination Act, subject to any applicable requirements of the 1940 Act. Our Board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of Directors determines it would be in our best interests.</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also adopted measures that may make it difficult for a third 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bylaws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Under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in recent years.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RIC Tax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U.S. federal income tax at corporate rates if we are unable to qualify as a RIC.</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Although we have elected to be treated as a RIC under Subchapter M of the Code, no assurance can be given that we will be able to qualify as and maintain our qualification as a RIC. To maintain our tax treatment as a RIC, we must meet the 90% Gross Income Test, Diversification Tests, and the Annual Distribution Requirement described above.</w:t>
      </w:r>
    </w:p>
    <w:p>
      <w:pPr>
        <w:spacing w:after="0" w:line="176"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Failure to meet the Diversification Tests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Because we may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could fail to qualify for tax treatment as a RIC.</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fail to qualify as a RIC for any reason and therefore become subject to U.S. federal income tax at corporate rates, the resulting corporate taxes could substantially reduce our net assets, the amount of income available for distribution and the amount of our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U.S. federal income tax at corporate rates. For additional discussion regarding the tax implications of our election to be taxed as a RIC, please see "Business — Certain U.S. Federal Income Tax Considerations — Taxation of the Company" in Part I, Item 1 of this Form 10-K.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COVID-19 pandemic or other disruptions in the economy, we may reduce or defer our dividends and choose to incur U.S. federal excise tax in order preserve cash and maintain flexibility.</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a BDC, we are not required to make any distributions to stockholders other than in connection with our election to be taxed as a RIC under subchapter M of the Code. In order to maintain our tax treatment as a RIC, we must meet the Annual Distribution Requirement. If we qualify for taxation as a RIC, we generally will not be subject to U.S. federal income tax at corporate rates on our investment company taxable income and net capital gains (i.e., realized net long-term capital gains in excess of realized net short-term capital losses) that we timely distribute to stockholders. We will be subject to a 4% U.S. federal excise tax on undistributed earnings of a RIC unless we distribute each calendar year at least the sum of (i) 98%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stockholders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U.S. federal income tax. Under these spillover dividend procedures, we may defer distribution of income earned during the current year until December of the following year. For example, we may defer distributions of income earned during 2022 until as late as December 31, 2023. If we choose to pay a spillover dividend, we will incur the nondeductible 4% U.S. federal excise tax on some or all of the distribution.</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Due to the ongoing COVID-19 pandemic or other disruptions in the economy, 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 "—We may choose to pay distributions in our own stock, including in connection with our Dividend Reinvestment Plan, in which case you may be required to pay U.S. federal income tax in excess of the cash you receive."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pay distributions in our own stock, including in connection with our Dividend Reinvestment Plan, in which case you may be required to pay U.S. federal income tax in excess of the cash you receive.</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distribute taxable distributions that are payable in cash or shares of our common stock, including in connection with our Dividend Reinvestment Plan.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shares of our common stock). We currently expect to qualify as a publicly offered RIC. If we qualify as a publicly offered RIC and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as defined in the Code, certain U.S. stockholders will be treated as having received a dividend from us in the amount of such U.S. stockholders’ allocable share of the management and incentive fees paid to RGC and certain of our other expenses, and these fees and expenses will be treated as miscellaneous itemized deductions of such U.S. stockholders.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 "publicly offered RIC" is a RIC whose shares are either (i) continuously offered pursuant to a public offering, (ii) regularly traded on an established securities market or (iii) held by at least 500 persons at all times during the taxable year. 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RGC and certain of our other expenses for the calendar year, and will be deductible by such shareholder only to the extent permitted under the limitations described below. For non-corporate U.S. stockholders, including individuals, trusts, and estates, significant limitations generally apply to the deductibility of certain expenses of a non-publicly offered RIC. In particular, these expenses, referred to as miscellaneous itemized deductions, currently are not deductible by non-corporate U.S. stockholders (and beginning in 2026, will be deductible only to non-corporate U.S. stockholders to the extent they exceed 2% of such non-corporate U.S. stockholders’ adjusted gross income, and will not be deductible for alternative minimum tax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and annual results.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intervention in the credit markets could adversely affect our business.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central banks and, in particular, the U.S. Federal Reserve, have taken unprecedented steps since the financial crises of 2008-2009 and again related to the COVID-19 global pandemic and rising inflation rates. It is impossible to predict if, how, and to what extent the United States and other governments would further intervene in the credit markets. Such intervention is often prompted by politically sensitive issues involving family homes, student loans, real estate speculation, credit card receivables, pandemics, etc., and could, as a result, be contrary to what we would predict from an "economically rational" perspective.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could adversely affect our business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U.S. and non-U.S. markets could experience political uncertainty and/or change that subjects investments to heightened risks, including, for instance, the risks related to the elections in the U.S. or the effect on world leaders and governments of the COVID-19 pandemic. These heightened risks could also include: increased risk of default (by both government and private issuers); greater social, trade, economic and political instability (including the risk of war or terrorist activity); greater governmental involvement in the economy; greater governmental supervision and regulation of the securities markets and market participants resulting in increased expenses related to compliance; greater fluctuations in currency exchange rates; controls or restrictions on foreign investment and/or trade, capital controls and limitations on repatriation of invested capital and on the ability to exchange currencies; inability to purchase and sell investments or otherwise settle security or derivative transactions (i.e., a market freeze); unavailability of currency hedging techniques; and slower clearance. During times of political uncertainty and/or change, global markets often become more volatile. There could also be a lower level of monitoring and regulation of markets while a country is experiencing political uncertainty and/or change, and the activities of investors in such markets and enforcement of existing regulations could become more limited. Markets experiencing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political uncertainty and/or change could have substantial, and in some periods extremely high, rates of inflation for many years. Inflation and rapid fluctuations in inflation rates typically have negative effects on such countries’ economies and markets. Tax laws could change materially, and any changes in tax laws could have an unpredictable effect on us, our investments and our investors. There can be no assurance that political changes will not cause us or our investors to suffer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widespread health emergencies or natural disasters may affect any market for our common stock, impact the businesses in which we invest and harm our business, operating results and financial condition.</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 using custodians, administrators and other agents.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 creditors in relation to assets which the custodian borrows, lends or otherwise uses. In addition, our 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and our portfolio companies are subject to laws and regulations at the U.S. federal, state and local levels and, in some cases, foreign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recently enacted legislation (including the Dodd-Frank Wall Street Reform and Consumer Protection Act (the "Dodd-Frank Act") and the regulations that have recently been adopted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and external cyber threats, as well as other disasters, could impair our ability to conduct business effectively.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incidents that adversely affects our data, resulting in increased costs and other consequences as described above.</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and our service providers continue to be impacted by government actions in response to the COVID-19 pandemic, which are obstructing the regular functioning of business workforces (including an increase in the ability of employees to work from external locations, including their homes). In addition, policies of extended periods of remote working, whether by us or our service providers, could strain technology resources, introduce operational risks and otherwise heighten the risks described above. Remote working environments may be less secure and more susceptible to hacking attacks, including phishing and social engineering attempts. Accordingly, the risks described above, are heightened under the current conditions.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how new tax legislation will affect us, our investments, or our stockholders, and any such legislation could adversely affect our business.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at 205 N. Michigan Ave., Suite 4200, Chicago, IL 60601 and are provided by the Administrator in accordance with the terms of the Administration Agreement. We and RGC also have offices located in Woodside, California; San Diego, California; Dallas, Texas; and New York, New York. We do not own any real estate. We believe that our office facilities are suitable and adequate for our business as it is contemplated to be conducted.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2, 2023, there were 162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will not be able to determine whether any specific distribution will be treated as made out of our taxable earnings or as a return of capital until after the end of our taxable year. The amount treated as a tax-free return of capital will reduce a stockholder’s adjusted basis in his or her common stock, thereby increasing his or her potential gain or reducing his or her potential loss on the subsequent sale or other disposition of his or her common stock. For the year ended December 31, 2022, the Company declared and paid dividends in the amount of $51.6 million of which $40.7 million was distributed in cash and the remainder distributed in shares to stockholders pursuant to the Company’s Dividend Reinvestment Plan. For the year ended December 31, 2021, the Company declared and paid dividends in the amount of $44.9 million of which $17.9 million was distributed in cash and the remainder distributed in shares to stockholders pursuant to the Company’s Dividend Reinvestment Plan. Total distributions for the years ended December 31, 2022 and December 31, 2021 represented distributions from income and not return of capital.</w:t>
      </w:r>
    </w:p>
    <w:p>
      <w:pPr>
        <w:spacing w:after="0" w:line="19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distributions declared on shares of our common stock during the years ended December 31, 2022 and December 31, 2021 and through March 2,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00" w:type="dxa"/>
            <w:vAlign w:val="bottom"/>
          </w:tcPr>
          <w:p>
            <w:pPr>
              <w:spacing w:after="0"/>
              <w:rPr>
                <w:sz w:val="13"/>
                <w:szCs w:val="13"/>
                <w:color w:val="auto"/>
              </w:rPr>
            </w:pPr>
          </w:p>
        </w:tc>
        <w:tc>
          <w:tcPr>
            <w:tcW w:w="19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60" w:type="dxa"/>
            <w:vAlign w:val="bottom"/>
          </w:tcPr>
          <w:p>
            <w:pPr>
              <w:spacing w:after="0"/>
              <w:rPr>
                <w:sz w:val="13"/>
                <w:szCs w:val="13"/>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Distributions per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 (through March 2, 2023)</w:t>
            </w:r>
          </w:p>
        </w:tc>
        <w:tc>
          <w:tcPr>
            <w:tcW w:w="28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7, 2023</w:t>
            </w:r>
          </w:p>
        </w:tc>
        <w:tc>
          <w:tcPr>
            <w:tcW w:w="30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March 21, 2023</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8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8, 2022</w:t>
            </w:r>
          </w:p>
        </w:tc>
        <w:tc>
          <w:tcPr>
            <w:tcW w:w="30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March 22, 2022</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May 10, 2022</w:t>
            </w:r>
          </w:p>
        </w:tc>
        <w:tc>
          <w:tcPr>
            <w:tcW w:w="3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May 24, 2022</w:t>
            </w:r>
          </w:p>
        </w:tc>
        <w:tc>
          <w:tcPr>
            <w:tcW w:w="5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8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9, 2022</w:t>
            </w:r>
          </w:p>
        </w:tc>
        <w:tc>
          <w:tcPr>
            <w:tcW w:w="30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August 23, 2022</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November 8, 2022</w:t>
            </w:r>
          </w:p>
        </w:tc>
        <w:tc>
          <w:tcPr>
            <w:tcW w:w="3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November 22, 2022</w:t>
            </w:r>
          </w:p>
        </w:tc>
        <w:tc>
          <w:tcPr>
            <w:tcW w:w="5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5, 2021</w:t>
            </w:r>
          </w:p>
        </w:tc>
        <w:tc>
          <w:tcPr>
            <w:tcW w:w="3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March 19, 2021</w:t>
            </w:r>
          </w:p>
        </w:tc>
        <w:tc>
          <w:tcPr>
            <w:tcW w:w="5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8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30, 2021</w:t>
            </w:r>
          </w:p>
        </w:tc>
        <w:tc>
          <w:tcPr>
            <w:tcW w:w="30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May 13, 2021</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8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 2021</w:t>
            </w:r>
          </w:p>
        </w:tc>
        <w:tc>
          <w:tcPr>
            <w:tcW w:w="3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August 12, 2021</w:t>
            </w:r>
          </w:p>
        </w:tc>
        <w:tc>
          <w:tcPr>
            <w:tcW w:w="5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28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8, 2021</w:t>
            </w:r>
          </w:p>
        </w:tc>
        <w:tc>
          <w:tcPr>
            <w:tcW w:w="30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November 22, 2021</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elected to be treated, currently qualify, and intend to continue to qualify, as a RIC under Subchapter M of the Code. While we intend to qualify to be treated as a RIC annually, we anticipate that we may have difficulty satisfying the asset diversification requirements as we deploy capital and build our investment portfolio. If we fail to qualify as a RIC for any taxable year, we will be subject to U.S. federal income tax at corporate rates on any net taxable income for such year. See "Business — Certain U.S. Federal Income Tax Considerations" in Part I, Item 1 of this Form 10-K and "Note 2 —  Summary of Significant Accounting Policies" to our financial statements in Part II, Item 8 of this Form 10-K for more information. To maintain RIC tax treatment, we must distribute at least 90% of our net ordinary income and net realized short-term capital gains in excess of our net realized long-term capital losses, if any, to our stockholders. In order to avoid certain excise taxes imposed on RICs, we currently intend to distribute during each calendar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year an amount at least equal to the sum of: (a) 98% of our ordinary income (not taking into account any capital gains or losses) for such calendar year; (b) 98.2% of the amount by which our capital gains exceed our capital losses (adjusted for certain ordinary losses) for a one-year period ending on October 31 of the calendar year; and (c) any net ordinary income and capital gain net income that we recognized in previous years but was not distributed during such years and on which we paid no U.S. federal income tax.</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currently intend to distribute net long-term capital gains if any, at least annually out of the assets legally available for such distributions. However, we may in the future decide to retain some or all of our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such stockholder’s tax adjusted basis in such stockholder’s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such individual stockholder’s other U.S. federal income tax obligations or may be refunded to the extent it exceeds such individual stockholder’s liability for U.S. federal income tax. We cannot assure any stockholder that we will achieve results that will permit us to pay any cash distributions, and if we issue senior securities, we may be prohibited from making distributions if doing so would cause us to fail to maintain the asset coverage ratios stipulated by the 1940 Act or if such distributions are limited by the terms of any of our borrowings.</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Unless a stockholder elects to receive distributions in cash, we intend to make such distributions in additional shares of our common stock under our Dividend Reinvestment Plan.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 If a stockholder holds shares of our common stock in the name of a broker or financial intermediary, such stockholder should contact such broker or financial intermediary regarding the election to receive distributions in cash in lieu of shares of our common stock. Any distributions reinvested through the issuance of shares of our common stock through our Dividend Reinvestment Plan will increase our assets on which the incentive fee is determined and paid to RGC. See "— Dividend Reinvestment Plan"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dividends and other distributions on behalf of our stockholders. As a result of adopting such a plan, if our Board of Directors authorizes, and we declare, a cash dividend or distribution, our stockholders who have opted in our Dividend Reinvestment Plan will have their cash dividends or distributions automatically reinvested in additional shares of our common stock, rather than receiving cash.</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LLC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shares are purchased in the open market to implement the Dividend Reinvestment Plan, the number of shares to be issued to a stockholder shall be determined by dividing the dollar amount of the cash dividend payable to such stockholder by the weighted average price per share for all shares purchased by the plan administrator in the open market in connection with the dividend.</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 action will be required on the part of a registered stockholder to have his or her cash dividends and distributions reinvested in shares of our common stock. A registered stockholder could instead elect to receive a dividend or distribution in cash by notifying RGC in writing, so that such notice is received by RGC no later than five days prior to the record date for distributions to the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RGC will set up an account for shares of our common stock acquired through the plan for each stockholder who does not elect to receive dividends and distributions in cash and hold such shares in non-certificated form. Those stockholders whose shares are held by a broker or other financial intermediary may receive dividends and distributions in cash by notifying their broker or other financial intermediary of their election.</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Stockholders who receive dividends and distributions in the form of stock are generally subject to the same U.S. federal, state and local tax consequences as are stockholders who elect to receive their dividends and distributions in cash. However, since a participating stockholder’s cash dividends and distributions will be reinvested in our common stock, such stockholder will not receive cash with which to pay applicable taxes on reinvested dividends and distributions. A stockholder’s basis for determining gain or loss upon the sale of stock received in a dividend or distribution from us will generally be equal to the cash that would have been received if the stockholder had received the dividend or distribution in cash, unless we were to issue new shares that are trading at or above net asset value, in which case, the stockholder’s basis in the new shares will generally be equal to their fair market value. Any stock received in a dividend or distribution will have a new holding period for tax purposes commencing on the day following the day on which the shares are credited to the U.S. stockholder’s account.</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plan is terminable by us upon notice in writing mailed to each stockholder of record at least 30 days prior to any record date for the payment of any distribution by us. All correspondence concerning the plan should be directed to RGC by mail at Runway Growth Capital LLC, 205 N. Michigan Ave., Suite 4200, Chicago, IL 60601.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 On March 1, 2023, the last reported closing sales price of our common stock on the Nasdaq Global Select Market LLC was $12.89 per share, which represented a discount of approximately 9.4% to our NAV per share of $14.22 as of December 31, 2022.</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Prior to our IPO, the shares of our common stock were offered and sold in transactions exempt from registration under the Securities Act. As such, there was no public market for shares of our common stock during the year ended December 31, 2020 and through the period ended October 20, 2021.</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most recent fiscal quarter's NAV per share of our common stock, the high and low closing sales prices of our common stock, such sales prices as a percentage of NAV per share and quarterly distribution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Premium/Discount</w:t>
            </w:r>
          </w:p>
        </w:tc>
        <w:tc>
          <w:tcPr>
            <w:tcW w:w="8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Premium/Discount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High Sales Price</w:t>
            </w:r>
          </w:p>
        </w:tc>
        <w:tc>
          <w:tcPr>
            <w:tcW w:w="8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Low Sales Price to</w:t>
            </w:r>
          </w:p>
        </w:tc>
        <w:tc>
          <w:tcPr>
            <w:tcW w:w="60" w:type="dxa"/>
            <w:vAlign w:val="bottom"/>
          </w:tcPr>
          <w:p>
            <w:pPr>
              <w:spacing w:after="0"/>
              <w:rPr>
                <w:sz w:val="12"/>
                <w:szCs w:val="12"/>
                <w:color w:val="auto"/>
              </w:rPr>
            </w:pPr>
          </w:p>
        </w:tc>
        <w:tc>
          <w:tcPr>
            <w:tcW w:w="8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2"/>
              </w:rPr>
              <w:t>to NAV</w:t>
            </w:r>
            <w:r>
              <w:rPr>
                <w:rFonts w:ascii="Times New Roman" w:cs="Times New Roman" w:eastAsia="Times New Roman" w:hAnsi="Times New Roman"/>
                <w:sz w:val="19"/>
                <w:szCs w:val="19"/>
                <w:b w:val="1"/>
                <w:bCs w:val="1"/>
                <w:color w:val="auto"/>
                <w:w w:val="92"/>
                <w:vertAlign w:val="superscript"/>
              </w:rPr>
              <w:t>(2)</w:t>
            </w:r>
          </w:p>
        </w:tc>
        <w:tc>
          <w:tcPr>
            <w:tcW w:w="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88"/>
              </w:rPr>
              <w:t>NAV</w:t>
            </w:r>
            <w:r>
              <w:rPr>
                <w:rFonts w:ascii="Times New Roman" w:cs="Times New Roman" w:eastAsia="Times New Roman" w:hAnsi="Times New Roman"/>
                <w:sz w:val="19"/>
                <w:szCs w:val="19"/>
                <w:b w:val="1"/>
                <w:bCs w:val="1"/>
                <w:color w:val="auto"/>
                <w:w w:val="88"/>
                <w:vertAlign w:val="superscript"/>
              </w:rPr>
              <w:t>(2)</w:t>
            </w:r>
          </w:p>
        </w:tc>
        <w:tc>
          <w:tcPr>
            <w:tcW w:w="6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Fourth Quarter</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2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(4.9 ) %</w:t>
            </w:r>
          </w:p>
        </w:tc>
        <w:tc>
          <w:tcPr>
            <w:tcW w:w="14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(20.5 )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Third Quarter</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5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(2.2 )</w:t>
            </w:r>
          </w:p>
        </w:tc>
        <w:tc>
          <w:tcPr>
            <w:tcW w:w="14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rPr>
              <w:t>(20.4 )</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Second 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5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2.6</w:t>
            </w:r>
          </w:p>
        </w:tc>
        <w:tc>
          <w:tcPr>
            <w:tcW w:w="14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(22.3 )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First Quarter</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5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2.2</w:t>
            </w:r>
          </w:p>
        </w:tc>
        <w:tc>
          <w:tcPr>
            <w:tcW w:w="14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rPr>
              <w:t>(15.5 )</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FF0FC"/>
          </w:tcPr>
          <w:p>
            <w:pPr>
              <w:ind w:left="120"/>
              <w:spacing w:after="0" w:line="175" w:lineRule="exact"/>
              <w:rPr>
                <w:sz w:val="20"/>
                <w:szCs w:val="20"/>
                <w:color w:val="auto"/>
              </w:rPr>
            </w:pPr>
            <w:r>
              <w:rPr>
                <w:rFonts w:ascii="Times New Roman" w:cs="Times New Roman" w:eastAsia="Times New Roman" w:hAnsi="Times New Roman"/>
                <w:sz w:val="14"/>
                <w:szCs w:val="14"/>
                <w:color w:val="auto"/>
              </w:rPr>
              <w:t>Fourth Quarter</w:t>
            </w:r>
            <w:r>
              <w:rPr>
                <w:rFonts w:ascii="Times New Roman" w:cs="Times New Roman" w:eastAsia="Times New Roman" w:hAnsi="Times New Roman"/>
                <w:sz w:val="19"/>
                <w:szCs w:val="19"/>
                <w:color w:val="auto"/>
                <w:vertAlign w:val="superscript"/>
              </w:rPr>
              <w:t>(4)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 %</w:t>
            </w:r>
          </w:p>
        </w:tc>
        <w:tc>
          <w:tcPr>
            <w:tcW w:w="140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4"/>
                <w:szCs w:val="14"/>
                <w:color w:val="auto"/>
              </w:rPr>
              <w:t>(17.8 ) %</w:t>
            </w: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right="320" w:hanging="374"/>
        <w:spacing w:after="0" w:line="184" w:lineRule="auto"/>
        <w:tabs>
          <w:tab w:leader="none" w:pos="76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NAV per share is generally determined as of the last day in the relevant quarter and therefore may not reflect the NAV per share on the date of the high and low sales prices. The NAVs shown are based on outstanding shares at the end of each period.</w:t>
      </w:r>
    </w:p>
    <w:p>
      <w:pPr>
        <w:spacing w:after="0" w:line="22" w:lineRule="exact"/>
        <w:rPr>
          <w:rFonts w:ascii="Times New Roman" w:cs="Times New Roman" w:eastAsia="Times New Roman" w:hAnsi="Times New Roman"/>
          <w:sz w:val="24"/>
          <w:szCs w:val="24"/>
          <w:color w:val="auto"/>
          <w:vertAlign w:val="superscript"/>
        </w:rPr>
      </w:pPr>
    </w:p>
    <w:p>
      <w:pPr>
        <w:ind w:left="760" w:hanging="374"/>
        <w:spacing w:after="0"/>
        <w:tabs>
          <w:tab w:leader="none" w:pos="76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Calculated as the respective high or low closing price less net asset value, divided by net asset value (in each case, as of the applicable quarter.</w:t>
      </w:r>
    </w:p>
    <w:p>
      <w:pPr>
        <w:spacing w:after="0" w:line="99" w:lineRule="exact"/>
        <w:rPr>
          <w:rFonts w:ascii="Times New Roman" w:cs="Times New Roman" w:eastAsia="Times New Roman" w:hAnsi="Times New Roman"/>
          <w:sz w:val="24"/>
          <w:szCs w:val="24"/>
          <w:color w:val="auto"/>
          <w:vertAlign w:val="superscript"/>
        </w:rPr>
      </w:pPr>
    </w:p>
    <w:p>
      <w:pPr>
        <w:ind w:left="760" w:hanging="374"/>
        <w:spacing w:after="0" w:line="195" w:lineRule="auto"/>
        <w:tabs>
          <w:tab w:leader="none" w:pos="76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Represents the dividend or distribution declared in the relevant quarter.</w:t>
      </w:r>
    </w:p>
    <w:p>
      <w:pPr>
        <w:spacing w:after="0" w:line="99" w:lineRule="exact"/>
        <w:rPr>
          <w:rFonts w:ascii="Times New Roman" w:cs="Times New Roman" w:eastAsia="Times New Roman" w:hAnsi="Times New Roman"/>
          <w:sz w:val="24"/>
          <w:szCs w:val="24"/>
          <w:color w:val="auto"/>
          <w:vertAlign w:val="superscript"/>
        </w:rPr>
      </w:pPr>
    </w:p>
    <w:p>
      <w:pPr>
        <w:ind w:left="760" w:hanging="374"/>
        <w:spacing w:after="0" w:line="195" w:lineRule="auto"/>
        <w:tabs>
          <w:tab w:leader="none" w:pos="76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Shares of our common stock began trading on the Nasdaq Global Select Market LLC on October 21, 2021 under the trading symbol "RWAY."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stockholder return on our common stock from October 21, 2021 (the date our common stock commenced trading on the Nasdaq Global Select Market LLC) to December 31, 2022, with that of the Standard &amp; Poor’s 500 Stock Index, the NASDAQ Financial 100 Index, and the Wells Fargo BDC Index. This graph assumes that on October 21, 2021, $100 was invested in our common stock, the Standard &amp; Poor’s BDC Index, the NASDAQ Financial 100 Index, and the Wells Fargo BDC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185" w:lineRule="exact"/>
        <w:rPr>
          <w:sz w:val="20"/>
          <w:szCs w:val="20"/>
          <w:color w:val="auto"/>
        </w:rPr>
      </w:pPr>
    </w:p>
    <w:p>
      <w:pPr>
        <w:jc w:val="center"/>
        <w:ind w:left="700" w:right="2580"/>
        <w:spacing w:after="0" w:line="268" w:lineRule="auto"/>
        <w:rPr>
          <w:sz w:val="20"/>
          <w:szCs w:val="20"/>
          <w:color w:val="auto"/>
        </w:rPr>
      </w:pPr>
      <w:r>
        <w:rPr>
          <w:rFonts w:ascii="Times New Roman" w:cs="Times New Roman" w:eastAsia="Times New Roman" w:hAnsi="Times New Roman"/>
          <w:sz w:val="18"/>
          <w:szCs w:val="18"/>
          <w:b w:val="1"/>
          <w:bCs w:val="1"/>
          <w:color w:val="auto"/>
        </w:rPr>
        <w:t>COMPARISON OF CUMULATIVE TOTAL RETURN Among Runway Growth Finance Corp., the Standard &amp; Poor’s 500 Index, The NASDAQ Financial 100 Index, and the Wells Fargo BDC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122555</wp:posOffset>
            </wp:positionV>
            <wp:extent cx="5151755" cy="27343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5175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60" w:hanging="379"/>
        <w:spacing w:after="0"/>
        <w:tabs>
          <w:tab w:leader="none" w:pos="306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Cumulative stockholder return is calculated on the closing stock prices for each respective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200" w:lineRule="exact"/>
        <w:rPr>
          <w:sz w:val="20"/>
          <w:szCs w:val="20"/>
          <w:color w:val="auto"/>
        </w:rPr>
      </w:pPr>
    </w:p>
    <w:p>
      <w:pPr>
        <w:ind w:firstLine="374"/>
        <w:spacing w:after="0" w:line="250" w:lineRule="exact"/>
        <w:rPr>
          <w:sz w:val="20"/>
          <w:szCs w:val="20"/>
          <w:color w:val="auto"/>
        </w:rPr>
      </w:pPr>
      <w:r>
        <w:rPr>
          <w:rFonts w:ascii="Times New Roman" w:cs="Times New Roman" w:eastAsia="Times New Roman" w:hAnsi="Times New Roman"/>
          <w:sz w:val="18"/>
          <w:szCs w:val="18"/>
          <w:color w:val="auto"/>
        </w:rPr>
        <w:t>Except as previously reported by us on our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quarterly reports on Form 10-Q, we did not sell any securities during the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that were not registered under the Securities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99"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to the extent that we use leverage as part of our investment strategy;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entities and our affiliates for investment opportunities;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illiquid nature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financing sources and working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the impact of the COVID-19 pandemic thereon;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external investment adviser, RGC, to locate suitable investments for us and to monitor and administer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RGC to attract and retain highly talented professionals;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RIC under Subchapter M of the Code, and as a BDC;</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88" w:lineRule="exact"/>
        <w:rPr>
          <w:rFonts w:ascii="Times New Roman" w:cs="Times New Roman" w:eastAsia="Times New Roman" w:hAnsi="Times New Roman"/>
          <w:sz w:val="18"/>
          <w:szCs w:val="18"/>
          <w:color w:val="auto"/>
        </w:rPr>
      </w:pPr>
    </w:p>
    <w:p>
      <w:pPr>
        <w:ind w:left="760" w:right="20" w:hanging="378"/>
        <w:spacing w:after="0" w:line="239" w:lineRule="exact"/>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uncertainties and other factors we identify under "Risk Factors"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in our other filings with the SEC.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24" w:lineRule="exact"/>
        <w:rPr>
          <w:sz w:val="20"/>
          <w:szCs w:val="20"/>
          <w:color w:val="auto"/>
        </w:rPr>
      </w:pPr>
      <w:r>
        <w:rPr>
          <w:rFonts w:ascii="Times New Roman" w:cs="Times New Roman" w:eastAsia="Times New Roman" w:hAnsi="Times New Roman"/>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should not be regarded as a representation by us that our plans and objectives will be achieved. These risks and uncertainties include those described or identified in "Risk Factors" in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50" w:lineRule="exact"/>
        <w:rPr>
          <w:sz w:val="20"/>
          <w:szCs w:val="20"/>
          <w:color w:val="auto"/>
        </w:rPr>
      </w:pPr>
    </w:p>
    <w:p>
      <w:pPr>
        <w:jc w:val="both"/>
        <w:ind w:firstLine="374"/>
        <w:spacing w:after="0" w:line="229" w:lineRule="exact"/>
        <w:rPr>
          <w:sz w:val="20"/>
          <w:szCs w:val="20"/>
          <w:color w:val="auto"/>
        </w:rPr>
      </w:pPr>
      <w:r>
        <w:rPr>
          <w:rFonts w:ascii="Times New Roman" w:cs="Times New Roman" w:eastAsia="Times New Roman" w:hAnsi="Times New Roman"/>
          <w:sz w:val="18"/>
          <w:szCs w:val="18"/>
          <w:color w:val="auto"/>
        </w:rPr>
        <w:t>We have based the forward-looking statements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on information available to us on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82"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financial statements and the related notes thereto contained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continue to qualify, as a RIC under Subchapter M of the Code. If we fail to qualify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the sum of 90% of our investment company taxable income and 90% of our net tax-exempt interest.</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last day of our fiscal year following the fifth anniversary of the closing of our IPO, which occurred on October 25, 2021, or until the earliest of   (i) the last day of the first fiscal year in which we have total annual gross revenue of  $1.07 billion or more, (ii) December 31 of the fiscal year in which we become a "large accelerated filer" as defined in Rule 12b-2 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3" w:lineRule="exact"/>
        <w:rPr>
          <w:sz w:val="20"/>
          <w:szCs w:val="20"/>
          <w:color w:val="auto"/>
        </w:rPr>
      </w:pPr>
    </w:p>
    <w:p>
      <w:pPr>
        <w:ind w:firstLine="8"/>
        <w:spacing w:after="0" w:line="260" w:lineRule="auto"/>
        <w:tabs>
          <w:tab w:leader="none" w:pos="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externally managed by RGC, an investment adviser that has registered with the SEC under the Investment Advisers Act of 1940,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Administrator, a wholly-owned subsidiary of RGC, provides all the administrative services necessary for us to operate.</w:t>
      </w:r>
    </w:p>
    <w:p>
      <w:pPr>
        <w:spacing w:after="0" w:line="20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August 10, 2020, we, RGC, and certain other funds and accounts sponsored or managed by RGC and/or its affiliates were granted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At December 31, 2022, we had investments in 49 portfolio companies, representing 28 companies in which we held loan and warrant investments, one companies in which we held loan investments and shares of common, preferred stock, or a combination with warrants, six companies in which we held a loan investment only, nine companies in which we held warrant investments only, and five companies in which we held shares of common or preferred stock only, or a combination with warrants. The following table shows the fair value of our investments, by asset class, as of December 31, 2022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 Total Portfolio</w:t>
            </w:r>
          </w:p>
        </w:tc>
      </w:tr>
      <w:tr>
        <w:trPr>
          <w:trHeight w:val="16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Stocks</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Stocks</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4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12,682</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1,096,724</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Lien Term Loans</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4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19,127</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16,755</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69"/>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3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1,150,602</w:t>
            </w:r>
          </w:p>
        </w:tc>
        <w:tc>
          <w:tcPr>
            <w:tcW w:w="40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spacing w:after="0"/>
              <w:rPr>
                <w:sz w:val="14"/>
                <w:szCs w:val="14"/>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64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6"/>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3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r>
      <w:tr>
        <w:trPr>
          <w:trHeight w:val="169"/>
        </w:trPr>
        <w:tc>
          <w:tcPr>
            <w:tcW w:w="34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88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1,150,602</w:t>
            </w:r>
          </w:p>
        </w:tc>
        <w:tc>
          <w:tcPr>
            <w:tcW w:w="90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1,126,309</w:t>
            </w:r>
          </w:p>
        </w:tc>
        <w:tc>
          <w:tcPr>
            <w:tcW w:w="2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4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-376555</wp:posOffset>
            </wp:positionV>
            <wp:extent cx="6858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-376555</wp:posOffset>
            </wp:positionV>
            <wp:extent cx="6858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-376555</wp:posOffset>
            </wp:positionV>
            <wp:extent cx="6858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-144780</wp:posOffset>
            </wp:positionV>
            <wp:extent cx="6858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-144780</wp:posOffset>
            </wp:positionV>
            <wp:extent cx="6858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-144780</wp:posOffset>
            </wp:positionV>
            <wp:extent cx="6858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December 31, 2021, we had investments in 39 portfolio companies, representing 20 companies where we held loan and warrant investments, 12 companies where we held warrant interests only, and we held one U.S. Treasury Bill. The following table shows the fair value of our investments, by asset class, as of December 31, 2021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 Total Portfolio</w:t>
            </w:r>
          </w:p>
        </w:tc>
      </w:tr>
      <w:tr>
        <w:trPr>
          <w:trHeight w:val="16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Stocks</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Stocks</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17,338</w:t>
            </w:r>
          </w:p>
        </w:tc>
        <w:tc>
          <w:tcPr>
            <w:tcW w:w="4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r>
      <w:tr>
        <w:trPr>
          <w:trHeight w:val="176"/>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629,009</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623,054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Lien Term Loans</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4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r>
      <w:tr>
        <w:trPr>
          <w:trHeight w:val="17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18,393</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69"/>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30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682,323</w:t>
            </w:r>
          </w:p>
        </w:tc>
        <w:tc>
          <w:tcPr>
            <w:tcW w:w="40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684,515</w:t>
            </w:r>
          </w:p>
        </w:tc>
        <w:tc>
          <w:tcPr>
            <w:tcW w:w="640" w:type="dxa"/>
            <w:vAlign w:val="bottom"/>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93.83</w:t>
            </w:r>
          </w:p>
        </w:tc>
        <w:tc>
          <w:tcPr>
            <w:tcW w:w="10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r>
      <w:tr>
        <w:trPr>
          <w:trHeight w:val="176"/>
        </w:trPr>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5"/>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30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40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6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r>
      <w:tr>
        <w:trPr>
          <w:trHeight w:val="169"/>
        </w:trPr>
        <w:tc>
          <w:tcPr>
            <w:tcW w:w="34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88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727,324</w:t>
            </w:r>
          </w:p>
        </w:tc>
        <w:tc>
          <w:tcPr>
            <w:tcW w:w="88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w:t>
            </w:r>
          </w:p>
        </w:tc>
        <w:tc>
          <w:tcPr>
            <w:tcW w:w="20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100.00</w:t>
            </w:r>
          </w:p>
        </w:tc>
        <w:tc>
          <w:tcPr>
            <w:tcW w:w="4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-145415</wp:posOffset>
            </wp:positionV>
            <wp:extent cx="685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-145415</wp:posOffset>
            </wp:positionV>
            <wp:extent cx="6858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-145415</wp:posOffset>
            </wp:positionV>
            <wp:extent cx="6858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40" w:firstLine="374"/>
        <w:spacing w:after="0" w:line="255" w:lineRule="auto"/>
        <w:rPr>
          <w:sz w:val="20"/>
          <w:szCs w:val="20"/>
          <w:color w:val="auto"/>
        </w:rPr>
      </w:pPr>
      <w:r>
        <w:rPr>
          <w:rFonts w:ascii="Times New Roman" w:cs="Times New Roman" w:eastAsia="Times New Roman" w:hAnsi="Times New Roman"/>
          <w:sz w:val="18"/>
          <w:szCs w:val="18"/>
          <w:color w:val="231F20"/>
        </w:rPr>
        <w:t>For the years ended December 31, 2022, December 31, 2021, and December 31, 2020, our debt investment portfolio had a dollar-weighted annualized yield of 13.71%, 13.77%, and 14.91%, respectively. We calculate the yield on dollar-weighted debt investments for any period measured as (1) total related investment income during the period divided by (2) the daily average of the fair value of debt investments outstanding during the period. As of December 31, 2022, our debt investments had a dollar-weighted average outstanding term of 56 months at origination and a dollar-weighted average remaining term of 44 months, or approximately 3.7 years. As of December 31, 2022, substantially all of our debt investments had an original committed principal amount of between $6.0 million and $85.0 million, repayment terms of between 36 months and 62 months and pay cash interest at annual interest rates of between 5.69% and 15.79%.</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The following table shows our dollar-weighted annualized yield by investment type for the years ended December 31, 2022,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9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19"/>
                <w:szCs w:val="19"/>
                <w:b w:val="1"/>
                <w:bCs w:val="1"/>
                <w:color w:val="auto"/>
                <w:w w:val="96"/>
                <w:vertAlign w:val="superscript"/>
              </w:rPr>
              <w:t>(1)</w:t>
            </w: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5"/>
              </w:rPr>
              <w:t>Cost</w:t>
            </w:r>
            <w:r>
              <w:rPr>
                <w:rFonts w:ascii="Times New Roman" w:cs="Times New Roman" w:eastAsia="Times New Roman" w:hAnsi="Times New Roman"/>
                <w:sz w:val="19"/>
                <w:szCs w:val="19"/>
                <w:b w:val="1"/>
                <w:bCs w:val="1"/>
                <w:color w:val="auto"/>
                <w:w w:val="95"/>
                <w:vertAlign w:val="superscript"/>
              </w:rPr>
              <w:t>(2)</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58"/>
        </w:trPr>
        <w:tc>
          <w:tcPr>
            <w:tcW w:w="1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4"/>
          </w:tcPr>
          <w:p>
            <w:pPr>
              <w:jc w:val="center"/>
              <w:ind w:right="40"/>
              <w:spacing w:after="0" w:line="158"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7"/>
        </w:trPr>
        <w:tc>
          <w:tcPr>
            <w:tcW w:w="1980" w:type="dxa"/>
            <w:vAlign w:val="bottom"/>
          </w:tcPr>
          <w:p>
            <w:pPr>
              <w:spacing w:after="0"/>
              <w:rPr>
                <w:sz w:val="16"/>
                <w:szCs w:val="16"/>
                <w:color w:val="auto"/>
              </w:rPr>
            </w:pP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32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8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6"/>
                <w:szCs w:val="16"/>
                <w:color w:val="auto"/>
              </w:rPr>
            </w:pPr>
          </w:p>
        </w:tc>
      </w:tr>
      <w:tr>
        <w:trPr>
          <w:trHeight w:val="169"/>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11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r>
      <w:tr>
        <w:trPr>
          <w:trHeight w:val="176"/>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13.71</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1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3.42</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investments</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13.22</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jc w:val="both"/>
        <w:ind w:left="760" w:right="20" w:hanging="374"/>
        <w:spacing w:after="0" w:line="194" w:lineRule="auto"/>
        <w:tabs>
          <w:tab w:leader="none" w:pos="76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110" w:lineRule="exact"/>
        <w:rPr>
          <w:rFonts w:ascii="Times New Roman" w:cs="Times New Roman" w:eastAsia="Times New Roman" w:hAnsi="Times New Roman"/>
          <w:sz w:val="24"/>
          <w:szCs w:val="24"/>
          <w:color w:val="auto"/>
          <w:vertAlign w:val="superscript"/>
        </w:rPr>
      </w:pPr>
    </w:p>
    <w:p>
      <w:pPr>
        <w:jc w:val="both"/>
        <w:ind w:left="760" w:hanging="374"/>
        <w:spacing w:after="0" w:line="194" w:lineRule="auto"/>
        <w:tabs>
          <w:tab w:leader="none" w:pos="76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2022, the Company funded, net of upfront fees at origination, $396.5 million in 14 new portfolio companies and $226.2 million in 12 existing portfolio companies. The Company also received $159.2 million in loan repayments or sales from 8 portfolio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Reconciliation</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investment portfolio, including U.S. Treasury Bills, for the years ended December 31, 2022, 2021 and 2020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Investment Portfolio</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729,516</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621,827</w:t>
            </w:r>
          </w:p>
        </w:tc>
        <w:tc>
          <w:tcPr>
            <w:tcW w:w="22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467,982</w:t>
            </w:r>
          </w:p>
        </w:tc>
        <w:tc>
          <w:tcPr>
            <w:tcW w:w="100" w:type="dxa"/>
            <w:vAlign w:val="bottom"/>
          </w:tcPr>
          <w:p>
            <w:pPr>
              <w:spacing w:after="0"/>
              <w:rPr>
                <w:sz w:val="14"/>
                <w:szCs w:val="14"/>
                <w:color w:val="auto"/>
              </w:rPr>
            </w:pPr>
          </w:p>
        </w:tc>
      </w:tr>
      <w:tr>
        <w:trPr>
          <w:trHeight w:val="175"/>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622,719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424,441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272,533</w:t>
            </w:r>
          </w:p>
        </w:tc>
        <w:tc>
          <w:tcPr>
            <w:tcW w:w="100" w:type="dxa"/>
            <w:vAlign w:val="bottom"/>
            <w:shd w:val="clear" w:color="auto" w:fill="CFF0FC"/>
          </w:tcPr>
          <w:p>
            <w:pPr>
              <w:spacing w:after="0"/>
              <w:rPr>
                <w:sz w:val="15"/>
                <w:szCs w:val="15"/>
                <w:color w:val="auto"/>
              </w:rPr>
            </w:pPr>
          </w:p>
        </w:tc>
      </w:tr>
      <w:tr>
        <w:trPr>
          <w:trHeight w:val="17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00" w:type="dxa"/>
            <w:vAlign w:val="bottom"/>
          </w:tcPr>
          <w:p>
            <w:pPr>
              <w:spacing w:after="0"/>
              <w:rPr>
                <w:sz w:val="15"/>
                <w:szCs w:val="15"/>
                <w:color w:val="auto"/>
              </w:rPr>
            </w:pPr>
          </w:p>
        </w:tc>
      </w:tr>
      <w:tr>
        <w:trPr>
          <w:trHeight w:val="175"/>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210,002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100" w:type="dxa"/>
            <w:vAlign w:val="bottom"/>
            <w:shd w:val="clear" w:color="auto" w:fill="CFF0FC"/>
          </w:tcPr>
          <w:p>
            <w:pPr>
              <w:spacing w:after="0"/>
              <w:rPr>
                <w:sz w:val="15"/>
                <w:szCs w:val="15"/>
                <w:color w:val="auto"/>
              </w:rPr>
            </w:pPr>
          </w:p>
        </w:tc>
      </w:tr>
      <w:tr>
        <w:trPr>
          <w:trHeight w:val="17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100" w:type="dxa"/>
            <w:vAlign w:val="bottom"/>
          </w:tcPr>
          <w:p>
            <w:pPr>
              <w:spacing w:after="0"/>
              <w:rPr>
                <w:sz w:val="15"/>
                <w:szCs w:val="15"/>
                <w:color w:val="auto"/>
              </w:rPr>
            </w:pPr>
          </w:p>
        </w:tc>
      </w:tr>
      <w:tr>
        <w:trPr>
          <w:trHeight w:val="175"/>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or Repayments of Investments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(159,144 )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(297,825 )</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(107,611 )</w:t>
            </w:r>
          </w:p>
        </w:tc>
      </w:tr>
      <w:tr>
        <w:trPr>
          <w:trHeight w:val="17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Scheduled Principal Payments of Investments</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(9,754 )</w:t>
            </w:r>
          </w:p>
        </w:tc>
        <w:tc>
          <w:tcPr>
            <w:tcW w:w="2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(5,777 )</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(2,949 )</w:t>
            </w:r>
          </w:p>
        </w:tc>
      </w:tr>
      <w:tr>
        <w:trPr>
          <w:trHeight w:val="175"/>
        </w:trPr>
        <w:tc>
          <w:tcPr>
            <w:tcW w:w="72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Sales and Maturities of U.S. Treasury Bills</w:t>
            </w:r>
            <w:r>
              <w:rPr>
                <w:rFonts w:ascii="Times New Roman" w:cs="Times New Roman" w:eastAsia="Times New Roman" w:hAnsi="Times New Roman"/>
                <w:sz w:val="19"/>
                <w:szCs w:val="19"/>
                <w:color w:val="auto"/>
                <w:vertAlign w:val="superscript"/>
              </w:rPr>
              <w:t>(1)</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(45,000 )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(234,999 )</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(305,984 )</w:t>
            </w:r>
          </w:p>
        </w:tc>
      </w:tr>
      <w:tr>
        <w:trPr>
          <w:trHeight w:val="17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 on Investments</w:t>
            </w:r>
          </w:p>
        </w:tc>
        <w:tc>
          <w:tcPr>
            <w:tcW w:w="2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(1,061 )</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(5,347 )</w:t>
            </w:r>
          </w:p>
        </w:tc>
      </w:tr>
      <w:tr>
        <w:trPr>
          <w:trHeight w:val="175"/>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2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(26,485 )</w:t>
            </w: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(3,045 )</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14,257</w:t>
            </w:r>
          </w:p>
        </w:tc>
        <w:tc>
          <w:tcPr>
            <w:tcW w:w="100" w:type="dxa"/>
            <w:vAlign w:val="bottom"/>
            <w:shd w:val="clear" w:color="auto" w:fill="CFF0FC"/>
          </w:tcPr>
          <w:p>
            <w:pPr>
              <w:spacing w:after="0"/>
              <w:rPr>
                <w:sz w:val="15"/>
                <w:szCs w:val="15"/>
                <w:color w:val="auto"/>
              </w:rPr>
            </w:pPr>
          </w:p>
        </w:tc>
      </w:tr>
      <w:tr>
        <w:trPr>
          <w:trHeight w:val="169"/>
        </w:trPr>
        <w:tc>
          <w:tcPr>
            <w:tcW w:w="720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Investment Portfolio</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1,126,309</w:t>
            </w: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621,827</w:t>
            </w:r>
          </w:p>
        </w:tc>
        <w:tc>
          <w:tcPr>
            <w:tcW w:w="100" w:type="dxa"/>
            <w:vAlign w:val="bottom"/>
            <w:tcBorders>
              <w:top w:val="single" w:sz="8" w:color="CFF0FC"/>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-145415</wp:posOffset>
            </wp:positionV>
            <wp:extent cx="6858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-145415</wp:posOffset>
            </wp:positionV>
            <wp:extent cx="6858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8" w:lineRule="exact"/>
        <w:rPr>
          <w:sz w:val="20"/>
          <w:szCs w:val="20"/>
          <w:color w:val="auto"/>
        </w:rPr>
      </w:pPr>
    </w:p>
    <w:p>
      <w:pPr>
        <w:ind w:left="760" w:hanging="374"/>
        <w:spacing w:after="0"/>
        <w:tabs>
          <w:tab w:leader="none" w:pos="76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Includes $26,000 in U.S. Treasury Bills sold short for the year ended December 31, 2020.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80" w:type="dxa"/>
            <w:vAlign w:val="bottom"/>
          </w:tcPr>
          <w:p>
            <w:pPr>
              <w:spacing w:after="0"/>
              <w:rPr>
                <w:sz w:val="13"/>
                <w:szCs w:val="13"/>
                <w:color w:val="auto"/>
              </w:rPr>
            </w:pPr>
          </w:p>
        </w:tc>
        <w:tc>
          <w:tcPr>
            <w:tcW w:w="9980" w:type="dxa"/>
            <w:vAlign w:val="bottom"/>
            <w:vMerge w:val="restart"/>
          </w:tcPr>
          <w:p>
            <w:pPr>
              <w:ind w:left="4460"/>
              <w:spacing w:after="0"/>
              <w:rPr>
                <w:sz w:val="20"/>
                <w:szCs w:val="20"/>
                <w:color w:val="auto"/>
              </w:rPr>
            </w:pPr>
            <w:r>
              <w:rPr>
                <w:rFonts w:ascii="Times New Roman" w:cs="Times New Roman" w:eastAsia="Times New Roman" w:hAnsi="Times New Roman"/>
                <w:sz w:val="14"/>
                <w:szCs w:val="14"/>
                <w:b w:val="1"/>
                <w:bCs w:val="1"/>
                <w:color w:val="auto"/>
              </w:rPr>
              <w:t>Rating Definition</w:t>
            </w:r>
          </w:p>
        </w:tc>
        <w:tc>
          <w:tcPr>
            <w:tcW w:w="0" w:type="dxa"/>
            <w:vAlign w:val="bottom"/>
          </w:tcPr>
          <w:p>
            <w:pPr>
              <w:spacing w:after="0"/>
              <w:rPr>
                <w:sz w:val="1"/>
                <w:szCs w:val="1"/>
                <w:color w:val="auto"/>
              </w:rPr>
            </w:pPr>
          </w:p>
        </w:tc>
      </w:tr>
      <w:tr>
        <w:trPr>
          <w:trHeight w:val="187"/>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80" w:type="dxa"/>
            <w:vAlign w:val="bottom"/>
          </w:tcPr>
          <w:p>
            <w:pPr>
              <w:spacing w:after="0"/>
              <w:rPr>
                <w:sz w:val="16"/>
                <w:szCs w:val="16"/>
                <w:color w:val="auto"/>
              </w:rPr>
            </w:pPr>
          </w:p>
        </w:tc>
        <w:tc>
          <w:tcPr>
            <w:tcW w:w="9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Performing above plan and/or strong enterprise profile, value, financial performance/coverage. Maintaining full covenant and 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91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280" w:hanging="831"/>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as agreed.</w:t>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Performing at or reasonably close to plan. Acceptable business prospects, enterprise value, financial coverage. Maintaining key covenant</w:t>
      </w:r>
    </w:p>
    <w:p>
      <w:pPr>
        <w:spacing w:after="0" w:line="27" w:lineRule="exact"/>
        <w:rPr>
          <w:sz w:val="20"/>
          <w:szCs w:val="20"/>
          <w:color w:val="auto"/>
        </w:rPr>
      </w:pPr>
    </w:p>
    <w:p>
      <w:pPr>
        <w:ind w:left="1280" w:hanging="831"/>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payment compliance as agreed. Generally, all new loans are initially graded Category 2.</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Performing below plan of record. Potential elements of concern over performance, trends and business outlook. Loan-to-value remains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1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 w:lineRule="exact"/>
        <w:rPr>
          <w:sz w:val="20"/>
          <w:szCs w:val="20"/>
          <w:color w:val="auto"/>
        </w:rPr>
      </w:pPr>
    </w:p>
    <w:p>
      <w:pPr>
        <w:ind w:left="1280" w:hanging="831"/>
        <w:spacing w:after="0"/>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Potential key covenant non-compliance. Full payment compliance.</w:t>
      </w:r>
    </w:p>
    <w:p>
      <w:pPr>
        <w:spacing w:after="0" w:line="18" w:lineRule="exact"/>
        <w:rPr>
          <w:sz w:val="20"/>
          <w:szCs w:val="20"/>
          <w:color w:val="auto"/>
        </w:rPr>
      </w:pPr>
    </w:p>
    <w:p>
      <w:pPr>
        <w:ind w:left="1280" w:right="220"/>
        <w:spacing w:after="0" w:line="261" w:lineRule="auto"/>
        <w:rPr>
          <w:sz w:val="20"/>
          <w:szCs w:val="20"/>
          <w:color w:val="auto"/>
        </w:rPr>
      </w:pPr>
      <w:r>
        <w:rPr>
          <w:rFonts w:ascii="Times New Roman" w:cs="Times New Roman" w:eastAsia="Times New Roman" w:hAnsi="Times New Roman"/>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w:t>
      </w:r>
    </w:p>
    <w:p>
      <w:pPr>
        <w:ind w:left="1280" w:hanging="831"/>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in workout, and there is a possibility of loss of return but no loss of principal is expected</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Going concern nature in question. Substantial decline in enterprise value and all coverages. Covenant and payment default imminent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1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 w:lineRule="exact"/>
        <w:rPr>
          <w:sz w:val="20"/>
          <w:szCs w:val="20"/>
          <w:color w:val="auto"/>
        </w:rPr>
      </w:pPr>
    </w:p>
    <w:p>
      <w:pPr>
        <w:ind w:left="1280" w:hanging="831"/>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currently present. Investments are nearly always in workout. May experience partial and/or full loss.</w:t>
      </w:r>
    </w:p>
    <w:p>
      <w:pPr>
        <w:spacing w:after="0" w:line="22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show the investment ratings of our debt investments at fair value as of December 31, 2022 and December 31, 2021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220" w:type="dxa"/>
            <w:vAlign w:val="bottom"/>
          </w:tcPr>
          <w:p>
            <w:pPr>
              <w:spacing w:after="0"/>
              <w:rPr>
                <w:sz w:val="12"/>
                <w:szCs w:val="12"/>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2"/>
                <w:szCs w:val="12"/>
                <w:color w:val="auto"/>
              </w:rPr>
            </w:pPr>
          </w:p>
        </w:tc>
        <w:tc>
          <w:tcPr>
            <w:tcW w:w="1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14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91,424</w:t>
            </w:r>
          </w:p>
        </w:tc>
        <w:tc>
          <w:tcPr>
            <w:tcW w:w="40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8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78,238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47,490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9,290</w:t>
            </w:r>
          </w:p>
        </w:tc>
        <w:tc>
          <w:tcPr>
            <w:tcW w:w="44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14,650</w:t>
            </w:r>
          </w:p>
        </w:tc>
        <w:tc>
          <w:tcPr>
            <w:tcW w:w="4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1,093,775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635,927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-145415</wp:posOffset>
            </wp:positionV>
            <wp:extent cx="7747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-145415</wp:posOffset>
            </wp:positionV>
            <wp:extent cx="7747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-145415</wp:posOffset>
            </wp:positionV>
            <wp:extent cx="7747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-145415</wp:posOffset>
            </wp:positionV>
            <wp:extent cx="685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-145415</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-145415</wp:posOffset>
            </wp:positionV>
            <wp:extent cx="6858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2021 and 2022, the global COVID-19 pandemic, has had limited impact on the investment ratings of our debt investments, taken as a whole. However, the ongoing impact of the COVID-19 pandemic, along with increasing levels of inflation impacting the U.S. economy, U.S. Federal Reserve Bank monetary policy actions, and global political events and their impact on the U.S. capital markets and economy is uncertain and we can make no assurances that the pandemic and other current events will not have a negative impact on our investment portfolio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Debt Securities on Non-Accrual Status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December 31, 2022, we had one loan to Pivot3 Holdings, Inc., representing an aggregate principal funded of $19.2 million at a fair market value of $9.3 million on non-accrual status, which represents 1.61% of our net assets. As of December 31, 2021, we had six loans to Mojix, Inc. and one loan to Pivot3 Holdings, Inc. representing an aggregate principal funded of $30.3 million at a fair market value of $28.3 million, on non-accrual status, which represents 4.66% of our net assets. As of December 31, 2020, we had six loans to Mojix, Inc. representing an aggregate principal funded of $11.0 million at a fair market value of $9.0 million, on non-accrual status, which represented 1.92% of the Company’s net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2021 and 2020 (dollars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4"/>
                <w:szCs w:val="14"/>
                <w:b w:val="1"/>
                <w:bCs w:val="1"/>
                <w:color w:val="auto"/>
                <w:w w:val="96"/>
              </w:rPr>
              <w:t>Per Share</w:t>
            </w:r>
            <w:r>
              <w:rPr>
                <w:rFonts w:ascii="Times New Roman" w:cs="Times New Roman" w:eastAsia="Times New Roman" w:hAnsi="Times New Roman"/>
                <w:sz w:val="19"/>
                <w:szCs w:val="19"/>
                <w:b w:val="1"/>
                <w:bCs w:val="1"/>
                <w:color w:val="auto"/>
                <w:w w:val="96"/>
                <w:vertAlign w:val="superscript"/>
              </w:rPr>
              <w:t>(1)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tcPr>
          <w:p>
            <w:pPr>
              <w:jc w:val="right"/>
              <w:ind w:right="8"/>
              <w:spacing w:after="0" w:line="169"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106,358</w:t>
            </w:r>
          </w:p>
        </w:tc>
        <w:tc>
          <w:tcPr>
            <w:tcW w:w="2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67,730</w:t>
            </w:r>
          </w:p>
        </w:tc>
        <w:tc>
          <w:tcPr>
            <w:tcW w:w="240" w:type="dxa"/>
            <w:vAlign w:val="bottom"/>
          </w:tcPr>
          <w:p>
            <w:pPr>
              <w:spacing w:after="0"/>
              <w:rPr>
                <w:sz w:val="15"/>
                <w:szCs w:val="15"/>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56,369</w:t>
            </w:r>
          </w:p>
        </w:tc>
        <w:tc>
          <w:tcPr>
            <w:tcW w:w="2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108,552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71,358</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57,626</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13,183</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Overhead allocation expense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Administration fee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Debt financing fees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Directors' fees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48,756</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26,866</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2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59,796</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 (loss) on investments</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7"/>
        </w:trPr>
        <w:tc>
          <w:tcPr>
            <w:tcW w:w="41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w:t>
            </w:r>
          </w:p>
        </w:tc>
        <w:tc>
          <w:tcPr>
            <w:tcW w:w="260" w:type="dxa"/>
            <w:vAlign w:val="bottom"/>
          </w:tcPr>
          <w:p>
            <w:pPr>
              <w:spacing w:after="0"/>
              <w:rPr>
                <w:sz w:val="11"/>
                <w:szCs w:val="11"/>
                <w:color w:val="auto"/>
              </w:rPr>
            </w:pPr>
          </w:p>
        </w:tc>
        <w:tc>
          <w:tcPr>
            <w:tcW w:w="11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(26,485 )</w:t>
            </w:r>
          </w:p>
        </w:tc>
        <w:tc>
          <w:tcPr>
            <w:tcW w:w="300" w:type="dxa"/>
            <w:vAlign w:val="bottom"/>
          </w:tcPr>
          <w:p>
            <w:pPr>
              <w:spacing w:after="0"/>
              <w:rPr>
                <w:sz w:val="11"/>
                <w:szCs w:val="11"/>
                <w:color w:val="auto"/>
              </w:rPr>
            </w:pPr>
          </w:p>
        </w:tc>
        <w:tc>
          <w:tcPr>
            <w:tcW w:w="7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(0.65 )</w:t>
            </w:r>
          </w:p>
        </w:tc>
        <w:tc>
          <w:tcPr>
            <w:tcW w:w="160" w:type="dxa"/>
            <w:vAlign w:val="bottom"/>
          </w:tcPr>
          <w:p>
            <w:pPr>
              <w:spacing w:after="0"/>
              <w:rPr>
                <w:sz w:val="11"/>
                <w:szCs w:val="11"/>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(3,045 )</w:t>
            </w:r>
          </w:p>
        </w:tc>
        <w:tc>
          <w:tcPr>
            <w:tcW w:w="3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(0.09 )</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14,257</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26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32,250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0.79</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45,619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46,980</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-2407920</wp:posOffset>
            </wp:positionV>
            <wp:extent cx="7683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-2407920</wp:posOffset>
            </wp:positionV>
            <wp:extent cx="7683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-2407920</wp:posOffset>
            </wp:positionV>
            <wp:extent cx="7683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-2407920</wp:posOffset>
            </wp:positionV>
            <wp:extent cx="6858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-2407920</wp:posOffset>
            </wp:positionV>
            <wp:extent cx="6858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-599440</wp:posOffset>
            </wp:positionV>
            <wp:extent cx="7683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-599440</wp:posOffset>
            </wp:positionV>
            <wp:extent cx="7683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-599440</wp:posOffset>
            </wp:positionV>
            <wp:extent cx="7683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-599440</wp:posOffset>
            </wp:positionV>
            <wp:extent cx="6858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-599440</wp:posOffset>
            </wp:positionV>
            <wp:extent cx="6858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-42545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-42545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-42545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-42545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-42545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760" w:hanging="374"/>
        <w:spacing w:after="0" w:line="184" w:lineRule="auto"/>
        <w:tabs>
          <w:tab w:leader="none" w:pos="76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basic per share figures noted above are based on weighted averages of 40,971,242, 34,183,358, and 27,615,425 shares outstanding for the years ended December 31, 2022, 2021, and 2020,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first lien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$10.0 million to $100.0 million, and the upper end of this range may increase as we raise additional capital.</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Non-recurring income included in investment income are unamortized original issue discounts recorded as interest income. Other non-recurring income consisting of early prepayment fees, amendment fees, legal fees, and reimbursable income are recorded as fee income when earned. Any other fee income for services rendered, if any, are recorded as other income when earned.</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Investment income for the years ended December 31, 2022, 2021, and 2019 was $108.6 million, $71.4 million, and $57.6 million, respectively, and includes non-recurring income of $3.9 million, $9.5 million, and $4.5 million, respectively. The increase in interest income for the year ended December 31, 2022 and for the year ended December 31, 2021 was driven by our deployment of capital, increased invested balance, and increased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76"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portion of fees and expenses related to an initial public offering in connection with a Spin-Off transaction (as defined below);</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related to public and private offerings, sales and repurchases of our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incurred to finance our investments;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purchases of our common stock and other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securities on any securities exchange;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the Financial Industry Regulatory Authority or other regulators;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 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Operating expenses for the years ended December 31, 2022, 2021 and 2020 were $48.8 million, $26.9 million, and $19.6 million, respectively. Operating expenses increased for the year ended December 31, 2022 from the year ended December 31, 2021 primarily due to increased management and incentive fees paid to RGC, interest expense, and debt financing fees. Operating expenses increased for the year ended December 31, 2021 from the year ended December 31, 2020 primarily due to increased management fees paid to RGC, professional fees, debt financing fees, and other expenses. Operating expenses per share for the years ended December 31, 2022, 2021 and 2020 were $1.19 per share, $0.79 per share and $0.71 per share,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Incentive fees for the years ended December 31, 2022, 2021, and 2020 were $13.2 million, $9.2 million, and $7.3 million, respectively. For the year ended December 31, 2022, $11.0 million of the incentive fees were earned, payable in cash, and $2.2 million were deferred and accrued. For the year ended December 31, 2021, $7.4 million of the incentive fees were earned, payable in cash, and $1.8 million were deferred and accrued. For the year ended December 31, 2020, $5.4 million of the incentive fees were earned, payable in cash, and $1.9 million were deferred and accrued. Incentive fees related to paid-in-kind or deferred interest are accrued and payment is deferred until such interest is collected in cash. Incentive fees per share for the years ended December 31, 2022, 2021, and 2020 were $0.32 per share, $0.27 per share, and $0.26 per share,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Net investment income for the years ended December 31, 2022, 2021 and 2020 was $59.8 million, $44.5 million, and $38.1 million, respectively. Net investment income increased for the year ended December 31, 2022 from the year ended December 31, 2021 primarily due to increased interest income earned on our portfolio investments, partially offset by increased management fees and incentive fees and the other operating expenses discussed above. Net investment income increased for the year ended December 31, 2021 from the year ended December 31, 2020 primarily due to increased interest income earned on our portfolio investments, partially offset by increased management fees and incentive fees and the other operating expenses discussed above. Net investment income per share for the years ended December 31, 2022, 2021 and 2020 were $1.46 per share, $1.30 per share and $1.38 per share,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(Loss) on Investment</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net realized loss on investments of $1.1 million for the year ended December 31, 2022 was primarily due to losses on our warrants in Aspen Group, Inc. and CareCloud, Inc. and a loss in our preferred stock in Pivot3 Holdings, Inc., primarily offset by the gains on the sale of common stock in Brilliant Earth Group, Inc. The net realized gain on investments of $4.2 million for the year ended December 31, 2021 was primarily due to the gains on the sale of common stock in Porch Group, Inc. and Ouster, Inc., partially offset by a realized loss on our preferred stock in CareCloud, Inc. The net realized loss on investments of $5.3 million for the year ended December 31, 2020 was primarily due to the loss on our senior secured loan to Aginity,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on Investments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Net change in unrealized depreciation on investments of $26.5 million for the year ended December 31, 2022 was primarily due to decreases in the fair value of a senior secured loan to Pivot3, Inc., and decreases in the fair value of our common stock in Brilliant Earth Group, Inc. and Quantum Corporation. Net change in unrealized depreciation on investments of $3.0 million for the year ended December 31, 2021 was primarily due to decreases in the fair value of senior secured loans to Pivot3, Inc. and Aginity Inc., and our warrants for common stock in CareCloud, Inc. This decrease was offset by the increase in the fair value of our senior secured loans to Mojix, Inc. and our units of Brilliant Earth LLC. Net change in unrealized appreciation on investments of  $14.3 million for the year ended December 31, 2020 was primarily due to increases in the fair value of our senior secured loans to Aria Systems, Inc. and our warrants for preferred stock or common stock of Ouster, Inc., MTBC, Inc., and Aspen Group Inc. This increase was offset by the decreases in the fair value of senior secured loans to Circadence Corporation and Pivot3, Inc., and our preferred stock in MTBC,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Increase in Net Assets Resulting from Operations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$32.3 million for the year ended December 31, 2022, as compared to a net increase in net assets resulting from operations of $45.6 million and $47.0 million for the years ended December 31, 2021 and December 31, 2020, respectively. The net decrease in net assets resulting from operations for the year ended December 31, 2022 from the year ended December 31, 2021 is attributable to an increase in operating expenses, particularly increases in interest expense and debt financing fees due to an increase in borrowings used, as well as net change in unrealized position on investments recorded at a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a gain in the prior year. The decrease is partially offset by an increase in interest and dividend income. The net decrease in net assets resulting from operations for the year ended December 31, 2021 from the year ended December 31, 2020 is attributable to an increase in operating expenses, particularly increases in interest expense and debt financing fees due to an increase in borrowings used, as well as net change in unrealized position on investments recorded at a loss compared to a gain in the prior year. The decrease is partially offset by an increase in interest and dividend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Facility.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and December 31, 2021, our asset coverage ratio was 203% and 582%, respectively.</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cash and cash equivalents increased to $5.8 million, from $4.7 million as of December 31, 2021. This increase was primarily the result of an increase in interest income received on a monthly basis. During the year ended December 31, 2021, cash and cash equivalents decreased to $4.7 million, from $14.9 million as of December 31, 2020. This decrease was primarily the result of the purchase of investments in portfolio companies and U.S. Treasury Bills as well as repayments under our Credit Facility and was partially offset by sales of investments in portfolio companies, the maturity of U.S. Treasury Bills, the issuance of common stock, proceeds from our 2026 Notes (as defined below) and borrowings under our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shares of common stock issued, the price per share and the proceeds raised, from inception through December 31, 2022, are detailed in the following table (in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00" w:type="dxa"/>
            <w:vAlign w:val="bottom"/>
          </w:tcPr>
          <w:p>
            <w:pPr>
              <w:spacing w:after="0"/>
              <w:rPr>
                <w:sz w:val="16"/>
                <w:szCs w:val="16"/>
                <w:color w:val="auto"/>
              </w:rPr>
            </w:pPr>
          </w:p>
        </w:tc>
      </w:tr>
      <w:tr>
        <w:trPr>
          <w:trHeight w:val="318"/>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8, 2015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24"/>
                <w:szCs w:val="24"/>
                <w:color w:val="auto"/>
              </w:rPr>
            </w:pPr>
          </w:p>
        </w:tc>
      </w:tr>
      <w:tr>
        <w:trPr>
          <w:trHeight w:val="17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22, 2016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19,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26,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12,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22,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5"/>
                <w:szCs w:val="15"/>
                <w:color w:val="auto"/>
              </w:rPr>
            </w:pPr>
          </w:p>
        </w:tc>
      </w:tr>
      <w:tr>
        <w:trPr>
          <w:trHeight w:val="176"/>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31, 2018</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70,563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31, 2018</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tcPr>
          <w:p>
            <w:pPr>
              <w:spacing w:after="0"/>
              <w:rPr>
                <w:sz w:val="15"/>
                <w:szCs w:val="15"/>
                <w:color w:val="auto"/>
              </w:rPr>
            </w:pPr>
          </w:p>
        </w:tc>
      </w:tr>
      <w:tr>
        <w:trPr>
          <w:trHeight w:val="176"/>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27, 2018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1,997,337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15, 2018</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tcPr>
          <w:p>
            <w:pPr>
              <w:spacing w:after="0"/>
              <w:rPr>
                <w:sz w:val="15"/>
                <w:szCs w:val="15"/>
                <w:color w:val="auto"/>
              </w:rPr>
            </w:pPr>
          </w:p>
        </w:tc>
      </w:tr>
      <w:tr>
        <w:trPr>
          <w:trHeight w:val="176"/>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January 14,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4,344,964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26,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21, 2019</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374,783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May 24, 2019</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3,232,189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July 16, 2019</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464,986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26,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15,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12,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r>
      <w:tr>
        <w:trPr>
          <w:trHeight w:val="176"/>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December 23,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7,074</w:t>
            </w:r>
          </w:p>
        </w:tc>
        <w:tc>
          <w:tcPr>
            <w:tcW w:w="100" w:type="dxa"/>
            <w:vAlign w:val="bottom"/>
          </w:tcPr>
          <w:p>
            <w:pPr>
              <w:spacing w:after="0"/>
              <w:rPr>
                <w:sz w:val="15"/>
                <w:szCs w:val="15"/>
                <w:color w:val="auto"/>
              </w:rPr>
            </w:pPr>
          </w:p>
        </w:tc>
      </w:tr>
      <w:tr>
        <w:trPr>
          <w:trHeight w:val="176"/>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20, 2020</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575,132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31, 2020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5"/>
                <w:szCs w:val="15"/>
                <w:color w:val="auto"/>
              </w:rPr>
            </w:pPr>
          </w:p>
        </w:tc>
      </w:tr>
      <w:tr>
        <w:trPr>
          <w:trHeight w:val="176"/>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20, 2020</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529,020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6, 2020</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15, 2020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12, 2020</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19, 2021</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618,815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9,183</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24,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13, 2021</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637,127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12, 2021</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8,401</w:t>
            </w:r>
          </w:p>
        </w:tc>
        <w:tc>
          <w:tcPr>
            <w:tcW w:w="100" w:type="dxa"/>
            <w:vAlign w:val="bottom"/>
          </w:tcPr>
          <w:p>
            <w:pPr>
              <w:spacing w:after="0"/>
              <w:rPr>
                <w:sz w:val="15"/>
                <w:szCs w:val="15"/>
                <w:color w:val="auto"/>
              </w:rPr>
            </w:pPr>
          </w:p>
        </w:tc>
      </w:tr>
      <w:tr>
        <w:trPr>
          <w:trHeight w:val="175"/>
        </w:trPr>
        <w:tc>
          <w:tcPr>
            <w:tcW w:w="6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29, 2021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1,265,128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18,977</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25, 2021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100,010</w:t>
            </w:r>
          </w:p>
        </w:tc>
        <w:tc>
          <w:tcPr>
            <w:tcW w:w="100" w:type="dxa"/>
            <w:vAlign w:val="bottom"/>
          </w:tcPr>
          <w:p>
            <w:pPr>
              <w:spacing w:after="0"/>
              <w:rPr>
                <w:sz w:val="15"/>
                <w:szCs w:val="15"/>
                <w:color w:val="auto"/>
              </w:rPr>
            </w:pPr>
          </w:p>
        </w:tc>
      </w:tr>
      <w:tr>
        <w:trPr>
          <w:trHeight w:val="209"/>
        </w:trPr>
        <w:tc>
          <w:tcPr>
            <w:tcW w:w="64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60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41,380,614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617,386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640" w:type="dxa"/>
            <w:vAlign w:val="bottom"/>
            <w:tcBorders>
              <w:bottom w:val="single" w:sz="8" w:color="auto"/>
            </w:tcBorders>
          </w:tcPr>
          <w:p>
            <w:pPr>
              <w:spacing w:after="0"/>
              <w:rPr>
                <w:sz w:val="17"/>
                <w:szCs w:val="17"/>
                <w:color w:val="auto"/>
              </w:rPr>
            </w:pPr>
          </w:p>
        </w:tc>
        <w:tc>
          <w:tcPr>
            <w:tcW w:w="6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416"/>
        </w:trPr>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w:t>
            </w: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were issued as part of the Dividend Reinvestment Plan.</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-438785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-421640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-438785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-421640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February 24, 2022, the Board of Directors approved the Repurchase Program under which the Company may repurchase up to $25 million of its outstanding common stock. Under the Repurchase Program, purchases may be made at management’s discretion from time to time in open-market transactions, in accordance with all applicable securities laws and regulations. The Repurchase Program was not renewed by the Board of Directors, and expired on February 24, 2023.</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repurchases of our common stock pursuant to the Repurchase Program for the year ended December 31,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3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360" w:type="dxa"/>
            <w:vAlign w:val="bottom"/>
          </w:tcPr>
          <w:p>
            <w:pPr>
              <w:spacing w:after="0"/>
              <w:rPr>
                <w:sz w:val="12"/>
                <w:szCs w:val="12"/>
                <w:color w:val="auto"/>
              </w:rPr>
            </w:pPr>
          </w:p>
        </w:tc>
        <w:tc>
          <w:tcPr>
            <w:tcW w:w="17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Have Been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34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Quarter ended March 31,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31,782</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 ended June 30,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381,710</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Quarter ended September 30,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331,264</w:t>
            </w: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 ended December 31, 2022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126,589</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871,345</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5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10,816</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$ 315.7 million in unfunded loan commitments, many of which are subject to portfolio company performance milestones, to provide debt financing to 17 portfolio companies. Based on the performance milestones, only a portion of unfunded commitments is currently eligible to be drawn. The Company’s management believes that its cash balances and availability under the Credit Facility provides sufficient funds to cover its unfunded commitments as of December 31, 2022. See "Note 11 — Borrowings" to our financial statements in Part II, Item 8 of this Form 10-K for more information on the Company's borrowings.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3PL Central LLC</w:t>
            </w:r>
          </w:p>
        </w:tc>
        <w:tc>
          <w:tcPr>
            <w:tcW w:w="200" w:type="dxa"/>
            <w:vAlign w:val="bottom"/>
            <w:shd w:val="clear" w:color="auto" w:fill="CFF0FC"/>
          </w:tcPr>
          <w:p>
            <w:pPr>
              <w:spacing w:after="0"/>
              <w:rPr>
                <w:sz w:val="14"/>
                <w:szCs w:val="14"/>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4"/>
                <w:szCs w:val="14"/>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Brivo,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CloudPay,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EBR Systems,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Intellisite Holdings, Inc. (dba Epic IO Technologies,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Interactions Corporation</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 Insurance,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Madison Reed,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Moximed,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Nalu Medical,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Revelle Aesthetics,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Skillshare,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tcPr>
          <w:p>
            <w:pPr>
              <w:spacing w:after="0"/>
              <w:rPr>
                <w:sz w:val="15"/>
                <w:szCs w:val="15"/>
                <w:color w:val="auto"/>
              </w:rPr>
            </w:pPr>
          </w:p>
        </w:tc>
      </w:tr>
      <w:tr>
        <w:trPr>
          <w:trHeight w:val="176"/>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200" w:type="dxa"/>
            <w:vAlign w:val="bottom"/>
            <w:tcBorders>
              <w:bottom w:val="single" w:sz="8" w:color="CFF0FC"/>
            </w:tcBorders>
            <w:shd w:val="clear" w:color="auto" w:fill="CFF0FC"/>
          </w:tcPr>
          <w:p>
            <w:pPr>
              <w:spacing w:after="0"/>
              <w:rPr>
                <w:sz w:val="15"/>
                <w:szCs w:val="15"/>
                <w:color w:val="auto"/>
              </w:rPr>
            </w:pPr>
          </w:p>
        </w:tc>
        <w:tc>
          <w:tcPr>
            <w:tcW w:w="3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5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315,685</w:t>
            </w:r>
          </w:p>
        </w:tc>
        <w:tc>
          <w:tcPr>
            <w:tcW w:w="100" w:type="dxa"/>
            <w:vAlign w:val="bottom"/>
          </w:tcPr>
          <w:p>
            <w:pPr>
              <w:spacing w:after="0"/>
              <w:rPr>
                <w:sz w:val="14"/>
                <w:szCs w:val="14"/>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20" w:type="dxa"/>
            <w:vAlign w:val="bottom"/>
          </w:tcPr>
          <w:p>
            <w:pPr>
              <w:spacing w:after="0"/>
              <w:rPr>
                <w:sz w:val="14"/>
                <w:szCs w:val="14"/>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4"/>
                <w:szCs w:val="14"/>
                <w:color w:val="auto"/>
              </w:rPr>
            </w:pPr>
          </w:p>
        </w:tc>
      </w:tr>
      <w:tr>
        <w:trPr>
          <w:trHeight w:val="16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337,000</w:t>
            </w:r>
          </w:p>
        </w:tc>
        <w:tc>
          <w:tcPr>
            <w:tcW w:w="3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337,000</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r>
      <w:tr>
        <w:trPr>
          <w:trHeight w:val="175"/>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3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2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559,250</w:t>
            </w: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ind w:left="10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2"/>
          </w:tcPr>
          <w:p>
            <w:pPr>
              <w:ind w:left="3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ind w:left="9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559,250</w:t>
            </w:r>
          </w:p>
        </w:tc>
        <w:tc>
          <w:tcPr>
            <w:tcW w:w="4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12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-290830</wp:posOffset>
            </wp:positionV>
            <wp:extent cx="7747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-290830</wp:posOffset>
            </wp:positionV>
            <wp:extent cx="6858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-290830</wp:posOffset>
            </wp:positionV>
            <wp:extent cx="68580"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-290830</wp:posOffset>
            </wp:positionV>
            <wp:extent cx="6858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currently have no off-balance sheet arrangements, including any risk management of commodity pricing or other hedging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To the extent that we have funds available, we intend to make quarterly distributions to our stockholders. Our stockholder distributions, if any, will be determined by our Board of Directors and will be declared out of assets legally available for distribution. We anticipate that distributions will be paid from income primarily generated by interest and dividend income earned on investments made by us. Under the Dividend Reinvestment Plan, stockholders receive shares of common stock in place of a cash dividend, unless such stockholder elects to receive the dividend in cash by notifying RGC in writing no later than five days prior to the record date for such distribution.</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Prior to our IPO, the number of shares to be issued to a stockholder under the Dividend Reinvestment Plan was determined by dividing the total dollar amount of the distribution payable to such stockholder by the net asset value per share of our common stock, as of the valuation date fixed by the Board of Directors for such dividend.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our amended and restated Dividend Reinvestment Plan, pursuant to which, if newly issued shares are used to implement the Dividend Reinvestment Plan, the number of shares to be issued to a stockholder will be determined by dividing the total dollar amount of the cash dividend or distribution payable to a stockholder by the market price per share of our common stock at the close of regular trading on the Nasdaq Global Select Market LLC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shares are purchased in the open market to implement the Dividend Reinvestment Plan, the number of shares to be issued to a stockholder shall be determined by dividing the dollar amount of the cash dividend payable to such stockholder by the weighted average price per share for all shares purchased by the plan administrator in the open market in connection with the dividend.</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we declared and paid dividends in the amount of $51.6 million, of which $40.7 million was distributed in cash and the remainder distributed in shares to stockholders pursuant to our Dividend Reinvestment Plan. During the year ended December 31, 2021, we declared and paid dividends in the amount of $44.9 million, of which $17.9 million was distributed in cash and the remainder distributed in shares to stockholders pursuant to our Dividend Reinvestment Plan. During the year ended December 31, 2020, we declared and paid dividends in the amount of $39.7 million, of which $7.3 million was distributed in cash and the remainder distributed in shares to stockholders pursuant to our Dividend Reinvestment Plan.</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6"/>
                <w:szCs w:val="16"/>
                <w:color w:val="auto"/>
              </w:rPr>
            </w:pPr>
          </w:p>
        </w:tc>
        <w:tc>
          <w:tcPr>
            <w:tcW w:w="16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 per Share</w:t>
            </w: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2018</w:t>
            </w: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15, 2018</w:t>
            </w:r>
          </w:p>
        </w:tc>
        <w:tc>
          <w:tcPr>
            <w:tcW w:w="1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2018</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4"/>
                <w:szCs w:val="14"/>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26, 2018</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15, 2018</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31, 2018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2018</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31, 2018</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15, 2018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22, 2019</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26, 2019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7, 2019</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21,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May 31, 2019</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16, 2019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30,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5, 2019</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26,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27,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September 30, 2019</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November 12, 2019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9,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10, 2019</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23,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5, 2020</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6, 2020</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20, 2020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7, 2020</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8, 2020</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21, 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5, 2020</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6, 2020</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20, 2020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 2020</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12, 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4, 2021</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5, 2021</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19, 2021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29, 2021</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30, 2021</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13, 2021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19, 2021</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20, 2021</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12, 2021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28, 2021</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8, 2021</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22, 2021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February 24, 2022</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8, 2022</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22,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28, 2022</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2022</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24,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28, 2022</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9, 2022</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23,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FF0FC"/>
          </w:tcPr>
          <w:p>
            <w:pPr>
              <w:spacing w:after="0"/>
              <w:rPr>
                <w:sz w:val="15"/>
                <w:szCs w:val="15"/>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27, 2022</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8, 2022</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22,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for the year ended December 31, 2022, which describes our critical accounting policies and recently adopted accounting pronouncements not yet required to be adopted by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We measure the value of our portfolio investments at fair value in accordance with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issued by the Financial Accounting Standards Board ("FASB"). Fair value is the price that would be received to sell an asset or paid to transfer a liability in an orderly transaction between market participants at the measurement date.</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0"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are based on quoted prices in active markets for identical assets or liabilities that are accessible at the measurement date.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62" w:lineRule="exact"/>
        <w:rPr>
          <w:sz w:val="20"/>
          <w:szCs w:val="20"/>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investment being initially valued by RGC’s investment professionals that are responsible for the portfolio investment;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Rule 2a-5 under the 1940 Act was adopted by the SEC in December 2020 and establishes a framework for determining fair value in good faith for purposes of the 1940 Act. Rule 2a-5 permits boards, subject to board oversight and certain other conditions, to designate certain parties to perform fair value determinations. Rule 2a-5 also defines when market quotations are "readily available" for purposes of the 1940 Act and the threshold for determining whether a fund must determine the fair value of a security. The SEC also adopted new Rule 31a-4 under the 1940 Act ("Rule 31a-4"), which provides the recordkeeping requirements associated with fair value determinations. Finally, the SEC rescinded previously issued guidance on related issues, including the role of the board in determining fair value and the accounting and auditing of fund investments. Rule 2a-5 and Rule 31a-4 became effective on March 8, 2021, and had a compliance date of September 8, 2022. While our board of directors has not elected to designate RGC as the valuation designee, the Company has adopted certain revisions to its valuation policies and procedures in order to comply with the applicable requirements of Rule 2a-5 and Rule 31a-4.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Techniques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To determine the fair value of our debt investments, we compare the cost basis of the debt investment, which includes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8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but a significantly higher or lower fair value measurement of any of the Company’s portfolio investments may occur regardless of whether there is a significant increase or decrease in these unobservable inputs.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Fair value of warrants is primarily determined using a Black Scholes option-pricing model. Privately held warrants and equity-related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valued based on an analysis of various factors including, but not limited to, the following:</w:t>
      </w:r>
    </w:p>
    <w:p>
      <w:pPr>
        <w:spacing w:after="0" w:line="160" w:lineRule="exact"/>
        <w:rPr>
          <w:sz w:val="20"/>
          <w:szCs w:val="20"/>
          <w:color w:val="auto"/>
        </w:rPr>
      </w:pPr>
    </w:p>
    <w:p>
      <w:pPr>
        <w:jc w:val="both"/>
        <w:ind w:left="760" w:hanging="378"/>
        <w:spacing w:after="0" w:line="254"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8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We adjust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recurring basis subject to the requirements of ASC Topic 820 at December 31, 2022 and 2021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40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9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12,682</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16,755</w:t>
            </w:r>
          </w:p>
        </w:tc>
        <w:tc>
          <w:tcPr>
            <w:tcW w:w="100" w:type="dxa"/>
            <w:vAlign w:val="bottom"/>
          </w:tcPr>
          <w:p>
            <w:pPr>
              <w:spacing w:after="0"/>
              <w:rPr>
                <w:sz w:val="15"/>
                <w:szCs w:val="15"/>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2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32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3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1,111,946</w:t>
            </w:r>
          </w:p>
        </w:tc>
        <w:tc>
          <w:tcPr>
            <w:tcW w:w="3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100" w:type="dxa"/>
            <w:vAlign w:val="bottom"/>
            <w:shd w:val="clear" w:color="auto" w:fill="CFF0FC"/>
          </w:tcPr>
          <w:p>
            <w:pPr>
              <w:spacing w:after="0"/>
              <w:rPr>
                <w:sz w:val="14"/>
                <w:szCs w:val="14"/>
                <w:color w:val="auto"/>
              </w:rPr>
            </w:pPr>
          </w:p>
        </w:tc>
      </w:tr>
      <w:tr>
        <w:trPr>
          <w:trHeight w:val="169"/>
        </w:trPr>
        <w:tc>
          <w:tcPr>
            <w:tcW w:w="33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200" w:type="dxa"/>
            <w:vAlign w:val="bottom"/>
            <w:tcBorders>
              <w:bottom w:val="single" w:sz="8" w:color="auto"/>
            </w:tcBorders>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12,836</w:t>
            </w: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ind w:right="9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1,527</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1,111,946</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1,126,309</w:t>
            </w:r>
          </w:p>
        </w:tc>
        <w:tc>
          <w:tcPr>
            <w:tcW w:w="10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40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9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15,705</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623,054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623,054</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100" w:type="dxa"/>
            <w:vAlign w:val="bottom"/>
          </w:tcPr>
          <w:p>
            <w:pPr>
              <w:spacing w:after="0"/>
              <w:rPr>
                <w:sz w:val="15"/>
                <w:szCs w:val="15"/>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657,346</w:t>
            </w: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684,515</w:t>
            </w:r>
          </w:p>
        </w:tc>
        <w:tc>
          <w:tcPr>
            <w:tcW w:w="100" w:type="dxa"/>
            <w:vAlign w:val="bottom"/>
            <w:shd w:val="clear" w:color="auto" w:fill="CFF0FC"/>
          </w:tcPr>
          <w:p>
            <w:pPr>
              <w:spacing w:after="0"/>
              <w:rPr>
                <w:sz w:val="14"/>
                <w:szCs w:val="14"/>
                <w:color w:val="auto"/>
              </w:rPr>
            </w:pPr>
          </w:p>
        </w:tc>
      </w:tr>
      <w:tr>
        <w:trPr>
          <w:trHeight w:val="17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Bill</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100" w:type="dxa"/>
            <w:vAlign w:val="bottom"/>
          </w:tcPr>
          <w:p>
            <w:pPr>
              <w:spacing w:after="0"/>
              <w:rPr>
                <w:sz w:val="15"/>
                <w:szCs w:val="15"/>
                <w:color w:val="auto"/>
              </w:rPr>
            </w:pPr>
          </w:p>
        </w:tc>
      </w:tr>
      <w:tr>
        <w:trPr>
          <w:trHeight w:val="209"/>
        </w:trPr>
        <w:tc>
          <w:tcPr>
            <w:tcW w:w="33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200" w:type="dxa"/>
            <w:vAlign w:val="bottom"/>
            <w:tcBorders>
              <w:bottom w:val="single" w:sz="8" w:color="auto"/>
            </w:tcBorders>
            <w:shd w:val="clear" w:color="auto" w:fill="CFF0FC"/>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63,266</w:t>
            </w:r>
          </w:p>
        </w:tc>
        <w:tc>
          <w:tcPr>
            <w:tcW w:w="3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8,904</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657,346</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warrants, or contractual success fees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unamortized loan origination fees, end-of-term payments, and unamortized market discounts are recorded as interest income and any prepayment penalties are recorded as fee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Fees</w:t>
      </w:r>
    </w:p>
    <w:p>
      <w:pPr>
        <w:spacing w:after="0" w:line="229"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8 — Related Party Agreements and Transactions" to our financial statements in Part II, Item 8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more information on the Advisory Agreement and the fee structure thereunder.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have elected to be treated, and currently qualify and intend to qualify annually, as a RIC under Subchapter M of the Code. A RIC generally is not subject to U.S. federal income tax on distributed income and gains if it timely distributes at least 90% of its net ordinary income and net short-term capital gains in excess of its net long-term capital losses, if any, to its stockholders. So long as we qualify, and maintain our status, as a RIC, we generally will not be subject to U.S. federal income tax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Distributions to common stockholders are recorded on the applicable record date. The amount, if any, to be distributed to common stockholders is determined by the Board each quarter and is generally based upon earnings estimated by management. Net realized capital gains, if any, are generally distributed at least annually.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evaluated events subsequent to December 31, 2022, through March 2,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January 3, 2023, TRACON Pharmaceuticals, Inc. prepaid its outstanding principal balance of $10.0 million on the senior secured loan.</w:t>
      </w:r>
    </w:p>
    <w:p>
      <w:pPr>
        <w:spacing w:after="0" w:line="22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January 4, 2023, we entered into an amendment (the "Credit Agreement Amendment") to the Amended and Restated Credit Agreement dated as of April 20, 2022 (the "Credit Agreement"), among the Company, as borrower; the financial institutions parties thereto as lenders (the "Lenders"); KeyBank National Association, as administrative agent for the Lenders; CIBC Bank USA, as documentation agent; MUFG Bank, Ltd., as co-documentation agent; and U.S. Bank Trust Company, National Association, as collateral custodian and paying agent. The Credit Agreement Amendment amended the Credit Agreement to, among other things, (i) revise the liquidity covenant to incorporate coverage for delayed draw term loans within the Company’s pledged loan portfolio and make additional clarifying modifications to the covenant; (ii) add a swingline sub-commitment within the KeyBank commitment to accommodate the potential for delayed fundings of Lender advances; and (iii) change the requirements for future facility amount increases under the accordion provisions of the Credit Agreement. In conjunction with the Credit Agreement Amendment, we increased the facility amount under the Credit Agreement by $50.0 million pursuant to the existing accordion provisions of the Credit Agreement. As part of the increased facility amount, Autobahn Funding Company LLC and Valley National Bank became new Lenders. The amendments to the Credit Agreement were effective as of January 4, 2023, with the exception of the revision to the liquidity covenant, which was effective as of December 31, 2022.</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January 31, 2023, we funded an investment of $2.0 million to Intellisite Holdings, Inc. (dba Epic IO Technologies,Inc.).</w:t>
      </w:r>
    </w:p>
    <w:p>
      <w:pPr>
        <w:spacing w:after="0" w:line="25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February 23, 2023, the Board of Directors declared an ordinary distribution of $0.40 per share and a supplemental distribution of $0.05 per share for stockholders of record on March 7, 2023 payable on or before March 21, 2023.</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February 23, 2023, we funded an investment of $4.0 million to Brivo,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commenced investment activities in portfolio securities during the quarter ended June 30, 2017 and commenced investment activities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Bills during the quarter ended December 31, 2016.</w:t>
      </w:r>
    </w:p>
    <w:p>
      <w:pPr>
        <w:spacing w:after="0" w:line="207"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has introduced significant volatility in the financial markets, and the effects of this volatility could materially impact our market risks. For additional information concerning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its potential impact on our business and our operating results, see Part I, Item 1A. Risk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2022, 99%, or $1,084.5 million, of our debt portfolio investments bore interest at variable rates, consisting of approximately 67% based on SOFR and 32% based on Prime.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$21.9 million and decrease our investment income by a maximum of $20.6 million, due to certain floors, on an annual basis.</w:t>
      </w:r>
    </w:p>
    <w:p>
      <w:pPr>
        <w:spacing w:after="0" w:line="183" w:lineRule="exact"/>
        <w:rPr>
          <w:sz w:val="20"/>
          <w:szCs w:val="20"/>
          <w:color w:val="auto"/>
        </w:rPr>
      </w:pPr>
    </w:p>
    <w:p>
      <w:pPr>
        <w:jc w:val="both"/>
        <w:ind w:firstLine="374"/>
        <w:spacing w:after="0" w:line="226" w:lineRule="exact"/>
        <w:rPr>
          <w:sz w:val="20"/>
          <w:szCs w:val="20"/>
          <w:color w:val="auto"/>
        </w:rPr>
      </w:pPr>
      <w:r>
        <w:rPr>
          <w:rFonts w:ascii="Times New Roman" w:cs="Times New Roman" w:eastAsia="Times New Roman" w:hAnsi="Times New Roman"/>
          <w:sz w:val="18"/>
          <w:szCs w:val="18"/>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see "Note 11 — Borrowings" to our financial statements in Part II, Item 8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3" w:lineRule="exact"/>
        <w:rPr>
          <w:sz w:val="20"/>
          <w:szCs w:val="20"/>
          <w:color w:val="auto"/>
        </w:rPr>
      </w:pPr>
    </w:p>
    <w:p>
      <w:pPr>
        <w:jc w:val="both"/>
        <w:ind w:firstLine="374"/>
        <w:spacing w:after="0" w:line="224" w:lineRule="exact"/>
        <w:rPr>
          <w:sz w:val="20"/>
          <w:szCs w:val="20"/>
          <w:color w:val="auto"/>
        </w:rPr>
      </w:pPr>
      <w:r>
        <w:rPr>
          <w:rFonts w:ascii="Times New Roman" w:cs="Times New Roman" w:eastAsia="Times New Roman" w:hAnsi="Times New Roman"/>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its impact on foreign financial markets. See "Risk Factors — Risks Related to Our Business and Structure" in Part I, Item 1A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Page 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160" w:type="dxa"/>
            <w:vAlign w:val="bottom"/>
            <w:gridSpan w:val="6"/>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Borders>
              <w:bottom w:val="single" w:sz="8" w:color="0000EE"/>
            </w:tcBorders>
            <w:gridSpan w:val="3"/>
            <w:vMerge w:val="continue"/>
          </w:tcPr>
          <w:p>
            <w:pPr>
              <w:spacing w:after="0"/>
              <w:rPr>
                <w:sz w:val="19"/>
                <w:szCs w:val="19"/>
                <w:color w:val="auto"/>
              </w:rPr>
            </w:pPr>
          </w:p>
        </w:tc>
        <w:tc>
          <w:tcPr>
            <w:tcW w:w="6160" w:type="dxa"/>
            <w:vAlign w:val="bottom"/>
            <w:gridSpan w:val="6"/>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Statements of Assets and Liabilities as of December 31, 2022 and 2021</w:t>
            </w:r>
          </w:p>
        </w:tc>
        <w:tc>
          <w:tcPr>
            <w:tcW w:w="5240" w:type="dxa"/>
            <w:vAlign w:val="bottom"/>
            <w:gridSpan w:val="4"/>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Operations for the years ended December 31, 2022, 2021 and 2020</w:t>
            </w:r>
          </w:p>
        </w:tc>
        <w:tc>
          <w:tcPr>
            <w:tcW w:w="4520" w:type="dxa"/>
            <w:vAlign w:val="bottom"/>
            <w:gridSpan w:val="3"/>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Statements of Changes in Net Assets for the years ended December 31, 2022, 2021 and 2020</w:t>
            </w:r>
          </w:p>
        </w:tc>
        <w:tc>
          <w:tcPr>
            <w:tcW w:w="36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9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2022, 2021 and 2020</w:t>
            </w:r>
          </w:p>
        </w:tc>
        <w:tc>
          <w:tcPr>
            <w:tcW w:w="446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Schedules of Investments as of December 31, 2022 and 2021</w:t>
            </w:r>
          </w:p>
        </w:tc>
        <w:tc>
          <w:tcPr>
            <w:tcW w:w="598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0" w:type="dxa"/>
            <w:vAlign w:val="bottom"/>
            <w:tcBorders>
              <w:bottom w:val="single" w:sz="8" w:color="0000EE"/>
            </w:tcBorders>
          </w:tcPr>
          <w:p>
            <w:pPr>
              <w:spacing w:after="0"/>
              <w:rPr>
                <w:sz w:val="24"/>
                <w:szCs w:val="24"/>
                <w:color w:val="auto"/>
              </w:rPr>
            </w:pPr>
          </w:p>
        </w:tc>
        <w:tc>
          <w:tcPr>
            <w:tcW w:w="8220" w:type="dxa"/>
            <w:vAlign w:val="bottom"/>
            <w:gridSpan w:val="7"/>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2"/>
        </w:trPr>
        <w:tc>
          <w:tcPr>
            <w:tcW w:w="59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 the Stockholders and the Board of Directors of Runway Growth Finance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statements of assets and liabilities of Runway Growth Finance Corp. (the Company), including the schedules of investments, as of December 31, 2022 and 2021, the related statements of operations, changes in net assets, and cash flows for each of the three years in the period ended December 31, 2022, and the related notes, which include the senior securities table, to the financial statements (collectively, the financial statements). In our opinion, the financial statements present fairly, in all material respects, the financial position of the Company as of December 31, 2022 and 2021, and the results of its operations, changes in net assets, and cash flows for each of the three years in the period ended December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39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9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2022 and 2021, by correspondence with the custodians and portfolio companies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5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Non-control/non-affiliate investments at fair value (cost of $1,126,879 and $647,449, respectively)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1,114,935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655,384</w:t>
            </w:r>
          </w:p>
        </w:tc>
        <w:tc>
          <w:tcPr>
            <w:tcW w:w="100" w:type="dxa"/>
            <w:vAlign w:val="bottom"/>
            <w:shd w:val="clear" w:color="auto" w:fill="CFF0FC"/>
          </w:tcPr>
          <w:p>
            <w:pPr>
              <w:spacing w:after="0"/>
              <w:rPr>
                <w:sz w:val="15"/>
                <w:szCs w:val="15"/>
                <w:color w:val="auto"/>
              </w:rPr>
            </w:pPr>
          </w:p>
        </w:tc>
      </w:tr>
      <w:tr>
        <w:trPr>
          <w:trHeight w:val="176"/>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Affiliate investments at fair value (cost of $4,551 and $0, respectively)</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Control investments at fair value (cost of $19,172 and $34,874, respectively)</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29,131</w:t>
            </w:r>
          </w:p>
        </w:tc>
        <w:tc>
          <w:tcPr>
            <w:tcW w:w="100" w:type="dxa"/>
            <w:vAlign w:val="bottom"/>
            <w:shd w:val="clear" w:color="auto" w:fill="CFF0FC"/>
          </w:tcPr>
          <w:p>
            <w:pPr>
              <w:spacing w:after="0"/>
              <w:rPr>
                <w:sz w:val="15"/>
                <w:szCs w:val="15"/>
                <w:color w:val="auto"/>
              </w:rPr>
            </w:pPr>
          </w:p>
        </w:tc>
      </w:tr>
      <w:tr>
        <w:trPr>
          <w:trHeight w:val="176"/>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in U.S. Treasury Bills at fair value (cost of $0 and $45,001, respectively)</w:t>
            </w:r>
          </w:p>
        </w:tc>
        <w:tc>
          <w:tcPr>
            <w:tcW w:w="180" w:type="dxa"/>
            <w:vAlign w:val="bottom"/>
          </w:tcPr>
          <w:p>
            <w:pPr>
              <w:spacing w:after="0"/>
              <w:rPr>
                <w:sz w:val="15"/>
                <w:szCs w:val="15"/>
                <w:color w:val="auto"/>
              </w:rPr>
            </w:pPr>
          </w:p>
        </w:tc>
        <w:tc>
          <w:tcPr>
            <w:tcW w:w="17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100" w:type="dxa"/>
            <w:vAlign w:val="bottom"/>
          </w:tcPr>
          <w:p>
            <w:pPr>
              <w:spacing w:after="0"/>
              <w:rPr>
                <w:sz w:val="15"/>
                <w:szCs w:val="15"/>
                <w:color w:val="auto"/>
              </w:rPr>
            </w:pPr>
          </w:p>
        </w:tc>
      </w:tr>
      <w:tr>
        <w:trPr>
          <w:trHeight w:val="169"/>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investments at fair value (cost of $1,150,602 and $727,324, respectively)</w:t>
            </w:r>
          </w:p>
        </w:tc>
        <w:tc>
          <w:tcPr>
            <w:tcW w:w="180" w:type="dxa"/>
            <w:vAlign w:val="bottom"/>
            <w:tcBorders>
              <w:top w:val="single" w:sz="8" w:color="auto"/>
            </w:tcBorders>
            <w:shd w:val="clear" w:color="auto" w:fill="CFF0FC"/>
          </w:tcPr>
          <w:p>
            <w:pPr>
              <w:spacing w:after="0"/>
              <w:rPr>
                <w:sz w:val="14"/>
                <w:szCs w:val="14"/>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729,516</w:t>
            </w:r>
          </w:p>
        </w:tc>
        <w:tc>
          <w:tcPr>
            <w:tcW w:w="100" w:type="dxa"/>
            <w:vAlign w:val="bottom"/>
            <w:shd w:val="clear" w:color="auto" w:fill="CFF0FC"/>
          </w:tcPr>
          <w:p>
            <w:pPr>
              <w:spacing w:after="0"/>
              <w:rPr>
                <w:sz w:val="14"/>
                <w:szCs w:val="14"/>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tcPr>
          <w:p>
            <w:pPr>
              <w:spacing w:after="0"/>
              <w:rPr>
                <w:sz w:val="15"/>
                <w:szCs w:val="15"/>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00" w:type="dxa"/>
            <w:vAlign w:val="bottom"/>
            <w:shd w:val="clear" w:color="auto" w:fill="CFF0FC"/>
          </w:tcPr>
          <w:p>
            <w:pPr>
              <w:spacing w:after="0"/>
              <w:rPr>
                <w:sz w:val="15"/>
                <w:szCs w:val="15"/>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Pr>
          <w:p>
            <w:pPr>
              <w:spacing w:after="0"/>
              <w:rPr>
                <w:sz w:val="15"/>
                <w:szCs w:val="15"/>
                <w:color w:val="auto"/>
              </w:rPr>
            </w:pPr>
          </w:p>
        </w:tc>
      </w:tr>
      <w:tr>
        <w:trPr>
          <w:trHeight w:val="209"/>
        </w:trPr>
        <w:tc>
          <w:tcPr>
            <w:tcW w:w="756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1,141,766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738,348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Credit facility</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100" w:type="dxa"/>
            <w:vAlign w:val="bottom"/>
          </w:tcPr>
          <w:p>
            <w:pPr>
              <w:spacing w:after="0"/>
              <w:rPr>
                <w:sz w:val="15"/>
                <w:szCs w:val="15"/>
                <w:color w:val="auto"/>
              </w:rPr>
            </w:pPr>
          </w:p>
        </w:tc>
      </w:tr>
      <w:tr>
        <w:trPr>
          <w:trHeight w:val="17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2026 Notes</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r>
      <w:tr>
        <w:trPr>
          <w:trHeight w:val="176"/>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 Notes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Unamortized deferred debt costs</w:t>
            </w:r>
          </w:p>
        </w:tc>
        <w:tc>
          <w:tcPr>
            <w:tcW w:w="1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(10,293 )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(1,511 )</w:t>
            </w:r>
          </w:p>
        </w:tc>
      </w:tr>
      <w:tr>
        <w:trPr>
          <w:trHeight w:val="169"/>
        </w:trPr>
        <w:tc>
          <w:tcPr>
            <w:tcW w:w="75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debt, less unamortized deferred debt costs</w:t>
            </w: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548,957</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79,489</w:t>
            </w:r>
          </w:p>
        </w:tc>
        <w:tc>
          <w:tcPr>
            <w:tcW w:w="100" w:type="dxa"/>
            <w:vAlign w:val="bottom"/>
            <w:tcBorders>
              <w:top w:val="single" w:sz="8" w:color="CFF0FC"/>
            </w:tcBorders>
          </w:tcPr>
          <w:p>
            <w:pPr>
              <w:spacing w:after="0"/>
              <w:rPr>
                <w:sz w:val="14"/>
                <w:szCs w:val="14"/>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Reverse repurchase agreement</w:t>
            </w:r>
          </w:p>
        </w:tc>
        <w:tc>
          <w:tcPr>
            <w:tcW w:w="180" w:type="dxa"/>
            <w:vAlign w:val="bottom"/>
            <w:shd w:val="clear" w:color="auto" w:fill="CFF0FC"/>
          </w:tcPr>
          <w:p>
            <w:pPr>
              <w:spacing w:after="0"/>
              <w:rPr>
                <w:sz w:val="15"/>
                <w:szCs w:val="15"/>
                <w:color w:val="auto"/>
              </w:rPr>
            </w:pPr>
          </w:p>
        </w:tc>
        <w:tc>
          <w:tcPr>
            <w:tcW w:w="17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44,775</w:t>
            </w:r>
          </w:p>
        </w:tc>
        <w:tc>
          <w:tcPr>
            <w:tcW w:w="100" w:type="dxa"/>
            <w:vAlign w:val="bottom"/>
            <w:shd w:val="clear" w:color="auto" w:fill="CFF0FC"/>
          </w:tcPr>
          <w:p>
            <w:pPr>
              <w:spacing w:after="0"/>
              <w:rPr>
                <w:sz w:val="15"/>
                <w:szCs w:val="15"/>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payable</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tcPr>
          <w:p>
            <w:pPr>
              <w:spacing w:after="0"/>
              <w:rPr>
                <w:sz w:val="15"/>
                <w:szCs w:val="15"/>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payable</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FF0FC"/>
          </w:tcPr>
          <w:p>
            <w:pPr>
              <w:spacing w:after="0"/>
              <w:rPr>
                <w:sz w:val="15"/>
                <w:szCs w:val="15"/>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Pr>
          <w:p>
            <w:pPr>
              <w:spacing w:after="0"/>
              <w:rPr>
                <w:sz w:val="15"/>
                <w:szCs w:val="15"/>
                <w:color w:val="auto"/>
              </w:rPr>
            </w:pPr>
          </w:p>
        </w:tc>
      </w:tr>
      <w:tr>
        <w:trPr>
          <w:trHeight w:val="209"/>
        </w:trPr>
        <w:tc>
          <w:tcPr>
            <w:tcW w:w="756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565,714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132,153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5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3)</w:t>
            </w: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par value</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5"/>
                <w:szCs w:val="15"/>
                <w:color w:val="auto"/>
              </w:rPr>
            </w:pPr>
          </w:p>
        </w:tc>
      </w:tr>
      <w:tr>
        <w:trPr>
          <w:trHeight w:val="175"/>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605,774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606,048</w:t>
            </w:r>
          </w:p>
        </w:tc>
        <w:tc>
          <w:tcPr>
            <w:tcW w:w="100" w:type="dxa"/>
            <w:vAlign w:val="bottom"/>
            <w:shd w:val="clear" w:color="auto" w:fill="CFF0FC"/>
          </w:tcPr>
          <w:p>
            <w:pPr>
              <w:spacing w:after="0"/>
              <w:rPr>
                <w:sz w:val="15"/>
                <w:szCs w:val="15"/>
                <w:color w:val="auto"/>
              </w:rPr>
            </w:pPr>
          </w:p>
        </w:tc>
      </w:tr>
      <w:tr>
        <w:trPr>
          <w:trHeight w:val="175"/>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Distributable (losses)</w:t>
            </w:r>
          </w:p>
        </w:tc>
        <w:tc>
          <w:tcPr>
            <w:tcW w:w="180" w:type="dxa"/>
            <w:vAlign w:val="bottom"/>
          </w:tcPr>
          <w:p>
            <w:pPr>
              <w:spacing w:after="0"/>
              <w:rPr>
                <w:sz w:val="15"/>
                <w:szCs w:val="15"/>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(19,320 )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(267 )</w:t>
            </w:r>
          </w:p>
        </w:tc>
      </w:tr>
      <w:tr>
        <w:trPr>
          <w:trHeight w:val="175"/>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(10,816 )</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560" w:type="dxa"/>
            <w:vAlign w:val="bottom"/>
            <w:tcBorders>
              <w:top w:val="single" w:sz="8" w:color="CFF0FC"/>
            </w:tcBorders>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576,052</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606,195</w:t>
            </w:r>
          </w:p>
        </w:tc>
        <w:tc>
          <w:tcPr>
            <w:tcW w:w="100" w:type="dxa"/>
            <w:vAlign w:val="bottom"/>
            <w:tcBorders>
              <w:top w:val="single" w:sz="8" w:color="CFF0FC"/>
            </w:tcBorders>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of common stock outstanding ($0.01 par value, 100,000,000 shares authorized)</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41,380,614</w:t>
            </w:r>
          </w:p>
        </w:tc>
        <w:tc>
          <w:tcPr>
            <w:tcW w:w="100" w:type="dxa"/>
            <w:vAlign w:val="bottom"/>
          </w:tcPr>
          <w:p>
            <w:pPr>
              <w:spacing w:after="0"/>
              <w:rPr>
                <w:sz w:val="15"/>
                <w:szCs w:val="15"/>
                <w:color w:val="auto"/>
              </w:rPr>
            </w:pPr>
          </w:p>
        </w:tc>
      </w:tr>
      <w:tr>
        <w:trPr>
          <w:trHeight w:val="17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asset value per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-2553970</wp:posOffset>
            </wp:positionV>
            <wp:extent cx="126873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6873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-1859915</wp:posOffset>
            </wp:positionV>
            <wp:extent cx="68580"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1200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-1174115</wp:posOffset>
            </wp:positionV>
            <wp:extent cx="126873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6873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-479425</wp:posOffset>
            </wp:positionV>
            <wp:extent cx="6858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non-control/non-affiliate investments: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95,264</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63,226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in-kind interest income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affiliate investments:</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in-kind interest income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control investments:</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in-kind interest income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investment income</w:t>
            </w: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108,552</w:t>
            </w:r>
          </w:p>
        </w:tc>
        <w:tc>
          <w:tcPr>
            <w:tcW w:w="3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71,358</w:t>
            </w: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57,626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11,882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13,756</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Overhead allocation expense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Administration fee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financing fees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Directors' fees</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48,756</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59,796</w:t>
            </w: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44,492</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12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Realized gain (loss) on non control/non-affiliate investments, including U.S. Treasury</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(5,347 )</w:t>
            </w:r>
          </w:p>
        </w:tc>
        <w:tc>
          <w:tcPr>
            <w:tcW w:w="0" w:type="dxa"/>
            <w:vAlign w:val="bottom"/>
          </w:tcPr>
          <w:p>
            <w:pPr>
              <w:spacing w:after="0"/>
              <w:rPr>
                <w:sz w:val="1"/>
                <w:szCs w:val="1"/>
                <w:color w:val="auto"/>
              </w:rPr>
            </w:pPr>
          </w:p>
        </w:tc>
      </w:tr>
      <w:tr>
        <w:trPr>
          <w:trHeight w:val="185"/>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Bills</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gain (loss) on control investments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(2,000 )</w:t>
            </w:r>
          </w:p>
        </w:tc>
        <w:tc>
          <w:tcPr>
            <w:tcW w:w="120" w:type="dxa"/>
            <w:vAlign w:val="bottom"/>
          </w:tcPr>
          <w:p>
            <w:pPr>
              <w:spacing w:after="0"/>
              <w:rPr>
                <w:sz w:val="15"/>
                <w:szCs w:val="15"/>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300" w:type="dxa"/>
            <w:vAlign w:val="bottom"/>
            <w:tcBorders>
              <w:bottom w:val="single" w:sz="8" w:color="CFF0FC"/>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3"/>
        </w:trPr>
        <w:tc>
          <w:tcPr>
            <w:tcW w:w="512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Net change in unrealized appreciation (depreciation) on non control/non-affiliate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(18,870 )</w:t>
            </w:r>
          </w:p>
        </w:tc>
        <w:tc>
          <w:tcPr>
            <w:tcW w:w="120" w:type="dxa"/>
            <w:vAlign w:val="bottom"/>
          </w:tcPr>
          <w:p>
            <w:pPr>
              <w:spacing w:after="0"/>
              <w:rPr>
                <w:sz w:val="11"/>
                <w:szCs w:val="11"/>
                <w:color w:val="auto"/>
              </w:rPr>
            </w:pPr>
          </w:p>
        </w:tc>
        <w:tc>
          <w:tcPr>
            <w:tcW w:w="1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(16,231 )</w:t>
            </w:r>
          </w:p>
        </w:tc>
        <w:tc>
          <w:tcPr>
            <w:tcW w:w="12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including U.S. Treasury Bills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affiliate investments</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(3,476 )</w:t>
            </w:r>
          </w:p>
        </w:tc>
        <w:tc>
          <w:tcPr>
            <w:tcW w:w="12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control investments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(4,139 )</w:t>
            </w: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1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Net change in unrealized appreciation (depreciation) on investments and U.S. Treasury</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(26,485 )</w:t>
            </w:r>
          </w:p>
        </w:tc>
        <w:tc>
          <w:tcPr>
            <w:tcW w:w="120" w:type="dxa"/>
            <w:vAlign w:val="bottom"/>
            <w:shd w:val="clear" w:color="auto" w:fill="CFF0FC"/>
          </w:tcPr>
          <w:p>
            <w:pPr>
              <w:spacing w:after="0"/>
              <w:rPr>
                <w:sz w:val="11"/>
                <w:szCs w:val="11"/>
                <w:color w:val="auto"/>
              </w:rPr>
            </w:pPr>
          </w:p>
        </w:tc>
        <w:tc>
          <w:tcPr>
            <w:tcW w:w="1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(3,045 )</w:t>
            </w:r>
          </w:p>
        </w:tc>
        <w:tc>
          <w:tcPr>
            <w:tcW w:w="120" w:type="dxa"/>
            <w:vAlign w:val="bottom"/>
            <w:shd w:val="clear" w:color="auto" w:fill="CFF0FC"/>
          </w:tcPr>
          <w:p>
            <w:pPr>
              <w:spacing w:after="0"/>
              <w:rPr>
                <w:sz w:val="11"/>
                <w:szCs w:val="11"/>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Bills</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on investments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(27,546 )</w:t>
            </w:r>
          </w:p>
        </w:tc>
        <w:tc>
          <w:tcPr>
            <w:tcW w:w="1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net assets resulting from operations</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32,250</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45,619</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46,980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common share</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0.79</w:t>
            </w:r>
          </w:p>
        </w:tc>
        <w:tc>
          <w:tcPr>
            <w:tcW w:w="300" w:type="dxa"/>
            <w:vAlign w:val="bottom"/>
          </w:tcPr>
          <w:p>
            <w:pPr>
              <w:spacing w:after="0"/>
              <w:rPr>
                <w:sz w:val="13"/>
                <w:szCs w:val="13"/>
                <w:color w:val="auto"/>
              </w:rPr>
            </w:pPr>
          </w:p>
        </w:tc>
        <w:tc>
          <w:tcPr>
            <w:tcW w:w="120" w:type="dxa"/>
            <w:vAlign w:val="bottom"/>
          </w:tcPr>
          <w:p>
            <w:pPr>
              <w:ind w:left="40"/>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1.33</w:t>
            </w:r>
          </w:p>
        </w:tc>
        <w:tc>
          <w:tcPr>
            <w:tcW w:w="28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investment income per common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40,971,242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34,183,358</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27,617,425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-3385185</wp:posOffset>
            </wp:positionV>
            <wp:extent cx="7747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-3385185</wp:posOffset>
            </wp:positionV>
            <wp:extent cx="68580"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-2038985</wp:posOffset>
            </wp:positionV>
            <wp:extent cx="7747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-2038985</wp:posOffset>
            </wp:positionV>
            <wp:extent cx="68580"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-2038985</wp:posOffset>
            </wp:positionV>
            <wp:extent cx="6858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-1250315</wp:posOffset>
            </wp:positionV>
            <wp:extent cx="77470"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-1250315</wp:posOffset>
            </wp:positionV>
            <wp:extent cx="68580" cy="214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-1250315</wp:posOffset>
            </wp:positionV>
            <wp:extent cx="6858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-607695</wp:posOffset>
            </wp:positionV>
            <wp:extent cx="77470" cy="1282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12827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-607695</wp:posOffset>
            </wp:positionV>
            <wp:extent cx="68580" cy="1282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1282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-367665</wp:posOffset>
            </wp:positionV>
            <wp:extent cx="273431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734310" cy="137160"/>
                    </a:xfrm>
                    <a:prstGeom prst="rect">
                      <a:avLst/>
                    </a:prstGeom>
                    <a:noFill/>
                  </pic:spPr>
                </pic:pic>
              </a:graphicData>
            </a:graphic>
          </wp:anchor>
        </w:drawing>
      </w:r>
    </w:p>
    <w:p>
      <w:pPr>
        <w:spacing w:after="0" w:line="1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206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 Capital in</w:t>
            </w:r>
          </w:p>
        </w:tc>
        <w:tc>
          <w:tcPr>
            <w:tcW w:w="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9"/>
                <w:szCs w:val="19"/>
                <w:b w:val="1"/>
                <w:bCs w:val="1"/>
                <w:color w:val="auto"/>
                <w:vertAlign w:val="superscript"/>
              </w:rPr>
              <w:t>(1)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20" w:type="dxa"/>
            <w:vAlign w:val="bottom"/>
          </w:tcPr>
          <w:p>
            <w:pPr>
              <w:spacing w:after="0"/>
              <w:rPr>
                <w:sz w:val="12"/>
                <w:szCs w:val="12"/>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Excess of Par Value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Earnings (Losses)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94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25,811,214</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384,370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(8,315 )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376,313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increase in net assets resulting from</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3,354,354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50,282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2,248,483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Refunds (payments) of offering costs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(99 )</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(39,709 )</w:t>
            </w:r>
          </w:p>
        </w:tc>
        <w:tc>
          <w:tcPr>
            <w:tcW w:w="1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(39,709 )</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reclassification</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(101 )</w:t>
            </w: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31,414,051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466,873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(943 )</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Net increase in net assets resulting from</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45,619</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8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8,135,589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1,830,974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26,977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Refunds (payments) of offering costs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(7,014 )</w:t>
            </w:r>
          </w:p>
        </w:tc>
        <w:tc>
          <w:tcPr>
            <w:tcW w:w="8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(7,014 )</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(44,943 )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(44,943 )</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41,380,614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606,048</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606,195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Net increase in net assets resulting from</w:t>
            </w:r>
          </w:p>
        </w:tc>
        <w:tc>
          <w:tcPr>
            <w:tcW w:w="11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32,250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11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shares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(871,345 )</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(10,816 )</w:t>
            </w:r>
          </w:p>
        </w:tc>
        <w:tc>
          <w:tcPr>
            <w:tcW w:w="4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(10,816 )</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Refunds (payments) of offering costs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(51,593 )</w:t>
            </w:r>
          </w:p>
        </w:tc>
        <w:tc>
          <w:tcPr>
            <w:tcW w:w="12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(51,593 )</w:t>
            </w:r>
          </w:p>
        </w:tc>
        <w:tc>
          <w:tcPr>
            <w:tcW w:w="0" w:type="dxa"/>
            <w:vAlign w:val="bottom"/>
          </w:tcPr>
          <w:p>
            <w:pPr>
              <w:spacing w:after="0"/>
              <w:rPr>
                <w:sz w:val="1"/>
                <w:szCs w:val="1"/>
                <w:color w:val="auto"/>
              </w:rPr>
            </w:pPr>
          </w:p>
        </w:tc>
      </w:tr>
      <w:tr>
        <w:trPr>
          <w:trHeight w:val="176"/>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reclassification</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(290 )</w:t>
            </w:r>
          </w:p>
        </w:tc>
        <w:tc>
          <w:tcPr>
            <w:tcW w:w="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40,509,269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414</w:t>
            </w:r>
          </w:p>
        </w:tc>
        <w:tc>
          <w:tcPr>
            <w:tcW w:w="24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(10,816</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4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605,774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(19,320</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576,052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-1704975</wp:posOffset>
            </wp:positionV>
            <wp:extent cx="77470"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-1704975</wp:posOffset>
            </wp:positionV>
            <wp:extent cx="7683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-1704975</wp:posOffset>
            </wp:positionV>
            <wp:extent cx="6858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-1704975</wp:posOffset>
            </wp:positionV>
            <wp:extent cx="68580"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-1704975</wp:posOffset>
            </wp:positionV>
            <wp:extent cx="6858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-937895</wp:posOffset>
            </wp:positionV>
            <wp:extent cx="461137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113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111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16" w:lineRule="exact"/>
        <w:rPr>
          <w:sz w:val="20"/>
          <w:szCs w:val="20"/>
          <w:color w:val="auto"/>
        </w:rPr>
      </w:pPr>
    </w:p>
    <w:p>
      <w:pPr>
        <w:ind w:left="280" w:hanging="259"/>
        <w:spacing w:after="0"/>
        <w:tabs>
          <w:tab w:leader="none" w:pos="280"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Number of shares is shown net of treasury stock repurchases.</w:t>
      </w:r>
    </w:p>
    <w:p>
      <w:pPr>
        <w:spacing w:after="0" w:line="1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5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32,250</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45,619</w:t>
            </w:r>
          </w:p>
        </w:tc>
        <w:tc>
          <w:tcPr>
            <w:tcW w:w="22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100" w:type="dxa"/>
            <w:vAlign w:val="bottom"/>
          </w:tcPr>
          <w:p>
            <w:pPr>
              <w:spacing w:after="0"/>
              <w:rPr>
                <w:sz w:val="15"/>
                <w:szCs w:val="15"/>
                <w:color w:val="auto"/>
              </w:rPr>
            </w:pPr>
          </w:p>
        </w:tc>
      </w:tr>
      <w:tr>
        <w:trPr>
          <w:trHeight w:val="139"/>
        </w:trPr>
        <w:tc>
          <w:tcPr>
            <w:tcW w:w="65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in net assets resulting from operations to net cash provided by (used</w:t>
            </w:r>
          </w:p>
        </w:tc>
        <w:tc>
          <w:tcPr>
            <w:tcW w:w="8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 operating activities:</w:t>
            </w:r>
          </w:p>
        </w:tc>
        <w:tc>
          <w:tcPr>
            <w:tcW w:w="8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(622,719 )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(424,445 )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(272,533 )</w:t>
            </w: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(210,002 )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(276,000 )</w:t>
            </w: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in-kind interest</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(8,655 )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(2,992 )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(3,690 )</w:t>
            </w: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Sales or repayments of investments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168,898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303,602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110,560</w:t>
            </w:r>
          </w:p>
        </w:tc>
        <w:tc>
          <w:tcPr>
            <w:tcW w:w="100" w:type="dxa"/>
            <w:vAlign w:val="bottom"/>
            <w:shd w:val="clear" w:color="auto" w:fill="CFF0FC"/>
          </w:tcPr>
          <w:p>
            <w:pPr>
              <w:spacing w:after="0"/>
              <w:rPr>
                <w:sz w:val="15"/>
                <w:szCs w:val="15"/>
                <w:color w:val="auto"/>
              </w:rPr>
            </w:pP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or maturities of U.S. Treasury Bills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234,999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279,984</w:t>
            </w:r>
          </w:p>
        </w:tc>
        <w:tc>
          <w:tcPr>
            <w:tcW w:w="100" w:type="dxa"/>
            <w:vAlign w:val="bottom"/>
          </w:tcPr>
          <w:p>
            <w:pPr>
              <w:spacing w:after="0"/>
              <w:rPr>
                <w:sz w:val="15"/>
                <w:szCs w:val="15"/>
                <w:color w:val="auto"/>
              </w:rPr>
            </w:pP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U.S. Treasury Bills sold short</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100" w:type="dxa"/>
            <w:vAlign w:val="bottom"/>
            <w:shd w:val="clear" w:color="auto" w:fill="CFF0FC"/>
          </w:tcPr>
          <w:p>
            <w:pPr>
              <w:spacing w:after="0"/>
              <w:rPr>
                <w:sz w:val="15"/>
                <w:szCs w:val="15"/>
                <w:color w:val="auto"/>
              </w:rPr>
            </w:pP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 including U.S. Treasury Bills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(4,172 )</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w:t>
            </w:r>
          </w:p>
        </w:tc>
        <w:tc>
          <w:tcPr>
            <w:tcW w:w="100" w:type="dxa"/>
            <w:vAlign w:val="bottom"/>
          </w:tcPr>
          <w:p>
            <w:pPr>
              <w:spacing w:after="0"/>
              <w:rPr>
                <w:sz w:val="15"/>
                <w:szCs w:val="15"/>
                <w:color w:val="auto"/>
              </w:rPr>
            </w:pPr>
          </w:p>
        </w:tc>
      </w:tr>
      <w:tr>
        <w:trPr>
          <w:trHeight w:val="17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 including U.S. Treasury Bills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26,485</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(14,257 )</w:t>
            </w:r>
          </w:p>
        </w:tc>
      </w:tr>
      <w:tr>
        <w:trPr>
          <w:trHeight w:val="175"/>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(6,863 )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(7,742 )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(9,256 )</w:t>
            </w:r>
          </w:p>
        </w:tc>
      </w:tr>
      <w:tr>
        <w:trPr>
          <w:trHeight w:val="17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deferred debt costs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(4,372 )</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(741 )</w:t>
            </w: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(1,189 )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(1,270 )</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Incentive fees payable</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shd w:val="clear" w:color="auto" w:fill="CFF0FC"/>
          </w:tcPr>
          <w:p>
            <w:pPr>
              <w:spacing w:after="0"/>
              <w:rPr>
                <w:sz w:val="15"/>
                <w:szCs w:val="15"/>
                <w:color w:val="auto"/>
              </w:rPr>
            </w:pPr>
          </w:p>
        </w:tc>
      </w:tr>
      <w:tr>
        <w:trPr>
          <w:trHeight w:val="176"/>
        </w:trPr>
        <w:tc>
          <w:tcPr>
            <w:tcW w:w="6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(219 )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r>
      <w:tr>
        <w:trPr>
          <w:trHeight w:val="175"/>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(175 )</w:t>
            </w:r>
          </w:p>
        </w:tc>
      </w:tr>
      <w:tr>
        <w:trPr>
          <w:trHeight w:val="20"/>
        </w:trPr>
        <w:tc>
          <w:tcPr>
            <w:tcW w:w="65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5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(359,846 )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(61,246 )</w:t>
            </w:r>
          </w:p>
        </w:tc>
        <w:tc>
          <w:tcPr>
            <w:tcW w:w="3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(106,091 )</w:t>
            </w:r>
          </w:p>
        </w:tc>
      </w:tr>
      <w:tr>
        <w:trPr>
          <w:trHeight w:val="16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(10,172 )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(400 )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(830 )</w:t>
            </w:r>
          </w:p>
        </w:tc>
      </w:tr>
      <w:tr>
        <w:trPr>
          <w:trHeight w:val="176"/>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484,000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200,500</w:t>
            </w:r>
          </w:p>
        </w:tc>
        <w:tc>
          <w:tcPr>
            <w:tcW w:w="100" w:type="dxa"/>
            <w:vAlign w:val="bottom"/>
            <w:shd w:val="clear" w:color="auto" w:fill="CFF0FC"/>
          </w:tcPr>
          <w:p>
            <w:pPr>
              <w:spacing w:after="0"/>
              <w:rPr>
                <w:sz w:val="15"/>
                <w:szCs w:val="15"/>
                <w:color w:val="auto"/>
              </w:rPr>
            </w:pPr>
          </w:p>
        </w:tc>
      </w:tr>
      <w:tr>
        <w:trPr>
          <w:trHeight w:val="176"/>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under credit facility</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(208,000 )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(199,000 )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(162,500 )</w:t>
            </w:r>
          </w:p>
        </w:tc>
      </w:tr>
      <w:tr>
        <w:trPr>
          <w:trHeight w:val="17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2026 Notes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2027 Notes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reverse repurchase agreements</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149,249</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248,749</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of reverse repurchase agreements</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(44,775 )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(174,124 )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(253,693 )</w:t>
            </w:r>
          </w:p>
        </w:tc>
      </w:tr>
      <w:tr>
        <w:trPr>
          <w:trHeight w:val="17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Acquisition of treasury shares</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(10,816 )</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8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(51,593 )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(17,948 )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(7,266 )</w:t>
            </w:r>
          </w:p>
        </w:tc>
      </w:tr>
      <w:tr>
        <w:trPr>
          <w:trHeight w:val="17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Refunds (payments) of offering costs</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(7,014 )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(99 )</w:t>
            </w:r>
          </w:p>
        </w:tc>
      </w:tr>
      <w:tr>
        <w:trPr>
          <w:trHeight w:val="176"/>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from common stock issued</w:t>
            </w:r>
          </w:p>
        </w:tc>
        <w:tc>
          <w:tcPr>
            <w:tcW w:w="8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119,294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50,316</w:t>
            </w:r>
          </w:p>
        </w:tc>
        <w:tc>
          <w:tcPr>
            <w:tcW w:w="100" w:type="dxa"/>
            <w:vAlign w:val="bottom"/>
          </w:tcPr>
          <w:p>
            <w:pPr>
              <w:spacing w:after="0"/>
              <w:rPr>
                <w:sz w:val="15"/>
                <w:szCs w:val="15"/>
                <w:color w:val="auto"/>
              </w:rPr>
            </w:pPr>
          </w:p>
        </w:tc>
      </w:tr>
      <w:tr>
        <w:trPr>
          <w:trHeight w:val="169"/>
        </w:trPr>
        <w:tc>
          <w:tcPr>
            <w:tcW w:w="65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4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360,910</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51,057</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75,177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(10,189 )</w:t>
            </w:r>
          </w:p>
        </w:tc>
        <w:tc>
          <w:tcPr>
            <w:tcW w:w="32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(30,914 )</w:t>
            </w:r>
          </w:p>
        </w:tc>
      </w:tr>
      <w:tr>
        <w:trPr>
          <w:trHeight w:val="175"/>
        </w:trPr>
        <w:tc>
          <w:tcPr>
            <w:tcW w:w="6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14,886</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5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840" w:type="dxa"/>
            <w:vAlign w:val="bottom"/>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5,761</w:t>
            </w:r>
          </w:p>
        </w:tc>
        <w:tc>
          <w:tcPr>
            <w:tcW w:w="80" w:type="dxa"/>
            <w:vAlign w:val="bottom"/>
          </w:tcPr>
          <w:p>
            <w:pPr>
              <w:spacing w:after="0"/>
              <w:rPr>
                <w:sz w:val="14"/>
                <w:szCs w:val="14"/>
                <w:color w:val="auto"/>
              </w:rPr>
            </w:pPr>
          </w:p>
        </w:tc>
        <w:tc>
          <w:tcPr>
            <w:tcW w:w="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4,697</w:t>
            </w:r>
          </w:p>
        </w:tc>
        <w:tc>
          <w:tcPr>
            <w:tcW w:w="220" w:type="dxa"/>
            <w:vAlign w:val="bottom"/>
          </w:tcPr>
          <w:p>
            <w:pPr>
              <w:spacing w:after="0"/>
              <w:rPr>
                <w:sz w:val="14"/>
                <w:szCs w:val="14"/>
                <w:color w:val="auto"/>
              </w:rPr>
            </w:pP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14,886</w:t>
            </w:r>
          </w:p>
        </w:tc>
        <w:tc>
          <w:tcPr>
            <w:tcW w:w="100" w:type="dxa"/>
            <w:vAlign w:val="bottom"/>
          </w:tcPr>
          <w:p>
            <w:pPr>
              <w:spacing w:after="0"/>
              <w:rPr>
                <w:sz w:val="14"/>
                <w:szCs w:val="14"/>
                <w:color w:val="auto"/>
              </w:rPr>
            </w:pPr>
          </w:p>
        </w:tc>
      </w:tr>
      <w:tr>
        <w:trPr>
          <w:trHeight w:val="20"/>
        </w:trPr>
        <w:tc>
          <w:tcPr>
            <w:tcW w:w="6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5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and non-cash financing cash flow information:</w:t>
            </w:r>
          </w:p>
        </w:tc>
        <w:tc>
          <w:tcPr>
            <w:tcW w:w="8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r>
      <w:tr>
        <w:trPr>
          <w:trHeight w:val="17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paid</w:t>
            </w:r>
          </w:p>
        </w:tc>
        <w:tc>
          <w:tcPr>
            <w:tcW w:w="8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FF0FC"/>
          </w:tcPr>
          <w:p>
            <w:pPr>
              <w:spacing w:after="0"/>
              <w:rPr>
                <w:sz w:val="15"/>
                <w:szCs w:val="15"/>
                <w:color w:val="auto"/>
              </w:rPr>
            </w:pPr>
          </w:p>
        </w:tc>
      </w:tr>
      <w:tr>
        <w:trPr>
          <w:trHeight w:val="175"/>
        </w:trPr>
        <w:tc>
          <w:tcPr>
            <w:tcW w:w="6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portfolio purchases</w:t>
            </w:r>
          </w:p>
        </w:tc>
        <w:tc>
          <w:tcPr>
            <w:tcW w:w="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23,959</w:t>
            </w:r>
          </w:p>
        </w:tc>
        <w:tc>
          <w:tcPr>
            <w:tcW w:w="100" w:type="dxa"/>
            <w:vAlign w:val="bottom"/>
          </w:tcPr>
          <w:p>
            <w:pPr>
              <w:spacing w:after="0"/>
              <w:rPr>
                <w:sz w:val="15"/>
                <w:szCs w:val="15"/>
                <w:color w:val="auto"/>
              </w:rPr>
            </w:pPr>
          </w:p>
        </w:tc>
      </w:tr>
      <w:tr>
        <w:trPr>
          <w:trHeight w:val="175"/>
        </w:trPr>
        <w:tc>
          <w:tcPr>
            <w:tcW w:w="6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Non-cash dividend reinvestments</w:t>
            </w:r>
          </w:p>
        </w:tc>
        <w:tc>
          <w:tcPr>
            <w:tcW w:w="84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26,995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32,443</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-2519680</wp:posOffset>
            </wp:positionV>
            <wp:extent cx="7683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-2519680</wp:posOffset>
            </wp:positionV>
            <wp:extent cx="6858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-933450</wp:posOffset>
            </wp:positionV>
            <wp:extent cx="76835" cy="1200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-933450</wp:posOffset>
            </wp:positionV>
            <wp:extent cx="6858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-702310</wp:posOffset>
            </wp:positionV>
            <wp:extent cx="76835"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-702310</wp:posOffset>
            </wp:positionV>
            <wp:extent cx="6858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660" w:hanging="273"/>
        <w:spacing w:after="0" w:line="265" w:lineRule="auto"/>
        <w:tabs>
          <w:tab w:leader="none" w:pos="472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20" w:type="dxa"/>
            <w:vAlign w:val="bottom"/>
          </w:tcPr>
          <w:p>
            <w:pPr>
              <w:spacing w:after="0"/>
              <w:rPr>
                <w:sz w:val="16"/>
                <w:szCs w:val="16"/>
                <w:color w:val="auto"/>
              </w:rPr>
            </w:pPr>
          </w:p>
        </w:tc>
        <w:tc>
          <w:tcPr>
            <w:tcW w:w="238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6"/>
                <w:szCs w:val="16"/>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Principal ($) /</w:t>
            </w:r>
          </w:p>
        </w:tc>
        <w:tc>
          <w:tcPr>
            <w:tcW w:w="200" w:type="dxa"/>
            <w:vAlign w:val="bottom"/>
          </w:tcPr>
          <w:p>
            <w:pPr>
              <w:spacing w:after="0"/>
              <w:rPr>
                <w:sz w:val="16"/>
                <w:szCs w:val="16"/>
                <w:color w:val="auto"/>
              </w:rPr>
            </w:pPr>
          </w:p>
        </w:tc>
        <w:tc>
          <w:tcPr>
            <w:tcW w:w="9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 xml:space="preserve">Fair Value ($) </w:t>
            </w:r>
            <w:r>
              <w:rPr>
                <w:rFonts w:ascii="Times New Roman" w:cs="Times New Roman" w:eastAsia="Times New Roman" w:hAnsi="Times New Roman"/>
                <w:sz w:val="16"/>
                <w:szCs w:val="16"/>
                <w:b w:val="1"/>
                <w:bCs w:val="1"/>
                <w:color w:val="auto"/>
                <w:w w:val="91"/>
                <w:vertAlign w:val="superscript"/>
              </w:rPr>
              <w:t>(2),</w:t>
            </w:r>
          </w:p>
        </w:tc>
        <w:tc>
          <w:tcPr>
            <w:tcW w:w="220" w:type="dxa"/>
            <w:vAlign w:val="bottom"/>
          </w:tcPr>
          <w:p>
            <w:pPr>
              <w:spacing w:after="0"/>
              <w:rPr>
                <w:sz w:val="16"/>
                <w:szCs w:val="16"/>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20" w:type="dxa"/>
            <w:vAlign w:val="bottom"/>
            <w:gridSpan w:val="2"/>
          </w:tcPr>
          <w:p>
            <w:pPr>
              <w:jc w:val="right"/>
              <w:ind w:right="337"/>
              <w:spacing w:after="0"/>
              <w:rPr>
                <w:sz w:val="20"/>
                <w:szCs w:val="20"/>
                <w:color w:val="auto"/>
              </w:rPr>
            </w:pPr>
            <w:r>
              <w:rPr>
                <w:rFonts w:ascii="Times New Roman" w:cs="Times New Roman" w:eastAsia="Times New Roman" w:hAnsi="Times New Roman"/>
                <w:sz w:val="8"/>
                <w:szCs w:val="8"/>
                <w:b w:val="1"/>
                <w:bCs w:val="1"/>
                <w:color w:val="auto"/>
              </w:rPr>
              <w:t>(6)</w:t>
            </w: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shd w:val="clear" w:color="auto" w:fill="CFF0FC"/>
          </w:tcPr>
          <w:p>
            <w:pPr>
              <w:spacing w:after="0"/>
              <w:rPr>
                <w:sz w:val="11"/>
                <w:szCs w:val="11"/>
                <w:color w:val="auto"/>
              </w:rPr>
            </w:pPr>
          </w:p>
        </w:tc>
        <w:tc>
          <w:tcPr>
            <w:tcW w:w="2560" w:type="dxa"/>
            <w:vAlign w:val="bottom"/>
            <w:tcBorders>
              <w:top w:val="single" w:sz="8" w:color="auto"/>
            </w:tcBorders>
            <w:gridSpan w:val="3"/>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20" w:type="dxa"/>
            <w:vAlign w:val="bottom"/>
            <w:shd w:val="clear" w:color="auto" w:fill="CFF0FC"/>
          </w:tcPr>
          <w:p>
            <w:pPr>
              <w:spacing w:after="0"/>
              <w:rPr>
                <w:sz w:val="11"/>
                <w:szCs w:val="11"/>
                <w:color w:val="auto"/>
              </w:rPr>
            </w:pPr>
          </w:p>
        </w:tc>
        <w:tc>
          <w:tcPr>
            <w:tcW w:w="23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150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Senior Secured Term Loans</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3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Circadence Corporation</w:t>
            </w: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w w:val="98"/>
              </w:rPr>
              <w:t>SOFR+9.50% PIK, 12.26% floor, 7.50%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12/20/2018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12/15/2023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19,928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21,260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17,083</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2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SOFR+9.25%, 9.75% floor, 1.75% ETP</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6/1/2021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10,033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10,033</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0"/>
        </w:trPr>
        <w:tc>
          <w:tcPr>
            <w:tcW w:w="25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color w:val="auto"/>
              </w:rPr>
              <w:t>FiscalNote, Inc.</w:t>
            </w:r>
          </w:p>
        </w:tc>
        <w:tc>
          <w:tcPr>
            <w:tcW w:w="120" w:type="dxa"/>
            <w:vAlign w:val="bottom"/>
          </w:tcPr>
          <w:p>
            <w:pPr>
              <w:spacing w:after="0"/>
              <w:rPr>
                <w:sz w:val="11"/>
                <w:szCs w:val="11"/>
                <w:color w:val="auto"/>
              </w:rPr>
            </w:pPr>
          </w:p>
        </w:tc>
        <w:tc>
          <w:tcPr>
            <w:tcW w:w="23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PRIME+5.00%, 9.00% floor, 1.00% PIK,</w:t>
            </w: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10/19/2020</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7/15/2027</w:t>
            </w: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39,151</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38,655</w:t>
            </w:r>
          </w:p>
        </w:tc>
        <w:tc>
          <w:tcPr>
            <w:tcW w:w="1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38,655</w:t>
            </w:r>
          </w:p>
        </w:tc>
        <w:tc>
          <w:tcPr>
            <w:tcW w:w="9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4.25% ETP</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color w:val="auto"/>
              </w:rPr>
              <w:t>PRIME+5.00%, 9.00% floor, 1.00% PIK,</w:t>
            </w:r>
          </w:p>
        </w:tc>
        <w:tc>
          <w:tcPr>
            <w:tcW w:w="100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9/30/2021</w:t>
            </w:r>
          </w:p>
        </w:tc>
        <w:tc>
          <w:tcPr>
            <w:tcW w:w="98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7/15/2027</w:t>
            </w:r>
          </w:p>
        </w:tc>
        <w:tc>
          <w:tcPr>
            <w:tcW w:w="9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8,700</w:t>
            </w:r>
          </w:p>
        </w:tc>
        <w:tc>
          <w:tcPr>
            <w:tcW w:w="11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8,663</w:t>
            </w:r>
          </w:p>
        </w:tc>
        <w:tc>
          <w:tcPr>
            <w:tcW w:w="112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8,663</w:t>
            </w:r>
          </w:p>
        </w:tc>
        <w:tc>
          <w:tcPr>
            <w:tcW w:w="980" w:type="dxa"/>
            <w:vAlign w:val="bottom"/>
            <w:gridSpan w:val="2"/>
            <w:shd w:val="clear" w:color="auto" w:fill="CFF0FC"/>
          </w:tcPr>
          <w:p>
            <w:pPr>
              <w:ind w:left="220"/>
              <w:spacing w:after="0" w:line="132"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4.25% ETP</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PRIME+5.00%, 9.00% floor, 1.00% PIK,</w:t>
            </w: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3/28/2022</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7/15/2027</w:t>
            </w: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17,400</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17,148</w:t>
            </w:r>
          </w:p>
        </w:tc>
        <w:tc>
          <w:tcPr>
            <w:tcW w:w="1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17,148</w:t>
            </w:r>
          </w:p>
        </w:tc>
        <w:tc>
          <w:tcPr>
            <w:tcW w:w="9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4.25% ETP</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580" w:type="dxa"/>
            <w:vAlign w:val="bottom"/>
            <w:gridSpan w:val="4"/>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VTX Intermediate Holdings, Inc. (dba</w:t>
            </w:r>
          </w:p>
        </w:tc>
        <w:tc>
          <w:tcPr>
            <w:tcW w:w="120" w:type="dxa"/>
            <w:vAlign w:val="bottom"/>
            <w:shd w:val="clear" w:color="auto" w:fill="CFF0FC"/>
          </w:tcPr>
          <w:p>
            <w:pPr>
              <w:spacing w:after="0"/>
              <w:rPr>
                <w:sz w:val="11"/>
                <w:szCs w:val="11"/>
                <w:color w:val="auto"/>
              </w:rPr>
            </w:pPr>
          </w:p>
        </w:tc>
        <w:tc>
          <w:tcPr>
            <w:tcW w:w="23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color w:val="auto"/>
              </w:rPr>
              <w:t>SOFR+9.00%, 9.50% floor, 4.50% ETP</w:t>
            </w:r>
          </w:p>
        </w:tc>
        <w:tc>
          <w:tcPr>
            <w:tcW w:w="100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12/28/2021</w:t>
            </w:r>
          </w:p>
        </w:tc>
        <w:tc>
          <w:tcPr>
            <w:tcW w:w="98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12/28/2026</w:t>
            </w:r>
          </w:p>
        </w:tc>
        <w:tc>
          <w:tcPr>
            <w:tcW w:w="9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75,000</w:t>
            </w:r>
          </w:p>
        </w:tc>
        <w:tc>
          <w:tcPr>
            <w:tcW w:w="11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75,033</w:t>
            </w:r>
          </w:p>
        </w:tc>
        <w:tc>
          <w:tcPr>
            <w:tcW w:w="112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75,033</w:t>
            </w:r>
          </w:p>
        </w:tc>
        <w:tc>
          <w:tcPr>
            <w:tcW w:w="980" w:type="dxa"/>
            <w:vAlign w:val="bottom"/>
            <w:gridSpan w:val="2"/>
            <w:shd w:val="clear" w:color="auto" w:fill="CFF0FC"/>
          </w:tcPr>
          <w:p>
            <w:pPr>
              <w:ind w:left="220"/>
              <w:spacing w:after="0" w:line="132"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7"/>
        </w:trPr>
        <w:tc>
          <w:tcPr>
            <w:tcW w:w="2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VertexOne)</w:t>
            </w: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SOFR+9.00%, 9.50% floor, 4.50%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5/31/2022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12/28/2026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9,967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5"/>
        </w:trPr>
        <w:tc>
          <w:tcPr>
            <w:tcW w:w="25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- 30.66%*</w:t>
            </w:r>
          </w:p>
        </w:tc>
        <w:tc>
          <w:tcPr>
            <w:tcW w:w="120" w:type="dxa"/>
            <w:vAlign w:val="bottom"/>
            <w:tcBorders>
              <w:bottom w:val="single" w:sz="8" w:color="CFF0FC"/>
            </w:tcBorders>
            <w:shd w:val="clear" w:color="auto" w:fill="CFF0FC"/>
          </w:tcPr>
          <w:p>
            <w:pPr>
              <w:spacing w:after="0"/>
              <w:rPr>
                <w:sz w:val="13"/>
                <w:szCs w:val="13"/>
                <w:color w:val="auto"/>
              </w:rPr>
            </w:pPr>
          </w:p>
        </w:tc>
        <w:tc>
          <w:tcPr>
            <w:tcW w:w="23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180,759</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176,582</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Mustang Bio, Inc.</w:t>
            </w: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SOFR+8.75%, 9.25% floor, 3.50%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4/15/2027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29,709</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TRACON Pharmaceuticals, Inc.</w:t>
            </w:r>
          </w:p>
        </w:tc>
        <w:tc>
          <w:tcPr>
            <w:tcW w:w="120" w:type="dxa"/>
            <w:vAlign w:val="bottom"/>
            <w:tcBorders>
              <w:bottom w:val="single" w:sz="8" w:color="CFF0FC"/>
            </w:tcBorders>
            <w:shd w:val="clear" w:color="auto" w:fill="CFF0FC"/>
          </w:tcPr>
          <w:p>
            <w:pPr>
              <w:spacing w:after="0"/>
              <w:rPr>
                <w:sz w:val="14"/>
                <w:szCs w:val="14"/>
                <w:color w:val="auto"/>
              </w:rPr>
            </w:pPr>
          </w:p>
        </w:tc>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PRIME+5.00%, 8.50% floor, 4.25% ETP</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9/2/2022</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9/1/2026</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9,795</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98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Biotechnology - 6.89%*</w:t>
            </w: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39,504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39,709</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SOFR+9.26%, 9.76% floor, 3.4375% ETP</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6/15/2027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39,504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39,504</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ShareThis, Inc.</w:t>
            </w: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SOFR+9.25%, 11.86% floor, 3.00%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7/15/2025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19,388</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SOFR+9.25%, 11.86% floor, 3.00% ETP</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1/7/2019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SOFR+9.25%, 11.86% floor, 3.00%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7/24/2019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7/15/2025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SOFR+8.25%, 10.86% floor, 3.00% ETP</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8/18/2020</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9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Vesta Payment Solutions, Inc.</w:t>
            </w: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SOFR+7.00%, 9.00% floor, 3.00%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11/29/2022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11/15/2026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24,521</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22"/>
        </w:trPr>
        <w:tc>
          <w:tcPr>
            <w:tcW w:w="2580" w:type="dxa"/>
            <w:vAlign w:val="bottom"/>
            <w:gridSpan w:val="4"/>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Data Processing &amp; Outsourced Services -</w:t>
            </w:r>
          </w:p>
        </w:tc>
        <w:tc>
          <w:tcPr>
            <w:tcW w:w="120" w:type="dxa"/>
            <w:vAlign w:val="bottom"/>
            <w:shd w:val="clear" w:color="auto" w:fill="CFF0FC"/>
          </w:tcPr>
          <w:p>
            <w:pPr>
              <w:spacing w:after="0"/>
              <w:rPr>
                <w:sz w:val="10"/>
                <w:szCs w:val="10"/>
                <w:color w:val="auto"/>
              </w:rPr>
            </w:pPr>
          </w:p>
        </w:tc>
        <w:tc>
          <w:tcPr>
            <w:tcW w:w="2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86,551</w:t>
            </w:r>
          </w:p>
        </w:tc>
        <w:tc>
          <w:tcPr>
            <w:tcW w:w="200" w:type="dxa"/>
            <w:vAlign w:val="bottom"/>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86,182</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14.96%*</w:t>
            </w:r>
          </w:p>
        </w:tc>
        <w:tc>
          <w:tcPr>
            <w:tcW w:w="6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3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 Services</w:t>
            </w: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color w:val="auto"/>
              </w:rPr>
              <w:t>Turning Tech Intermediate, Inc. (dba Echo 360,</w:t>
            </w:r>
          </w:p>
        </w:tc>
        <w:tc>
          <w:tcPr>
            <w:tcW w:w="120" w:type="dxa"/>
            <w:vAlign w:val="bottom"/>
          </w:tcPr>
          <w:p>
            <w:pPr>
              <w:spacing w:after="0"/>
              <w:rPr>
                <w:sz w:val="11"/>
                <w:szCs w:val="11"/>
                <w:color w:val="auto"/>
              </w:rPr>
            </w:pPr>
          </w:p>
        </w:tc>
        <w:tc>
          <w:tcPr>
            <w:tcW w:w="23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w w:val="98"/>
              </w:rPr>
              <w:t>SOFR+8.50%, 9.00% floor, 13.00% cash cap,</w:t>
            </w: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6/22/2021</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12/14/2025</w:t>
            </w: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20,000</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20,266</w:t>
            </w:r>
          </w:p>
        </w:tc>
        <w:tc>
          <w:tcPr>
            <w:tcW w:w="1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20,266</w:t>
            </w:r>
          </w:p>
        </w:tc>
        <w:tc>
          <w:tcPr>
            <w:tcW w:w="9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5"/>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Inc.)</w:t>
            </w: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3.00% ETP</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shd w:val="clear" w:color="auto" w:fill="CFF0FC"/>
          </w:tcPr>
          <w:p>
            <w:pPr>
              <w:spacing w:after="0"/>
              <w:rPr>
                <w:sz w:val="11"/>
                <w:szCs w:val="11"/>
                <w:color w:val="auto"/>
              </w:rPr>
            </w:pPr>
          </w:p>
        </w:tc>
        <w:tc>
          <w:tcPr>
            <w:tcW w:w="15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3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3"/>
                <w:szCs w:val="13"/>
                <w:color w:val="auto"/>
                <w:w w:val="98"/>
              </w:rPr>
              <w:t>SOFR+8.50%, 9.00% floor, 13.00% cash cap,</w:t>
            </w:r>
          </w:p>
        </w:tc>
        <w:tc>
          <w:tcPr>
            <w:tcW w:w="100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3/28/2022</w:t>
            </w:r>
          </w:p>
        </w:tc>
        <w:tc>
          <w:tcPr>
            <w:tcW w:w="98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12/14/2025</w:t>
            </w:r>
          </w:p>
        </w:tc>
        <w:tc>
          <w:tcPr>
            <w:tcW w:w="9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5,000</w:t>
            </w:r>
          </w:p>
        </w:tc>
        <w:tc>
          <w:tcPr>
            <w:tcW w:w="11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5,039</w:t>
            </w:r>
          </w:p>
        </w:tc>
        <w:tc>
          <w:tcPr>
            <w:tcW w:w="112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5,039</w:t>
            </w:r>
          </w:p>
        </w:tc>
        <w:tc>
          <w:tcPr>
            <w:tcW w:w="980" w:type="dxa"/>
            <w:vAlign w:val="bottom"/>
            <w:gridSpan w:val="2"/>
            <w:shd w:val="clear" w:color="auto" w:fill="CFF0FC"/>
          </w:tcPr>
          <w:p>
            <w:pPr>
              <w:ind w:left="220"/>
              <w:spacing w:after="0" w:line="132"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15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3.00% ETP</w:t>
            </w: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Education Services - 4.39%*</w:t>
            </w: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25,305</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gridSpan w:val="4"/>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Brivo, Inc.</w:t>
            </w:r>
          </w:p>
        </w:tc>
        <w:tc>
          <w:tcPr>
            <w:tcW w:w="120" w:type="dxa"/>
            <w:vAlign w:val="bottom"/>
            <w:shd w:val="clear" w:color="auto" w:fill="CFF0FC"/>
          </w:tcPr>
          <w:p>
            <w:pPr>
              <w:spacing w:after="0"/>
              <w:rPr>
                <w:sz w:val="11"/>
                <w:szCs w:val="11"/>
                <w:color w:val="auto"/>
              </w:rPr>
            </w:pPr>
          </w:p>
        </w:tc>
        <w:tc>
          <w:tcPr>
            <w:tcW w:w="23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SOFR+6.85%, 10.89% floor, 50% of interest</w:t>
            </w:r>
          </w:p>
        </w:tc>
        <w:tc>
          <w:tcPr>
            <w:tcW w:w="100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10/20/2022</w:t>
            </w:r>
          </w:p>
        </w:tc>
        <w:tc>
          <w:tcPr>
            <w:tcW w:w="98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10/20/2027</w:t>
            </w:r>
          </w:p>
        </w:tc>
        <w:tc>
          <w:tcPr>
            <w:tcW w:w="94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44,378</w:t>
            </w:r>
          </w:p>
        </w:tc>
        <w:tc>
          <w:tcPr>
            <w:tcW w:w="114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43,912</w:t>
            </w:r>
          </w:p>
        </w:tc>
        <w:tc>
          <w:tcPr>
            <w:tcW w:w="11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43,912</w:t>
            </w:r>
          </w:p>
        </w:tc>
        <w:tc>
          <w:tcPr>
            <w:tcW w:w="980" w:type="dxa"/>
            <w:vAlign w:val="bottom"/>
            <w:gridSpan w:val="2"/>
            <w:shd w:val="clear" w:color="auto" w:fill="CFF0FC"/>
          </w:tcPr>
          <w:p>
            <w:pPr>
              <w:ind w:left="22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PIK, 3.00% ETP</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color w:val="auto"/>
              </w:rPr>
              <w:t>Intellisite Holdings, Inc. (dba Epic IO</w:t>
            </w:r>
          </w:p>
        </w:tc>
        <w:tc>
          <w:tcPr>
            <w:tcW w:w="120" w:type="dxa"/>
            <w:vAlign w:val="bottom"/>
          </w:tcPr>
          <w:p>
            <w:pPr>
              <w:spacing w:after="0"/>
              <w:rPr>
                <w:sz w:val="11"/>
                <w:szCs w:val="11"/>
                <w:color w:val="auto"/>
              </w:rPr>
            </w:pPr>
          </w:p>
        </w:tc>
        <w:tc>
          <w:tcPr>
            <w:tcW w:w="23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SOFR+9.75%, 10.25% floor, 2.00% ETP</w:t>
            </w:r>
          </w:p>
        </w:tc>
        <w:tc>
          <w:tcPr>
            <w:tcW w:w="1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12/17/2021</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12/17/2025</w:t>
            </w: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19,000</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18,788</w:t>
            </w:r>
          </w:p>
        </w:tc>
        <w:tc>
          <w:tcPr>
            <w:tcW w:w="11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18,788</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Technologies, Inc.)</w:t>
            </w: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SOFR+9.75%, 10.25% floor, 2.00% ETP</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2,989</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SOFR+9.75%, 10.25% floor, 2.00%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SOFR+9.75%, 10.25% floor, 2.00% ETP</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7/19/2022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2,976</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SOFR+9.75%, 10.25% floor, 2.00% ETP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11/16/2022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150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SOFR+9.75%, 10.25% floor, 2.00% ETP</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12/27/2022</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12/17/2025</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58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Electronic Equipment &amp; Instruments -</w:t>
            </w: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77,551</w:t>
            </w:r>
          </w:p>
        </w:tc>
        <w:tc>
          <w:tcPr>
            <w:tcW w:w="11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77,551</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13.46%*</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-3557270</wp:posOffset>
            </wp:positionV>
            <wp:extent cx="68580" cy="1117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-3557270</wp:posOffset>
            </wp:positionV>
            <wp:extent cx="68580" cy="1117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-3136900</wp:posOffset>
            </wp:positionV>
            <wp:extent cx="68580"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-3136900</wp:posOffset>
            </wp:positionV>
            <wp:extent cx="68580" cy="1200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-1996440</wp:posOffset>
            </wp:positionV>
            <wp:extent cx="68580" cy="111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-1996440</wp:posOffset>
            </wp:positionV>
            <wp:extent cx="68580" cy="1111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-1414145</wp:posOffset>
            </wp:positionV>
            <wp:extent cx="68580"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-1414145</wp:posOffset>
            </wp:positionV>
            <wp:extent cx="68580"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-196215</wp:posOffset>
            </wp:positionV>
            <wp:extent cx="68580" cy="1968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-196215</wp:posOffset>
            </wp:positionV>
            <wp:extent cx="68580" cy="196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20" w:type="dxa"/>
            <w:vAlign w:val="bottom"/>
          </w:tcPr>
          <w:p>
            <w:pPr>
              <w:spacing w:after="0"/>
              <w:rPr>
                <w:sz w:val="16"/>
                <w:szCs w:val="16"/>
                <w:color w:val="auto"/>
              </w:rPr>
            </w:pPr>
          </w:p>
        </w:tc>
        <w:tc>
          <w:tcPr>
            <w:tcW w:w="24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6"/>
                <w:szCs w:val="16"/>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Principal ($) /</w:t>
            </w:r>
          </w:p>
        </w:tc>
        <w:tc>
          <w:tcPr>
            <w:tcW w:w="180" w:type="dxa"/>
            <w:vAlign w:val="bottom"/>
          </w:tcPr>
          <w:p>
            <w:pPr>
              <w:spacing w:after="0"/>
              <w:rPr>
                <w:sz w:val="16"/>
                <w:szCs w:val="16"/>
                <w:color w:val="auto"/>
              </w:rPr>
            </w:pP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w:t>
            </w:r>
          </w:p>
        </w:tc>
        <w:tc>
          <w:tcPr>
            <w:tcW w:w="220" w:type="dxa"/>
            <w:vAlign w:val="bottom"/>
          </w:tcPr>
          <w:p>
            <w:pPr>
              <w:spacing w:after="0"/>
              <w:rPr>
                <w:sz w:val="16"/>
                <w:szCs w:val="16"/>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gridSpan w:val="2"/>
          </w:tcPr>
          <w:p>
            <w:pPr>
              <w:jc w:val="right"/>
              <w:ind w:right="357"/>
              <w:spacing w:after="0"/>
              <w:rPr>
                <w:sz w:val="20"/>
                <w:szCs w:val="20"/>
                <w:color w:val="auto"/>
              </w:rPr>
            </w:pPr>
            <w:r>
              <w:rPr>
                <w:rFonts w:ascii="Times New Roman" w:cs="Times New Roman" w:eastAsia="Times New Roman" w:hAnsi="Times New Roman"/>
                <w:sz w:val="8"/>
                <w:szCs w:val="8"/>
                <w:b w:val="1"/>
                <w:bCs w:val="1"/>
                <w:color w:val="auto"/>
              </w:rPr>
              <w:t>(6)</w:t>
            </w: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shd w:val="clear" w:color="auto" w:fill="CFF0FC"/>
          </w:tcPr>
          <w:p>
            <w:pPr>
              <w:spacing w:after="0"/>
              <w:rPr>
                <w:sz w:val="11"/>
                <w:szCs w:val="11"/>
                <w:color w:val="auto"/>
              </w:rPr>
            </w:pPr>
          </w:p>
        </w:tc>
        <w:tc>
          <w:tcPr>
            <w:tcW w:w="2540" w:type="dxa"/>
            <w:vAlign w:val="bottom"/>
            <w:tcBorders>
              <w:top w:val="single" w:sz="8" w:color="auto"/>
            </w:tcBorders>
            <w:gridSpan w:val="3"/>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20" w:type="dxa"/>
            <w:vAlign w:val="bottom"/>
            <w:shd w:val="clear" w:color="auto" w:fill="CFF0FC"/>
          </w:tcPr>
          <w:p>
            <w:pPr>
              <w:spacing w:after="0"/>
              <w:rPr>
                <w:sz w:val="11"/>
                <w:szCs w:val="11"/>
                <w:color w:val="auto"/>
              </w:rPr>
            </w:pPr>
          </w:p>
        </w:tc>
        <w:tc>
          <w:tcPr>
            <w:tcW w:w="24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150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Senior Secured Term Loans</w:t>
            </w: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6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6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Equipment</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Moximed,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PRIME+5.25%, 8.75% floor, 3.50%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7/1/2027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14,772</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Revelle Aesthetics, Inc.</w:t>
            </w:r>
          </w:p>
        </w:tc>
        <w:tc>
          <w:tcPr>
            <w:tcW w:w="1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PRIME+5.50%, 8.75% floor, 4.00% ETP</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3/30/2022</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4/1/2027</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12,377</w:t>
            </w:r>
          </w:p>
        </w:tc>
        <w:tc>
          <w:tcPr>
            <w:tcW w:w="10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5"/>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Equipment - 4.71%*</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27,149</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PRIME+6.44%, 9.50% floor, 3.00%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12/30/2021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12/30/2026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PRIME+6.44%, 9.50% floor, 3.00%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12/30/2021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12/30/2026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20,151</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PRIME+6.44%, 9.50% floor, 3.00%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12/30/2026</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14,850</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PRIME+6.44%, 9.50% floor, 3.00%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10/27/2022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12/30/2026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EBR Systems, Inc.</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PRIME+4.90%, 8.90% floor, 4.50%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6/15/2027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19,648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19,648</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SOFR+8.75%, 9.25% floor, 3.50%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12/1/2025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30,135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30,135</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SOFR+8.75%, 9.25% floor, 3.50%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8/30/2022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12/1/2025</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19,887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19,887</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0"/>
        </w:trPr>
        <w:tc>
          <w:tcPr>
            <w:tcW w:w="256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color w:val="auto"/>
              </w:rPr>
              <w:t>Mingle Healthcare Solutions, Inc.</w:t>
            </w:r>
          </w:p>
        </w:tc>
        <w:tc>
          <w:tcPr>
            <w:tcW w:w="120" w:type="dxa"/>
            <w:vAlign w:val="bottom"/>
          </w:tcPr>
          <w:p>
            <w:pPr>
              <w:spacing w:after="0"/>
              <w:rPr>
                <w:sz w:val="11"/>
                <w:szCs w:val="11"/>
                <w:color w:val="auto"/>
              </w:rPr>
            </w:pPr>
          </w:p>
        </w:tc>
        <w:tc>
          <w:tcPr>
            <w:tcW w:w="24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SOFR+9.50%, 12.01% floor, .25% PIK,</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8/15/2018</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12/15/2023</w:t>
            </w: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4,015</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4,615</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3,821</w:t>
            </w:r>
          </w:p>
        </w:tc>
        <w:tc>
          <w:tcPr>
            <w:tcW w:w="104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10.50% ETP</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560" w:type="dxa"/>
            <w:vAlign w:val="bottom"/>
            <w:gridSpan w:val="4"/>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Nalu Medical, Inc.</w:t>
            </w:r>
          </w:p>
        </w:tc>
        <w:tc>
          <w:tcPr>
            <w:tcW w:w="120" w:type="dxa"/>
            <w:vAlign w:val="bottom"/>
            <w:shd w:val="clear" w:color="auto" w:fill="CFF0FC"/>
          </w:tcPr>
          <w:p>
            <w:pPr>
              <w:spacing w:after="0"/>
              <w:rPr>
                <w:sz w:val="11"/>
                <w:szCs w:val="11"/>
                <w:color w:val="auto"/>
              </w:rPr>
            </w:pPr>
          </w:p>
        </w:tc>
        <w:tc>
          <w:tcPr>
            <w:tcW w:w="240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PRIME+2.70%, 6.70% floor, 2.00% PIK,</w:t>
            </w:r>
          </w:p>
        </w:tc>
        <w:tc>
          <w:tcPr>
            <w:tcW w:w="98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10/12/2022</w:t>
            </w:r>
          </w:p>
        </w:tc>
        <w:tc>
          <w:tcPr>
            <w:tcW w:w="98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10/12/2027</w:t>
            </w:r>
          </w:p>
        </w:tc>
        <w:tc>
          <w:tcPr>
            <w:tcW w:w="88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20,071</w:t>
            </w:r>
          </w:p>
        </w:tc>
        <w:tc>
          <w:tcPr>
            <w:tcW w:w="11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19,756</w:t>
            </w:r>
          </w:p>
        </w:tc>
        <w:tc>
          <w:tcPr>
            <w:tcW w:w="1140" w:type="dxa"/>
            <w:vAlign w:val="bottom"/>
            <w:gridSpan w:val="2"/>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19,756</w:t>
            </w:r>
          </w:p>
        </w:tc>
        <w:tc>
          <w:tcPr>
            <w:tcW w:w="1040" w:type="dxa"/>
            <w:vAlign w:val="bottom"/>
            <w:gridSpan w:val="2"/>
            <w:shd w:val="clear" w:color="auto" w:fill="CFF0FC"/>
          </w:tcPr>
          <w:p>
            <w:pPr>
              <w:ind w:left="240"/>
              <w:spacing w:after="0" w:line="132"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4.50% ETP</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SOFR+8.48%, 8.98% floor, 3.95%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8/17/2021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7/1/2026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12,843</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SOFR+5.75%, 9.00% floor, 4.00%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12/1/2027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24,802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24,802</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VERO Biotech LLC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SOFR+9.05%, 9.55% floor, 3.00%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12/29/2020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25,125</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150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SOFR+9.05%, 9.55% floor, 3.00% ETP</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3/30/2021</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12/1/2024</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15,183</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15,183</w:t>
            </w:r>
          </w:p>
        </w:tc>
        <w:tc>
          <w:tcPr>
            <w:tcW w:w="10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5"/>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- 39.22%*</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226,709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225,915</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PRIME+6.25%, 10.25% floor, 2.00%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8/17/2027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59,693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59,693</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(3)(8)(12)</w:t>
            </w:r>
          </w:p>
        </w:tc>
        <w:tc>
          <w:tcPr>
            <w:tcW w:w="0" w:type="dxa"/>
            <w:vAlign w:val="bottom"/>
          </w:tcPr>
          <w:p>
            <w:pPr>
              <w:spacing w:after="0"/>
              <w:rPr>
                <w:sz w:val="1"/>
                <w:szCs w:val="1"/>
                <w:color w:val="auto"/>
              </w:rPr>
            </w:pPr>
          </w:p>
        </w:tc>
      </w:tr>
      <w:tr>
        <w:trPr>
          <w:trHeight w:val="130"/>
        </w:trPr>
        <w:tc>
          <w:tcPr>
            <w:tcW w:w="256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3"/>
                <w:szCs w:val="13"/>
                <w:color w:val="auto"/>
              </w:rPr>
              <w:t>Snagajob.com, Inc.</w:t>
            </w:r>
          </w:p>
        </w:tc>
        <w:tc>
          <w:tcPr>
            <w:tcW w:w="120" w:type="dxa"/>
            <w:vAlign w:val="bottom"/>
          </w:tcPr>
          <w:p>
            <w:pPr>
              <w:spacing w:after="0"/>
              <w:rPr>
                <w:sz w:val="11"/>
                <w:szCs w:val="11"/>
                <w:color w:val="auto"/>
              </w:rPr>
            </w:pPr>
          </w:p>
        </w:tc>
        <w:tc>
          <w:tcPr>
            <w:tcW w:w="24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SOFR+8.50%, 9.00% floor, 9.00% cash cap,</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9/29/2021</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9/1/2025</w:t>
            </w:r>
          </w:p>
        </w:tc>
        <w:tc>
          <w:tcPr>
            <w:tcW w:w="8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37,609</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37,574</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36,785</w:t>
            </w:r>
          </w:p>
        </w:tc>
        <w:tc>
          <w:tcPr>
            <w:tcW w:w="1040" w:type="dxa"/>
            <w:vAlign w:val="bottom"/>
            <w:gridSpan w:val="2"/>
          </w:tcPr>
          <w:p>
            <w:pPr>
              <w:ind w:left="24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2.75% ETP</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gridSpan w:val="4"/>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Human Resource &amp; Employment</w:t>
            </w:r>
          </w:p>
        </w:tc>
        <w:tc>
          <w:tcPr>
            <w:tcW w:w="120" w:type="dxa"/>
            <w:vAlign w:val="bottom"/>
            <w:shd w:val="clear" w:color="auto" w:fill="CFF0FC"/>
          </w:tcPr>
          <w:p>
            <w:pPr>
              <w:spacing w:after="0"/>
              <w:rPr>
                <w:sz w:val="10"/>
                <w:szCs w:val="10"/>
                <w:color w:val="auto"/>
              </w:rPr>
            </w:pPr>
          </w:p>
        </w:tc>
        <w:tc>
          <w:tcPr>
            <w:tcW w:w="2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97,267</w:t>
            </w: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96,478</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56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- 16.75%*</w:t>
            </w: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Madison Reed,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PRIME+4.75%, 11.00% floor, 3.00%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12/16/2026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9,353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9,353</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Marley Spoon AG</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SOFR+8.50%, 1.25% PIK, 9.26% floor</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6/30/2021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6/15/2025</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26,567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26,567</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(3)(4)(8)(11)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SOFR+8.50%, 1.25% PIK, 9.26% floor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12/29/2021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6/15/2025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8,158</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(3)(4)(8)(11)</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150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SOFR+8.50%, 1.25% PIK, 9.26% floor</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6/14/2022</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6/15/2025</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11,775</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11,775</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11,775</w:t>
            </w:r>
          </w:p>
        </w:tc>
        <w:tc>
          <w:tcPr>
            <w:tcW w:w="10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(3)(4)(8)(11)</w:t>
            </w:r>
          </w:p>
        </w:tc>
        <w:tc>
          <w:tcPr>
            <w:tcW w:w="0" w:type="dxa"/>
            <w:vAlign w:val="bottom"/>
          </w:tcPr>
          <w:p>
            <w:pPr>
              <w:spacing w:after="0"/>
              <w:rPr>
                <w:sz w:val="1"/>
                <w:szCs w:val="1"/>
                <w:color w:val="auto"/>
              </w:rPr>
            </w:pPr>
          </w:p>
        </w:tc>
      </w:tr>
      <w:tr>
        <w:trPr>
          <w:trHeight w:val="122"/>
        </w:trPr>
        <w:tc>
          <w:tcPr>
            <w:tcW w:w="256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Internet &amp; Direct Marketing Retail -</w:t>
            </w:r>
          </w:p>
        </w:tc>
        <w:tc>
          <w:tcPr>
            <w:tcW w:w="1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55,853</w:t>
            </w:r>
          </w:p>
        </w:tc>
        <w:tc>
          <w:tcPr>
            <w:tcW w:w="1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55,853</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9.70%*</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-3573780</wp:posOffset>
            </wp:positionV>
            <wp:extent cx="68580"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-3573780</wp:posOffset>
            </wp:positionV>
            <wp:extent cx="68580"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-1731010</wp:posOffset>
            </wp:positionV>
            <wp:extent cx="68580" cy="1200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-1731010</wp:posOffset>
            </wp:positionV>
            <wp:extent cx="68580" cy="120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-925195</wp:posOffset>
            </wp:positionV>
            <wp:extent cx="68580" cy="1111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-925195</wp:posOffset>
            </wp:positionV>
            <wp:extent cx="68580" cy="1111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-299720</wp:posOffset>
            </wp:positionV>
            <wp:extent cx="68580" cy="1968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-299720</wp:posOffset>
            </wp:positionV>
            <wp:extent cx="68580" cy="1968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60" w:type="dxa"/>
            <w:vAlign w:val="bottom"/>
            <w:gridSpan w:val="9"/>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20" w:type="dxa"/>
            <w:vAlign w:val="bottom"/>
          </w:tcPr>
          <w:p>
            <w:pPr>
              <w:spacing w:after="0"/>
              <w:rPr>
                <w:sz w:val="14"/>
                <w:szCs w:val="14"/>
                <w:color w:val="auto"/>
              </w:rPr>
            </w:pPr>
          </w:p>
        </w:tc>
        <w:tc>
          <w:tcPr>
            <w:tcW w:w="24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Principal ($) /</w:t>
            </w:r>
          </w:p>
        </w:tc>
        <w:tc>
          <w:tcPr>
            <w:tcW w:w="200" w:type="dxa"/>
            <w:vAlign w:val="bottom"/>
          </w:tcPr>
          <w:p>
            <w:pPr>
              <w:spacing w:after="0"/>
              <w:rPr>
                <w:sz w:val="14"/>
                <w:szCs w:val="14"/>
                <w:color w:val="auto"/>
              </w:rPr>
            </w:pPr>
          </w:p>
        </w:tc>
        <w:tc>
          <w:tcPr>
            <w:tcW w:w="9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80" w:type="dxa"/>
            <w:vAlign w:val="bottom"/>
          </w:tcPr>
          <w:p>
            <w:pPr>
              <w:spacing w:after="0"/>
              <w:rPr>
                <w:sz w:val="14"/>
                <w:szCs w:val="1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Fair Value ($)</w:t>
            </w:r>
          </w:p>
        </w:tc>
        <w:tc>
          <w:tcPr>
            <w:tcW w:w="200" w:type="dxa"/>
            <w:vAlign w:val="bottom"/>
          </w:tcPr>
          <w:p>
            <w:pPr>
              <w:spacing w:after="0"/>
              <w:rPr>
                <w:sz w:val="14"/>
                <w:szCs w:val="14"/>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60" w:type="dxa"/>
            <w:vAlign w:val="bottom"/>
            <w:gridSpan w:val="9"/>
            <w:vMerge w:val="continue"/>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00" w:type="dxa"/>
            <w:vAlign w:val="bottom"/>
            <w:gridSpan w:val="2"/>
          </w:tcPr>
          <w:p>
            <w:pPr>
              <w:jc w:val="right"/>
              <w:ind w:right="277"/>
              <w:spacing w:after="0"/>
              <w:rPr>
                <w:sz w:val="20"/>
                <w:szCs w:val="20"/>
                <w:color w:val="auto"/>
              </w:rPr>
            </w:pPr>
            <w:r>
              <w:rPr>
                <w:rFonts w:ascii="Times New Roman" w:cs="Times New Roman" w:eastAsia="Times New Roman" w:hAnsi="Times New Roman"/>
                <w:sz w:val="8"/>
                <w:szCs w:val="8"/>
                <w:b w:val="1"/>
                <w:bCs w:val="1"/>
                <w:color w:val="auto"/>
              </w:rPr>
              <w:t>(2),(6)</w:t>
            </w: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shd w:val="clear" w:color="auto" w:fill="CFF0FC"/>
          </w:tcPr>
          <w:p>
            <w:pPr>
              <w:spacing w:after="0"/>
              <w:rPr>
                <w:sz w:val="11"/>
                <w:szCs w:val="11"/>
                <w:color w:val="auto"/>
              </w:rPr>
            </w:pPr>
          </w:p>
        </w:tc>
        <w:tc>
          <w:tcPr>
            <w:tcW w:w="2540" w:type="dxa"/>
            <w:vAlign w:val="bottom"/>
            <w:tcBorders>
              <w:top w:val="single" w:sz="8" w:color="auto"/>
            </w:tcBorders>
            <w:gridSpan w:val="8"/>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20" w:type="dxa"/>
            <w:vAlign w:val="bottom"/>
            <w:shd w:val="clear" w:color="auto" w:fill="CFF0FC"/>
          </w:tcPr>
          <w:p>
            <w:pPr>
              <w:spacing w:after="0"/>
              <w:rPr>
                <w:sz w:val="11"/>
                <w:szCs w:val="11"/>
                <w:color w:val="auto"/>
              </w:rPr>
            </w:pPr>
          </w:p>
        </w:tc>
        <w:tc>
          <w:tcPr>
            <w:tcW w:w="24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1500" w:type="dxa"/>
            <w:vAlign w:val="bottom"/>
            <w:tcBorders>
              <w:top w:val="single" w:sz="8" w:color="auto"/>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Senior Secured Term Loans</w:t>
            </w:r>
          </w:p>
        </w:tc>
        <w:tc>
          <w:tcPr>
            <w:tcW w:w="600" w:type="dxa"/>
            <w:vAlign w:val="bottom"/>
            <w:tcBorders>
              <w:top w:val="single" w:sz="8" w:color="auto"/>
            </w:tcBorders>
            <w:gridSpan w:val="2"/>
          </w:tcPr>
          <w:p>
            <w:pPr>
              <w:spacing w:after="0"/>
              <w:rPr>
                <w:sz w:val="12"/>
                <w:szCs w:val="12"/>
                <w:color w:val="auto"/>
              </w:rPr>
            </w:pPr>
          </w:p>
        </w:tc>
        <w:tc>
          <w:tcPr>
            <w:tcW w:w="440" w:type="dxa"/>
            <w:vAlign w:val="bottom"/>
            <w:tcBorders>
              <w:top w:val="single" w:sz="8" w:color="CFF0FC"/>
            </w:tcBorders>
            <w:gridSpan w:val="3"/>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60" w:type="dxa"/>
            <w:vAlign w:val="bottom"/>
            <w:gridSpan w:val="9"/>
          </w:tcPr>
          <w:p>
            <w:pPr>
              <w:ind w:left="20"/>
              <w:spacing w:after="0" w:line="131" w:lineRule="exact"/>
              <w:rPr>
                <w:sz w:val="20"/>
                <w:szCs w:val="20"/>
                <w:color w:val="auto"/>
              </w:rPr>
            </w:pPr>
            <w:r>
              <w:rPr>
                <w:rFonts w:ascii="Times New Roman" w:cs="Times New Roman" w:eastAsia="Times New Roman" w:hAnsi="Times New Roman"/>
                <w:sz w:val="13"/>
                <w:szCs w:val="13"/>
                <w:color w:val="auto"/>
              </w:rPr>
              <w:t>Bombora, Inc.</w:t>
            </w:r>
          </w:p>
        </w:tc>
        <w:tc>
          <w:tcPr>
            <w:tcW w:w="120" w:type="dxa"/>
            <w:vAlign w:val="bottom"/>
          </w:tcPr>
          <w:p>
            <w:pPr>
              <w:spacing w:after="0"/>
              <w:rPr>
                <w:sz w:val="11"/>
                <w:szCs w:val="11"/>
                <w:color w:val="auto"/>
              </w:rPr>
            </w:pPr>
          </w:p>
        </w:tc>
        <w:tc>
          <w:tcPr>
            <w:tcW w:w="24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SOFR+5.00%, 5.76% floor, 3.75% PIK,</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3/31/2021</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3/31/2025</w:t>
            </w: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21,341</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21,337</w:t>
            </w:r>
          </w:p>
        </w:tc>
        <w:tc>
          <w:tcPr>
            <w:tcW w:w="11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21,337</w:t>
            </w:r>
          </w:p>
        </w:tc>
        <w:tc>
          <w:tcPr>
            <w:tcW w:w="102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2.00% ETP</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SOFR+11.00%, 12.00% floor, 2.39%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5/13/2021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5/13/2024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12,360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11,857</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SOFR+11.00%, 12.00% floor, 2.00%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3/25/2022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5/13/2024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8,692</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INRIX, Inc.</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SOFR+9.00%, 9.76% floor, 2.50%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11/15/2021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11/15/2025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40,296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40,296</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SOFR+9.00%, 9.76% floor, 2.50%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5,033</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Skillshare, Inc.</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SOFR+6.50%, 10.72% floor, 3.00% ETP</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11/8/2026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24,414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24,414</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5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auto"/>
              </w:rPr>
              <w:t>Synack,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PRIME+4.25%, 8.25% floor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34,906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34,906</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22"/>
        </w:trPr>
        <w:tc>
          <w:tcPr>
            <w:tcW w:w="2560" w:type="dxa"/>
            <w:vAlign w:val="bottom"/>
            <w:gridSpan w:val="9"/>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Internet Software and Services -</w:t>
            </w:r>
          </w:p>
        </w:tc>
        <w:tc>
          <w:tcPr>
            <w:tcW w:w="120" w:type="dxa"/>
            <w:vAlign w:val="bottom"/>
            <w:shd w:val="clear" w:color="auto" w:fill="CFF0FC"/>
          </w:tcPr>
          <w:p>
            <w:pPr>
              <w:spacing w:after="0"/>
              <w:rPr>
                <w:sz w:val="10"/>
                <w:szCs w:val="10"/>
                <w:color w:val="auto"/>
              </w:rPr>
            </w:pPr>
          </w:p>
        </w:tc>
        <w:tc>
          <w:tcPr>
            <w:tcW w:w="2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147,332</w:t>
            </w:r>
          </w:p>
        </w:tc>
        <w:tc>
          <w:tcPr>
            <w:tcW w:w="180" w:type="dxa"/>
            <w:vAlign w:val="bottom"/>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146,535</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25.44%*</w:t>
            </w:r>
          </w:p>
        </w:tc>
        <w:tc>
          <w:tcPr>
            <w:tcW w:w="4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auto"/>
              </w:rPr>
              <w:t>Kin Insurance,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PRIME+6.25%, 12.50% floor, 3.00% ETP</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9/26/2022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9/15/2026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49,143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49,143</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CFF0FC"/>
            </w:tcBorders>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Property &amp; Casualty Insurance - 8.53%*</w:t>
            </w: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49,143</w:t>
            </w: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49,143</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gridSpan w:val="9"/>
          </w:tcPr>
          <w:p>
            <w:pPr>
              <w:ind w:left="20"/>
              <w:spacing w:after="0" w:line="131" w:lineRule="exact"/>
              <w:rPr>
                <w:sz w:val="20"/>
                <w:szCs w:val="20"/>
                <w:color w:val="auto"/>
              </w:rPr>
            </w:pPr>
            <w:r>
              <w:rPr>
                <w:rFonts w:ascii="Times New Roman" w:cs="Times New Roman" w:eastAsia="Times New Roman" w:hAnsi="Times New Roman"/>
                <w:sz w:val="13"/>
                <w:szCs w:val="13"/>
                <w:color w:val="auto"/>
              </w:rPr>
              <w:t>3PL Central LLC</w:t>
            </w:r>
          </w:p>
        </w:tc>
        <w:tc>
          <w:tcPr>
            <w:tcW w:w="120" w:type="dxa"/>
            <w:vAlign w:val="bottom"/>
          </w:tcPr>
          <w:p>
            <w:pPr>
              <w:spacing w:after="0"/>
              <w:rPr>
                <w:sz w:val="11"/>
                <w:szCs w:val="11"/>
                <w:color w:val="auto"/>
              </w:rPr>
            </w:pPr>
          </w:p>
        </w:tc>
        <w:tc>
          <w:tcPr>
            <w:tcW w:w="24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SOFR+4.50%, 6.50 floor, 2.50% PIK, 2.00%</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11/9/2022</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11/9/2027</w:t>
            </w: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65,163</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64,429</w:t>
            </w:r>
          </w:p>
        </w:tc>
        <w:tc>
          <w:tcPr>
            <w:tcW w:w="11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64,429</w:t>
            </w:r>
          </w:p>
        </w:tc>
        <w:tc>
          <w:tcPr>
            <w:tcW w:w="102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tcBorders>
              <w:bottom w:val="single" w:sz="8" w:color="CFF0FC"/>
            </w:tcBorders>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System Software - 11.18%*</w:t>
            </w: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64,429</w:t>
            </w: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64,429</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60" w:type="dxa"/>
            <w:vAlign w:val="bottom"/>
            <w:gridSpan w:val="9"/>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Total Senior Secured Term Loans - 185.89%*</w:t>
            </w:r>
          </w:p>
        </w:tc>
        <w:tc>
          <w:tcPr>
            <w:tcW w:w="1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1,077,552</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1,070,831</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540" w:type="dxa"/>
            <w:vAlign w:val="bottom"/>
            <w:gridSpan w:val="8"/>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Second Lien Term Loans</w:t>
            </w:r>
          </w:p>
        </w:tc>
        <w:tc>
          <w:tcPr>
            <w:tcW w:w="1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FF0FC"/>
            </w:tcBorders>
          </w:tcPr>
          <w:p>
            <w:pPr>
              <w:spacing w:after="0"/>
              <w:rPr>
                <w:sz w:val="14"/>
                <w:szCs w:val="14"/>
                <w:color w:val="auto"/>
              </w:rPr>
            </w:pPr>
          </w:p>
        </w:tc>
        <w:tc>
          <w:tcPr>
            <w:tcW w:w="13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200" w:type="dxa"/>
            <w:vAlign w:val="bottom"/>
            <w:tcBorders>
              <w:top w:val="single" w:sz="8" w:color="CFF0FC"/>
            </w:tcBorders>
            <w:gridSpan w:val="6"/>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4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60" w:type="dxa"/>
            <w:vAlign w:val="bottom"/>
            <w:gridSpan w:val="9"/>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Dejero Labs Inc.</w:t>
            </w:r>
          </w:p>
        </w:tc>
        <w:tc>
          <w:tcPr>
            <w:tcW w:w="120" w:type="dxa"/>
            <w:vAlign w:val="bottom"/>
            <w:shd w:val="clear" w:color="auto" w:fill="CFF0FC"/>
          </w:tcPr>
          <w:p>
            <w:pPr>
              <w:spacing w:after="0"/>
              <w:rPr>
                <w:sz w:val="11"/>
                <w:szCs w:val="11"/>
                <w:color w:val="auto"/>
              </w:rPr>
            </w:pPr>
          </w:p>
        </w:tc>
        <w:tc>
          <w:tcPr>
            <w:tcW w:w="24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SOFR+5.00%, 5.50 floor, 5.00% PIK, 3.00%</w:t>
            </w:r>
          </w:p>
        </w:tc>
        <w:tc>
          <w:tcPr>
            <w:tcW w:w="9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12/22/2021</w:t>
            </w:r>
          </w:p>
        </w:tc>
        <w:tc>
          <w:tcPr>
            <w:tcW w:w="9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12/22/2025</w:t>
            </w:r>
          </w:p>
        </w:tc>
        <w:tc>
          <w:tcPr>
            <w:tcW w:w="9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13,661</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13,654</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13,654</w:t>
            </w:r>
          </w:p>
        </w:tc>
        <w:tc>
          <w:tcPr>
            <w:tcW w:w="1020" w:type="dxa"/>
            <w:vAlign w:val="bottom"/>
            <w:gridSpan w:val="2"/>
            <w:shd w:val="clear" w:color="auto" w:fill="CFF0FC"/>
          </w:tcPr>
          <w:p>
            <w:pPr>
              <w:ind w:left="220"/>
              <w:spacing w:after="0" w:line="135" w:lineRule="exact"/>
              <w:rPr>
                <w:sz w:val="20"/>
                <w:szCs w:val="20"/>
                <w:color w:val="auto"/>
              </w:rPr>
            </w:pPr>
            <w:r>
              <w:rPr>
                <w:rFonts w:ascii="Times New Roman" w:cs="Times New Roman" w:eastAsia="Times New Roman" w:hAnsi="Times New Roman"/>
                <w:sz w:val="13"/>
                <w:szCs w:val="13"/>
                <w:color w:val="auto"/>
              </w:rPr>
              <w:t>(3)(4)(8)(10)</w:t>
            </w:r>
          </w:p>
        </w:tc>
        <w:tc>
          <w:tcPr>
            <w:tcW w:w="0" w:type="dxa"/>
            <w:vAlign w:val="bottom"/>
          </w:tcPr>
          <w:p>
            <w:pPr>
              <w:spacing w:after="0"/>
              <w:rPr>
                <w:sz w:val="1"/>
                <w:szCs w:val="1"/>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Total System Software - 2.37%*</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1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13,654</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spacing w:after="0"/>
              <w:rPr>
                <w:sz w:val="13"/>
                <w:szCs w:val="13"/>
                <w:color w:val="auto"/>
              </w:rPr>
            </w:pPr>
          </w:p>
        </w:tc>
        <w:tc>
          <w:tcPr>
            <w:tcW w:w="1100" w:type="dxa"/>
            <w:vAlign w:val="bottom"/>
            <w:gridSpan w:val="2"/>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60" w:type="dxa"/>
            <w:vAlign w:val="bottom"/>
            <w:gridSpan w:val="9"/>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Total Second Lien Term Loans - 2.37%*</w:t>
            </w: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13,654</w:t>
            </w:r>
          </w:p>
        </w:tc>
        <w:tc>
          <w:tcPr>
            <w:tcW w:w="11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13,654</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8"/>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Stocks</w:t>
            </w: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5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auto"/>
              </w:rPr>
              <w:t>Aria Systems, Inc.</w:t>
            </w:r>
          </w:p>
        </w:tc>
        <w:tc>
          <w:tcPr>
            <w:tcW w:w="120" w:type="dxa"/>
            <w:vAlign w:val="bottom"/>
          </w:tcPr>
          <w:p>
            <w:pPr>
              <w:spacing w:after="0"/>
              <w:rPr>
                <w:sz w:val="14"/>
                <w:szCs w:val="1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7/10/2018</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289,419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CFF0FC"/>
            </w:tcBorders>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- 0.06%*</w:t>
            </w: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2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60" w:type="dxa"/>
            <w:vAlign w:val="bottom"/>
            <w:gridSpan w:val="9"/>
          </w:tcPr>
          <w:p>
            <w:pPr>
              <w:ind w:left="20"/>
              <w:spacing w:after="0" w:line="131" w:lineRule="exact"/>
              <w:rPr>
                <w:sz w:val="20"/>
                <w:szCs w:val="20"/>
                <w:color w:val="auto"/>
              </w:rPr>
            </w:pPr>
            <w:r>
              <w:rPr>
                <w:rFonts w:ascii="Times New Roman" w:cs="Times New Roman" w:eastAsia="Times New Roman" w:hAnsi="Times New Roman"/>
                <w:sz w:val="13"/>
                <w:szCs w:val="13"/>
                <w:color w:val="auto"/>
              </w:rPr>
              <w:t>CareCloud, Inc.</w:t>
            </w:r>
          </w:p>
        </w:tc>
        <w:tc>
          <w:tcPr>
            <w:tcW w:w="120" w:type="dxa"/>
            <w:vAlign w:val="bottom"/>
          </w:tcPr>
          <w:p>
            <w:pPr>
              <w:spacing w:after="0"/>
              <w:rPr>
                <w:sz w:val="11"/>
                <w:szCs w:val="11"/>
                <w:color w:val="auto"/>
              </w:rPr>
            </w:pPr>
          </w:p>
        </w:tc>
        <w:tc>
          <w:tcPr>
            <w:tcW w:w="24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11% Series A Cumulative Redeemable</w:t>
            </w:r>
          </w:p>
        </w:tc>
        <w:tc>
          <w:tcPr>
            <w:tcW w:w="9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1/8/2020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462,064</w:t>
            </w:r>
          </w:p>
        </w:tc>
        <w:tc>
          <w:tcPr>
            <w:tcW w:w="11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12,132</w:t>
            </w:r>
          </w:p>
        </w:tc>
        <w:tc>
          <w:tcPr>
            <w:tcW w:w="11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color w:val="auto"/>
              </w:rPr>
              <w:t>12,335</w:t>
            </w:r>
          </w:p>
        </w:tc>
        <w:tc>
          <w:tcPr>
            <w:tcW w:w="102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3"/>
                <w:szCs w:val="13"/>
                <w:color w:val="auto"/>
              </w:rPr>
              <w:t>(15)(17)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Perpetual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tcBorders>
              <w:bottom w:val="single" w:sz="8" w:color="CFF0FC"/>
            </w:tcBorders>
            <w:gridSpan w:val="9"/>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- 2.14%*</w:t>
            </w:r>
          </w:p>
        </w:tc>
        <w:tc>
          <w:tcPr>
            <w:tcW w:w="120" w:type="dxa"/>
            <w:vAlign w:val="bottom"/>
            <w:tcBorders>
              <w:bottom w:val="single" w:sz="8" w:color="CFF0FC"/>
            </w:tcBorders>
            <w:shd w:val="clear" w:color="auto" w:fill="CFF0FC"/>
          </w:tcPr>
          <w:p>
            <w:pPr>
              <w:spacing w:after="0"/>
              <w:rPr>
                <w:sz w:val="13"/>
                <w:szCs w:val="13"/>
                <w:color w:val="auto"/>
              </w:rPr>
            </w:pPr>
          </w:p>
        </w:tc>
        <w:tc>
          <w:tcPr>
            <w:tcW w:w="24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12,132</w:t>
            </w:r>
          </w:p>
        </w:tc>
        <w:tc>
          <w:tcPr>
            <w:tcW w:w="18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12,335</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540" w:type="dxa"/>
            <w:vAlign w:val="bottom"/>
            <w:gridSpan w:val="8"/>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Preferred Stocks - 2.20%*</w:t>
            </w:r>
          </w:p>
        </w:tc>
        <w:tc>
          <w:tcPr>
            <w:tcW w:w="120" w:type="dxa"/>
            <w:vAlign w:val="bottom"/>
            <w:shd w:val="clear" w:color="auto" w:fill="CFF0FC"/>
          </w:tcPr>
          <w:p>
            <w:pPr>
              <w:spacing w:after="0"/>
              <w:rPr>
                <w:sz w:val="13"/>
                <w:szCs w:val="13"/>
                <w:color w:val="auto"/>
              </w:rPr>
            </w:pPr>
          </w:p>
        </w:tc>
        <w:tc>
          <w:tcPr>
            <w:tcW w:w="2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12,382</w:t>
            </w:r>
          </w:p>
        </w:tc>
        <w:tc>
          <w:tcPr>
            <w:tcW w:w="11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12,682</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-3256915</wp:posOffset>
            </wp:positionV>
            <wp:extent cx="68580" cy="1117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-3256915</wp:posOffset>
            </wp:positionV>
            <wp:extent cx="68580" cy="1117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-2820035</wp:posOffset>
            </wp:positionV>
            <wp:extent cx="68580" cy="1117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-2820035</wp:posOffset>
            </wp:positionV>
            <wp:extent cx="68580" cy="1117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-2313940</wp:posOffset>
            </wp:positionV>
            <wp:extent cx="68580" cy="1117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-2313940</wp:posOffset>
            </wp:positionV>
            <wp:extent cx="68580" cy="1117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-2099945</wp:posOffset>
            </wp:positionV>
            <wp:extent cx="68580" cy="1117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-2099945</wp:posOffset>
            </wp:positionV>
            <wp:extent cx="68580" cy="1117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-1585595</wp:posOffset>
            </wp:positionV>
            <wp:extent cx="68580" cy="1200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-1585595</wp:posOffset>
            </wp:positionV>
            <wp:extent cx="68580" cy="1200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-728345</wp:posOffset>
            </wp:positionV>
            <wp:extent cx="68580" cy="1111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-728345</wp:posOffset>
            </wp:positionV>
            <wp:extent cx="68580" cy="1111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-222250</wp:posOffset>
            </wp:positionV>
            <wp:extent cx="68580" cy="1111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-222250</wp:posOffset>
            </wp:positionV>
            <wp:extent cx="68580" cy="1111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6"/>
                <w:szCs w:val="16"/>
                <w:color w:val="auto"/>
              </w:rPr>
            </w:pPr>
          </w:p>
        </w:tc>
        <w:tc>
          <w:tcPr>
            <w:tcW w:w="230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40" w:type="dxa"/>
            <w:vAlign w:val="bottom"/>
          </w:tcPr>
          <w:p>
            <w:pPr>
              <w:spacing w:after="0"/>
              <w:rPr>
                <w:sz w:val="16"/>
                <w:szCs w:val="16"/>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Principal ($) /</w:t>
            </w:r>
          </w:p>
        </w:tc>
        <w:tc>
          <w:tcPr>
            <w:tcW w:w="200" w:type="dxa"/>
            <w:vAlign w:val="bottom"/>
          </w:tcPr>
          <w:p>
            <w:pPr>
              <w:spacing w:after="0"/>
              <w:rPr>
                <w:sz w:val="16"/>
                <w:szCs w:val="16"/>
                <w:color w:val="auto"/>
              </w:rPr>
            </w:pPr>
          </w:p>
        </w:tc>
        <w:tc>
          <w:tcPr>
            <w:tcW w:w="96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 xml:space="preserve">Fair Value ($) </w:t>
            </w:r>
            <w:r>
              <w:rPr>
                <w:rFonts w:ascii="Times New Roman" w:cs="Times New Roman" w:eastAsia="Times New Roman" w:hAnsi="Times New Roman"/>
                <w:sz w:val="16"/>
                <w:szCs w:val="16"/>
                <w:b w:val="1"/>
                <w:bCs w:val="1"/>
                <w:color w:val="auto"/>
                <w:w w:val="95"/>
                <w:vertAlign w:val="superscript"/>
              </w:rPr>
              <w:t>(2),</w:t>
            </w:r>
          </w:p>
        </w:tc>
        <w:tc>
          <w:tcPr>
            <w:tcW w:w="240" w:type="dxa"/>
            <w:vAlign w:val="bottom"/>
          </w:tcPr>
          <w:p>
            <w:pPr>
              <w:spacing w:after="0"/>
              <w:rPr>
                <w:sz w:val="16"/>
                <w:szCs w:val="16"/>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48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180" w:type="dxa"/>
            <w:vAlign w:val="bottom"/>
            <w:gridSpan w:val="2"/>
          </w:tcPr>
          <w:p>
            <w:pPr>
              <w:jc w:val="right"/>
              <w:ind w:right="377"/>
              <w:spacing w:after="0"/>
              <w:rPr>
                <w:sz w:val="20"/>
                <w:szCs w:val="20"/>
                <w:color w:val="auto"/>
              </w:rPr>
            </w:pPr>
            <w:r>
              <w:rPr>
                <w:rFonts w:ascii="Times New Roman" w:cs="Times New Roman" w:eastAsia="Times New Roman" w:hAnsi="Times New Roman"/>
                <w:sz w:val="8"/>
                <w:szCs w:val="8"/>
                <w:b w:val="1"/>
                <w:bCs w:val="1"/>
                <w:color w:val="auto"/>
              </w:rPr>
              <w:t>(6)</w:t>
            </w:r>
          </w:p>
        </w:tc>
        <w:tc>
          <w:tcPr>
            <w:tcW w:w="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shd w:val="clear" w:color="auto" w:fill="CFF0FC"/>
          </w:tcPr>
          <w:p>
            <w:pPr>
              <w:spacing w:after="0"/>
              <w:rPr>
                <w:sz w:val="11"/>
                <w:szCs w:val="11"/>
                <w:color w:val="auto"/>
              </w:rPr>
            </w:pPr>
          </w:p>
        </w:tc>
        <w:tc>
          <w:tcPr>
            <w:tcW w:w="2460" w:type="dxa"/>
            <w:vAlign w:val="bottom"/>
            <w:tcBorders>
              <w:top w:val="single" w:sz="8" w:color="auto"/>
            </w:tcBorders>
            <w:gridSpan w:val="5"/>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shd w:val="clear" w:color="auto" w:fill="CFF0FC"/>
          </w:tcPr>
          <w:p>
            <w:pPr>
              <w:spacing w:after="0"/>
              <w:rPr>
                <w:sz w:val="11"/>
                <w:szCs w:val="11"/>
                <w:color w:val="auto"/>
              </w:rPr>
            </w:pPr>
          </w:p>
        </w:tc>
        <w:tc>
          <w:tcPr>
            <w:tcW w:w="23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Common Stocks</w:t>
            </w:r>
          </w:p>
        </w:tc>
        <w:tc>
          <w:tcPr>
            <w:tcW w:w="1220" w:type="dxa"/>
            <w:vAlign w:val="bottom"/>
            <w:tcBorders>
              <w:top w:val="single" w:sz="8" w:color="auto"/>
            </w:tcBorders>
            <w:gridSpan w:val="2"/>
          </w:tcPr>
          <w:p>
            <w:pPr>
              <w:spacing w:after="0"/>
              <w:rPr>
                <w:sz w:val="12"/>
                <w:szCs w:val="12"/>
                <w:color w:val="auto"/>
              </w:rPr>
            </w:pPr>
          </w:p>
        </w:tc>
        <w:tc>
          <w:tcPr>
            <w:tcW w:w="3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3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6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98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FiscalNote, Inc.</w:t>
            </w: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10/19/2020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230,881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(7)(19)</w:t>
            </w:r>
          </w:p>
        </w:tc>
        <w:tc>
          <w:tcPr>
            <w:tcW w:w="0" w:type="dxa"/>
            <w:vAlign w:val="bottom"/>
          </w:tcPr>
          <w:p>
            <w:pPr>
              <w:spacing w:after="0"/>
              <w:rPr>
                <w:sz w:val="1"/>
                <w:szCs w:val="1"/>
                <w:color w:val="auto"/>
              </w:rPr>
            </w:pPr>
          </w:p>
        </w:tc>
      </w:tr>
      <w:tr>
        <w:trPr>
          <w:trHeight w:val="156"/>
        </w:trPr>
        <w:tc>
          <w:tcPr>
            <w:tcW w:w="248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- 0.25%*</w:t>
            </w:r>
          </w:p>
        </w:tc>
        <w:tc>
          <w:tcPr>
            <w:tcW w:w="140" w:type="dxa"/>
            <w:vAlign w:val="bottom"/>
            <w:tcBorders>
              <w:bottom w:val="single" w:sz="8" w:color="CFF0FC"/>
            </w:tcBorders>
            <w:shd w:val="clear" w:color="auto" w:fill="CFF0FC"/>
          </w:tcPr>
          <w:p>
            <w:pPr>
              <w:spacing w:after="0"/>
              <w:rPr>
                <w:sz w:val="13"/>
                <w:szCs w:val="13"/>
                <w:color w:val="auto"/>
              </w:rPr>
            </w:pPr>
          </w:p>
        </w:tc>
        <w:tc>
          <w:tcPr>
            <w:tcW w:w="2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2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80" w:type="dxa"/>
            <w:vAlign w:val="bottom"/>
            <w:gridSpan w:val="6"/>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Technology Hardware, Storage &amp;</w:t>
            </w:r>
          </w:p>
        </w:tc>
        <w:tc>
          <w:tcPr>
            <w:tcW w:w="140" w:type="dxa"/>
            <w:vAlign w:val="bottom"/>
            <w:shd w:val="clear" w:color="auto" w:fill="CFF0FC"/>
          </w:tcPr>
          <w:p>
            <w:pPr>
              <w:spacing w:after="0"/>
              <w:rPr>
                <w:sz w:val="11"/>
                <w:szCs w:val="11"/>
                <w:color w:val="auto"/>
              </w:rPr>
            </w:pPr>
          </w:p>
        </w:tc>
        <w:tc>
          <w:tcPr>
            <w:tcW w:w="2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Peripherals</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Quantum Corporation</w:t>
            </w: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8/13/2021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459,720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(3)(7)(15)(17)</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zSpace, Inc.</w:t>
            </w:r>
          </w:p>
        </w:tc>
        <w:tc>
          <w:tcPr>
            <w:tcW w:w="140" w:type="dxa"/>
            <w:vAlign w:val="bottom"/>
            <w:tcBorders>
              <w:bottom w:val="single" w:sz="8" w:color="CFF0FC"/>
            </w:tcBorders>
            <w:shd w:val="clear" w:color="auto" w:fill="CFF0FC"/>
          </w:tcPr>
          <w:p>
            <w:pPr>
              <w:spacing w:after="0"/>
              <w:rPr>
                <w:sz w:val="14"/>
                <w:szCs w:val="14"/>
                <w:color w:val="auto"/>
              </w:rPr>
            </w:pPr>
          </w:p>
        </w:tc>
        <w:tc>
          <w:tcPr>
            <w:tcW w:w="23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12/31/2020</w:t>
            </w:r>
          </w:p>
        </w:tc>
        <w:tc>
          <w:tcPr>
            <w:tcW w:w="14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6,078,499</w:t>
            </w: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2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48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Technology Hardware, Storage &amp;</w:t>
            </w:r>
          </w:p>
        </w:tc>
        <w:tc>
          <w:tcPr>
            <w:tcW w:w="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3,726</w:t>
            </w:r>
          </w:p>
        </w:tc>
        <w:tc>
          <w:tcPr>
            <w:tcW w:w="1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501</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Peripherals - 0.09%*</w:t>
            </w: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480" w:type="dxa"/>
            <w:vAlign w:val="bottom"/>
            <w:gridSpan w:val="6"/>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 Common Stocks - 0.34%*</w:t>
            </w:r>
          </w:p>
        </w:tc>
        <w:tc>
          <w:tcPr>
            <w:tcW w:w="1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4,164</w:t>
            </w:r>
          </w:p>
        </w:tc>
        <w:tc>
          <w:tcPr>
            <w:tcW w:w="11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1,923</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Warrants</w:t>
            </w:r>
          </w:p>
        </w:tc>
        <w:tc>
          <w:tcPr>
            <w:tcW w:w="194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STN Video Inc.</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Class B Non-Voting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6"/>
        </w:trPr>
        <w:tc>
          <w:tcPr>
            <w:tcW w:w="248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Advertising - 0.00%*</w:t>
            </w:r>
          </w:p>
        </w:tc>
        <w:tc>
          <w:tcPr>
            <w:tcW w:w="140" w:type="dxa"/>
            <w:vAlign w:val="bottom"/>
            <w:tcBorders>
              <w:bottom w:val="single" w:sz="8" w:color="CFF0FC"/>
            </w:tcBorders>
            <w:shd w:val="clear" w:color="auto" w:fill="CFF0FC"/>
          </w:tcPr>
          <w:p>
            <w:pPr>
              <w:spacing w:after="0"/>
              <w:rPr>
                <w:sz w:val="13"/>
                <w:szCs w:val="13"/>
                <w:color w:val="auto"/>
              </w:rPr>
            </w:pPr>
          </w:p>
        </w:tc>
        <w:tc>
          <w:tcPr>
            <w:tcW w:w="2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3DNA Corp. (dba NationBuilder)</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Series C-1 Preferred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12/28/2018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12/28/2028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273,164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Aria Systems, Inc.</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G Preferred Stock</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6/29/2018</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6/29/2028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2,387,705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2,865</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Circadence Corporation</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12/20/2018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12/20/2028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1,538,462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10/31/2019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10/31/2029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384,615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6/1/2025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7/11/2019</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7/11/2026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833,333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FiscalNote, Inc.</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Earnout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7/29/2022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7/29/2027</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(7)(13)(19)</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Porch Group, Inc.</w:t>
            </w:r>
          </w:p>
        </w:tc>
        <w:tc>
          <w:tcPr>
            <w:tcW w:w="140" w:type="dxa"/>
            <w:vAlign w:val="bottom"/>
            <w:tcBorders>
              <w:bottom w:val="single" w:sz="8" w:color="CFF0FC"/>
            </w:tcBorders>
            <w:shd w:val="clear" w:color="auto" w:fill="CFF0FC"/>
          </w:tcPr>
          <w:p>
            <w:pPr>
              <w:spacing w:after="0"/>
              <w:rPr>
                <w:sz w:val="14"/>
                <w:szCs w:val="14"/>
                <w:color w:val="auto"/>
              </w:rPr>
            </w:pPr>
          </w:p>
        </w:tc>
        <w:tc>
          <w:tcPr>
            <w:tcW w:w="2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Earnout</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12/23/2020</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12/23/2023</w:t>
            </w:r>
          </w:p>
        </w:tc>
        <w:tc>
          <w:tcPr>
            <w:tcW w:w="10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(7)(13)(15)</w:t>
            </w:r>
          </w:p>
        </w:tc>
        <w:tc>
          <w:tcPr>
            <w:tcW w:w="0" w:type="dxa"/>
            <w:vAlign w:val="bottom"/>
          </w:tcPr>
          <w:p>
            <w:pPr>
              <w:spacing w:after="0"/>
              <w:rPr>
                <w:sz w:val="1"/>
                <w:szCs w:val="1"/>
                <w:color w:val="auto"/>
              </w:rPr>
            </w:pPr>
          </w:p>
        </w:tc>
      </w:tr>
      <w:tr>
        <w:trPr>
          <w:trHeight w:val="156"/>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- 0.63%*</w:t>
            </w: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3,649</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Mustang Bio, Inc.</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3/4/2032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748,036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1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TRACON Pharmaceuticals, Inc.</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9/2/2022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9/2/2032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150,753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155"/>
        </w:trPr>
        <w:tc>
          <w:tcPr>
            <w:tcW w:w="248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Biotechnology - 0.04%*</w:t>
            </w:r>
          </w:p>
        </w:tc>
        <w:tc>
          <w:tcPr>
            <w:tcW w:w="140" w:type="dxa"/>
            <w:vAlign w:val="bottom"/>
            <w:tcBorders>
              <w:bottom w:val="single" w:sz="8" w:color="CFF0FC"/>
            </w:tcBorders>
            <w:shd w:val="clear" w:color="auto" w:fill="CFF0FC"/>
          </w:tcPr>
          <w:p>
            <w:pPr>
              <w:spacing w:after="0"/>
              <w:rPr>
                <w:sz w:val="13"/>
                <w:szCs w:val="13"/>
                <w:color w:val="auto"/>
              </w:rPr>
            </w:pPr>
          </w:p>
        </w:tc>
        <w:tc>
          <w:tcPr>
            <w:tcW w:w="2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2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140" w:type="dxa"/>
            <w:vAlign w:val="bottom"/>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Massdrop, Inc.</w:t>
            </w:r>
          </w:p>
        </w:tc>
        <w:tc>
          <w:tcPr>
            <w:tcW w:w="14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7/22/2019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7/22/2029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848,093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480" w:type="dxa"/>
            <w:vAlign w:val="bottom"/>
            <w:gridSpan w:val="6"/>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Computer &amp; Electronics Retail -</w:t>
            </w:r>
          </w:p>
        </w:tc>
        <w:tc>
          <w:tcPr>
            <w:tcW w:w="140" w:type="dxa"/>
            <w:vAlign w:val="bottom"/>
            <w:shd w:val="clear" w:color="auto" w:fill="CFF0FC"/>
          </w:tcPr>
          <w:p>
            <w:pPr>
              <w:spacing w:after="0"/>
              <w:rPr>
                <w:sz w:val="10"/>
                <w:szCs w:val="10"/>
                <w:color w:val="auto"/>
              </w:rPr>
            </w:pPr>
          </w:p>
        </w:tc>
        <w:tc>
          <w:tcPr>
            <w:tcW w:w="2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6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183</w:t>
            </w:r>
          </w:p>
        </w:tc>
        <w:tc>
          <w:tcPr>
            <w:tcW w:w="200" w:type="dxa"/>
            <w:vAlign w:val="bottom"/>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68</w:t>
            </w:r>
          </w:p>
        </w:tc>
        <w:tc>
          <w:tcPr>
            <w:tcW w:w="2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0.01%*</w:t>
            </w:r>
          </w:p>
        </w:tc>
        <w:tc>
          <w:tcPr>
            <w:tcW w:w="36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-3642360</wp:posOffset>
            </wp:positionV>
            <wp:extent cx="68580" cy="1117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-3642360</wp:posOffset>
            </wp:positionV>
            <wp:extent cx="68580" cy="1117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-3136900</wp:posOffset>
            </wp:positionV>
            <wp:extent cx="68580" cy="1968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-3136900</wp:posOffset>
            </wp:positionV>
            <wp:extent cx="68580" cy="1968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-2836545</wp:posOffset>
            </wp:positionV>
            <wp:extent cx="68580" cy="1200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-2836545</wp:posOffset>
            </wp:positionV>
            <wp:extent cx="68580"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-2193925</wp:posOffset>
            </wp:positionV>
            <wp:extent cx="68580" cy="1111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-2193925</wp:posOffset>
            </wp:positionV>
            <wp:extent cx="68580" cy="1111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-1156970</wp:posOffset>
            </wp:positionV>
            <wp:extent cx="68580" cy="1200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-1156970</wp:posOffset>
            </wp:positionV>
            <wp:extent cx="68580" cy="1200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-513715</wp:posOffset>
            </wp:positionV>
            <wp:extent cx="68580" cy="1111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-513715</wp:posOffset>
            </wp:positionV>
            <wp:extent cx="68580" cy="1111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6"/>
                <w:szCs w:val="16"/>
                <w:color w:val="auto"/>
              </w:rPr>
            </w:pPr>
          </w:p>
        </w:tc>
        <w:tc>
          <w:tcPr>
            <w:tcW w:w="23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60" w:type="dxa"/>
            <w:vAlign w:val="bottom"/>
          </w:tcPr>
          <w:p>
            <w:pPr>
              <w:spacing w:after="0"/>
              <w:rPr>
                <w:sz w:val="16"/>
                <w:szCs w:val="16"/>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Principal ($) /</w:t>
            </w:r>
          </w:p>
        </w:tc>
        <w:tc>
          <w:tcPr>
            <w:tcW w:w="220" w:type="dxa"/>
            <w:vAlign w:val="bottom"/>
          </w:tcPr>
          <w:p>
            <w:pPr>
              <w:spacing w:after="0"/>
              <w:rPr>
                <w:sz w:val="16"/>
                <w:szCs w:val="16"/>
                <w:color w:val="auto"/>
              </w:rPr>
            </w:pPr>
          </w:p>
        </w:tc>
        <w:tc>
          <w:tcPr>
            <w:tcW w:w="9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w:t>
            </w:r>
          </w:p>
        </w:tc>
        <w:tc>
          <w:tcPr>
            <w:tcW w:w="220" w:type="dxa"/>
            <w:vAlign w:val="bottom"/>
          </w:tcPr>
          <w:p>
            <w:pPr>
              <w:spacing w:after="0"/>
              <w:rPr>
                <w:sz w:val="16"/>
                <w:szCs w:val="16"/>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60" w:type="dxa"/>
            <w:vAlign w:val="bottom"/>
            <w:gridSpan w:val="2"/>
          </w:tcPr>
          <w:p>
            <w:pPr>
              <w:jc w:val="right"/>
              <w:ind w:right="357"/>
              <w:spacing w:after="0"/>
              <w:rPr>
                <w:sz w:val="20"/>
                <w:szCs w:val="20"/>
                <w:color w:val="auto"/>
              </w:rPr>
            </w:pPr>
            <w:r>
              <w:rPr>
                <w:rFonts w:ascii="Times New Roman" w:cs="Times New Roman" w:eastAsia="Times New Roman" w:hAnsi="Times New Roman"/>
                <w:sz w:val="8"/>
                <w:szCs w:val="8"/>
                <w:b w:val="1"/>
                <w:bCs w:val="1"/>
                <w:color w:val="auto"/>
              </w:rPr>
              <w:t>(6)</w:t>
            </w:r>
          </w:p>
        </w:tc>
        <w:tc>
          <w:tcPr>
            <w:tcW w:w="2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auto"/>
            </w:tcBorders>
            <w:shd w:val="clear" w:color="auto" w:fill="CFF0FC"/>
          </w:tcPr>
          <w:p>
            <w:pPr>
              <w:spacing w:after="0"/>
              <w:rPr>
                <w:sz w:val="11"/>
                <w:szCs w:val="11"/>
                <w:color w:val="auto"/>
              </w:rPr>
            </w:pPr>
          </w:p>
        </w:tc>
        <w:tc>
          <w:tcPr>
            <w:tcW w:w="2480" w:type="dxa"/>
            <w:vAlign w:val="bottom"/>
            <w:tcBorders>
              <w:top w:val="single" w:sz="8" w:color="auto"/>
            </w:tcBorders>
            <w:gridSpan w:val="3"/>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shd w:val="clear" w:color="auto" w:fill="CFF0FC"/>
          </w:tcPr>
          <w:p>
            <w:pPr>
              <w:spacing w:after="0"/>
              <w:rPr>
                <w:sz w:val="11"/>
                <w:szCs w:val="11"/>
                <w:color w:val="auto"/>
              </w:rPr>
            </w:pPr>
          </w:p>
        </w:tc>
        <w:tc>
          <w:tcPr>
            <w:tcW w:w="232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5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Warrants</w:t>
            </w:r>
          </w:p>
        </w:tc>
        <w:tc>
          <w:tcPr>
            <w:tcW w:w="1580" w:type="dxa"/>
            <w:vAlign w:val="bottom"/>
            <w:tcBorders>
              <w:top w:val="single" w:sz="8" w:color="auto"/>
            </w:tcBorders>
          </w:tcPr>
          <w:p>
            <w:pPr>
              <w:spacing w:after="0"/>
              <w:rPr>
                <w:sz w:val="12"/>
                <w:szCs w:val="12"/>
                <w:color w:val="auto"/>
              </w:rPr>
            </w:pPr>
          </w:p>
        </w:tc>
        <w:tc>
          <w:tcPr>
            <w:tcW w:w="3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3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9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6/24/2032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189,408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ShareThis,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12/3/2018</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12/3/2028</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647,615</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Data Processing &amp; Outsourced Services</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2,381</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1,932</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- 0.34%*</w:t>
            </w: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Brivo,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10/20/2032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Epic IO Technologies,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12/17/2024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22"/>
        </w:trPr>
        <w:tc>
          <w:tcPr>
            <w:tcW w:w="2500" w:type="dxa"/>
            <w:vAlign w:val="bottom"/>
            <w:gridSpan w:val="4"/>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Total Electronic Equipment &amp; Instruments -</w:t>
            </w:r>
          </w:p>
        </w:tc>
        <w:tc>
          <w:tcPr>
            <w:tcW w:w="140" w:type="dxa"/>
            <w:vAlign w:val="bottom"/>
            <w:shd w:val="clear" w:color="auto" w:fill="CFF0FC"/>
          </w:tcPr>
          <w:p>
            <w:pPr>
              <w:spacing w:after="0"/>
              <w:rPr>
                <w:sz w:val="10"/>
                <w:szCs w:val="10"/>
                <w:color w:val="auto"/>
              </w:rPr>
            </w:pPr>
          </w:p>
        </w:tc>
        <w:tc>
          <w:tcPr>
            <w:tcW w:w="2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528</w:t>
            </w: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563</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0.10%*</w:t>
            </w:r>
          </w:p>
        </w:tc>
        <w:tc>
          <w:tcPr>
            <w:tcW w:w="158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Equipment</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Moximed,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6/24/2032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214,285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Revelle Aesthetics,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3/30/2022</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3/30/3032</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115,591</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Equipment - 0.05%*</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3/30/2021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3/30/2031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132,979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D-1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6/14/2022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3/30/2031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88,440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CareCloud,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1/8/2020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EBR Systems,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6/30/2032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G Convertible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11/19/2021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11/19/2031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27,978,115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CC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8/15/2018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8/15/2028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1,770,973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Nalu Medical,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10/12/2022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10/12/2032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91,717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8/17/2021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8/17/2031</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6/29/2021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6/29/2031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12/29/2022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12/29/2032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VERO Biotech LLC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12/29/2020</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12/29/2025</w:t>
            </w: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5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- 0.45%*</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6/30/2020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6/30/2030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(3)(7)(12)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8/17/2021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8/17/2031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(3)(7)(12)</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B-1 Preferred Stock</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9/29/2021</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9/29/2031</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763,269</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4"/>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Human Resource &amp; Employment</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721</w:t>
            </w:r>
          </w:p>
        </w:tc>
        <w:tc>
          <w:tcPr>
            <w:tcW w:w="1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1,310</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- 0.23%*</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-3505835</wp:posOffset>
            </wp:positionV>
            <wp:extent cx="68580" cy="1974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-3505835</wp:posOffset>
            </wp:positionV>
            <wp:extent cx="68580" cy="1974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-2708275</wp:posOffset>
            </wp:positionV>
            <wp:extent cx="68580" cy="1117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-2708275</wp:posOffset>
            </wp:positionV>
            <wp:extent cx="68580" cy="1117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-2287905</wp:posOffset>
            </wp:positionV>
            <wp:extent cx="68580" cy="1200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-2287905</wp:posOffset>
            </wp:positionV>
            <wp:extent cx="68580" cy="1200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-831215</wp:posOffset>
            </wp:positionV>
            <wp:extent cx="68580" cy="1200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-831215</wp:posOffset>
            </wp:positionV>
            <wp:extent cx="68580"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-196850</wp:posOffset>
            </wp:positionV>
            <wp:extent cx="68580" cy="1974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-196850</wp:posOffset>
            </wp:positionV>
            <wp:extent cx="68580" cy="1974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9748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FF0FC"/>
          </w:tcPr>
          <w:p>
            <w:pPr>
              <w:spacing w:after="0"/>
              <w:rPr>
                <w:sz w:val="16"/>
                <w:szCs w:val="16"/>
                <w:color w:val="auto"/>
              </w:rPr>
            </w:pPr>
          </w:p>
        </w:tc>
        <w:tc>
          <w:tcPr>
            <w:tcW w:w="2480" w:type="dxa"/>
            <w:vAlign w:val="bottom"/>
            <w:gridSpan w:val="8"/>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shd w:val="clear" w:color="auto" w:fill="CFF0FC"/>
          </w:tcPr>
          <w:p>
            <w:pPr>
              <w:spacing w:after="0"/>
              <w:rPr>
                <w:sz w:val="16"/>
                <w:szCs w:val="16"/>
                <w:color w:val="auto"/>
              </w:rPr>
            </w:pPr>
          </w:p>
        </w:tc>
        <w:tc>
          <w:tcPr>
            <w:tcW w:w="2320" w:type="dxa"/>
            <w:vAlign w:val="bottom"/>
            <w:vMerge w:val="restart"/>
            <w:shd w:val="clear" w:color="auto" w:fill="CFF0FC"/>
          </w:tcPr>
          <w:p>
            <w:pPr>
              <w:ind w:left="36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4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Principal ($) /</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2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w:t>
            </w:r>
          </w:p>
        </w:tc>
        <w:tc>
          <w:tcPr>
            <w:tcW w:w="220" w:type="dxa"/>
            <w:vAlign w:val="bottom"/>
            <w:shd w:val="clear" w:color="auto" w:fill="CFF0FC"/>
          </w:tcPr>
          <w:p>
            <w:pPr>
              <w:spacing w:after="0"/>
              <w:rPr>
                <w:sz w:val="16"/>
                <w:szCs w:val="16"/>
                <w:color w:val="auto"/>
              </w:rPr>
            </w:pPr>
          </w:p>
        </w:tc>
        <w:tc>
          <w:tcPr>
            <w:tcW w:w="76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2480" w:type="dxa"/>
            <w:vAlign w:val="bottom"/>
            <w:gridSpan w:val="8"/>
            <w:vMerge w:val="continue"/>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320" w:type="dxa"/>
            <w:vAlign w:val="bottom"/>
            <w:vMerge w:val="continue"/>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shd w:val="clear" w:color="auto" w:fill="CFF0FC"/>
          </w:tcPr>
          <w:p>
            <w:pPr>
              <w:spacing w:after="0"/>
              <w:rPr>
                <w:sz w:val="11"/>
                <w:szCs w:val="11"/>
                <w:color w:val="auto"/>
              </w:rPr>
            </w:pPr>
          </w:p>
        </w:tc>
        <w:tc>
          <w:tcPr>
            <w:tcW w:w="86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vMerge w:val="continue"/>
            <w:shd w:val="clear" w:color="auto" w:fill="CFF0FC"/>
          </w:tcPr>
          <w:p>
            <w:pPr>
              <w:spacing w:after="0"/>
              <w:rPr>
                <w:sz w:val="11"/>
                <w:szCs w:val="11"/>
                <w:color w:val="auto"/>
              </w:rPr>
            </w:pPr>
          </w:p>
        </w:tc>
        <w:tc>
          <w:tcPr>
            <w:tcW w:w="1160" w:type="dxa"/>
            <w:vAlign w:val="bottom"/>
            <w:gridSpan w:val="3"/>
            <w:shd w:val="clear" w:color="auto" w:fill="CFF0FC"/>
          </w:tcPr>
          <w:p>
            <w:pPr>
              <w:jc w:val="right"/>
              <w:ind w:right="357"/>
              <w:spacing w:after="0"/>
              <w:rPr>
                <w:sz w:val="20"/>
                <w:szCs w:val="20"/>
                <w:color w:val="auto"/>
              </w:rPr>
            </w:pPr>
            <w:r>
              <w:rPr>
                <w:rFonts w:ascii="Times New Roman" w:cs="Times New Roman" w:eastAsia="Times New Roman" w:hAnsi="Times New Roman"/>
                <w:sz w:val="8"/>
                <w:szCs w:val="8"/>
                <w:b w:val="1"/>
                <w:bCs w:val="1"/>
                <w:color w:val="auto"/>
              </w:rPr>
              <w:t>(6)</w:t>
            </w:r>
          </w:p>
        </w:tc>
        <w:tc>
          <w:tcPr>
            <w:tcW w:w="220" w:type="dxa"/>
            <w:vAlign w:val="bottom"/>
            <w:shd w:val="clear" w:color="auto" w:fill="CFF0FC"/>
          </w:tcPr>
          <w:p>
            <w:pPr>
              <w:spacing w:after="0"/>
              <w:rPr>
                <w:sz w:val="11"/>
                <w:szCs w:val="11"/>
                <w:color w:val="auto"/>
              </w:rPr>
            </w:pPr>
          </w:p>
        </w:tc>
        <w:tc>
          <w:tcPr>
            <w:tcW w:w="76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8"/>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tcBorders>
              <w:top w:val="single" w:sz="8" w:color="CFF0FC"/>
            </w:tcBorders>
          </w:tcPr>
          <w:p>
            <w:pPr>
              <w:spacing w:after="0"/>
              <w:rPr>
                <w:sz w:val="11"/>
                <w:szCs w:val="11"/>
                <w:color w:val="auto"/>
              </w:rPr>
            </w:pPr>
          </w:p>
        </w:tc>
        <w:tc>
          <w:tcPr>
            <w:tcW w:w="23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Warrants</w:t>
            </w:r>
          </w:p>
        </w:tc>
        <w:tc>
          <w:tcPr>
            <w:tcW w:w="1580" w:type="dxa"/>
            <w:vAlign w:val="bottom"/>
            <w:tcBorders>
              <w:top w:val="single" w:sz="8" w:color="auto"/>
              <w:bottom w:val="single" w:sz="8" w:color="CFF0FC"/>
            </w:tcBorders>
            <w:gridSpan w:val="4"/>
            <w:shd w:val="clear" w:color="auto" w:fill="CFF0FC"/>
          </w:tcPr>
          <w:p>
            <w:pPr>
              <w:spacing w:after="0"/>
              <w:rPr>
                <w:sz w:val="12"/>
                <w:szCs w:val="12"/>
                <w:color w:val="auto"/>
              </w:rPr>
            </w:pPr>
          </w:p>
        </w:tc>
        <w:tc>
          <w:tcPr>
            <w:tcW w:w="380" w:type="dxa"/>
            <w:vAlign w:val="bottom"/>
            <w:tcBorders>
              <w:bottom w:val="single" w:sz="8" w:color="CFF0FC"/>
            </w:tcBorders>
            <w:gridSpan w:val="3"/>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3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3"/>
                <w:szCs w:val="13"/>
                <w:color w:val="auto"/>
              </w:rPr>
              <w:t>Madison Reed,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12/16/2022</w:t>
            </w:r>
          </w:p>
        </w:tc>
        <w:tc>
          <w:tcPr>
            <w:tcW w:w="14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FF0FC"/>
            </w:tcBorders>
            <w:gridSpan w:val="2"/>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340" w:type="dxa"/>
            <w:vAlign w:val="bottom"/>
            <w:tcBorders>
              <w:bottom w:val="single" w:sz="8" w:color="CFF0FC"/>
            </w:tcBorders>
            <w:gridSpan w:val="2"/>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gridSpan w:val="8"/>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Internet &amp; Direct Marketing Retail -</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132</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133</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0.02%*</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color w:val="auto"/>
              </w:rPr>
              <w:t>Bombora,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3/31/2021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3/31/2031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121,581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3/25/2022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3/25/2032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(7)(16)</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color w:val="auto"/>
              </w:rPr>
              <w:t>INRIX,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7/26/2019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7/26/2029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150,804</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Longtail Ad Solutions, Inc. (dba JW Player)</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387,596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color w:val="auto"/>
              </w:rPr>
              <w:t>Skillshare,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11/8/2026</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Synack,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6/30/2032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100,645</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48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Internet Software and Services -</w:t>
            </w:r>
          </w:p>
        </w:tc>
        <w:tc>
          <w:tcPr>
            <w:tcW w:w="140" w:type="dxa"/>
            <w:vAlign w:val="bottom"/>
            <w:shd w:val="clear" w:color="auto" w:fill="CFF0FC"/>
          </w:tcPr>
          <w:p>
            <w:pPr>
              <w:spacing w:after="0"/>
              <w:rPr>
                <w:sz w:val="10"/>
                <w:szCs w:val="10"/>
                <w:color w:val="auto"/>
              </w:rPr>
            </w:pPr>
          </w:p>
        </w:tc>
        <w:tc>
          <w:tcPr>
            <w:tcW w:w="2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1,193</w:t>
            </w: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3,245</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0.56%*</w:t>
            </w:r>
          </w:p>
        </w:tc>
        <w:tc>
          <w:tcPr>
            <w:tcW w:w="4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Kin Insurance,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9/26/2022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9/26/2032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41,576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480" w:type="dxa"/>
            <w:vAlign w:val="bottom"/>
            <w:gridSpan w:val="8"/>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Property &amp; Casualty Insurance -</w:t>
            </w:r>
          </w:p>
        </w:tc>
        <w:tc>
          <w:tcPr>
            <w:tcW w:w="140" w:type="dxa"/>
            <w:vAlign w:val="bottom"/>
            <w:shd w:val="clear" w:color="auto" w:fill="CFF0FC"/>
          </w:tcPr>
          <w:p>
            <w:pPr>
              <w:spacing w:after="0"/>
              <w:rPr>
                <w:sz w:val="10"/>
                <w:szCs w:val="10"/>
                <w:color w:val="auto"/>
              </w:rPr>
            </w:pPr>
          </w:p>
        </w:tc>
        <w:tc>
          <w:tcPr>
            <w:tcW w:w="2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302</w:t>
            </w:r>
          </w:p>
        </w:tc>
        <w:tc>
          <w:tcPr>
            <w:tcW w:w="220" w:type="dxa"/>
            <w:vAlign w:val="bottom"/>
            <w:shd w:val="clear" w:color="auto" w:fill="CFF0FC"/>
          </w:tcPr>
          <w:p>
            <w:pPr>
              <w:spacing w:after="0"/>
              <w:rPr>
                <w:sz w:val="10"/>
                <w:szCs w:val="10"/>
                <w:color w:val="auto"/>
              </w:rPr>
            </w:pPr>
          </w:p>
        </w:tc>
        <w:tc>
          <w:tcPr>
            <w:tcW w:w="94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297</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0.05%*</w:t>
            </w:r>
          </w:p>
        </w:tc>
        <w:tc>
          <w:tcPr>
            <w:tcW w:w="4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AllClear ID,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9/1/2017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9/1/2027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870,514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Sesame,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1/7/2020</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1/7/2030</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191,601</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796</w:t>
            </w:r>
          </w:p>
        </w:tc>
        <w:tc>
          <w:tcPr>
            <w:tcW w:w="9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gridSpan w:val="8"/>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Specialized Consumer Services -</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2,175</w:t>
            </w:r>
          </w:p>
        </w:tc>
        <w:tc>
          <w:tcPr>
            <w:tcW w:w="1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796</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0.14%*</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color w:val="auto"/>
              </w:rPr>
              <w:t>Dejero Labs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5/31/2019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5/31/2029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333,621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(3)(7)(10)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Scale Computing,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3/29/2029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9,665,667</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System Software - 0.03%*</w:t>
            </w: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22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2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FF0FC"/>
          </w:tcPr>
          <w:p>
            <w:pPr>
              <w:spacing w:after="0"/>
              <w:rPr>
                <w:sz w:val="11"/>
                <w:szCs w:val="11"/>
                <w:color w:val="auto"/>
              </w:rPr>
            </w:pPr>
          </w:p>
        </w:tc>
        <w:tc>
          <w:tcPr>
            <w:tcW w:w="2480" w:type="dxa"/>
            <w:vAlign w:val="bottom"/>
            <w:gridSpan w:val="8"/>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Technology Hardware, Storage &amp;</w:t>
            </w:r>
          </w:p>
        </w:tc>
        <w:tc>
          <w:tcPr>
            <w:tcW w:w="140" w:type="dxa"/>
            <w:vAlign w:val="bottom"/>
            <w:shd w:val="clear" w:color="auto" w:fill="CFF0FC"/>
          </w:tcPr>
          <w:p>
            <w:pPr>
              <w:spacing w:after="0"/>
              <w:rPr>
                <w:sz w:val="11"/>
                <w:szCs w:val="11"/>
                <w:color w:val="auto"/>
              </w:rPr>
            </w:pPr>
          </w:p>
        </w:tc>
        <w:tc>
          <w:tcPr>
            <w:tcW w:w="2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8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Peripherals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RealWear,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10/5/2018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10/5/2028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112,451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12/28/2018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12/28/2028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22,491</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9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6/27/2019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6/27/2029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123,894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8"/>
        </w:trPr>
        <w:tc>
          <w:tcPr>
            <w:tcW w:w="20" w:type="dxa"/>
            <w:vAlign w:val="bottom"/>
            <w:shd w:val="clear" w:color="auto" w:fill="CFF0FC"/>
          </w:tcPr>
          <w:p>
            <w:pPr>
              <w:spacing w:after="0"/>
              <w:rPr>
                <w:sz w:val="11"/>
                <w:szCs w:val="11"/>
                <w:color w:val="auto"/>
              </w:rPr>
            </w:pPr>
          </w:p>
        </w:tc>
        <w:tc>
          <w:tcPr>
            <w:tcW w:w="2480" w:type="dxa"/>
            <w:vAlign w:val="bottom"/>
            <w:gridSpan w:val="8"/>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Technology Hardware, Storage &amp;</w:t>
            </w:r>
          </w:p>
        </w:tc>
        <w:tc>
          <w:tcPr>
            <w:tcW w:w="140" w:type="dxa"/>
            <w:vAlign w:val="bottom"/>
            <w:shd w:val="clear" w:color="auto" w:fill="CFF0FC"/>
          </w:tcPr>
          <w:p>
            <w:pPr>
              <w:spacing w:after="0"/>
              <w:rPr>
                <w:sz w:val="11"/>
                <w:szCs w:val="11"/>
                <w:color w:val="auto"/>
              </w:rPr>
            </w:pPr>
          </w:p>
        </w:tc>
        <w:tc>
          <w:tcPr>
            <w:tcW w:w="2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40" w:type="dxa"/>
            <w:vAlign w:val="bottom"/>
            <w:tcBorders>
              <w:top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542</w:t>
            </w:r>
          </w:p>
        </w:tc>
        <w:tc>
          <w:tcPr>
            <w:tcW w:w="220" w:type="dxa"/>
            <w:vAlign w:val="bottom"/>
            <w:shd w:val="clear" w:color="auto" w:fill="CFF0FC"/>
          </w:tcPr>
          <w:p>
            <w:pPr>
              <w:spacing w:after="0"/>
              <w:rPr>
                <w:sz w:val="11"/>
                <w:szCs w:val="11"/>
                <w:color w:val="auto"/>
              </w:rPr>
            </w:pPr>
          </w:p>
        </w:tc>
        <w:tc>
          <w:tcPr>
            <w:tcW w:w="940" w:type="dxa"/>
            <w:vAlign w:val="bottom"/>
            <w:tcBorders>
              <w:top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567</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Borders>
              <w:top w:val="single" w:sz="8" w:color="CFF0FC"/>
              <w:bottom w:val="single" w:sz="8" w:color="CFF0FC"/>
            </w:tcBorders>
            <w:shd w:val="clear" w:color="auto" w:fill="CFF0FC"/>
          </w:tcPr>
          <w:p>
            <w:pPr>
              <w:spacing w:after="0"/>
              <w:rPr>
                <w:sz w:val="10"/>
                <w:szCs w:val="10"/>
                <w:color w:val="auto"/>
              </w:rPr>
            </w:pPr>
          </w:p>
        </w:tc>
        <w:tc>
          <w:tcPr>
            <w:tcW w:w="1140" w:type="dxa"/>
            <w:vAlign w:val="bottom"/>
            <w:tcBorders>
              <w:top w:val="single" w:sz="8" w:color="auto"/>
              <w:bottom w:val="single" w:sz="8" w:color="auto"/>
            </w:tcBorders>
            <w:gridSpan w:val="3"/>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5"/>
              </w:rPr>
              <w:t>Peripherals - 0.10%*</w:t>
            </w:r>
          </w:p>
        </w:tc>
        <w:tc>
          <w:tcPr>
            <w:tcW w:w="1000" w:type="dxa"/>
            <w:vAlign w:val="bottom"/>
            <w:tcBorders>
              <w:top w:val="single" w:sz="8" w:color="auto"/>
              <w:bottom w:val="single" w:sz="8" w:color="CFF0FC"/>
            </w:tcBorders>
            <w:gridSpan w:val="3"/>
            <w:shd w:val="clear" w:color="auto" w:fill="CFF0FC"/>
          </w:tcPr>
          <w:p>
            <w:pPr>
              <w:spacing w:after="0"/>
              <w:rPr>
                <w:sz w:val="10"/>
                <w:szCs w:val="10"/>
                <w:color w:val="auto"/>
              </w:rPr>
            </w:pPr>
          </w:p>
        </w:tc>
        <w:tc>
          <w:tcPr>
            <w:tcW w:w="300" w:type="dxa"/>
            <w:vAlign w:val="bottom"/>
            <w:tcBorders>
              <w:top w:val="single" w:sz="8" w:color="CFF0FC"/>
              <w:bottom w:val="single" w:sz="8" w:color="CFF0FC"/>
            </w:tcBorders>
            <w:shd w:val="clear" w:color="auto" w:fill="CFF0FC"/>
          </w:tcPr>
          <w:p>
            <w:pPr>
              <w:spacing w:after="0"/>
              <w:rPr>
                <w:sz w:val="10"/>
                <w:szCs w:val="10"/>
                <w:color w:val="auto"/>
              </w:rPr>
            </w:pPr>
          </w:p>
        </w:tc>
        <w:tc>
          <w:tcPr>
            <w:tcW w:w="4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CFF0FC"/>
              <w:bottom w:val="single" w:sz="8" w:color="CFF0FC"/>
            </w:tcBorders>
            <w:shd w:val="clear" w:color="auto" w:fill="CFF0FC"/>
          </w:tcPr>
          <w:p>
            <w:pPr>
              <w:spacing w:after="0"/>
              <w:rPr>
                <w:sz w:val="10"/>
                <w:szCs w:val="10"/>
                <w:color w:val="auto"/>
              </w:rPr>
            </w:pPr>
          </w:p>
        </w:tc>
        <w:tc>
          <w:tcPr>
            <w:tcW w:w="232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tcBorders>
            <w:shd w:val="clear" w:color="auto" w:fill="CFF0FC"/>
          </w:tcPr>
          <w:p>
            <w:pPr>
              <w:spacing w:after="0"/>
              <w:rPr>
                <w:sz w:val="10"/>
                <w:szCs w:val="10"/>
                <w:color w:val="auto"/>
              </w:rPr>
            </w:pPr>
          </w:p>
        </w:tc>
        <w:tc>
          <w:tcPr>
            <w:tcW w:w="86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CFF0FC"/>
              <w:bottom w:val="single" w:sz="8" w:color="CFF0FC"/>
            </w:tcBorders>
            <w:shd w:val="clear" w:color="auto" w:fill="CFF0FC"/>
          </w:tcPr>
          <w:p>
            <w:pPr>
              <w:spacing w:after="0"/>
              <w:rPr>
                <w:sz w:val="10"/>
                <w:szCs w:val="10"/>
                <w:color w:val="auto"/>
              </w:rPr>
            </w:pPr>
          </w:p>
        </w:tc>
        <w:tc>
          <w:tcPr>
            <w:tcW w:w="86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840" w:type="dxa"/>
            <w:vAlign w:val="bottom"/>
            <w:tcBorders>
              <w:top w:val="single" w:sz="8" w:color="CFF0FC"/>
              <w:bottom w:val="single" w:sz="8" w:color="CFF0FC"/>
            </w:tcBorders>
            <w:shd w:val="clear" w:color="auto" w:fill="CFF0FC"/>
          </w:tcPr>
          <w:p>
            <w:pPr>
              <w:spacing w:after="0"/>
              <w:rPr>
                <w:sz w:val="10"/>
                <w:szCs w:val="10"/>
                <w:color w:val="auto"/>
              </w:rPr>
            </w:pP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CFF0FC"/>
              <w:bottom w:val="single" w:sz="8" w:color="auto"/>
            </w:tcBorders>
            <w:shd w:val="clear" w:color="auto" w:fill="CFF0FC"/>
          </w:tcPr>
          <w:p>
            <w:pPr>
              <w:spacing w:after="0"/>
              <w:rPr>
                <w:sz w:val="10"/>
                <w:szCs w:val="10"/>
                <w:color w:val="auto"/>
              </w:rPr>
            </w:pPr>
          </w:p>
        </w:tc>
        <w:tc>
          <w:tcPr>
            <w:tcW w:w="840" w:type="dxa"/>
            <w:vAlign w:val="bottom"/>
            <w:tcBorders>
              <w:top w:val="single" w:sz="8" w:color="CFF0FC"/>
              <w:bottom w:val="single" w:sz="8" w:color="auto"/>
            </w:tcBorders>
            <w:shd w:val="clear" w:color="auto" w:fill="CFF0FC"/>
          </w:tcPr>
          <w:p>
            <w:pPr>
              <w:spacing w:after="0"/>
              <w:rPr>
                <w:sz w:val="10"/>
                <w:szCs w:val="10"/>
                <w:color w:val="auto"/>
              </w:rPr>
            </w:pP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CFF0FC"/>
              <w:bottom w:val="single" w:sz="8" w:color="auto"/>
            </w:tcBorders>
            <w:shd w:val="clear" w:color="auto" w:fill="CFF0FC"/>
          </w:tcPr>
          <w:p>
            <w:pPr>
              <w:spacing w:after="0"/>
              <w:rPr>
                <w:sz w:val="10"/>
                <w:szCs w:val="10"/>
                <w:color w:val="auto"/>
              </w:rPr>
            </w:pPr>
          </w:p>
        </w:tc>
        <w:tc>
          <w:tcPr>
            <w:tcW w:w="820" w:type="dxa"/>
            <w:vAlign w:val="bottom"/>
            <w:tcBorders>
              <w:top w:val="single" w:sz="8" w:color="CFF0FC"/>
              <w:bottom w:val="single" w:sz="8" w:color="auto"/>
            </w:tcBorders>
            <w:shd w:val="clear" w:color="auto" w:fill="CFF0FC"/>
          </w:tcPr>
          <w:p>
            <w:pPr>
              <w:spacing w:after="0"/>
              <w:rPr>
                <w:sz w:val="10"/>
                <w:szCs w:val="10"/>
                <w:color w:val="auto"/>
              </w:rPr>
            </w:pP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760" w:type="dxa"/>
            <w:vAlign w:val="bottom"/>
            <w:tcBorders>
              <w:top w:val="single" w:sz="8" w:color="CFF0FC"/>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3"/>
          </w:tcPr>
          <w:p>
            <w:pPr>
              <w:spacing w:after="0"/>
              <w:rPr>
                <w:sz w:val="14"/>
                <w:szCs w:val="14"/>
                <w:color w:val="auto"/>
              </w:rPr>
            </w:pPr>
          </w:p>
        </w:tc>
        <w:tc>
          <w:tcPr>
            <w:tcW w:w="11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auto"/>
            </w:tcBorders>
            <w:gridSpan w:val="4"/>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Warrants - 2.75%*</w:t>
            </w:r>
          </w:p>
        </w:tc>
        <w:tc>
          <w:tcPr>
            <w:tcW w:w="1140" w:type="dxa"/>
            <w:vAlign w:val="bottom"/>
            <w:tcBorders>
              <w:bottom w:val="single" w:sz="8" w:color="CFF0FC"/>
            </w:tcBorders>
            <w:gridSpan w:val="4"/>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19,127</w:t>
            </w: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15,845</w:t>
            </w: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8"/>
          </w:tcPr>
          <w:p>
            <w:pPr>
              <w:spacing w:after="0" w:line="116" w:lineRule="exact"/>
              <w:rPr>
                <w:sz w:val="20"/>
                <w:szCs w:val="20"/>
                <w:color w:val="auto"/>
              </w:rPr>
            </w:pPr>
            <w:r>
              <w:rPr>
                <w:rFonts w:ascii="Times New Roman" w:cs="Times New Roman" w:eastAsia="Times New Roman" w:hAnsi="Times New Roman"/>
                <w:sz w:val="13"/>
                <w:szCs w:val="13"/>
                <w:b w:val="1"/>
                <w:bCs w:val="1"/>
                <w:color w:val="auto"/>
                <w:w w:val="98"/>
              </w:rPr>
              <w:t>Total Non-Control/Non-Affiliate Investments</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color w:val="auto"/>
              </w:rPr>
              <w:t>1,126,879</w:t>
            </w:r>
          </w:p>
        </w:tc>
        <w:tc>
          <w:tcPr>
            <w:tcW w:w="11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3"/>
                <w:szCs w:val="13"/>
                <w:color w:val="auto"/>
              </w:rPr>
              <w:t>1,114,935</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0" w:type="dxa"/>
            <w:vAlign w:val="bottom"/>
            <w:tcBorders>
              <w:top w:val="single" w:sz="8" w:color="auto"/>
              <w:bottom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3"/>
              </w:rPr>
              <w:t>(193.55%)</w:t>
            </w: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-4482465</wp:posOffset>
            </wp:positionV>
            <wp:extent cx="93980" cy="1111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-4482465</wp:posOffset>
            </wp:positionV>
            <wp:extent cx="93980" cy="1111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-4482465</wp:posOffset>
            </wp:positionV>
            <wp:extent cx="93980" cy="1111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-4482465</wp:posOffset>
            </wp:positionV>
            <wp:extent cx="77470" cy="1111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-4482465</wp:posOffset>
            </wp:positionV>
            <wp:extent cx="68580" cy="1111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-4482465</wp:posOffset>
            </wp:positionV>
            <wp:extent cx="68580" cy="1111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-4482465</wp:posOffset>
            </wp:positionV>
            <wp:extent cx="68580" cy="1111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-4062730</wp:posOffset>
            </wp:positionV>
            <wp:extent cx="68580" cy="1968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-4062730</wp:posOffset>
            </wp:positionV>
            <wp:extent cx="68580" cy="1968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-2853690</wp:posOffset>
            </wp:positionV>
            <wp:extent cx="68580" cy="1111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-2853690</wp:posOffset>
            </wp:positionV>
            <wp:extent cx="68580" cy="1111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-2348230</wp:posOffset>
            </wp:positionV>
            <wp:extent cx="68580" cy="1117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-2348230</wp:posOffset>
            </wp:positionV>
            <wp:extent cx="68580" cy="1117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-1927860</wp:posOffset>
            </wp:positionV>
            <wp:extent cx="68580" cy="1968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-1927860</wp:posOffset>
            </wp:positionV>
            <wp:extent cx="68580" cy="1968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-1207770</wp:posOffset>
            </wp:positionV>
            <wp:extent cx="68580" cy="1117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-1207770</wp:posOffset>
            </wp:positionV>
            <wp:extent cx="68580" cy="1117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-410845</wp:posOffset>
            </wp:positionV>
            <wp:extent cx="68580" cy="1117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-410845</wp:posOffset>
            </wp:positionV>
            <wp:extent cx="68580" cy="1117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-196215</wp:posOffset>
            </wp:positionV>
            <wp:extent cx="68580" cy="1968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-196215</wp:posOffset>
            </wp:positionV>
            <wp:extent cx="68580" cy="1968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8"/>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6"/>
                <w:szCs w:val="16"/>
                <w:color w:val="auto"/>
              </w:rPr>
            </w:pPr>
          </w:p>
        </w:tc>
        <w:tc>
          <w:tcPr>
            <w:tcW w:w="23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60" w:type="dxa"/>
            <w:vAlign w:val="bottom"/>
          </w:tcPr>
          <w:p>
            <w:pPr>
              <w:spacing w:after="0"/>
              <w:rPr>
                <w:sz w:val="16"/>
                <w:szCs w:val="16"/>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20" w:type="dxa"/>
            <w:vAlign w:val="bottom"/>
          </w:tcPr>
          <w:p>
            <w:pPr>
              <w:spacing w:after="0"/>
              <w:rPr>
                <w:sz w:val="16"/>
                <w:szCs w:val="16"/>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Principal ($) /</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 xml:space="preserve">Fair Value ($) </w:t>
            </w:r>
            <w:r>
              <w:rPr>
                <w:rFonts w:ascii="Times New Roman" w:cs="Times New Roman" w:eastAsia="Times New Roman" w:hAnsi="Times New Roman"/>
                <w:sz w:val="16"/>
                <w:szCs w:val="16"/>
                <w:b w:val="1"/>
                <w:bCs w:val="1"/>
                <w:color w:val="auto"/>
                <w:w w:val="97"/>
                <w:vertAlign w:val="superscript"/>
              </w:rPr>
              <w:t>(2),</w:t>
            </w:r>
          </w:p>
        </w:tc>
        <w:tc>
          <w:tcPr>
            <w:tcW w:w="24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auto"/>
            </w:tcBorders>
            <w:gridSpan w:val="8"/>
            <w:vMerge w:val="continue"/>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bottom w:val="single" w:sz="8" w:color="auto"/>
            </w:tcBorders>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(6)</w:t>
            </w:r>
          </w:p>
        </w:tc>
        <w:tc>
          <w:tcPr>
            <w:tcW w:w="240" w:type="dxa"/>
            <w:vAlign w:val="bottom"/>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2480" w:type="dxa"/>
            <w:vAlign w:val="bottom"/>
            <w:gridSpan w:val="7"/>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Affiliate Investments</w:t>
            </w:r>
          </w:p>
        </w:tc>
        <w:tc>
          <w:tcPr>
            <w:tcW w:w="140" w:type="dxa"/>
            <w:vAlign w:val="bottom"/>
            <w:shd w:val="clear" w:color="auto" w:fill="CFF0FC"/>
          </w:tcPr>
          <w:p>
            <w:pPr>
              <w:spacing w:after="0"/>
              <w:rPr>
                <w:sz w:val="11"/>
                <w:szCs w:val="11"/>
                <w:color w:val="auto"/>
              </w:rPr>
            </w:pPr>
          </w:p>
        </w:tc>
        <w:tc>
          <w:tcPr>
            <w:tcW w:w="2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8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Common Stocks</w:t>
            </w:r>
          </w:p>
        </w:tc>
        <w:tc>
          <w:tcPr>
            <w:tcW w:w="240" w:type="dxa"/>
            <w:vAlign w:val="bottom"/>
            <w:tcBorders>
              <w:top w:val="single" w:sz="8" w:color="auto"/>
            </w:tcBorders>
            <w:gridSpan w:val="2"/>
          </w:tcPr>
          <w:p>
            <w:pPr>
              <w:spacing w:after="0"/>
              <w:rPr>
                <w:sz w:val="12"/>
                <w:szCs w:val="12"/>
                <w:color w:val="auto"/>
              </w:rPr>
            </w:pPr>
          </w:p>
        </w:tc>
        <w:tc>
          <w:tcPr>
            <w:tcW w:w="1360" w:type="dxa"/>
            <w:vAlign w:val="bottom"/>
            <w:tcBorders>
              <w:top w:val="single" w:sz="8" w:color="CFF0FC"/>
            </w:tcBorders>
            <w:gridSpan w:val="4"/>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3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6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8"/>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3/9/2020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1,040,160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0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- 0.20%*</w:t>
            </w: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2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Common Stocks - 0.20%*</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3/9/2020</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3/9/2030</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811,770</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8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0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- 0.16%*</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 - 0.16%*</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0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Affiliate Investments (0.36%)</w:t>
            </w: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2,084</w:t>
            </w:r>
          </w:p>
        </w:tc>
        <w:tc>
          <w:tcPr>
            <w:tcW w:w="2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80" w:type="dxa"/>
            <w:vAlign w:val="bottom"/>
            <w:gridSpan w:val="7"/>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ind w:left="260"/>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gridSpan w:val="8"/>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Pivot3, Inc.</w:t>
            </w:r>
          </w:p>
        </w:tc>
        <w:tc>
          <w:tcPr>
            <w:tcW w:w="140" w:type="dxa"/>
            <w:vAlign w:val="bottom"/>
            <w:shd w:val="clear" w:color="auto" w:fill="CFF0FC"/>
          </w:tcPr>
          <w:p>
            <w:pPr>
              <w:spacing w:after="0"/>
              <w:rPr>
                <w:sz w:val="11"/>
                <w:szCs w:val="11"/>
                <w:color w:val="auto"/>
              </w:rPr>
            </w:pPr>
          </w:p>
        </w:tc>
        <w:tc>
          <w:tcPr>
            <w:tcW w:w="23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LIBOR+8.50% PIK, 11.00% floor, 4.00%</w:t>
            </w:r>
          </w:p>
        </w:tc>
        <w:tc>
          <w:tcPr>
            <w:tcW w:w="10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5/13/2019</w:t>
            </w:r>
          </w:p>
        </w:tc>
        <w:tc>
          <w:tcPr>
            <w:tcW w:w="100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1/15/2023</w:t>
            </w:r>
          </w:p>
        </w:tc>
        <w:tc>
          <w:tcPr>
            <w:tcW w:w="96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18,598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19,172</w:t>
            </w: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9,290</w:t>
            </w:r>
          </w:p>
        </w:tc>
        <w:tc>
          <w:tcPr>
            <w:tcW w:w="880" w:type="dxa"/>
            <w:vAlign w:val="bottom"/>
            <w:gridSpan w:val="2"/>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3"/>
        </w:trPr>
        <w:tc>
          <w:tcPr>
            <w:tcW w:w="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00" w:type="dxa"/>
            <w:vAlign w:val="bottom"/>
            <w:gridSpan w:val="8"/>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Data Processing &amp; Outsourced Services</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19,172</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9,290</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- 1.61%*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gridSpan w:val="8"/>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Total Senior Secured Term Loans - 1.61%*</w:t>
            </w: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19,172</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9,290</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480" w:type="dxa"/>
            <w:vAlign w:val="bottom"/>
            <w:gridSpan w:val="7"/>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Total Control Investments (1.61%)</w:t>
            </w: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19,172</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9,290</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Borders>
              <w:top w:val="single" w:sz="8" w:color="CFF0FC"/>
            </w:tcBorders>
          </w:tcPr>
          <w:p>
            <w:pPr>
              <w:spacing w:after="0"/>
              <w:rPr>
                <w:sz w:val="10"/>
                <w:szCs w:val="10"/>
                <w:color w:val="auto"/>
              </w:rPr>
            </w:pPr>
          </w:p>
        </w:tc>
        <w:tc>
          <w:tcPr>
            <w:tcW w:w="1860" w:type="dxa"/>
            <w:vAlign w:val="bottom"/>
            <w:tcBorders>
              <w:top w:val="single" w:sz="8" w:color="auto"/>
            </w:tcBorders>
            <w:gridSpan w:val="5"/>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Total Investments (195.52%)</w:t>
            </w:r>
          </w:p>
        </w:tc>
        <w:tc>
          <w:tcPr>
            <w:tcW w:w="620" w:type="dxa"/>
            <w:vAlign w:val="bottom"/>
            <w:tcBorders>
              <w:top w:val="single" w:sz="8" w:color="CFF0FC"/>
            </w:tcBorders>
            <w:gridSpan w:val="2"/>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3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6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8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4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1,150,602</w:t>
            </w:r>
          </w:p>
        </w:tc>
        <w:tc>
          <w:tcPr>
            <w:tcW w:w="2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jc w:val="right"/>
              <w:ind w:right="137"/>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1,126,309</w:t>
            </w:r>
          </w:p>
        </w:tc>
        <w:tc>
          <w:tcPr>
            <w:tcW w:w="240" w:type="dxa"/>
            <w:vAlign w:val="bottom"/>
            <w:tcBorders>
              <w:top w:val="single" w:sz="8" w:color="CFF0FC"/>
            </w:tcBorders>
          </w:tcPr>
          <w:p>
            <w:pPr>
              <w:spacing w:after="0"/>
              <w:rPr>
                <w:sz w:val="10"/>
                <w:szCs w:val="10"/>
                <w:color w:val="auto"/>
              </w:rPr>
            </w:pPr>
          </w:p>
        </w:tc>
        <w:tc>
          <w:tcPr>
            <w:tcW w:w="6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-2365375</wp:posOffset>
            </wp:positionV>
            <wp:extent cx="68580" cy="1117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-2365375</wp:posOffset>
            </wp:positionV>
            <wp:extent cx="68580" cy="1117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-2150745</wp:posOffset>
            </wp:positionV>
            <wp:extent cx="68580" cy="1117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-2150745</wp:posOffset>
            </wp:positionV>
            <wp:extent cx="68580" cy="1117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-1731010</wp:posOffset>
            </wp:positionV>
            <wp:extent cx="68580" cy="1200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-1731010</wp:posOffset>
            </wp:positionV>
            <wp:extent cx="68580" cy="1200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-1293495</wp:posOffset>
            </wp:positionV>
            <wp:extent cx="68580" cy="1117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-1293495</wp:posOffset>
            </wp:positionV>
            <wp:extent cx="68580" cy="1117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-796290</wp:posOffset>
            </wp:positionV>
            <wp:extent cx="68580" cy="1968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-796290</wp:posOffset>
            </wp:positionV>
            <wp:extent cx="68580" cy="1968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-282575</wp:posOffset>
            </wp:positionV>
            <wp:extent cx="68580"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-282575</wp:posOffset>
            </wp:positionV>
            <wp:extent cx="68580"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14" w:lineRule="exact"/>
        <w:rPr>
          <w:sz w:val="20"/>
          <w:szCs w:val="20"/>
          <w:color w:val="auto"/>
        </w:rPr>
      </w:pPr>
    </w:p>
    <w:p>
      <w:pPr>
        <w:ind w:left="760" w:right="160" w:hanging="374"/>
        <w:spacing w:after="0" w:line="180" w:lineRule="exact"/>
        <w:tabs>
          <w:tab w:leader="none" w:pos="76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London Interbank Offered Rate ("LIBOR"), the U.S. Prime Rate, or the 3-Month Overnight Secured Financing Rate ("SOFR"). At December 31, 2022,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LIBOR was 4.77%, the U.S. Prime Rate was 7.50% and the 3-Month SOFR was 4.79%.</w:t>
      </w:r>
    </w:p>
    <w:p>
      <w:pPr>
        <w:spacing w:after="0" w:line="42" w:lineRule="exact"/>
        <w:rPr>
          <w:rFonts w:ascii="Times New Roman" w:cs="Times New Roman" w:eastAsia="Times New Roman" w:hAnsi="Times New Roman"/>
          <w:sz w:val="24"/>
          <w:szCs w:val="24"/>
          <w:color w:val="auto"/>
          <w:vertAlign w:val="superscript"/>
        </w:rPr>
      </w:pPr>
    </w:p>
    <w:p>
      <w:pPr>
        <w:ind w:left="760" w:right="60" w:hanging="374"/>
        <w:spacing w:after="0" w:line="194" w:lineRule="auto"/>
        <w:tabs>
          <w:tab w:leader="none" w:pos="76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limitations on resale, may be deemed to be "restricted securities" under the Securities Act, and were valued as determined in good faith by the Company's Board of Directors.</w:t>
      </w:r>
    </w:p>
    <w:p>
      <w:pPr>
        <w:spacing w:after="0" w:line="29" w:lineRule="exact"/>
        <w:rPr>
          <w:rFonts w:ascii="Times New Roman" w:cs="Times New Roman" w:eastAsia="Times New Roman" w:hAnsi="Times New Roman"/>
          <w:sz w:val="24"/>
          <w:szCs w:val="24"/>
          <w:color w:val="auto"/>
          <w:vertAlign w:val="superscript"/>
        </w:rPr>
      </w:pPr>
    </w:p>
    <w:p>
      <w:pPr>
        <w:ind w:left="760" w:right="40" w:hanging="374"/>
        <w:spacing w:after="0" w:line="200" w:lineRule="auto"/>
        <w:tabs>
          <w:tab w:leader="none" w:pos="76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Investment is not a qualifying investment as defined under Section 55(a) of the Investment Company Act of 1940, as amended. Non-qualifying assets at fair value represent 10.65% of total assets as of December 31,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 w:lineRule="exact"/>
        <w:rPr>
          <w:rFonts w:ascii="Times New Roman" w:cs="Times New Roman" w:eastAsia="Times New Roman" w:hAnsi="Times New Roman"/>
          <w:sz w:val="24"/>
          <w:szCs w:val="24"/>
          <w:color w:val="auto"/>
          <w:vertAlign w:val="superscript"/>
        </w:rPr>
      </w:pPr>
    </w:p>
    <w:p>
      <w:pPr>
        <w:ind w:left="760" w:hanging="374"/>
        <w:spacing w:after="0" w:line="199" w:lineRule="auto"/>
        <w:tabs>
          <w:tab w:leader="none" w:pos="76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Represents a PIK security. PIK interest will be accrued and paid at maturity.</w:t>
      </w:r>
    </w:p>
    <w:p>
      <w:pPr>
        <w:spacing w:after="0" w:line="84" w:lineRule="exact"/>
        <w:rPr>
          <w:rFonts w:ascii="Times New Roman" w:cs="Times New Roman" w:eastAsia="Times New Roman" w:hAnsi="Times New Roman"/>
          <w:sz w:val="24"/>
          <w:szCs w:val="24"/>
          <w:color w:val="auto"/>
          <w:vertAlign w:val="superscript"/>
        </w:rPr>
      </w:pPr>
    </w:p>
    <w:p>
      <w:pPr>
        <w:ind w:left="760" w:hanging="374"/>
        <w:spacing w:after="0" w:line="189" w:lineRule="auto"/>
        <w:tabs>
          <w:tab w:leader="none" w:pos="7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Disclosures of end-of-term payments ("ETP") are one-time payments stated as a percentage of original principal amount.</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Investments are held at Fair Value net of the Fair Value of Unfunded Commitments. See Note 3 for additional detail.</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Investments are non-income producing.</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investment is an eligible loan investment in the collateral under the Credit Facility (as defined in Note 11).</w:t>
      </w:r>
    </w:p>
    <w:p>
      <w:pPr>
        <w:spacing w:after="0" w:line="20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040" w:hanging="772"/>
        <w:spacing w:after="0" w:line="290" w:lineRule="auto"/>
        <w:tabs>
          <w:tab w:leader="none" w:pos="4221" w:val="left"/>
        </w:tabs>
        <w:numPr>
          <w:ilvl w:val="2"/>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spacing w:after="0" w:line="146" w:lineRule="exact"/>
        <w:rPr>
          <w:rFonts w:ascii="Times New Roman" w:cs="Times New Roman" w:eastAsia="Times New Roman" w:hAnsi="Times New Roman"/>
          <w:sz w:val="17"/>
          <w:szCs w:val="17"/>
          <w:b w:val="1"/>
          <w:bCs w:val="1"/>
          <w:color w:val="auto"/>
        </w:rPr>
      </w:pPr>
    </w:p>
    <w:p>
      <w:pPr>
        <w:ind w:left="760" w:hanging="374"/>
        <w:spacing w:after="0"/>
        <w:tabs>
          <w:tab w:leader="none" w:pos="760" w:val="left"/>
        </w:tabs>
        <w:numPr>
          <w:ilvl w:val="1"/>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 investments are domiciled in the United States, unless otherwise noted.</w:t>
      </w:r>
    </w:p>
    <w:p>
      <w:pPr>
        <w:spacing w:after="0" w:line="70" w:lineRule="exact"/>
        <w:rPr>
          <w:rFonts w:ascii="Times New Roman" w:cs="Times New Roman" w:eastAsia="Times New Roman" w:hAnsi="Times New Roman"/>
          <w:sz w:val="24"/>
          <w:szCs w:val="24"/>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domiciled in Canada.</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domiciled in Germany.</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domiciled in the United Kingdom.</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either a cash success fee payable or earnout of shares based on the consummation of certain trigger events.</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Control investment as defined under the 1940 Act in which the Company owns at least 25% of the investment’s voting securities or has greater than 50% representation on its board.</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publicly traded and listed on NASDAQ.</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warrant count is based upon a percentage of ownership of Fidelis Cybersecurity, Inc.</w:t>
      </w:r>
    </w:p>
    <w:p>
      <w:pPr>
        <w:spacing w:after="0" w:line="84"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not a "restricted security" under the Securities Act.</w:t>
      </w:r>
    </w:p>
    <w:p>
      <w:pPr>
        <w:spacing w:after="0" w:line="84" w:lineRule="exact"/>
        <w:rPr>
          <w:rFonts w:ascii="Times New Roman" w:cs="Times New Roman" w:eastAsia="Times New Roman" w:hAnsi="Times New Roman"/>
          <w:sz w:val="19"/>
          <w:szCs w:val="19"/>
          <w:color w:val="auto"/>
          <w:vertAlign w:val="superscript"/>
        </w:rPr>
      </w:pPr>
    </w:p>
    <w:p>
      <w:pPr>
        <w:ind w:left="760" w:right="180" w:hanging="374"/>
        <w:spacing w:after="0" w:line="180" w:lineRule="auto"/>
        <w:tabs>
          <w:tab w:leader="none" w:pos="760" w:val="left"/>
        </w:tabs>
        <w:numPr>
          <w:ilvl w:val="1"/>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Affiliate investment as defined under the 1940 Act in which the Company owns between 5% and 25% (inclusive) of the investment's voting securities and does not have rights to maintain greater than 50% representation on the board.</w:t>
      </w:r>
    </w:p>
    <w:p>
      <w:pPr>
        <w:spacing w:after="0" w:line="29" w:lineRule="exact"/>
        <w:rPr>
          <w:rFonts w:ascii="Times New Roman" w:cs="Times New Roman" w:eastAsia="Times New Roman" w:hAnsi="Times New Roman"/>
          <w:sz w:val="23"/>
          <w:szCs w:val="23"/>
          <w:color w:val="auto"/>
          <w:vertAlign w:val="superscript"/>
        </w:rPr>
      </w:pPr>
    </w:p>
    <w:p>
      <w:pPr>
        <w:ind w:left="380" w:right="7520" w:firstLine="6"/>
        <w:spacing w:after="0" w:line="222" w:lineRule="auto"/>
        <w:tabs>
          <w:tab w:leader="none" w:pos="754" w:val="left"/>
        </w:tabs>
        <w:numPr>
          <w:ilvl w:val="1"/>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Investment is publicly traded and listed on NYSE. * Value as a percentage of net assets.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classifies its investment portfolio in accordance with the requirements of the 1940 Act. Control investments are investments in which the Company owns more than 25% of the voting securities or maintains greater than 50% representation on the board. Affiliate investments are investments in which the Company owns between 5% and 25% (inclusive) of the voting securities and does not have rights to maintain greater than 50% representation on the board. Transactions related to the Company's affiliate and control investments during year ended December 31, 2022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8"/>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For the Year Ended December 31, 2022</w:t>
            </w: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9"/>
              </w:rPr>
              <w:t>Amount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322"/>
              <w:spacing w:after="0" w:line="118"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900" w:type="dxa"/>
            <w:vAlign w:val="bottom"/>
            <w:gridSpan w:val="3"/>
          </w:tcPr>
          <w:p>
            <w:pPr>
              <w:jc w:val="center"/>
              <w:ind w:right="202"/>
              <w:spacing w:after="0" w:line="118" w:lineRule="exact"/>
              <w:rPr>
                <w:sz w:val="20"/>
                <w:szCs w:val="20"/>
                <w:color w:val="auto"/>
              </w:rPr>
            </w:pPr>
            <w:r>
              <w:rPr>
                <w:rFonts w:ascii="Times New Roman" w:cs="Times New Roman" w:eastAsia="Times New Roman" w:hAnsi="Times New Roman"/>
                <w:sz w:val="11"/>
                <w:szCs w:val="11"/>
                <w:b w:val="1"/>
                <w:bCs w:val="1"/>
                <w:color w:val="auto"/>
                <w:w w:val="98"/>
              </w:rPr>
              <w:t>Net Change in</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Investment</w:t>
            </w:r>
          </w:p>
        </w:tc>
        <w:tc>
          <w:tcPr>
            <w:tcW w:w="240" w:type="dxa"/>
            <w:vAlign w:val="bottom"/>
          </w:tcPr>
          <w:p>
            <w:pPr>
              <w:spacing w:after="0"/>
              <w:rPr>
                <w:sz w:val="10"/>
                <w:szCs w:val="10"/>
                <w:color w:val="auto"/>
              </w:rPr>
            </w:pPr>
          </w:p>
        </w:tc>
        <w:tc>
          <w:tcPr>
            <w:tcW w:w="7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Fair Value as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right="202"/>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900" w:type="dxa"/>
            <w:vAlign w:val="bottom"/>
            <w:gridSpan w:val="3"/>
          </w:tcPr>
          <w:p>
            <w:pPr>
              <w:jc w:val="center"/>
              <w:ind w:right="202"/>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Fair Value 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240" w:type="dxa"/>
            <w:vAlign w:val="bottom"/>
          </w:tcPr>
          <w:p>
            <w:pPr>
              <w:spacing w:after="0"/>
              <w:rPr>
                <w:sz w:val="9"/>
                <w:szCs w:val="9"/>
                <w:color w:val="auto"/>
              </w:rPr>
            </w:pPr>
          </w:p>
        </w:tc>
        <w:tc>
          <w:tcPr>
            <w:tcW w:w="720" w:type="dxa"/>
            <w:vAlign w:val="bottom"/>
            <w:gridSpan w:val="2"/>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of December</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jc w:val="right"/>
              <w:ind w:right="402"/>
              <w:spacing w:after="0" w:line="111" w:lineRule="exact"/>
              <w:rPr>
                <w:sz w:val="20"/>
                <w:szCs w:val="20"/>
                <w:color w:val="auto"/>
              </w:rPr>
            </w:pPr>
            <w:r>
              <w:rPr>
                <w:rFonts w:ascii="Times New Roman" w:cs="Times New Roman" w:eastAsia="Times New Roman" w:hAnsi="Times New Roman"/>
                <w:sz w:val="11"/>
                <w:szCs w:val="11"/>
                <w:b w:val="1"/>
                <w:bCs w:val="1"/>
                <w:color w:val="auto"/>
              </w:rPr>
              <w:t>Gross</w:t>
            </w:r>
          </w:p>
        </w:tc>
        <w:tc>
          <w:tcPr>
            <w:tcW w:w="120" w:type="dxa"/>
            <w:vAlign w:val="bottom"/>
          </w:tcPr>
          <w:p>
            <w:pPr>
              <w:spacing w:after="0"/>
              <w:rPr>
                <w:sz w:val="9"/>
                <w:szCs w:val="9"/>
                <w:color w:val="auto"/>
              </w:rPr>
            </w:pPr>
          </w:p>
        </w:tc>
        <w:tc>
          <w:tcPr>
            <w:tcW w:w="720" w:type="dxa"/>
            <w:vAlign w:val="bottom"/>
            <w:gridSpan w:val="2"/>
          </w:tcPr>
          <w:p>
            <w:pPr>
              <w:jc w:val="center"/>
              <w:ind w:right="322"/>
              <w:spacing w:after="0" w:line="111" w:lineRule="exact"/>
              <w:rPr>
                <w:sz w:val="20"/>
                <w:szCs w:val="20"/>
                <w:color w:val="auto"/>
              </w:rPr>
            </w:pPr>
            <w:r>
              <w:rPr>
                <w:rFonts w:ascii="Times New Roman" w:cs="Times New Roman" w:eastAsia="Times New Roman" w:hAnsi="Times New Roman"/>
                <w:sz w:val="11"/>
                <w:szCs w:val="11"/>
                <w:b w:val="1"/>
                <w:bCs w:val="1"/>
                <w:color w:val="auto"/>
              </w:rPr>
              <w:t>Gains</w:t>
            </w:r>
          </w:p>
        </w:tc>
        <w:tc>
          <w:tcPr>
            <w:tcW w:w="900" w:type="dxa"/>
            <w:vAlign w:val="bottom"/>
            <w:gridSpan w:val="3"/>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rPr>
              <w:t>Appreciation</w:t>
            </w:r>
          </w:p>
        </w:tc>
        <w:tc>
          <w:tcPr>
            <w:tcW w:w="80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8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r>
              <w:rPr>
                <w:rFonts w:ascii="Times New Roman" w:cs="Times New Roman" w:eastAsia="Times New Roman" w:hAnsi="Times New Roman"/>
                <w:sz w:val="14"/>
                <w:szCs w:val="14"/>
                <w:b w:val="1"/>
                <w:bCs w:val="1"/>
                <w:color w:val="auto"/>
                <w:vertAlign w:val="superscript"/>
              </w:rPr>
              <w:t>(4)</w:t>
            </w:r>
          </w:p>
        </w:tc>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Earned 2022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31, 2021</w:t>
            </w:r>
          </w:p>
        </w:tc>
        <w:tc>
          <w:tcPr>
            <w:tcW w:w="240" w:type="dxa"/>
            <w:vAlign w:val="bottom"/>
          </w:tcPr>
          <w:p>
            <w:pPr>
              <w:spacing w:after="0"/>
              <w:rPr>
                <w:sz w:val="13"/>
                <w:szCs w:val="13"/>
                <w:color w:val="auto"/>
              </w:rPr>
            </w:pPr>
          </w:p>
        </w:tc>
        <w:tc>
          <w:tcPr>
            <w:tcW w:w="6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1"/>
                <w:szCs w:val="11"/>
                <w:b w:val="1"/>
                <w:bCs w:val="1"/>
                <w:color w:val="auto"/>
                <w:w w:val="98"/>
              </w:rPr>
              <w:t>Additions</w:t>
            </w:r>
            <w:r>
              <w:rPr>
                <w:rFonts w:ascii="Times New Roman" w:cs="Times New Roman" w:eastAsia="Times New Roman" w:hAnsi="Times New Roman"/>
                <w:sz w:val="14"/>
                <w:szCs w:val="14"/>
                <w:b w:val="1"/>
                <w:bCs w:val="1"/>
                <w:color w:val="auto"/>
                <w:w w:val="98"/>
                <w:vertAlign w:val="superscript"/>
              </w:rPr>
              <w:t>(1)</w:t>
            </w:r>
          </w:p>
        </w:tc>
        <w:tc>
          <w:tcPr>
            <w:tcW w:w="220" w:type="dxa"/>
            <w:vAlign w:val="bottom"/>
          </w:tcPr>
          <w:p>
            <w:pPr>
              <w:spacing w:after="0"/>
              <w:rPr>
                <w:sz w:val="13"/>
                <w:szCs w:val="13"/>
                <w:color w:val="auto"/>
              </w:rPr>
            </w:pPr>
          </w:p>
        </w:tc>
        <w:tc>
          <w:tcPr>
            <w:tcW w:w="9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1"/>
                <w:szCs w:val="11"/>
                <w:b w:val="1"/>
                <w:bCs w:val="1"/>
                <w:color w:val="auto"/>
              </w:rPr>
              <w:t>Reductions</w:t>
            </w:r>
            <w:r>
              <w:rPr>
                <w:rFonts w:ascii="Times New Roman" w:cs="Times New Roman" w:eastAsia="Times New Roman" w:hAnsi="Times New Roman"/>
                <w:sz w:val="14"/>
                <w:szCs w:val="14"/>
                <w:b w:val="1"/>
                <w:bCs w:val="1"/>
                <w:color w:val="auto"/>
                <w:vertAlign w:val="superscript"/>
              </w:rPr>
              <w:t>(2)</w:t>
            </w:r>
          </w:p>
        </w:tc>
        <w:tc>
          <w:tcPr>
            <w:tcW w:w="120" w:type="dxa"/>
            <w:vAlign w:val="bottom"/>
          </w:tcPr>
          <w:p>
            <w:pPr>
              <w:spacing w:after="0"/>
              <w:rPr>
                <w:sz w:val="13"/>
                <w:szCs w:val="13"/>
                <w:color w:val="auto"/>
              </w:rPr>
            </w:pPr>
          </w:p>
        </w:tc>
        <w:tc>
          <w:tcPr>
            <w:tcW w:w="720" w:type="dxa"/>
            <w:vAlign w:val="bottom"/>
            <w:gridSpan w:val="2"/>
          </w:tcPr>
          <w:p>
            <w:pPr>
              <w:jc w:val="center"/>
              <w:ind w:right="302"/>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900" w:type="dxa"/>
            <w:vAlign w:val="bottom"/>
            <w:gridSpan w:val="3"/>
          </w:tcPr>
          <w:p>
            <w:pPr>
              <w:jc w:val="center"/>
              <w:ind w:right="162"/>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80" w:type="dxa"/>
            <w:vAlign w:val="bottom"/>
          </w:tcPr>
          <w:p>
            <w:pPr>
              <w:spacing w:after="0"/>
              <w:rPr>
                <w:sz w:val="13"/>
                <w:szCs w:val="13"/>
                <w:color w:val="auto"/>
              </w:rPr>
            </w:pPr>
          </w:p>
        </w:tc>
        <w:tc>
          <w:tcPr>
            <w:tcW w:w="620" w:type="dxa"/>
            <w:vAlign w:val="bottom"/>
          </w:tcPr>
          <w:p>
            <w:pPr>
              <w:jc w:val="center"/>
              <w:ind w:right="106"/>
              <w:spacing w:after="0" w:line="160" w:lineRule="exact"/>
              <w:rPr>
                <w:sz w:val="20"/>
                <w:szCs w:val="20"/>
                <w:color w:val="auto"/>
              </w:rPr>
            </w:pPr>
            <w:r>
              <w:rPr>
                <w:rFonts w:ascii="Times New Roman" w:cs="Times New Roman" w:eastAsia="Times New Roman" w:hAnsi="Times New Roman"/>
                <w:sz w:val="11"/>
                <w:szCs w:val="11"/>
                <w:b w:val="1"/>
                <w:bCs w:val="1"/>
                <w:color w:val="auto"/>
                <w:w w:val="91"/>
              </w:rPr>
              <w:t>2022</w:t>
            </w:r>
            <w:r>
              <w:rPr>
                <w:rFonts w:ascii="Times New Roman" w:cs="Times New Roman" w:eastAsia="Times New Roman" w:hAnsi="Times New Roman"/>
                <w:sz w:val="14"/>
                <w:szCs w:val="14"/>
                <w:b w:val="1"/>
                <w:bCs w:val="1"/>
                <w:color w:val="auto"/>
                <w:w w:val="91"/>
                <w:vertAlign w:val="superscript"/>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 Description</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auto"/>
            </w:tcBorders>
            <w:shd w:val="clear" w:color="auto" w:fill="CFF0FC"/>
          </w:tcPr>
          <w:p>
            <w:pPr>
              <w:spacing w:after="0"/>
              <w:rPr>
                <w:sz w:val="10"/>
                <w:szCs w:val="10"/>
                <w:color w:val="auto"/>
              </w:rPr>
            </w:pPr>
          </w:p>
        </w:tc>
        <w:tc>
          <w:tcPr>
            <w:tcW w:w="2060" w:type="dxa"/>
            <w:vAlign w:val="bottom"/>
            <w:tcBorders>
              <w:top w:val="single" w:sz="8" w:color="auto"/>
            </w:tcBorders>
            <w:gridSpan w:val="4"/>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Affiliate Investments</w:t>
            </w:r>
          </w:p>
        </w:tc>
        <w:tc>
          <w:tcPr>
            <w:tcW w:w="120" w:type="dxa"/>
            <w:vAlign w:val="bottom"/>
            <w:shd w:val="clear" w:color="auto" w:fill="CFF0FC"/>
          </w:tcPr>
          <w:p>
            <w:pPr>
              <w:spacing w:after="0"/>
              <w:rPr>
                <w:sz w:val="10"/>
                <w:szCs w:val="10"/>
                <w:color w:val="auto"/>
              </w:rPr>
            </w:pPr>
          </w:p>
        </w:tc>
        <w:tc>
          <w:tcPr>
            <w:tcW w:w="25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5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20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Senior Secured Term Loans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Coginiti Corp</w:t>
            </w:r>
          </w:p>
        </w:tc>
        <w:tc>
          <w:tcPr>
            <w:tcW w:w="1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LIBOR+9.50% PIK, 10.81% floor, due 12/15/2022</w:t>
            </w:r>
          </w:p>
        </w:tc>
        <w:tc>
          <w:tcPr>
            <w:tcW w:w="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(930 )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Total Senior Secured Term Loans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(930 )</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Stocks</w:t>
            </w:r>
          </w:p>
        </w:tc>
        <w:tc>
          <w:tcPr>
            <w:tcW w:w="1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Coginiti Corp</w:t>
            </w:r>
          </w:p>
        </w:tc>
        <w:tc>
          <w:tcPr>
            <w:tcW w:w="120" w:type="dxa"/>
            <w:vAlign w:val="bottom"/>
          </w:tcPr>
          <w:p>
            <w:pPr>
              <w:spacing w:after="0"/>
              <w:rPr>
                <w:sz w:val="12"/>
                <w:szCs w:val="1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(3,377 )</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Stocks</w:t>
            </w:r>
          </w:p>
        </w:tc>
        <w:tc>
          <w:tcPr>
            <w:tcW w:w="120" w:type="dxa"/>
            <w:vAlign w:val="bottom"/>
            <w:tcBorders>
              <w:bottom w:val="single" w:sz="8" w:color="CFF0FC"/>
            </w:tcBorders>
            <w:shd w:val="clear" w:color="auto" w:fill="CFF0FC"/>
          </w:tcPr>
          <w:p>
            <w:pPr>
              <w:spacing w:after="0"/>
              <w:rPr>
                <w:sz w:val="12"/>
                <w:szCs w:val="12"/>
                <w:color w:val="auto"/>
              </w:rPr>
            </w:pPr>
          </w:p>
        </w:tc>
        <w:tc>
          <w:tcPr>
            <w:tcW w:w="2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4,551</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(3,377</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80" w:type="dxa"/>
            <w:vAlign w:val="bottom"/>
            <w:gridSpan w:val="5"/>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Coginiti Corp</w:t>
            </w:r>
          </w:p>
        </w:tc>
        <w:tc>
          <w:tcPr>
            <w:tcW w:w="120" w:type="dxa"/>
            <w:vAlign w:val="bottom"/>
            <w:shd w:val="clear" w:color="auto" w:fill="CFF0FC"/>
          </w:tcPr>
          <w:p>
            <w:pPr>
              <w:spacing w:after="0"/>
              <w:rPr>
                <w:sz w:val="10"/>
                <w:szCs w:val="10"/>
                <w:color w:val="auto"/>
              </w:rPr>
            </w:pPr>
          </w:p>
        </w:tc>
        <w:tc>
          <w:tcPr>
            <w:tcW w:w="27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1"/>
                <w:szCs w:val="11"/>
                <w:color w:val="auto"/>
              </w:rPr>
              <w:t>Warrant for Common Stock, exercise price $0.01/share,</w:t>
            </w: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1,009</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(99 )</w:t>
            </w:r>
          </w:p>
        </w:tc>
        <w:tc>
          <w:tcPr>
            <w:tcW w:w="1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tcBorders>
              <w:lef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expires 3/9/2030</w:t>
            </w:r>
          </w:p>
        </w:tc>
        <w:tc>
          <w:tcPr>
            <w:tcW w:w="14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20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Total Warrants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(99 )</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FF0FC"/>
          </w:tcPr>
          <w:p>
            <w:pPr>
              <w:spacing w:after="0"/>
              <w:rPr>
                <w:sz w:val="17"/>
                <w:szCs w:val="17"/>
                <w:color w:val="auto"/>
              </w:rPr>
            </w:pPr>
          </w:p>
        </w:tc>
        <w:tc>
          <w:tcPr>
            <w:tcW w:w="2060" w:type="dxa"/>
            <w:vAlign w:val="bottom"/>
            <w:gridSpan w:val="4"/>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Total Affiliate Investments</w:t>
            </w:r>
          </w:p>
        </w:tc>
        <w:tc>
          <w:tcPr>
            <w:tcW w:w="12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109</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6,490</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(930</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ind w:left="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(3,476</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shd w:val="clear" w:color="auto" w:fill="CFF0FC"/>
          </w:tcPr>
          <w:p>
            <w:pPr>
              <w:jc w:val="right"/>
              <w:ind w:right="26"/>
              <w:spacing w:after="0" w:line="11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2,084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top w:val="single" w:sz="8" w:color="CFF0FC"/>
            </w:tcBorders>
          </w:tcPr>
          <w:p>
            <w:pPr>
              <w:spacing w:after="0"/>
              <w:rPr>
                <w:sz w:val="7"/>
                <w:szCs w:val="7"/>
                <w:color w:val="auto"/>
              </w:rPr>
            </w:pPr>
          </w:p>
        </w:tc>
        <w:tc>
          <w:tcPr>
            <w:tcW w:w="1220" w:type="dxa"/>
            <w:vAlign w:val="bottom"/>
            <w:tcBorders>
              <w:top w:val="single" w:sz="8" w:color="auto"/>
            </w:tcBorders>
            <w:gridSpan w:val="3"/>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Control Investments</w:t>
            </w:r>
          </w:p>
        </w:tc>
        <w:tc>
          <w:tcPr>
            <w:tcW w:w="8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58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0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Senior Secured Term Loans</w:t>
            </w:r>
          </w:p>
        </w:tc>
        <w:tc>
          <w:tcPr>
            <w:tcW w:w="12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80" w:type="dxa"/>
            <w:vAlign w:val="bottom"/>
            <w:gridSpan w:val="5"/>
          </w:tcPr>
          <w:p>
            <w:pPr>
              <w:ind w:left="20"/>
              <w:spacing w:after="0" w:line="122" w:lineRule="exact"/>
              <w:rPr>
                <w:sz w:val="20"/>
                <w:szCs w:val="20"/>
                <w:color w:val="auto"/>
              </w:rPr>
            </w:pPr>
            <w:r>
              <w:rPr>
                <w:rFonts w:ascii="Times New Roman" w:cs="Times New Roman" w:eastAsia="Times New Roman" w:hAnsi="Times New Roman"/>
                <w:sz w:val="11"/>
                <w:szCs w:val="11"/>
                <w:color w:val="auto"/>
              </w:rPr>
              <w:t>Mojix, Inc.</w:t>
            </w:r>
          </w:p>
        </w:tc>
        <w:tc>
          <w:tcPr>
            <w:tcW w:w="120" w:type="dxa"/>
            <w:vAlign w:val="bottom"/>
          </w:tcPr>
          <w:p>
            <w:pPr>
              <w:spacing w:after="0"/>
              <w:rPr>
                <w:sz w:val="10"/>
                <w:szCs w:val="10"/>
                <w:color w:val="auto"/>
              </w:rPr>
            </w:pPr>
          </w:p>
        </w:tc>
        <w:tc>
          <w:tcPr>
            <w:tcW w:w="2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LIBOR+12.00% , 12.00% cash cap, 5% ETP, due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1/15/2025</w:t>
            </w:r>
          </w:p>
        </w:tc>
        <w:tc>
          <w:tcPr>
            <w:tcW w:w="120" w:type="dxa"/>
            <w:vAlign w:val="bottom"/>
          </w:tcPr>
          <w:p>
            <w:pPr>
              <w:spacing w:after="0"/>
              <w:rPr>
                <w:sz w:val="12"/>
                <w:szCs w:val="1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7,568</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(8,489 )</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(1,066 )</w:t>
            </w: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tcBorders>
              <w:left w:val="single" w:sz="8" w:color="CFF0FC"/>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LIBOR+12.00% , 12.00% cash cap, 5% ETP, due</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1/15/2025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2,523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(2,818 )</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(352 )</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LIBOR+12.00% , 12.00% cash cap, 5% ETP, due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1/15/2025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(704 )</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(86 )</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tcBorders>
              <w:left w:val="single" w:sz="8" w:color="CFF0FC"/>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LIBOR+12.00% , 12.00% cash cap, 5% ETP, due</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1/15/2025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(703 )</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(87 )</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LIBOR+12.00% , 12.00% cash cap, 5% ETP, due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1/15/2025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(1,400 )</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(180 )</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tcBorders>
              <w:left w:val="single" w:sz="8" w:color="CFF0FC"/>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LIBOR+12.00% , 12.00% cash cap, 5% ETP, due</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1/15/2025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(1,090 )</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(184 )</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Pivot3, Inc.</w:t>
            </w:r>
          </w:p>
        </w:tc>
        <w:tc>
          <w:tcPr>
            <w:tcW w:w="120" w:type="dxa"/>
            <w:vAlign w:val="bottom"/>
          </w:tcPr>
          <w:p>
            <w:pPr>
              <w:spacing w:after="0"/>
              <w:rPr>
                <w:sz w:val="12"/>
                <w:szCs w:val="1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LIBOR+8.50% PIK, 11.00% floor, due 11/15/2022</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(5,360 )</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8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Senior Secured Term Loans</w:t>
            </w:r>
          </w:p>
        </w:tc>
        <w:tc>
          <w:tcPr>
            <w:tcW w:w="120" w:type="dxa"/>
            <w:vAlign w:val="bottom"/>
            <w:tcBorders>
              <w:bottom w:val="single" w:sz="8" w:color="CFF0FC"/>
            </w:tcBorders>
            <w:shd w:val="clear" w:color="auto" w:fill="CFF0FC"/>
          </w:tcPr>
          <w:p>
            <w:pPr>
              <w:spacing w:after="0"/>
              <w:rPr>
                <w:sz w:val="12"/>
                <w:szCs w:val="12"/>
                <w:color w:val="auto"/>
              </w:rPr>
            </w:pPr>
          </w:p>
        </w:tc>
        <w:tc>
          <w:tcPr>
            <w:tcW w:w="2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4,065</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28,261</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3,548</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(15,204</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(7,315</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9,290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Mojix, Inc.</w:t>
            </w:r>
          </w:p>
        </w:tc>
        <w:tc>
          <w:tcPr>
            <w:tcW w:w="120" w:type="dxa"/>
            <w:vAlign w:val="bottom"/>
            <w:shd w:val="clear" w:color="auto" w:fill="CFF0FC"/>
          </w:tcPr>
          <w:p>
            <w:pPr>
              <w:spacing w:after="0"/>
              <w:rPr>
                <w:sz w:val="13"/>
                <w:szCs w:val="13"/>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Series A-1 Preferred Stock</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(70 )</w:t>
            </w: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Pivot3 Holdings, Inc.</w:t>
            </w:r>
          </w:p>
        </w:tc>
        <w:tc>
          <w:tcPr>
            <w:tcW w:w="120" w:type="dxa"/>
            <w:vAlign w:val="bottom"/>
          </w:tcPr>
          <w:p>
            <w:pPr>
              <w:spacing w:after="0"/>
              <w:rPr>
                <w:sz w:val="12"/>
                <w:szCs w:val="1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Series 1 Preferred Stock</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42"/>
              <w:spacing w:after="0"/>
              <w:rPr>
                <w:sz w:val="20"/>
                <w:szCs w:val="20"/>
                <w:color w:val="auto"/>
              </w:rPr>
            </w:pPr>
            <w:r>
              <w:rPr>
                <w:rFonts w:ascii="Times New Roman" w:cs="Times New Roman" w:eastAsia="Times New Roman" w:hAnsi="Times New Roman"/>
                <w:sz w:val="11"/>
                <w:szCs w:val="11"/>
                <w:color w:val="auto"/>
              </w:rPr>
              <w:t>(2,000 )</w:t>
            </w: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Borders>
              <w:bottom w:val="single" w:sz="8" w:color="CFF0FC"/>
            </w:tcBorders>
            <w:gridSpan w:val="5"/>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Stocks</w:t>
            </w:r>
          </w:p>
        </w:tc>
        <w:tc>
          <w:tcPr>
            <w:tcW w:w="120" w:type="dxa"/>
            <w:vAlign w:val="bottom"/>
            <w:tcBorders>
              <w:bottom w:val="single" w:sz="8" w:color="CFF0FC"/>
            </w:tcBorders>
            <w:shd w:val="clear" w:color="auto" w:fill="CFF0FC"/>
          </w:tcPr>
          <w:p>
            <w:pPr>
              <w:spacing w:after="0"/>
              <w:rPr>
                <w:sz w:val="12"/>
                <w:szCs w:val="12"/>
                <w:color w:val="auto"/>
              </w:rPr>
            </w:pPr>
          </w:p>
        </w:tc>
        <w:tc>
          <w:tcPr>
            <w:tcW w:w="25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2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1,930</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80" w:type="dxa"/>
            <w:vAlign w:val="bottom"/>
            <w:gridSpan w:val="5"/>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Mojix, Inc.</w:t>
            </w:r>
          </w:p>
        </w:tc>
        <w:tc>
          <w:tcPr>
            <w:tcW w:w="120" w:type="dxa"/>
            <w:vAlign w:val="bottom"/>
            <w:shd w:val="clear" w:color="auto" w:fill="CFF0FC"/>
          </w:tcPr>
          <w:p>
            <w:pPr>
              <w:spacing w:after="0"/>
              <w:rPr>
                <w:sz w:val="10"/>
                <w:szCs w:val="10"/>
                <w:color w:val="auto"/>
              </w:rPr>
            </w:pPr>
          </w:p>
        </w:tc>
        <w:tc>
          <w:tcPr>
            <w:tcW w:w="2700" w:type="dxa"/>
            <w:vAlign w:val="bottom"/>
            <w:gridSpan w:val="2"/>
            <w:shd w:val="clear" w:color="auto" w:fill="CFF0FC"/>
          </w:tcPr>
          <w:p>
            <w:pPr>
              <w:spacing w:after="0" w:line="125" w:lineRule="exact"/>
              <w:rPr>
                <w:sz w:val="20"/>
                <w:szCs w:val="20"/>
                <w:color w:val="auto"/>
              </w:rPr>
            </w:pPr>
            <w:r>
              <w:rPr>
                <w:rFonts w:ascii="Times New Roman" w:cs="Times New Roman" w:eastAsia="Times New Roman" w:hAnsi="Times New Roman"/>
                <w:sz w:val="11"/>
                <w:szCs w:val="11"/>
                <w:color w:val="auto"/>
              </w:rPr>
              <w:t>Warrant for Common Stock, exercise price $1.286/share,</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expires 12/13/2030</w:t>
            </w: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(119 )</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Warrant for Common Stock, exercise price $2.1286/share,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expires 12/13/2030</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(298 )</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60" w:type="dxa"/>
            <w:vAlign w:val="bottom"/>
            <w:tcBorders>
              <w:left w:val="single" w:sz="8" w:color="CFF0FC"/>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Warrant for Common Stock, exercise price</w:t>
            </w: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11"/>
                <w:szCs w:val="11"/>
                <w:color w:val="auto"/>
              </w:rPr>
              <w:t>(829 )</w:t>
            </w:r>
          </w:p>
        </w:tc>
        <w:tc>
          <w:tcPr>
            <w:tcW w:w="12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tcBorders>
              <w:lef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$5.57338/share, expires 12/13/2030</w:t>
            </w:r>
          </w:p>
        </w:tc>
        <w:tc>
          <w:tcPr>
            <w:tcW w:w="14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Total Warrants</w:t>
            </w: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(1,246 )</w:t>
            </w:r>
          </w:p>
        </w:tc>
        <w:tc>
          <w:tcPr>
            <w:tcW w:w="120" w:type="dxa"/>
            <w:vAlign w:val="bottom"/>
          </w:tcPr>
          <w:p>
            <w:pPr>
              <w:spacing w:after="0"/>
              <w:rPr>
                <w:sz w:val="12"/>
                <w:szCs w:val="12"/>
                <w:color w:val="auto"/>
              </w:rPr>
            </w:pP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FF0FC"/>
          </w:tcPr>
          <w:p>
            <w:pPr>
              <w:spacing w:after="0"/>
              <w:rPr>
                <w:sz w:val="15"/>
                <w:szCs w:val="15"/>
                <w:color w:val="auto"/>
              </w:rPr>
            </w:pPr>
          </w:p>
        </w:tc>
        <w:tc>
          <w:tcPr>
            <w:tcW w:w="2060" w:type="dxa"/>
            <w:vAlign w:val="bottom"/>
            <w:gridSpan w:val="4"/>
            <w:shd w:val="clear" w:color="auto" w:fill="CFF0FC"/>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Total Control Investments</w:t>
            </w:r>
          </w:p>
        </w:tc>
        <w:tc>
          <w:tcPr>
            <w:tcW w:w="12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4,097</w:t>
            </w: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29,131</w:t>
            </w: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3,548</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ind w:left="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(17,250</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(2,000</w:t>
            </w:r>
          </w:p>
        </w:tc>
        <w:tc>
          <w:tcPr>
            <w:tcW w:w="2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tcBorders>
            <w:shd w:val="clear" w:color="auto" w:fill="CFF0FC"/>
          </w:tcPr>
          <w:p>
            <w:pPr>
              <w:ind w:left="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(4,139</w:t>
            </w:r>
          </w:p>
        </w:tc>
        <w:tc>
          <w:tcPr>
            <w:tcW w:w="20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shd w:val="clear" w:color="auto" w:fill="CFF0FC"/>
          </w:tcPr>
          <w:p>
            <w:pPr>
              <w:jc w:val="right"/>
              <w:ind w:right="26"/>
              <w:spacing w:after="0" w:line="11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9,290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left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-3548380</wp:posOffset>
            </wp:positionV>
            <wp:extent cx="76835" cy="1117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-3548380</wp:posOffset>
            </wp:positionV>
            <wp:extent cx="76835" cy="1117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-3548380</wp:posOffset>
            </wp:positionV>
            <wp:extent cx="76835" cy="1117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-3548380</wp:posOffset>
            </wp:positionV>
            <wp:extent cx="68580" cy="1117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-3548380</wp:posOffset>
            </wp:positionV>
            <wp:extent cx="68580" cy="1117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-3548380</wp:posOffset>
            </wp:positionV>
            <wp:extent cx="68580" cy="1117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1117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-3145155</wp:posOffset>
            </wp:positionV>
            <wp:extent cx="76835"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-3145155</wp:posOffset>
            </wp:positionV>
            <wp:extent cx="76835"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-3145155</wp:posOffset>
            </wp:positionV>
            <wp:extent cx="76835" cy="102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-3145155</wp:posOffset>
            </wp:positionV>
            <wp:extent cx="6858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-3145155</wp:posOffset>
            </wp:positionV>
            <wp:extent cx="68580"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-3145155</wp:posOffset>
            </wp:positionV>
            <wp:extent cx="6858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1028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-2879725</wp:posOffset>
            </wp:positionV>
            <wp:extent cx="76835" cy="1111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-2879725</wp:posOffset>
            </wp:positionV>
            <wp:extent cx="76835" cy="1111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-2879725</wp:posOffset>
            </wp:positionV>
            <wp:extent cx="76835" cy="1111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-2879725</wp:posOffset>
            </wp:positionV>
            <wp:extent cx="68580" cy="1111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-2879725</wp:posOffset>
            </wp:positionV>
            <wp:extent cx="68580" cy="1111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-2879725</wp:posOffset>
            </wp:positionV>
            <wp:extent cx="68580" cy="1111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1111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-2673985</wp:posOffset>
            </wp:positionV>
            <wp:extent cx="3566160" cy="1200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566160" cy="1200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-1233805</wp:posOffset>
            </wp:positionV>
            <wp:extent cx="76835" cy="1028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-1233805</wp:posOffset>
            </wp:positionV>
            <wp:extent cx="76835"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-1233805</wp:posOffset>
            </wp:positionV>
            <wp:extent cx="76835" cy="1028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-1233805</wp:posOffset>
            </wp:positionV>
            <wp:extent cx="68580" cy="1028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-1233805</wp:posOffset>
            </wp:positionV>
            <wp:extent cx="68580" cy="1028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-1233805</wp:posOffset>
            </wp:positionV>
            <wp:extent cx="68580" cy="1028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1028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-839470</wp:posOffset>
            </wp:positionV>
            <wp:extent cx="76835" cy="1028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-839470</wp:posOffset>
            </wp:positionV>
            <wp:extent cx="76835"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-839470</wp:posOffset>
            </wp:positionV>
            <wp:extent cx="76835" cy="1028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-839470</wp:posOffset>
            </wp:positionV>
            <wp:extent cx="68580" cy="1028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-839470</wp:posOffset>
            </wp:positionV>
            <wp:extent cx="68580"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-839470</wp:posOffset>
            </wp:positionV>
            <wp:extent cx="68580" cy="102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1028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-231140</wp:posOffset>
            </wp:positionV>
            <wp:extent cx="76835" cy="1117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-231140</wp:posOffset>
            </wp:positionV>
            <wp:extent cx="76835" cy="1117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-231140</wp:posOffset>
            </wp:positionV>
            <wp:extent cx="76835" cy="1117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-231140</wp:posOffset>
            </wp:positionV>
            <wp:extent cx="68580" cy="1117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-231140</wp:posOffset>
            </wp:positionV>
            <wp:extent cx="68580" cy="1117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-231140</wp:posOffset>
            </wp:positionV>
            <wp:extent cx="68580" cy="1117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1117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-24765</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76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ind w:left="760" w:hanging="374"/>
        <w:spacing w:after="0" w:line="184" w:lineRule="auto"/>
        <w:tabs>
          <w:tab w:leader="none" w:pos="76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5" w:lineRule="exact"/>
        <w:rPr>
          <w:rFonts w:ascii="Times New Roman" w:cs="Times New Roman" w:eastAsia="Times New Roman" w:hAnsi="Times New Roman"/>
          <w:sz w:val="24"/>
          <w:szCs w:val="24"/>
          <w:color w:val="auto"/>
          <w:vertAlign w:val="superscript"/>
        </w:rPr>
      </w:pPr>
    </w:p>
    <w:p>
      <w:pPr>
        <w:ind w:left="760" w:hanging="374"/>
        <w:spacing w:after="0" w:line="184" w:lineRule="auto"/>
        <w:tabs>
          <w:tab w:leader="none" w:pos="76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29" w:lineRule="exact"/>
        <w:rPr>
          <w:rFonts w:ascii="Times New Roman" w:cs="Times New Roman" w:eastAsia="Times New Roman" w:hAnsi="Times New Roman"/>
          <w:sz w:val="24"/>
          <w:szCs w:val="24"/>
          <w:color w:val="auto"/>
          <w:vertAlign w:val="superscript"/>
        </w:rPr>
      </w:pPr>
    </w:p>
    <w:p>
      <w:pPr>
        <w:ind w:left="760" w:right="20" w:hanging="374"/>
        <w:spacing w:after="0" w:line="184" w:lineRule="auto"/>
        <w:tabs>
          <w:tab w:leader="none" w:pos="76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 investments in the portfolio companies, which as of December 31, 2022 represented 1.97% of the Company’s net assets, are restricted as to resale and were valued at fair value as determined in good faith by the Company’s Board of Directors.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2022</w:t>
      </w:r>
    </w:p>
    <w:p>
      <w:pPr>
        <w:ind w:left="50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show the fair value of our portfolio of investments by geographic region and industry as of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00" w:type="dxa"/>
            <w:vAlign w:val="bottom"/>
            <w:vMerge w:val="restart"/>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78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22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0" w:type="dxa"/>
            <w:vAlign w:val="bottom"/>
          </w:tcPr>
          <w:p>
            <w:pPr>
              <w:spacing w:after="0"/>
              <w:rPr>
                <w:sz w:val="1"/>
                <w:szCs w:val="1"/>
                <w:color w:val="auto"/>
              </w:rPr>
            </w:pPr>
          </w:p>
        </w:tc>
      </w:tr>
      <w:tr>
        <w:trPr>
          <w:trHeight w:val="183"/>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Northeastern United States</w:t>
            </w:r>
          </w:p>
        </w:tc>
        <w:tc>
          <w:tcPr>
            <w:tcW w:w="640" w:type="dxa"/>
            <w:vAlign w:val="bottom"/>
            <w:shd w:val="clear" w:color="auto" w:fill="CFF0FC"/>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351,654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61.04</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Western United States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346,372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 Central United States</w:t>
            </w:r>
          </w:p>
        </w:tc>
        <w:tc>
          <w:tcPr>
            <w:tcW w:w="6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Southeastern United States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74,797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Midwestern United States</w:t>
            </w:r>
          </w:p>
        </w:tc>
        <w:tc>
          <w:tcPr>
            <w:tcW w:w="6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74,745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Northwestern United States</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6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60,783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6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220" w:type="dxa"/>
            <w:vAlign w:val="bottom"/>
            <w:tcBorders>
              <w:bottom w:val="single" w:sz="8" w:color="CFF0FC"/>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640" w:type="dxa"/>
            <w:vAlign w:val="bottom"/>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1,126,309</w:t>
            </w:r>
          </w:p>
        </w:tc>
        <w:tc>
          <w:tcPr>
            <w:tcW w:w="1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195.52</w:t>
            </w:r>
          </w:p>
        </w:tc>
        <w:tc>
          <w:tcPr>
            <w:tcW w:w="42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-145415</wp:posOffset>
            </wp:positionV>
            <wp:extent cx="68580" cy="146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-145415</wp:posOffset>
            </wp:positionV>
            <wp:extent cx="68580"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vMerge w:val="restart"/>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22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0" w:type="dxa"/>
            <w:vAlign w:val="bottom"/>
          </w:tcPr>
          <w:p>
            <w:pPr>
              <w:spacing w:after="0"/>
              <w:rPr>
                <w:sz w:val="1"/>
                <w:szCs w:val="1"/>
                <w:color w:val="auto"/>
              </w:rPr>
            </w:pPr>
          </w:p>
        </w:tc>
      </w:tr>
      <w:tr>
        <w:trPr>
          <w:trHeight w:val="183"/>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 Care Technology</w:t>
            </w:r>
          </w:p>
        </w:tc>
        <w:tc>
          <w:tcPr>
            <w:tcW w:w="66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240,844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184,084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Internet Software and Services</w:t>
            </w:r>
          </w:p>
        </w:tc>
        <w:tc>
          <w:tcPr>
            <w:tcW w:w="6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149,780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Human Resource &amp; Employment Services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97,788</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Data Processing &amp; Outsourced Services</w:t>
            </w:r>
          </w:p>
        </w:tc>
        <w:tc>
          <w:tcPr>
            <w:tcW w:w="6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97,404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System Software</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78,274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Electronic Equipment &amp; Instruments</w:t>
            </w:r>
          </w:p>
        </w:tc>
        <w:tc>
          <w:tcPr>
            <w:tcW w:w="6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78,114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Internet &amp; Direct Marketing Retail</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&amp; Casualty Insurance</w:t>
            </w:r>
          </w:p>
        </w:tc>
        <w:tc>
          <w:tcPr>
            <w:tcW w:w="6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49,440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Biotechnology</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Health Care Equipment</w:t>
            </w:r>
          </w:p>
        </w:tc>
        <w:tc>
          <w:tcPr>
            <w:tcW w:w="6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27,433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Education Services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Technology Hardware, Storage &amp; Peripherals</w:t>
            </w:r>
          </w:p>
        </w:tc>
        <w:tc>
          <w:tcPr>
            <w:tcW w:w="6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Specialized Consumer Services</w:t>
            </w:r>
          </w:p>
        </w:tc>
        <w:tc>
          <w:tcPr>
            <w:tcW w:w="6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Computer &amp; Electronics Retail</w:t>
            </w:r>
          </w:p>
        </w:tc>
        <w:tc>
          <w:tcPr>
            <w:tcW w:w="6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195.52</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640" w:hanging="251"/>
        <w:spacing w:after="0" w:line="265" w:lineRule="auto"/>
        <w:tabs>
          <w:tab w:leader="none" w:pos="4742"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00" w:type="dxa"/>
            <w:vAlign w:val="bottom"/>
          </w:tcPr>
          <w:p>
            <w:pPr>
              <w:spacing w:after="0"/>
              <w:rPr>
                <w:sz w:val="16"/>
                <w:szCs w:val="16"/>
                <w:color w:val="auto"/>
              </w:rPr>
            </w:pPr>
          </w:p>
        </w:tc>
        <w:tc>
          <w:tcPr>
            <w:tcW w:w="24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Maturity</w:t>
            </w:r>
          </w:p>
        </w:tc>
        <w:tc>
          <w:tcPr>
            <w:tcW w:w="100" w:type="dxa"/>
            <w:vAlign w:val="bottom"/>
          </w:tcPr>
          <w:p>
            <w:pPr>
              <w:spacing w:after="0"/>
              <w:rPr>
                <w:sz w:val="16"/>
                <w:szCs w:val="16"/>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200" w:type="dxa"/>
            <w:vAlign w:val="bottom"/>
          </w:tcPr>
          <w:p>
            <w:pPr>
              <w:spacing w:after="0"/>
              <w:rPr>
                <w:sz w:val="16"/>
                <w:szCs w:val="16"/>
                <w:color w:val="auto"/>
              </w:rPr>
            </w:pPr>
          </w:p>
        </w:tc>
        <w:tc>
          <w:tcPr>
            <w:tcW w:w="9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 xml:space="preserve">Fair Value ($) </w:t>
            </w:r>
            <w:r>
              <w:rPr>
                <w:rFonts w:ascii="Times New Roman" w:cs="Times New Roman" w:eastAsia="Times New Roman" w:hAnsi="Times New Roman"/>
                <w:sz w:val="16"/>
                <w:szCs w:val="16"/>
                <w:b w:val="1"/>
                <w:bCs w:val="1"/>
                <w:color w:val="auto"/>
                <w:w w:val="91"/>
                <w:vertAlign w:val="superscript"/>
              </w:rPr>
              <w:t>(2),</w:t>
            </w:r>
          </w:p>
        </w:tc>
        <w:tc>
          <w:tcPr>
            <w:tcW w:w="200" w:type="dxa"/>
            <w:vAlign w:val="bottom"/>
          </w:tcPr>
          <w:p>
            <w:pPr>
              <w:spacing w:after="0"/>
              <w:rPr>
                <w:sz w:val="16"/>
                <w:szCs w:val="16"/>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3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8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1"/>
                <w:szCs w:val="11"/>
                <w:color w:val="auto"/>
              </w:rPr>
            </w:pPr>
          </w:p>
        </w:tc>
        <w:tc>
          <w:tcPr>
            <w:tcW w:w="9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120" w:type="dxa"/>
            <w:vAlign w:val="bottom"/>
            <w:gridSpan w:val="2"/>
          </w:tcPr>
          <w:p>
            <w:pPr>
              <w:jc w:val="right"/>
              <w:ind w:right="337"/>
              <w:spacing w:after="0"/>
              <w:rPr>
                <w:sz w:val="20"/>
                <w:szCs w:val="20"/>
                <w:color w:val="auto"/>
              </w:rPr>
            </w:pPr>
            <w:r>
              <w:rPr>
                <w:rFonts w:ascii="Times New Roman" w:cs="Times New Roman" w:eastAsia="Times New Roman" w:hAnsi="Times New Roman"/>
                <w:sz w:val="8"/>
                <w:szCs w:val="8"/>
                <w:b w:val="1"/>
                <w:bCs w:val="1"/>
                <w:color w:val="auto"/>
              </w:rPr>
              <w:t>(6)</w:t>
            </w: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shd w:val="clear" w:color="auto" w:fill="CFF0FC"/>
          </w:tcPr>
          <w:p>
            <w:pPr>
              <w:spacing w:after="0"/>
              <w:rPr>
                <w:sz w:val="11"/>
                <w:szCs w:val="11"/>
                <w:color w:val="auto"/>
              </w:rPr>
            </w:pPr>
          </w:p>
        </w:tc>
        <w:tc>
          <w:tcPr>
            <w:tcW w:w="2360" w:type="dxa"/>
            <w:vAlign w:val="bottom"/>
            <w:tcBorders>
              <w:top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00" w:type="dxa"/>
            <w:vAlign w:val="bottom"/>
            <w:shd w:val="clear" w:color="auto" w:fill="CFF0FC"/>
          </w:tcPr>
          <w:p>
            <w:pPr>
              <w:spacing w:after="0"/>
              <w:rPr>
                <w:sz w:val="11"/>
                <w:szCs w:val="11"/>
                <w:color w:val="auto"/>
              </w:rPr>
            </w:pPr>
          </w:p>
        </w:tc>
        <w:tc>
          <w:tcPr>
            <w:tcW w:w="24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Aginity, Inc.</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LIBOR+9.50% PIK, 10.81% floor</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8"/>
              </w:rPr>
              <w:t>3/24/2020</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7"/>
              </w:rPr>
              <w:t>12/15/2022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Fixed 6.50% PIK</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5"/>
              </w:rPr>
              <w:t>3/9/2020</w:t>
            </w:r>
          </w:p>
        </w:tc>
        <w:tc>
          <w:tcPr>
            <w:tcW w:w="102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5"/>
              </w:rPr>
              <w:t>3/9/2027</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Circadence Corporation</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LIBOR+9.50% PIK, 12.00% floor, 7.50%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12/20/2018</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7"/>
              </w:rPr>
              <w:t>12/15/2022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LIBOR+9.50%, 10.00% floor, 1.75% 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5"/>
              </w:rPr>
              <w:t>6/1/2021</w:t>
            </w:r>
          </w:p>
        </w:tc>
        <w:tc>
          <w:tcPr>
            <w:tcW w:w="102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5"/>
              </w:rPr>
              <w:t>6/1/2025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FiscalNote, Inc.</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LIBOR+9.25%, 9.75% floor, 5.00%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10/19/2020</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4"/>
              </w:rPr>
              <w:t>8/21/2023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45,491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45,491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LIBOR+9.25%, 9.75% floor, 5.00% 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9/30/2021</w:t>
            </w:r>
          </w:p>
        </w:tc>
        <w:tc>
          <w:tcPr>
            <w:tcW w:w="102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4"/>
              </w:rPr>
              <w:t>8/21/2023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0"/>
        </w:trPr>
        <w:tc>
          <w:tcPr>
            <w:tcW w:w="23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color w:val="auto"/>
              </w:rPr>
              <w:t>VTX Intermediate Holdings, Inc. (dba</w:t>
            </w:r>
          </w:p>
        </w:tc>
        <w:tc>
          <w:tcPr>
            <w:tcW w:w="100" w:type="dxa"/>
            <w:vAlign w:val="bottom"/>
          </w:tcPr>
          <w:p>
            <w:pPr>
              <w:spacing w:after="0"/>
              <w:rPr>
                <w:sz w:val="11"/>
                <w:szCs w:val="11"/>
                <w:color w:val="auto"/>
              </w:rPr>
            </w:pPr>
          </w:p>
        </w:tc>
        <w:tc>
          <w:tcPr>
            <w:tcW w:w="24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LIBOR+9.00%, 9.50% floor, 4.50% ETP</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74,257</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74,257</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VertexOne)</w:t>
            </w: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12/28/2021</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7"/>
              </w:rPr>
              <w:t>12/28/2026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1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- 26.20%*</w:t>
            </w:r>
          </w:p>
        </w:tc>
        <w:tc>
          <w:tcPr>
            <w:tcW w:w="10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163,162</w:t>
            </w: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158,812</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ShareThis, Inc.</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LIBOR+9.25%, 11.60% floor, 3.00%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8"/>
              </w:rPr>
              <w:t>12/3/2018</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4"/>
              </w:rPr>
              <w:t>7/15/2023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19,349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LIBOR+9.25%, 11.60% floor, 3.00% 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5"/>
              </w:rPr>
              <w:t>1/7/2019</w:t>
            </w:r>
          </w:p>
        </w:tc>
        <w:tc>
          <w:tcPr>
            <w:tcW w:w="102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4"/>
              </w:rPr>
              <w:t>7/15/2023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LIBOR+9.25%, 11.60% floor, 3.00%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8"/>
              </w:rPr>
              <w:t>7/24/2019</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4"/>
              </w:rPr>
              <w:t>7/15/2023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LIBOR+8.25%, 10.60% floor, 3.00% ETP</w:t>
            </w:r>
          </w:p>
        </w:tc>
        <w:tc>
          <w:tcPr>
            <w:tcW w:w="9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8/18/2020</w:t>
            </w:r>
          </w:p>
        </w:tc>
        <w:tc>
          <w:tcPr>
            <w:tcW w:w="1020" w:type="dxa"/>
            <w:vAlign w:val="bottom"/>
            <w:tcBorders>
              <w:bottom w:val="single" w:sz="8" w:color="CFF0FC"/>
            </w:tcBorders>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4"/>
              </w:rPr>
              <w:t>7/15/2023</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22"/>
        </w:trPr>
        <w:tc>
          <w:tcPr>
            <w:tcW w:w="23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Data Processing &amp; Outsourced</w:t>
            </w:r>
          </w:p>
        </w:tc>
        <w:tc>
          <w:tcPr>
            <w:tcW w:w="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22,113</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22,113</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- 3.65%*</w:t>
            </w: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 Services</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Turning Tech Intermediate, Inc.</w:t>
            </w:r>
          </w:p>
        </w:tc>
        <w:tc>
          <w:tcPr>
            <w:tcW w:w="10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LIBOR+10.50%, 11.00% floor, 3.00% ETP</w:t>
            </w:r>
          </w:p>
        </w:tc>
        <w:tc>
          <w:tcPr>
            <w:tcW w:w="9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6/22/2021</w:t>
            </w:r>
          </w:p>
        </w:tc>
        <w:tc>
          <w:tcPr>
            <w:tcW w:w="1020" w:type="dxa"/>
            <w:vAlign w:val="bottom"/>
            <w:tcBorders>
              <w:bottom w:val="single" w:sz="8" w:color="CFF0FC"/>
            </w:tcBorders>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7"/>
              </w:rPr>
              <w:t>12/14/2024</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2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Education Services - 3.32%*</w:t>
            </w: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Intellisite Holdings, Inc. (dba Epic IO</w:t>
            </w:r>
          </w:p>
        </w:tc>
        <w:tc>
          <w:tcPr>
            <w:tcW w:w="100" w:type="dxa"/>
            <w:vAlign w:val="bottom"/>
            <w:shd w:val="clear" w:color="auto" w:fill="CFF0FC"/>
          </w:tcPr>
          <w:p>
            <w:pPr>
              <w:spacing w:after="0"/>
              <w:rPr>
                <w:sz w:val="11"/>
                <w:szCs w:val="11"/>
                <w:color w:val="auto"/>
              </w:rPr>
            </w:pPr>
          </w:p>
        </w:tc>
        <w:tc>
          <w:tcPr>
            <w:tcW w:w="24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LIBOR+9.75%, 10.25% floor, 2.00% ETP</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spacing w:after="0"/>
              <w:rPr>
                <w:sz w:val="11"/>
                <w:szCs w:val="11"/>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18,522</w:t>
            </w:r>
          </w:p>
        </w:tc>
        <w:tc>
          <w:tcPr>
            <w:tcW w:w="200" w:type="dxa"/>
            <w:vAlign w:val="bottom"/>
            <w:vMerge w:val="restart"/>
            <w:shd w:val="clear" w:color="auto" w:fill="CFF0FC"/>
          </w:tcPr>
          <w:p>
            <w:pPr>
              <w:spacing w:after="0"/>
              <w:rPr>
                <w:sz w:val="11"/>
                <w:szCs w:val="11"/>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18,522</w:t>
            </w: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Technologies, Inc.)</w:t>
            </w:r>
          </w:p>
        </w:tc>
        <w:tc>
          <w:tcPr>
            <w:tcW w:w="10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12/17/2021</w:t>
            </w:r>
          </w:p>
        </w:tc>
        <w:tc>
          <w:tcPr>
            <w:tcW w:w="1020" w:type="dxa"/>
            <w:vAlign w:val="bottom"/>
            <w:tcBorders>
              <w:bottom w:val="single" w:sz="8" w:color="CFF0FC"/>
            </w:tcBorders>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7"/>
              </w:rPr>
              <w:t>12/17/2025</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19,000</w:t>
            </w: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9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22"/>
        </w:trPr>
        <w:tc>
          <w:tcPr>
            <w:tcW w:w="23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Electronic Equipment &amp; Instruments</w:t>
            </w:r>
          </w:p>
        </w:tc>
        <w:tc>
          <w:tcPr>
            <w:tcW w:w="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18,522</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18,522</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- 3.06%*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LIBOR+9.00%, 9.50% floor, 3.00% 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12/30/2021</w:t>
            </w:r>
          </w:p>
        </w:tc>
        <w:tc>
          <w:tcPr>
            <w:tcW w:w="102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7"/>
              </w:rPr>
              <w:t>12/30/2025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LIBOR+9.00%, 9.50% floor, 3.00%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12/30/2021</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7"/>
              </w:rPr>
              <w:t>12/30/2025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20,001</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w w:val="96"/>
              </w:rPr>
              <w:t>LIBOR+8.15%, 1.50% PIK, 8.65% floor, 3.50%</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CrossRoads Extremity Systems, LLC</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6/29/2021</w:t>
            </w:r>
          </w:p>
        </w:tc>
        <w:tc>
          <w:tcPr>
            <w:tcW w:w="102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5"/>
              </w:rPr>
              <w:t>7/1/2025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LIBOR+8.75%, 9.25% floor, 3.50%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8"/>
              </w:rPr>
              <w:t>12/1/2020</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4"/>
              </w:rPr>
              <w:t>12/1/2025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29,799</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LIBOR+9.50%, 11.75% floor, 0.25% PIK,</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10.00% 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8/15/2018</w:t>
            </w:r>
          </w:p>
        </w:tc>
        <w:tc>
          <w:tcPr>
            <w:tcW w:w="102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4"/>
              </w:rPr>
              <w:t>8/15/2022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LIBOR+8.48%, 8.98% floor, 3.95%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8"/>
              </w:rPr>
              <w:t>8/17/2021</w:t>
            </w:r>
          </w:p>
        </w:tc>
        <w:tc>
          <w:tcPr>
            <w:tcW w:w="10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5"/>
              </w:rPr>
              <w:t>7/1/2026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12,676</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00" w:type="dxa"/>
            <w:vAlign w:val="bottom"/>
            <w:shd w:val="clear" w:color="auto" w:fill="CFF0FC"/>
          </w:tcPr>
          <w:p>
            <w:pPr>
              <w:spacing w:after="0"/>
              <w:rPr>
                <w:sz w:val="14"/>
                <w:szCs w:val="14"/>
                <w:color w:val="auto"/>
              </w:rPr>
            </w:pPr>
          </w:p>
        </w:tc>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LIBOR+8.75%, 9.25% floor, 4.00% ETP</w:t>
            </w:r>
          </w:p>
        </w:tc>
        <w:tc>
          <w:tcPr>
            <w:tcW w:w="9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6/29/2021</w:t>
            </w:r>
          </w:p>
        </w:tc>
        <w:tc>
          <w:tcPr>
            <w:tcW w:w="1020" w:type="dxa"/>
            <w:vAlign w:val="bottom"/>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4"/>
              </w:rPr>
              <w:t>12/1/2025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9,946</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VERO Biotech LLC</w:t>
            </w:r>
          </w:p>
        </w:tc>
        <w:tc>
          <w:tcPr>
            <w:tcW w:w="10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LIBOR+9.05%, 9.55% floor, 3.00% ETP</w:t>
            </w:r>
          </w:p>
        </w:tc>
        <w:tc>
          <w:tcPr>
            <w:tcW w:w="9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12/29/2020</w:t>
            </w:r>
          </w:p>
        </w:tc>
        <w:tc>
          <w:tcPr>
            <w:tcW w:w="102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4"/>
              </w:rPr>
              <w:t>12/1/2024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LIBOR+9.05%, 9.55% floor, 3.00% ETP</w:t>
            </w:r>
          </w:p>
        </w:tc>
        <w:tc>
          <w:tcPr>
            <w:tcW w:w="9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8"/>
              </w:rPr>
              <w:t>3/30/2021</w:t>
            </w:r>
          </w:p>
        </w:tc>
        <w:tc>
          <w:tcPr>
            <w:tcW w:w="1020" w:type="dxa"/>
            <w:vAlign w:val="bottom"/>
            <w:tcBorders>
              <w:bottom w:val="single" w:sz="8" w:color="CFF0FC"/>
            </w:tcBorders>
            <w:gridSpan w:val="2"/>
            <w:shd w:val="clear" w:color="auto" w:fill="CFF0FC"/>
          </w:tcPr>
          <w:p>
            <w:pPr>
              <w:jc w:val="center"/>
              <w:ind w:left="17"/>
              <w:spacing w:after="0"/>
              <w:rPr>
                <w:sz w:val="20"/>
                <w:szCs w:val="20"/>
                <w:color w:val="auto"/>
              </w:rPr>
            </w:pPr>
            <w:r>
              <w:rPr>
                <w:rFonts w:ascii="Times New Roman" w:cs="Times New Roman" w:eastAsia="Times New Roman" w:hAnsi="Times New Roman"/>
                <w:sz w:val="13"/>
                <w:szCs w:val="13"/>
                <w:color w:val="auto"/>
                <w:w w:val="94"/>
              </w:rPr>
              <w:t>12/1/2024</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14,990</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14,990</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- 21.28%*</w:t>
            </w: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128,796</w:t>
            </w: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129,014</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-3256915</wp:posOffset>
            </wp:positionV>
            <wp:extent cx="68580" cy="1117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-3256915</wp:posOffset>
            </wp:positionV>
            <wp:extent cx="68580" cy="1117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-2631440</wp:posOffset>
            </wp:positionV>
            <wp:extent cx="68580" cy="1974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-2631440</wp:posOffset>
            </wp:positionV>
            <wp:extent cx="68580" cy="1974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-2125345</wp:posOffset>
            </wp:positionV>
            <wp:extent cx="68580" cy="1200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-2125345</wp:posOffset>
            </wp:positionV>
            <wp:extent cx="68580" cy="1200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-1619250</wp:posOffset>
            </wp:positionV>
            <wp:extent cx="68580" cy="1968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-1619250</wp:posOffset>
            </wp:positionV>
            <wp:extent cx="68580" cy="1968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-119380</wp:posOffset>
            </wp:positionV>
            <wp:extent cx="68580" cy="1200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-119380</wp:posOffset>
            </wp:positionV>
            <wp:extent cx="68580" cy="1200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20" w:type="dxa"/>
            <w:vAlign w:val="bottom"/>
          </w:tcPr>
          <w:p>
            <w:pPr>
              <w:spacing w:after="0"/>
              <w:rPr>
                <w:sz w:val="16"/>
                <w:szCs w:val="16"/>
                <w:color w:val="auto"/>
              </w:rPr>
            </w:pPr>
          </w:p>
        </w:tc>
        <w:tc>
          <w:tcPr>
            <w:tcW w:w="21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Principal ($) /</w:t>
            </w:r>
          </w:p>
        </w:tc>
        <w:tc>
          <w:tcPr>
            <w:tcW w:w="200" w:type="dxa"/>
            <w:vAlign w:val="bottom"/>
          </w:tcPr>
          <w:p>
            <w:pPr>
              <w:spacing w:after="0"/>
              <w:rPr>
                <w:sz w:val="16"/>
                <w:szCs w:val="16"/>
                <w:color w:val="auto"/>
              </w:rPr>
            </w:pPr>
          </w:p>
        </w:tc>
        <w:tc>
          <w:tcPr>
            <w:tcW w:w="9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w:t>
            </w:r>
          </w:p>
        </w:tc>
        <w:tc>
          <w:tcPr>
            <w:tcW w:w="200" w:type="dxa"/>
            <w:vAlign w:val="bottom"/>
          </w:tcPr>
          <w:p>
            <w:pPr>
              <w:spacing w:after="0"/>
              <w:rPr>
                <w:sz w:val="16"/>
                <w:szCs w:val="16"/>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1"/>
                <w:szCs w:val="11"/>
                <w:color w:val="auto"/>
              </w:rPr>
            </w:pPr>
          </w:p>
        </w:tc>
        <w:tc>
          <w:tcPr>
            <w:tcW w:w="84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140" w:type="dxa"/>
            <w:vAlign w:val="bottom"/>
            <w:gridSpan w:val="2"/>
          </w:tcPr>
          <w:p>
            <w:pPr>
              <w:jc w:val="right"/>
              <w:ind w:right="357"/>
              <w:spacing w:after="0"/>
              <w:rPr>
                <w:sz w:val="20"/>
                <w:szCs w:val="20"/>
                <w:color w:val="auto"/>
              </w:rPr>
            </w:pPr>
            <w:r>
              <w:rPr>
                <w:rFonts w:ascii="Times New Roman" w:cs="Times New Roman" w:eastAsia="Times New Roman" w:hAnsi="Times New Roman"/>
                <w:sz w:val="8"/>
                <w:szCs w:val="8"/>
                <w:b w:val="1"/>
                <w:bCs w:val="1"/>
                <w:color w:val="auto"/>
              </w:rPr>
              <w:t>(6)</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LIBOR+8.75%, 9.25% floor, 2.00% ETP</w:t>
            </w:r>
          </w:p>
        </w:tc>
        <w:tc>
          <w:tcPr>
            <w:tcW w:w="10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8/17/2021</w:t>
            </w:r>
          </w:p>
        </w:tc>
        <w:tc>
          <w:tcPr>
            <w:tcW w:w="98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8/17/2025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34,864</w:t>
            </w:r>
          </w:p>
        </w:tc>
        <w:tc>
          <w:tcPr>
            <w:tcW w:w="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1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LIBOR+8.50%, 9.00% floor, 2.75% ETP</w:t>
            </w:r>
          </w:p>
        </w:tc>
        <w:tc>
          <w:tcPr>
            <w:tcW w:w="10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9/29/2021</w:t>
            </w:r>
          </w:p>
        </w:tc>
        <w:tc>
          <w:tcPr>
            <w:tcW w:w="9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9/1/2025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37,315</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36,848</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36,848</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00" w:type="dxa"/>
            <w:vAlign w:val="bottom"/>
            <w:gridSpan w:val="3"/>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Human Resource &amp; Employment Services -</w:t>
            </w:r>
          </w:p>
        </w:tc>
        <w:tc>
          <w:tcPr>
            <w:tcW w:w="120" w:type="dxa"/>
            <w:vAlign w:val="bottom"/>
            <w:shd w:val="clear" w:color="auto" w:fill="CFF0FC"/>
          </w:tcPr>
          <w:p>
            <w:pPr>
              <w:spacing w:after="0"/>
              <w:rPr>
                <w:sz w:val="10"/>
                <w:szCs w:val="10"/>
                <w:color w:val="auto"/>
              </w:rPr>
            </w:pPr>
          </w:p>
        </w:tc>
        <w:tc>
          <w:tcPr>
            <w:tcW w:w="2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71,711</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71,712</w:t>
            </w: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11.83%*</w:t>
            </w: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14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2100" w:type="dxa"/>
            <w:vAlign w:val="bottom"/>
            <w:tcBorders>
              <w:top w:val="single" w:sz="8" w:color="CFF0FC"/>
            </w:tcBorders>
          </w:tcPr>
          <w:p>
            <w:pPr>
              <w:spacing w:after="0"/>
              <w:rPr>
                <w:sz w:val="13"/>
                <w:szCs w:val="13"/>
                <w:color w:val="auto"/>
              </w:rPr>
            </w:pPr>
          </w:p>
        </w:tc>
        <w:tc>
          <w:tcPr>
            <w:tcW w:w="6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Retail</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Brilliant Earth, LLC</w:t>
            </w:r>
          </w:p>
        </w:tc>
        <w:tc>
          <w:tcPr>
            <w:tcW w:w="1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LIBOR+7.75%, 8.25% floor, 4.50% ETP</w:t>
            </w:r>
          </w:p>
        </w:tc>
        <w:tc>
          <w:tcPr>
            <w:tcW w:w="10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9/30/2019</w:t>
            </w:r>
          </w:p>
        </w:tc>
        <w:tc>
          <w:tcPr>
            <w:tcW w:w="9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10/15/2023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35,849</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LIBOR+7.75%, 8.25% floor, 0.75% ETP</w:t>
            </w:r>
          </w:p>
        </w:tc>
        <w:tc>
          <w:tcPr>
            <w:tcW w:w="10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12/17/2020</w:t>
            </w:r>
          </w:p>
        </w:tc>
        <w:tc>
          <w:tcPr>
            <w:tcW w:w="98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10/15/2023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29,970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30,727</w:t>
            </w:r>
          </w:p>
        </w:tc>
        <w:tc>
          <w:tcPr>
            <w:tcW w:w="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Marley Spoon AG</w:t>
            </w:r>
          </w:p>
        </w:tc>
        <w:tc>
          <w:tcPr>
            <w:tcW w:w="1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LIBOR+8.50%, 1.25% PIK, 9.00% floor</w:t>
            </w:r>
          </w:p>
        </w:tc>
        <w:tc>
          <w:tcPr>
            <w:tcW w:w="10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6/30/2021</w:t>
            </w:r>
          </w:p>
        </w:tc>
        <w:tc>
          <w:tcPr>
            <w:tcW w:w="9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6/15/2025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26,443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26,061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26,061</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LIBOR+8.50%, 1.25% PIK, 9.00% floor</w:t>
            </w:r>
          </w:p>
        </w:tc>
        <w:tc>
          <w:tcPr>
            <w:tcW w:w="10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12/29/2021</w:t>
            </w:r>
          </w:p>
        </w:tc>
        <w:tc>
          <w:tcPr>
            <w:tcW w:w="98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6/15/2025</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8,100</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8,019</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8,019</w:t>
            </w:r>
          </w:p>
        </w:tc>
        <w:tc>
          <w:tcPr>
            <w:tcW w:w="9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155"/>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Internet Retail - 16.60%*</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99,911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100,656</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w w:val="99"/>
              </w:rPr>
              <w:t>LIBOR+5.00%, 5.50% floor, 3.75% PIK,</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Bombora, Inc.</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2.00% ETP</w:t>
            </w:r>
          </w:p>
        </w:tc>
        <w:tc>
          <w:tcPr>
            <w:tcW w:w="10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3/31/2021</w:t>
            </w:r>
          </w:p>
        </w:tc>
        <w:tc>
          <w:tcPr>
            <w:tcW w:w="98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3/31/2025</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20,546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20,326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20,326</w:t>
            </w:r>
          </w:p>
        </w:tc>
        <w:tc>
          <w:tcPr>
            <w:tcW w:w="9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w w:val="97"/>
              </w:rPr>
              <w:t>LIBOR+11.00%, 12.0% floor, 2.39% ETP</w:t>
            </w:r>
          </w:p>
        </w:tc>
        <w:tc>
          <w:tcPr>
            <w:tcW w:w="10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5/13/2021</w:t>
            </w:r>
          </w:p>
        </w:tc>
        <w:tc>
          <w:tcPr>
            <w:tcW w:w="9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5/13/2024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13,624</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8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INRIX, Inc.</w:t>
            </w:r>
          </w:p>
        </w:tc>
        <w:tc>
          <w:tcPr>
            <w:tcW w:w="12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LIBOR+9.00%, 9.50% floor, 2.50% ETP</w:t>
            </w:r>
          </w:p>
        </w:tc>
        <w:tc>
          <w:tcPr>
            <w:tcW w:w="10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11/15/2021</w:t>
            </w:r>
          </w:p>
        </w:tc>
        <w:tc>
          <w:tcPr>
            <w:tcW w:w="98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11/15/2025</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39,916</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39,916</w:t>
            </w:r>
          </w:p>
        </w:tc>
        <w:tc>
          <w:tcPr>
            <w:tcW w:w="9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- 12.19%*</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73,866</w:t>
            </w: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73,866</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140" w:type="dxa"/>
            <w:vAlign w:val="bottom"/>
            <w:gridSpan w:val="2"/>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 Loans - 98.12%*</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598,180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594,794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Second Lien Term Loans</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LIBOR+5.00%, 5.50 floor, 5.00% PIK,</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Dejero Labs Inc.</w:t>
            </w:r>
          </w:p>
        </w:tc>
        <w:tc>
          <w:tcPr>
            <w:tcW w:w="12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3.00% ETP</w:t>
            </w:r>
          </w:p>
        </w:tc>
        <w:tc>
          <w:tcPr>
            <w:tcW w:w="10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12/22/2021</w:t>
            </w:r>
          </w:p>
        </w:tc>
        <w:tc>
          <w:tcPr>
            <w:tcW w:w="9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12/22/2025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112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(3)(4)(11)</w:t>
            </w:r>
          </w:p>
        </w:tc>
        <w:tc>
          <w:tcPr>
            <w:tcW w:w="0" w:type="dxa"/>
            <w:vAlign w:val="bottom"/>
          </w:tcPr>
          <w:p>
            <w:pPr>
              <w:spacing w:after="0"/>
              <w:rPr>
                <w:sz w:val="1"/>
                <w:szCs w:val="1"/>
                <w:color w:val="auto"/>
              </w:rPr>
            </w:pPr>
          </w:p>
        </w:tc>
      </w:tr>
      <w:tr>
        <w:trPr>
          <w:trHeight w:val="155"/>
        </w:trPr>
        <w:tc>
          <w:tcPr>
            <w:tcW w:w="28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System Software - 2.12%*</w:t>
            </w:r>
          </w:p>
        </w:tc>
        <w:tc>
          <w:tcPr>
            <w:tcW w:w="120" w:type="dxa"/>
            <w:vAlign w:val="bottom"/>
            <w:tcBorders>
              <w:bottom w:val="single" w:sz="8" w:color="CFF0FC"/>
            </w:tcBorders>
            <w:shd w:val="clear" w:color="auto" w:fill="CFF0FC"/>
          </w:tcPr>
          <w:p>
            <w:pPr>
              <w:spacing w:after="0"/>
              <w:rPr>
                <w:sz w:val="13"/>
                <w:szCs w:val="13"/>
                <w:color w:val="auto"/>
              </w:rPr>
            </w:pPr>
          </w:p>
        </w:tc>
        <w:tc>
          <w:tcPr>
            <w:tcW w:w="2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11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Second Lien Term Loans - 2.12%*</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12,873</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FF0FC"/>
            </w:tcBorders>
          </w:tcPr>
          <w:p>
            <w:pPr>
              <w:spacing w:after="0"/>
              <w:rPr>
                <w:sz w:val="13"/>
                <w:szCs w:val="13"/>
                <w:color w:val="auto"/>
              </w:rPr>
            </w:pPr>
          </w:p>
        </w:tc>
        <w:tc>
          <w:tcPr>
            <w:tcW w:w="2100" w:type="dxa"/>
            <w:vAlign w:val="bottom"/>
            <w:tcBorders>
              <w:top w:val="single" w:sz="8" w:color="CFF0FC"/>
            </w:tcBorders>
          </w:tcPr>
          <w:p>
            <w:pPr>
              <w:spacing w:after="0"/>
              <w:rPr>
                <w:sz w:val="13"/>
                <w:szCs w:val="13"/>
                <w:color w:val="auto"/>
              </w:rPr>
            </w:pPr>
          </w:p>
        </w:tc>
        <w:tc>
          <w:tcPr>
            <w:tcW w:w="6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12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8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Aria Systems, Inc.</w:t>
            </w:r>
          </w:p>
        </w:tc>
        <w:tc>
          <w:tcPr>
            <w:tcW w:w="120" w:type="dxa"/>
            <w:vAlign w:val="bottom"/>
            <w:tcBorders>
              <w:bottom w:val="single" w:sz="8" w:color="CFF0FC"/>
            </w:tcBorders>
            <w:shd w:val="clear" w:color="auto" w:fill="CFF0FC"/>
          </w:tcPr>
          <w:p>
            <w:pPr>
              <w:spacing w:after="0"/>
              <w:rPr>
                <w:sz w:val="24"/>
                <w:szCs w:val="24"/>
                <w:color w:val="auto"/>
              </w:rPr>
            </w:pPr>
          </w:p>
        </w:tc>
        <w:tc>
          <w:tcPr>
            <w:tcW w:w="2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G</w:t>
            </w:r>
          </w:p>
        </w:tc>
        <w:tc>
          <w:tcPr>
            <w:tcW w:w="10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7/10/2018</w:t>
            </w:r>
          </w:p>
        </w:tc>
        <w:tc>
          <w:tcPr>
            <w:tcW w:w="1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289,419</w:t>
            </w:r>
          </w:p>
        </w:tc>
        <w:tc>
          <w:tcPr>
            <w:tcW w:w="2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9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- 0.08%*</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11% Series A Cumulative Redeemable</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14,288</w:t>
            </w:r>
          </w:p>
        </w:tc>
        <w:tc>
          <w:tcPr>
            <w:tcW w:w="200" w:type="dxa"/>
            <w:vAlign w:val="bottom"/>
            <w:vMerge w:val="restart"/>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15,705</w:t>
            </w: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CareCloud, Inc.</w:t>
            </w:r>
          </w:p>
        </w:tc>
        <w:tc>
          <w:tcPr>
            <w:tcW w:w="120" w:type="dxa"/>
            <w:vAlign w:val="bottom"/>
            <w:tcBorders>
              <w:bottom w:val="single" w:sz="8" w:color="CFF0FC"/>
            </w:tcBorders>
            <w:shd w:val="clear" w:color="auto" w:fill="CFF0FC"/>
          </w:tcPr>
          <w:p>
            <w:pPr>
              <w:spacing w:after="0"/>
              <w:rPr>
                <w:sz w:val="13"/>
                <w:szCs w:val="13"/>
                <w:color w:val="auto"/>
              </w:rPr>
            </w:pPr>
          </w:p>
        </w:tc>
        <w:tc>
          <w:tcPr>
            <w:tcW w:w="2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Perpetual</w:t>
            </w:r>
          </w:p>
        </w:tc>
        <w:tc>
          <w:tcPr>
            <w:tcW w:w="10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5"/>
              </w:rPr>
              <w:t>1/8/2020</w:t>
            </w:r>
          </w:p>
        </w:tc>
        <w:tc>
          <w:tcPr>
            <w:tcW w:w="12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544,178</w:t>
            </w: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940" w:type="dxa"/>
            <w:vAlign w:val="bottom"/>
            <w:tcBorders>
              <w:bottom w:val="single" w:sz="8" w:color="auto"/>
            </w:tcBorders>
            <w:vMerge w:val="continue"/>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(16)(19)</w:t>
            </w:r>
          </w:p>
        </w:tc>
        <w:tc>
          <w:tcPr>
            <w:tcW w:w="0" w:type="dxa"/>
            <w:vAlign w:val="bottom"/>
          </w:tcPr>
          <w:p>
            <w:pPr>
              <w:spacing w:after="0"/>
              <w:rPr>
                <w:sz w:val="1"/>
                <w:szCs w:val="1"/>
                <w:color w:val="auto"/>
              </w:rPr>
            </w:pPr>
          </w:p>
        </w:tc>
      </w:tr>
      <w:tr>
        <w:trPr>
          <w:trHeight w:val="155"/>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- 2.59%*</w:t>
            </w: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14,288</w:t>
            </w:r>
          </w:p>
        </w:tc>
        <w:tc>
          <w:tcPr>
            <w:tcW w:w="2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15,705</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spacing w:after="0"/>
              <w:rPr>
                <w:sz w:val="13"/>
                <w:szCs w:val="13"/>
                <w:color w:val="auto"/>
              </w:rPr>
            </w:pPr>
          </w:p>
        </w:tc>
        <w:tc>
          <w:tcPr>
            <w:tcW w:w="1140" w:type="dxa"/>
            <w:vAlign w:val="bottom"/>
            <w:gridSpan w:val="2"/>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 - 2.67%*</w:t>
            </w: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14,538</w:t>
            </w:r>
          </w:p>
        </w:tc>
        <w:tc>
          <w:tcPr>
            <w:tcW w:w="2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16,167</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-3848100</wp:posOffset>
            </wp:positionV>
            <wp:extent cx="68580" cy="1117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-3848100</wp:posOffset>
            </wp:positionV>
            <wp:extent cx="68580" cy="1117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-3222625</wp:posOffset>
            </wp:positionV>
            <wp:extent cx="68580" cy="1200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-3222625</wp:posOffset>
            </wp:positionV>
            <wp:extent cx="68580" cy="1200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-2502535</wp:posOffset>
            </wp:positionV>
            <wp:extent cx="68580" cy="1200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-2502535</wp:posOffset>
            </wp:positionV>
            <wp:extent cx="68580" cy="1200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-1567815</wp:posOffset>
            </wp:positionV>
            <wp:extent cx="68580" cy="1111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-1567815</wp:posOffset>
            </wp:positionV>
            <wp:extent cx="68580" cy="1111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-1353820</wp:posOffset>
            </wp:positionV>
            <wp:extent cx="68580" cy="1111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-1353820</wp:posOffset>
            </wp:positionV>
            <wp:extent cx="68580" cy="1111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-848360</wp:posOffset>
            </wp:positionV>
            <wp:extent cx="68580" cy="1200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-848360</wp:posOffset>
            </wp:positionV>
            <wp:extent cx="68580" cy="1200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-334010</wp:posOffset>
            </wp:positionV>
            <wp:extent cx="68580" cy="1200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-334010</wp:posOffset>
            </wp:positionV>
            <wp:extent cx="68580" cy="1200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6"/>
                <w:szCs w:val="16"/>
                <w:color w:val="auto"/>
              </w:rPr>
            </w:pPr>
          </w:p>
        </w:tc>
        <w:tc>
          <w:tcPr>
            <w:tcW w:w="20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Maturity</w:t>
            </w:r>
          </w:p>
        </w:tc>
        <w:tc>
          <w:tcPr>
            <w:tcW w:w="120" w:type="dxa"/>
            <w:vAlign w:val="bottom"/>
          </w:tcPr>
          <w:p>
            <w:pPr>
              <w:spacing w:after="0"/>
              <w:rPr>
                <w:sz w:val="16"/>
                <w:szCs w:val="16"/>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200" w:type="dxa"/>
            <w:vAlign w:val="bottom"/>
          </w:tcPr>
          <w:p>
            <w:pPr>
              <w:spacing w:after="0"/>
              <w:rPr>
                <w:sz w:val="16"/>
                <w:szCs w:val="16"/>
                <w:color w:val="auto"/>
              </w:rPr>
            </w:pPr>
          </w:p>
        </w:tc>
        <w:tc>
          <w:tcPr>
            <w:tcW w:w="84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w:t>
            </w:r>
          </w:p>
        </w:tc>
        <w:tc>
          <w:tcPr>
            <w:tcW w:w="220" w:type="dxa"/>
            <w:vAlign w:val="bottom"/>
          </w:tcPr>
          <w:p>
            <w:pPr>
              <w:spacing w:after="0"/>
              <w:rPr>
                <w:sz w:val="16"/>
                <w:szCs w:val="16"/>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1"/>
                <w:szCs w:val="11"/>
                <w:color w:val="auto"/>
              </w:rPr>
            </w:pPr>
          </w:p>
        </w:tc>
        <w:tc>
          <w:tcPr>
            <w:tcW w:w="98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160" w:type="dxa"/>
            <w:vAlign w:val="bottom"/>
            <w:gridSpan w:val="2"/>
          </w:tcPr>
          <w:p>
            <w:pPr>
              <w:jc w:val="right"/>
              <w:ind w:right="357"/>
              <w:spacing w:after="0"/>
              <w:rPr>
                <w:sz w:val="20"/>
                <w:szCs w:val="20"/>
                <w:color w:val="auto"/>
              </w:rPr>
            </w:pPr>
            <w:r>
              <w:rPr>
                <w:rFonts w:ascii="Times New Roman" w:cs="Times New Roman" w:eastAsia="Times New Roman" w:hAnsi="Times New Roman"/>
                <w:sz w:val="8"/>
                <w:szCs w:val="8"/>
                <w:b w:val="1"/>
                <w:bCs w:val="1"/>
                <w:color w:val="auto"/>
              </w:rPr>
              <w:t>(6)</w:t>
            </w: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Common Stocks</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Porch Group, Inc.</w:t>
            </w:r>
          </w:p>
        </w:tc>
        <w:tc>
          <w:tcPr>
            <w:tcW w:w="140" w:type="dxa"/>
            <w:vAlign w:val="bottom"/>
            <w:tcBorders>
              <w:bottom w:val="single" w:sz="8" w:color="CFF0FC"/>
            </w:tcBorders>
            <w:shd w:val="clear" w:color="auto" w:fill="CFF0FC"/>
          </w:tcPr>
          <w:p>
            <w:pPr>
              <w:spacing w:after="0"/>
              <w:rPr>
                <w:sz w:val="14"/>
                <w:szCs w:val="14"/>
                <w:color w:val="auto"/>
              </w:rPr>
            </w:pPr>
          </w:p>
        </w:tc>
        <w:tc>
          <w:tcPr>
            <w:tcW w:w="20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12/21/2021</w:t>
            </w: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(7)(16)(19)</w:t>
            </w:r>
          </w:p>
        </w:tc>
        <w:tc>
          <w:tcPr>
            <w:tcW w:w="0" w:type="dxa"/>
            <w:vAlign w:val="bottom"/>
          </w:tcPr>
          <w:p>
            <w:pPr>
              <w:spacing w:after="0"/>
              <w:rPr>
                <w:sz w:val="1"/>
                <w:szCs w:val="1"/>
                <w:color w:val="auto"/>
              </w:rPr>
            </w:pPr>
          </w:p>
        </w:tc>
      </w:tr>
      <w:tr>
        <w:trPr>
          <w:trHeight w:val="156"/>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Retail</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Brilliant Earth Group, Inc.</w:t>
            </w:r>
          </w:p>
        </w:tc>
        <w:tc>
          <w:tcPr>
            <w:tcW w:w="140" w:type="dxa"/>
            <w:vAlign w:val="bottom"/>
            <w:tcBorders>
              <w:bottom w:val="single" w:sz="8" w:color="CFF0FC"/>
            </w:tcBorders>
            <w:shd w:val="clear" w:color="auto" w:fill="CFF0FC"/>
          </w:tcPr>
          <w:p>
            <w:pPr>
              <w:spacing w:after="0"/>
              <w:rPr>
                <w:sz w:val="14"/>
                <w:szCs w:val="14"/>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Class P Units</w:t>
            </w: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9/22/2021</w:t>
            </w: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526,845</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8,904</w:t>
            </w:r>
          </w:p>
        </w:tc>
        <w:tc>
          <w:tcPr>
            <w:tcW w:w="12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56"/>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Internet Retail - 1.47%*</w:t>
            </w: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8,904</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50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Technology Hardware, Storage &amp;</w:t>
            </w:r>
          </w:p>
        </w:tc>
        <w:tc>
          <w:tcPr>
            <w:tcW w:w="1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Peripherals</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Quantum Corporation</w:t>
            </w:r>
          </w:p>
        </w:tc>
        <w:tc>
          <w:tcPr>
            <w:tcW w:w="1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8/13/2021</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459,720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1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(3)(7)(16)(19)</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zSpace, Inc.</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12/31/2020</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6,078,499</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3"/>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Technology Hardware, Storage &amp;</w:t>
            </w:r>
          </w:p>
        </w:tc>
        <w:tc>
          <w:tcPr>
            <w:tcW w:w="140" w:type="dxa"/>
            <w:vAlign w:val="bottom"/>
            <w:shd w:val="clear" w:color="auto" w:fill="CFF0FC"/>
          </w:tcPr>
          <w:p>
            <w:pPr>
              <w:spacing w:after="0"/>
              <w:rPr>
                <w:sz w:val="10"/>
                <w:szCs w:val="10"/>
                <w:color w:val="auto"/>
              </w:rPr>
            </w:pPr>
          </w:p>
        </w:tc>
        <w:tc>
          <w:tcPr>
            <w:tcW w:w="2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220" w:type="dxa"/>
            <w:vAlign w:val="bottom"/>
            <w:vMerge w:val="restart"/>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Peripherals - 0.42%*</w:t>
            </w:r>
          </w:p>
        </w:tc>
        <w:tc>
          <w:tcPr>
            <w:tcW w:w="140" w:type="dxa"/>
            <w:vAlign w:val="bottom"/>
            <w:tcBorders>
              <w:bottom w:val="single" w:sz="8" w:color="CFF0FC"/>
            </w:tcBorders>
            <w:shd w:val="clear" w:color="auto" w:fill="CFF0FC"/>
          </w:tcPr>
          <w:p>
            <w:pPr>
              <w:spacing w:after="0"/>
              <w:rPr>
                <w:sz w:val="13"/>
                <w:szCs w:val="13"/>
                <w:color w:val="auto"/>
              </w:rPr>
            </w:pPr>
          </w:p>
        </w:tc>
        <w:tc>
          <w:tcPr>
            <w:tcW w:w="20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9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1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Common Stocks - 1.89%*</w:t>
            </w:r>
          </w:p>
        </w:tc>
        <w:tc>
          <w:tcPr>
            <w:tcW w:w="1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11,464</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2100" w:type="dxa"/>
            <w:vAlign w:val="bottom"/>
            <w:tcBorders>
              <w:top w:val="single" w:sz="8" w:color="CFF0FC"/>
            </w:tcBorders>
          </w:tcPr>
          <w:p>
            <w:pPr>
              <w:spacing w:after="0"/>
              <w:rPr>
                <w:sz w:val="13"/>
                <w:szCs w:val="13"/>
                <w:color w:val="auto"/>
              </w:rPr>
            </w:pPr>
          </w:p>
        </w:tc>
        <w:tc>
          <w:tcPr>
            <w:tcW w:w="38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0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4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STN Video Inc.</w:t>
            </w:r>
          </w:p>
        </w:tc>
        <w:tc>
          <w:tcPr>
            <w:tcW w:w="140" w:type="dxa"/>
            <w:vAlign w:val="bottom"/>
            <w:tcBorders>
              <w:bottom w:val="single" w:sz="8" w:color="CFF0FC"/>
            </w:tcBorders>
            <w:shd w:val="clear" w:color="auto" w:fill="CFF0FC"/>
          </w:tcPr>
          <w:p>
            <w:pPr>
              <w:spacing w:after="0"/>
              <w:rPr>
                <w:sz w:val="14"/>
                <w:szCs w:val="14"/>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Class B Non-Voting Stock</w:t>
            </w: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6/30/2017</w:t>
            </w:r>
          </w:p>
        </w:tc>
        <w:tc>
          <w:tcPr>
            <w:tcW w:w="94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6/30/2027</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191,500</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5"/>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Advertising - 0.00%*</w:t>
            </w: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3DNA Corp. (dba NationBuilder)</w:t>
            </w:r>
          </w:p>
        </w:tc>
        <w:tc>
          <w:tcPr>
            <w:tcW w:w="140" w:type="dxa"/>
            <w:vAlign w:val="bottom"/>
            <w:shd w:val="clear" w:color="auto" w:fill="CFF0FC"/>
          </w:tcPr>
          <w:p>
            <w:pPr>
              <w:spacing w:after="0"/>
              <w:rPr>
                <w:sz w:val="14"/>
                <w:szCs w:val="14"/>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C-1 Preferred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12/28/2018</w:t>
            </w:r>
          </w:p>
        </w:tc>
        <w:tc>
          <w:tcPr>
            <w:tcW w:w="9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12/28/2028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273,164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Aginity, Inc.</w:t>
            </w:r>
          </w:p>
        </w:tc>
        <w:tc>
          <w:tcPr>
            <w:tcW w:w="1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9"/>
              </w:rPr>
              <w:t>3/9/2020</w:t>
            </w:r>
          </w:p>
        </w:tc>
        <w:tc>
          <w:tcPr>
            <w:tcW w:w="9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3/9/2030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811,770</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Aria Systems, Inc.</w:t>
            </w:r>
          </w:p>
        </w:tc>
        <w:tc>
          <w:tcPr>
            <w:tcW w:w="140" w:type="dxa"/>
            <w:vAlign w:val="bottom"/>
            <w:shd w:val="clear" w:color="auto" w:fill="CFF0FC"/>
          </w:tcPr>
          <w:p>
            <w:pPr>
              <w:spacing w:after="0"/>
              <w:rPr>
                <w:sz w:val="14"/>
                <w:szCs w:val="14"/>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G Preferred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6/29/2018</w:t>
            </w:r>
          </w:p>
        </w:tc>
        <w:tc>
          <w:tcPr>
            <w:tcW w:w="9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6/29/2028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2,387,705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3,812</w:t>
            </w:r>
          </w:p>
        </w:tc>
        <w:tc>
          <w:tcPr>
            <w:tcW w:w="1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Circadence Corporation</w:t>
            </w:r>
          </w:p>
        </w:tc>
        <w:tc>
          <w:tcPr>
            <w:tcW w:w="1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12/20/2018</w:t>
            </w:r>
          </w:p>
        </w:tc>
        <w:tc>
          <w:tcPr>
            <w:tcW w:w="9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12/20/2028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1,538,462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97"/>
        </w:trPr>
        <w:tc>
          <w:tcPr>
            <w:tcW w:w="2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10/31/2019</w:t>
            </w:r>
          </w:p>
        </w:tc>
        <w:tc>
          <w:tcPr>
            <w:tcW w:w="9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10/31/2029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384,615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1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9"/>
              </w:rPr>
              <w:t>6/1/2018</w:t>
            </w:r>
          </w:p>
        </w:tc>
        <w:tc>
          <w:tcPr>
            <w:tcW w:w="9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6/1/2025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97"/>
        </w:trPr>
        <w:tc>
          <w:tcPr>
            <w:tcW w:w="20" w:type="dxa"/>
            <w:vAlign w:val="bottom"/>
            <w:shd w:val="clear" w:color="auto" w:fill="CFF0FC"/>
          </w:tcPr>
          <w:p>
            <w:pPr>
              <w:spacing w:after="0"/>
              <w:rPr>
                <w:sz w:val="24"/>
                <w:szCs w:val="24"/>
                <w:color w:val="auto"/>
              </w:rPr>
            </w:pPr>
          </w:p>
        </w:tc>
        <w:tc>
          <w:tcPr>
            <w:tcW w:w="21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7/11/2019</w:t>
            </w:r>
          </w:p>
        </w:tc>
        <w:tc>
          <w:tcPr>
            <w:tcW w:w="94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7/11/2026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833,333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FiscalNote, Inc.</w:t>
            </w:r>
          </w:p>
        </w:tc>
        <w:tc>
          <w:tcPr>
            <w:tcW w:w="14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10/19/2020</w:t>
            </w:r>
          </w:p>
        </w:tc>
        <w:tc>
          <w:tcPr>
            <w:tcW w:w="9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10/19/2030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194,673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2,233</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Porch Group, Inc.</w:t>
            </w:r>
          </w:p>
        </w:tc>
        <w:tc>
          <w:tcPr>
            <w:tcW w:w="140" w:type="dxa"/>
            <w:vAlign w:val="bottom"/>
            <w:tcBorders>
              <w:bottom w:val="single" w:sz="8" w:color="CFF0FC"/>
            </w:tcBorders>
            <w:shd w:val="clear" w:color="auto" w:fill="CFF0FC"/>
          </w:tcPr>
          <w:p>
            <w:pPr>
              <w:spacing w:after="0"/>
              <w:rPr>
                <w:sz w:val="14"/>
                <w:szCs w:val="14"/>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Earnout</w:t>
            </w: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12/23/2020</w:t>
            </w:r>
          </w:p>
        </w:tc>
        <w:tc>
          <w:tcPr>
            <w:tcW w:w="94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12/23/2023</w:t>
            </w: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(7)(14)(16)</w:t>
            </w:r>
          </w:p>
        </w:tc>
        <w:tc>
          <w:tcPr>
            <w:tcW w:w="0" w:type="dxa"/>
            <w:vAlign w:val="bottom"/>
          </w:tcPr>
          <w:p>
            <w:pPr>
              <w:spacing w:after="0"/>
              <w:rPr>
                <w:sz w:val="1"/>
                <w:szCs w:val="1"/>
                <w:color w:val="auto"/>
              </w:rPr>
            </w:pPr>
          </w:p>
        </w:tc>
      </w:tr>
      <w:tr>
        <w:trPr>
          <w:trHeight w:val="156"/>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- 1.47%*</w:t>
            </w: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8,883</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Massdrop, Inc.</w:t>
            </w:r>
          </w:p>
        </w:tc>
        <w:tc>
          <w:tcPr>
            <w:tcW w:w="140" w:type="dxa"/>
            <w:vAlign w:val="bottom"/>
            <w:tcBorders>
              <w:bottom w:val="single" w:sz="8" w:color="CFF0FC"/>
            </w:tcBorders>
            <w:shd w:val="clear" w:color="auto" w:fill="CFF0FC"/>
          </w:tcPr>
          <w:p>
            <w:pPr>
              <w:spacing w:after="0"/>
              <w:rPr>
                <w:sz w:val="14"/>
                <w:szCs w:val="14"/>
                <w:color w:val="auto"/>
              </w:rPr>
            </w:pPr>
          </w:p>
        </w:tc>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7/22/2019</w:t>
            </w:r>
          </w:p>
        </w:tc>
        <w:tc>
          <w:tcPr>
            <w:tcW w:w="94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7/22/2029</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848,093</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2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2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Computer &amp; Electronics Retail -</w:t>
            </w:r>
          </w:p>
        </w:tc>
        <w:tc>
          <w:tcPr>
            <w:tcW w:w="1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vMerge w:val="restart"/>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20" w:type="dxa"/>
            <w:vAlign w:val="bottom"/>
            <w:vMerge w:val="restart"/>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0.03%*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-3916680</wp:posOffset>
            </wp:positionV>
            <wp:extent cx="68580" cy="1200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-3916680</wp:posOffset>
            </wp:positionV>
            <wp:extent cx="68580" cy="1200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-3488055</wp:posOffset>
            </wp:positionV>
            <wp:extent cx="68580" cy="1200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-3488055</wp:posOffset>
            </wp:positionV>
            <wp:extent cx="68580" cy="1200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-2682240</wp:posOffset>
            </wp:positionV>
            <wp:extent cx="68580" cy="1117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-2682240</wp:posOffset>
            </wp:positionV>
            <wp:extent cx="68580" cy="1117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-2468245</wp:posOffset>
            </wp:positionV>
            <wp:extent cx="68580" cy="1117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1117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-2047875</wp:posOffset>
            </wp:positionV>
            <wp:extent cx="68580" cy="1200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-2047875</wp:posOffset>
            </wp:positionV>
            <wp:extent cx="68580" cy="1200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-624840</wp:posOffset>
            </wp:positionV>
            <wp:extent cx="68580" cy="1200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-624840</wp:posOffset>
            </wp:positionV>
            <wp:extent cx="68580" cy="1200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-196215</wp:posOffset>
            </wp:positionV>
            <wp:extent cx="68580" cy="1968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-196215</wp:posOffset>
            </wp:positionV>
            <wp:extent cx="68580" cy="1968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Principal ($) /</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 xml:space="preserve">Fair Value ($) </w:t>
            </w:r>
            <w:r>
              <w:rPr>
                <w:rFonts w:ascii="Times New Roman" w:cs="Times New Roman" w:eastAsia="Times New Roman" w:hAnsi="Times New Roman"/>
                <w:sz w:val="16"/>
                <w:szCs w:val="16"/>
                <w:b w:val="1"/>
                <w:bCs w:val="1"/>
                <w:color w:val="auto"/>
                <w:w w:val="91"/>
                <w:vertAlign w:val="superscript"/>
              </w:rPr>
              <w:t>(2),(6)</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4"/>
                <w:szCs w:val="14"/>
                <w:color w:val="auto"/>
              </w:rPr>
            </w:pPr>
          </w:p>
        </w:tc>
        <w:tc>
          <w:tcPr>
            <w:tcW w:w="2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ShareThis,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12/3/2018</w:t>
            </w:r>
          </w:p>
        </w:tc>
        <w:tc>
          <w:tcPr>
            <w:tcW w:w="100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12/3/2028</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647,615</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2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Data Processing &amp; Outsourced Services</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- 0.36%*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Intellisite Holdings, Inc. (dba Epic IO</w:t>
            </w:r>
          </w:p>
        </w:tc>
        <w:tc>
          <w:tcPr>
            <w:tcW w:w="140" w:type="dxa"/>
            <w:vAlign w:val="bottom"/>
            <w:shd w:val="clear" w:color="auto" w:fill="CFF0FC"/>
          </w:tcPr>
          <w:p>
            <w:pPr>
              <w:spacing w:after="0"/>
              <w:rPr>
                <w:sz w:val="11"/>
                <w:szCs w:val="11"/>
                <w:color w:val="auto"/>
              </w:rPr>
            </w:pPr>
          </w:p>
        </w:tc>
        <w:tc>
          <w:tcPr>
            <w:tcW w:w="2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220" w:type="dxa"/>
            <w:vAlign w:val="bottom"/>
            <w:vMerge w:val="restart"/>
            <w:shd w:val="clear" w:color="auto" w:fill="CFF0FC"/>
          </w:tcPr>
          <w:p>
            <w:pPr>
              <w:spacing w:after="0"/>
              <w:rPr>
                <w:sz w:val="11"/>
                <w:szCs w:val="11"/>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Technologies, Inc.)</w:t>
            </w: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12/17/2021</w:t>
            </w:r>
          </w:p>
        </w:tc>
        <w:tc>
          <w:tcPr>
            <w:tcW w:w="100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12/17/2024</w:t>
            </w: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122"/>
        </w:trPr>
        <w:tc>
          <w:tcPr>
            <w:tcW w:w="25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9"/>
              </w:rPr>
              <w:t>Total Electronic Equipment &amp; Instruments -</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0.04%*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Aspen Group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7/25/2017</w:t>
            </w:r>
          </w:p>
        </w:tc>
        <w:tc>
          <w:tcPr>
            <w:tcW w:w="100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7/25/2022</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224,174</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2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Education Services - 0.00%*</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3/30/2021</w:t>
            </w:r>
          </w:p>
        </w:tc>
        <w:tc>
          <w:tcPr>
            <w:tcW w:w="100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3/30/2031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132,978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CareCloud,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5"/>
              </w:rPr>
              <w:t>1/8/2020</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9"/>
              </w:rPr>
              <w:t>1/8/2022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5"/>
              </w:rPr>
              <w:t>1/8/2020</w:t>
            </w:r>
          </w:p>
        </w:tc>
        <w:tc>
          <w:tcPr>
            <w:tcW w:w="100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9"/>
              </w:rPr>
              <w:t>1/8/2023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CrossRoads Extremity Systems, LLC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6/29/2021</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6/29/2031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G Convertible Preferred Stock</w:t>
            </w:r>
          </w:p>
        </w:tc>
        <w:tc>
          <w:tcPr>
            <w:tcW w:w="10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11/19/2021</w:t>
            </w:r>
          </w:p>
        </w:tc>
        <w:tc>
          <w:tcPr>
            <w:tcW w:w="100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11/19/2031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16,786,869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AA Preferred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8/15/2018</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8/15/2028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1,625,000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8/17/2021</w:t>
            </w:r>
          </w:p>
        </w:tc>
        <w:tc>
          <w:tcPr>
            <w:tcW w:w="100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8/17/2031</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6/29/2021</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6/29/2031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VERO Biotech LLC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12/29/2020</w:t>
            </w:r>
          </w:p>
        </w:tc>
        <w:tc>
          <w:tcPr>
            <w:tcW w:w="100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12/29/2025</w:t>
            </w: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155"/>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- 0.34%*</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6/30/2020</w:t>
            </w:r>
          </w:p>
        </w:tc>
        <w:tc>
          <w:tcPr>
            <w:tcW w:w="100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6/30/2030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(3)(7)(13)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8/17/2021</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8/17/2031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(3)(7)(13)</w:t>
            </w:r>
          </w:p>
        </w:tc>
        <w:tc>
          <w:tcPr>
            <w:tcW w:w="0" w:type="dxa"/>
            <w:vAlign w:val="bottom"/>
          </w:tcPr>
          <w:p>
            <w:pPr>
              <w:spacing w:after="0"/>
              <w:rPr>
                <w:sz w:val="1"/>
                <w:szCs w:val="1"/>
                <w:color w:val="auto"/>
              </w:rPr>
            </w:pPr>
          </w:p>
        </w:tc>
      </w:tr>
      <w:tr>
        <w:trPr>
          <w:trHeight w:val="162"/>
        </w:trPr>
        <w:tc>
          <w:tcPr>
            <w:tcW w:w="25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B-1 Preferred Stock</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9/29/2021</w:t>
            </w:r>
          </w:p>
        </w:tc>
        <w:tc>
          <w:tcPr>
            <w:tcW w:w="100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9/29/2031</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763,269</w:t>
            </w:r>
          </w:p>
        </w:tc>
        <w:tc>
          <w:tcPr>
            <w:tcW w:w="2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2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Human Resource &amp; Employment</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vMerge w:val="restart"/>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220" w:type="dxa"/>
            <w:vAlign w:val="bottom"/>
            <w:vMerge w:val="restart"/>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- 0.19%*</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-3171190</wp:posOffset>
            </wp:positionV>
            <wp:extent cx="68580" cy="1974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-3171190</wp:posOffset>
            </wp:positionV>
            <wp:extent cx="68580" cy="1974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-2588260</wp:posOffset>
            </wp:positionV>
            <wp:extent cx="68580" cy="1968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-2588260</wp:posOffset>
            </wp:positionV>
            <wp:extent cx="68580" cy="1968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-2082165</wp:posOffset>
            </wp:positionV>
            <wp:extent cx="68580" cy="1200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-2082165</wp:posOffset>
            </wp:positionV>
            <wp:extent cx="68580" cy="1200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-831215</wp:posOffset>
            </wp:positionV>
            <wp:extent cx="68580" cy="1200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-831215</wp:posOffset>
            </wp:positionV>
            <wp:extent cx="68580" cy="1200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-196215</wp:posOffset>
            </wp:positionV>
            <wp:extent cx="68580" cy="1968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-196215</wp:posOffset>
            </wp:positionV>
            <wp:extent cx="68580" cy="1968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2"/>
                <w:szCs w:val="12"/>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Principal ($) /</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4"/>
                <w:szCs w:val="14"/>
                <w:color w:val="auto"/>
              </w:rPr>
            </w:pPr>
          </w:p>
        </w:tc>
        <w:tc>
          <w:tcPr>
            <w:tcW w:w="21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380" w:type="dxa"/>
            <w:vAlign w:val="bottom"/>
            <w:gridSpan w:val="2"/>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Bombora, Inc.</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3/31/2021</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3/31/2031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121,581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4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5/13/2021</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5/13/2031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(7)(17)</w:t>
            </w:r>
          </w:p>
        </w:tc>
        <w:tc>
          <w:tcPr>
            <w:tcW w:w="0" w:type="dxa"/>
            <w:vAlign w:val="bottom"/>
          </w:tcPr>
          <w:p>
            <w:pPr>
              <w:spacing w:after="0"/>
              <w:rPr>
                <w:sz w:val="1"/>
                <w:szCs w:val="1"/>
                <w:color w:val="auto"/>
              </w:rPr>
            </w:pPr>
          </w:p>
        </w:tc>
      </w:tr>
      <w:tr>
        <w:trPr>
          <w:trHeight w:val="163"/>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INRIX, Inc.</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7/26/2019</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7/26/2029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150,804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Longtail Ad Solutions, Inc. (dba JW Player)</w:t>
            </w: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12/12/2019</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12/12/2029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387,596</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480" w:type="dxa"/>
            <w:vAlign w:val="bottom"/>
            <w:gridSpan w:val="5"/>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Internet Software and Services -</w:t>
            </w:r>
          </w:p>
        </w:tc>
        <w:tc>
          <w:tcPr>
            <w:tcW w:w="140" w:type="dxa"/>
            <w:vAlign w:val="bottom"/>
            <w:shd w:val="clear" w:color="auto" w:fill="CFF0FC"/>
          </w:tcPr>
          <w:p>
            <w:pPr>
              <w:spacing w:after="0"/>
              <w:rPr>
                <w:sz w:val="10"/>
                <w:szCs w:val="10"/>
                <w:color w:val="auto"/>
              </w:rPr>
            </w:pPr>
          </w:p>
        </w:tc>
        <w:tc>
          <w:tcPr>
            <w:tcW w:w="2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0.39%*</w:t>
            </w:r>
          </w:p>
        </w:tc>
        <w:tc>
          <w:tcPr>
            <w:tcW w:w="5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60" w:type="dxa"/>
            <w:vAlign w:val="bottom"/>
            <w:gridSpan w:val="2"/>
            <w:vMerge w:val="continue"/>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FF0FC"/>
            </w:tcBorders>
          </w:tcPr>
          <w:p>
            <w:pPr>
              <w:spacing w:after="0"/>
              <w:rPr>
                <w:sz w:val="13"/>
                <w:szCs w:val="13"/>
                <w:color w:val="auto"/>
              </w:rPr>
            </w:pPr>
          </w:p>
        </w:tc>
        <w:tc>
          <w:tcPr>
            <w:tcW w:w="600" w:type="dxa"/>
            <w:vAlign w:val="bottom"/>
            <w:tcBorders>
              <w:top w:val="single" w:sz="8" w:color="CFF0FC"/>
            </w:tcBorders>
          </w:tcPr>
          <w:p>
            <w:pPr>
              <w:spacing w:after="0"/>
              <w:rPr>
                <w:sz w:val="13"/>
                <w:szCs w:val="13"/>
                <w:color w:val="auto"/>
              </w:rPr>
            </w:pPr>
          </w:p>
        </w:tc>
        <w:tc>
          <w:tcPr>
            <w:tcW w:w="50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340" w:type="dxa"/>
            <w:vAlign w:val="bottom"/>
            <w:tcBorders>
              <w:top w:val="single" w:sz="8" w:color="CFF0FC"/>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1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8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AllClear ID, Inc.</w:t>
            </w: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5"/>
              </w:rPr>
              <w:t>9/1/2017</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9"/>
              </w:rPr>
              <w:t>9/1/2027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870,514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Sesame, Inc.</w:t>
            </w:r>
          </w:p>
        </w:tc>
        <w:tc>
          <w:tcPr>
            <w:tcW w:w="14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5"/>
              </w:rPr>
              <w:t>1/7/2020</w:t>
            </w: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9"/>
              </w:rPr>
              <w:t>1/7/2030</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191,601</w:t>
            </w: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2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w:t>
            </w:r>
          </w:p>
        </w:tc>
        <w:tc>
          <w:tcPr>
            <w:tcW w:w="102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80" w:type="dxa"/>
            <w:vAlign w:val="bottom"/>
            <w:gridSpan w:val="5"/>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Specialized Consumer Services -</w:t>
            </w: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2,477</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0.41%*</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Dejero Labs Inc.</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5/31/2019</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5/31/2029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333,621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(3)(7)(11)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Scale Computing, Inc.</w:t>
            </w: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3/29/2019</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3/29/2029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9,665,667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System Software - 0.09%*</w:t>
            </w:r>
          </w:p>
        </w:tc>
        <w:tc>
          <w:tcPr>
            <w:tcW w:w="140" w:type="dxa"/>
            <w:vAlign w:val="bottom"/>
            <w:tcBorders>
              <w:bottom w:val="single" w:sz="8" w:color="CFF0FC"/>
            </w:tcBorders>
            <w:shd w:val="clear" w:color="auto" w:fill="CFF0FC"/>
          </w:tcPr>
          <w:p>
            <w:pPr>
              <w:spacing w:after="0"/>
              <w:rPr>
                <w:sz w:val="13"/>
                <w:szCs w:val="13"/>
                <w:color w:val="auto"/>
              </w:rPr>
            </w:pPr>
          </w:p>
        </w:tc>
        <w:tc>
          <w:tcPr>
            <w:tcW w:w="2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20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FF0FC"/>
          </w:tcPr>
          <w:p>
            <w:pPr>
              <w:spacing w:after="0"/>
              <w:rPr>
                <w:sz w:val="11"/>
                <w:szCs w:val="11"/>
                <w:color w:val="auto"/>
              </w:rPr>
            </w:pPr>
          </w:p>
        </w:tc>
        <w:tc>
          <w:tcPr>
            <w:tcW w:w="2480" w:type="dxa"/>
            <w:vAlign w:val="bottom"/>
            <w:gridSpan w:val="5"/>
            <w:shd w:val="clear" w:color="auto" w:fill="CFF0FC"/>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Technology Hardware, Storage &amp;</w:t>
            </w:r>
          </w:p>
        </w:tc>
        <w:tc>
          <w:tcPr>
            <w:tcW w:w="140" w:type="dxa"/>
            <w:vAlign w:val="bottom"/>
            <w:shd w:val="clear" w:color="auto" w:fill="CFF0FC"/>
          </w:tcPr>
          <w:p>
            <w:pPr>
              <w:spacing w:after="0"/>
              <w:rPr>
                <w:sz w:val="11"/>
                <w:szCs w:val="11"/>
                <w:color w:val="auto"/>
              </w:rPr>
            </w:pPr>
          </w:p>
        </w:tc>
        <w:tc>
          <w:tcPr>
            <w:tcW w:w="2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Peripherals</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RealWear, Inc.</w:t>
            </w: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10/5/2018</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10/5/2028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112,451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12/28/2018</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12/28/2028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22,491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6/27/2019</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6/27/2029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123,894</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480" w:type="dxa"/>
            <w:vAlign w:val="bottom"/>
            <w:gridSpan w:val="5"/>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Total Technology Hardware, Storage &amp;</w:t>
            </w:r>
          </w:p>
        </w:tc>
        <w:tc>
          <w:tcPr>
            <w:tcW w:w="140" w:type="dxa"/>
            <w:vAlign w:val="bottom"/>
            <w:shd w:val="clear" w:color="auto" w:fill="CFF0FC"/>
          </w:tcPr>
          <w:p>
            <w:pPr>
              <w:spacing w:after="0"/>
              <w:rPr>
                <w:sz w:val="10"/>
                <w:szCs w:val="10"/>
                <w:color w:val="auto"/>
              </w:rPr>
            </w:pPr>
          </w:p>
        </w:tc>
        <w:tc>
          <w:tcPr>
            <w:tcW w:w="2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2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Peripherals - 0.00%*</w:t>
            </w:r>
          </w:p>
        </w:tc>
        <w:tc>
          <w:tcPr>
            <w:tcW w:w="140" w:type="dxa"/>
            <w:vAlign w:val="bottom"/>
            <w:tcBorders>
              <w:bottom w:val="single" w:sz="8" w:color="CFF0FC"/>
            </w:tcBorders>
            <w:shd w:val="clear" w:color="auto" w:fill="CFF0FC"/>
          </w:tcPr>
          <w:p>
            <w:pPr>
              <w:spacing w:after="0"/>
              <w:rPr>
                <w:sz w:val="13"/>
                <w:szCs w:val="13"/>
                <w:color w:val="auto"/>
              </w:rPr>
            </w:pPr>
          </w:p>
        </w:tc>
        <w:tc>
          <w:tcPr>
            <w:tcW w:w="2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96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12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Warrants - 3.31%*</w:t>
            </w:r>
          </w:p>
        </w:tc>
        <w:tc>
          <w:tcPr>
            <w:tcW w:w="14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17,148</w:t>
            </w:r>
          </w:p>
        </w:tc>
        <w:tc>
          <w:tcPr>
            <w:tcW w:w="20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20,086</w:t>
            </w:r>
          </w:p>
        </w:tc>
        <w:tc>
          <w:tcPr>
            <w:tcW w:w="2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8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8"/>
              </w:rPr>
              <w:t>Total Non-Control/Non-Affiliate Investments</w:t>
            </w: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647,449</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655,384</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- 108.11%*</w:t>
            </w:r>
          </w:p>
        </w:tc>
        <w:tc>
          <w:tcPr>
            <w:tcW w:w="10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1020" w:type="dxa"/>
            <w:vAlign w:val="bottom"/>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1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2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Mojix, Inc.</w:t>
            </w: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5/16/2017</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1/15/2022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7,568</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5"/>
              </w:rPr>
              <w:t>8/3/2017</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1/15/2022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2,523</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32"/>
        </w:trPr>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1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5"/>
              </w:rPr>
              <w:t>7/6/2018</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1/15/2022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5"/>
              </w:rPr>
              <w:t>9/5/2018</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1/15/2022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32"/>
        </w:trPr>
        <w:tc>
          <w:tcPr>
            <w:tcW w:w="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18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8"/>
              </w:rPr>
              <w:t>1/28/2019</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1/15/2022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1,253</w:t>
            </w:r>
          </w:p>
        </w:tc>
        <w:tc>
          <w:tcPr>
            <w:tcW w:w="1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12/18/2019</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1/31/2022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1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55"/>
        </w:trPr>
        <w:tc>
          <w:tcPr>
            <w:tcW w:w="20" w:type="dxa"/>
            <w:vAlign w:val="bottom"/>
            <w:tcBorders>
              <w:bottom w:val="single" w:sz="8" w:color="CFF0FC"/>
            </w:tcBorders>
            <w:shd w:val="clear" w:color="auto" w:fill="CFF0FC"/>
          </w:tcPr>
          <w:p>
            <w:pPr>
              <w:spacing w:after="0"/>
              <w:rPr>
                <w:sz w:val="13"/>
                <w:szCs w:val="13"/>
                <w:color w:val="auto"/>
              </w:rPr>
            </w:pPr>
          </w:p>
        </w:tc>
        <w:tc>
          <w:tcPr>
            <w:tcW w:w="248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Application Software - 2.25%*</w:t>
            </w:r>
          </w:p>
        </w:tc>
        <w:tc>
          <w:tcPr>
            <w:tcW w:w="140" w:type="dxa"/>
            <w:vAlign w:val="bottom"/>
            <w:tcBorders>
              <w:bottom w:val="single" w:sz="8" w:color="CFF0FC"/>
            </w:tcBorders>
            <w:shd w:val="clear" w:color="auto" w:fill="CFF0FC"/>
          </w:tcPr>
          <w:p>
            <w:pPr>
              <w:spacing w:after="0"/>
              <w:rPr>
                <w:sz w:val="13"/>
                <w:szCs w:val="13"/>
                <w:color w:val="auto"/>
              </w:rPr>
            </w:pPr>
          </w:p>
        </w:tc>
        <w:tc>
          <w:tcPr>
            <w:tcW w:w="2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11,655</w:t>
            </w:r>
          </w:p>
        </w:tc>
        <w:tc>
          <w:tcPr>
            <w:tcW w:w="20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13,611</w:t>
            </w:r>
          </w:p>
        </w:tc>
        <w:tc>
          <w:tcPr>
            <w:tcW w:w="20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-4002405</wp:posOffset>
            </wp:positionV>
            <wp:extent cx="68580" cy="1117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-4002405</wp:posOffset>
            </wp:positionV>
            <wp:extent cx="68580" cy="1117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-3582670</wp:posOffset>
            </wp:positionV>
            <wp:extent cx="68580" cy="1968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-3582670</wp:posOffset>
            </wp:positionV>
            <wp:extent cx="68580" cy="1968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-2862580</wp:posOffset>
            </wp:positionV>
            <wp:extent cx="68580" cy="1117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-2862580</wp:posOffset>
            </wp:positionV>
            <wp:extent cx="68580" cy="1117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-2065020</wp:posOffset>
            </wp:positionV>
            <wp:extent cx="68580" cy="11112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-2065020</wp:posOffset>
            </wp:positionV>
            <wp:extent cx="68580" cy="1111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-1851025</wp:posOffset>
            </wp:positionV>
            <wp:extent cx="68580" cy="1968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-1851025</wp:posOffset>
            </wp:positionV>
            <wp:extent cx="68580" cy="1968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-8255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40" w:type="dxa"/>
            <w:vAlign w:val="bottom"/>
          </w:tcPr>
          <w:p>
            <w:pPr>
              <w:spacing w:after="0"/>
              <w:rPr>
                <w:sz w:val="16"/>
                <w:szCs w:val="16"/>
                <w:color w:val="auto"/>
              </w:rPr>
            </w:pPr>
          </w:p>
        </w:tc>
        <w:tc>
          <w:tcPr>
            <w:tcW w:w="23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Investment Description</w:t>
            </w:r>
            <w:r>
              <w:rPr>
                <w:rFonts w:ascii="Times New Roman" w:cs="Times New Roman" w:eastAsia="Times New Roman" w:hAnsi="Times New Roman"/>
                <w:sz w:val="16"/>
                <w:szCs w:val="16"/>
                <w:b w:val="1"/>
                <w:bCs w:val="1"/>
                <w:color w:val="auto"/>
                <w:vertAlign w:val="superscript"/>
              </w:rPr>
              <w:t>(1),(5),(9)</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6"/>
                <w:szCs w:val="16"/>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Principal ($) /</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Cost ($)</w:t>
            </w:r>
          </w:p>
        </w:tc>
        <w:tc>
          <w:tcPr>
            <w:tcW w:w="22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 xml:space="preserve">Fair Value ($) </w:t>
            </w:r>
            <w:r>
              <w:rPr>
                <w:rFonts w:ascii="Times New Roman" w:cs="Times New Roman" w:eastAsia="Times New Roman" w:hAnsi="Times New Roman"/>
                <w:sz w:val="16"/>
                <w:szCs w:val="16"/>
                <w:b w:val="1"/>
                <w:bCs w:val="1"/>
                <w:color w:val="auto"/>
                <w:w w:val="93"/>
                <w:vertAlign w:val="superscript"/>
              </w:rPr>
              <w:t>(2),</w:t>
            </w:r>
          </w:p>
        </w:tc>
        <w:tc>
          <w:tcPr>
            <w:tcW w:w="2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35"/>
        </w:trPr>
        <w:tc>
          <w:tcPr>
            <w:tcW w:w="2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1"/>
                <w:szCs w:val="11"/>
                <w:color w:val="auto"/>
              </w:rPr>
            </w:pPr>
          </w:p>
        </w:tc>
        <w:tc>
          <w:tcPr>
            <w:tcW w:w="1240" w:type="dxa"/>
            <w:vAlign w:val="bottom"/>
            <w:gridSpan w:val="3"/>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(6)</w:t>
            </w:r>
          </w:p>
        </w:tc>
        <w:tc>
          <w:tcPr>
            <w:tcW w:w="2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00" w:type="dxa"/>
            <w:vAlign w:val="bottom"/>
            <w:tcBorders>
              <w:top w:val="single" w:sz="8" w:color="auto"/>
              <w:left w:val="single" w:sz="8" w:color="CFF0FC"/>
            </w:tcBorders>
            <w:gridSpan w:val="3"/>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140" w:type="dxa"/>
            <w:vAlign w:val="bottom"/>
            <w:shd w:val="clear" w:color="auto" w:fill="CFF0FC"/>
          </w:tcPr>
          <w:p>
            <w:pPr>
              <w:spacing w:after="0"/>
              <w:rPr>
                <w:sz w:val="11"/>
                <w:szCs w:val="11"/>
                <w:color w:val="auto"/>
              </w:rPr>
            </w:pPr>
          </w:p>
        </w:tc>
        <w:tc>
          <w:tcPr>
            <w:tcW w:w="232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20" w:type="dxa"/>
            <w:vAlign w:val="bottom"/>
            <w:tcBorders>
              <w:left w:val="single" w:sz="8" w:color="CFF0FC"/>
            </w:tcBorders>
            <w:shd w:val="clear" w:color="auto" w:fill="000000"/>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3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LIBOR+8.50% PIK, 11.00% floor, 4.00%</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19,173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14,650</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Pivot3, Inc.</w:t>
            </w:r>
          </w:p>
        </w:tc>
        <w:tc>
          <w:tcPr>
            <w:tcW w:w="140" w:type="dxa"/>
            <w:vAlign w:val="bottom"/>
          </w:tcPr>
          <w:p>
            <w:pPr>
              <w:spacing w:after="0"/>
              <w:rPr>
                <w:sz w:val="13"/>
                <w:szCs w:val="13"/>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ETP</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8"/>
              </w:rPr>
              <w:t>5/13/2019</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11/15/2022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18,598</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22"/>
        </w:trPr>
        <w:tc>
          <w:tcPr>
            <w:tcW w:w="2500" w:type="dxa"/>
            <w:vAlign w:val="bottom"/>
            <w:tcBorders>
              <w:left w:val="single" w:sz="8" w:color="CFF0FC"/>
            </w:tcBorders>
            <w:gridSpan w:val="3"/>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Data Processing &amp; Outsourced Services</w:t>
            </w:r>
          </w:p>
        </w:tc>
        <w:tc>
          <w:tcPr>
            <w:tcW w:w="140" w:type="dxa"/>
            <w:vAlign w:val="bottom"/>
            <w:shd w:val="clear" w:color="auto" w:fill="CFF0FC"/>
          </w:tcPr>
          <w:p>
            <w:pPr>
              <w:spacing w:after="0"/>
              <w:rPr>
                <w:sz w:val="10"/>
                <w:szCs w:val="10"/>
                <w:color w:val="auto"/>
              </w:rPr>
            </w:pPr>
          </w:p>
        </w:tc>
        <w:tc>
          <w:tcPr>
            <w:tcW w:w="2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19,173</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14,650</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- 2.42%*</w:t>
            </w:r>
          </w:p>
        </w:tc>
        <w:tc>
          <w:tcPr>
            <w:tcW w:w="8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 Loans - 4.66%*</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30,828</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28,261</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140" w:type="dxa"/>
            <w:vAlign w:val="bottom"/>
            <w:tcBorders>
              <w:bottom w:val="single" w:sz="8" w:color="CFF0FC"/>
            </w:tcBorders>
            <w:shd w:val="clear" w:color="auto" w:fill="CFF0FC"/>
          </w:tcPr>
          <w:p>
            <w:pPr>
              <w:spacing w:after="0"/>
              <w:rPr>
                <w:sz w:val="14"/>
                <w:szCs w:val="1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A-1</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12/14/2020</w:t>
            </w:r>
          </w:p>
        </w:tc>
        <w:tc>
          <w:tcPr>
            <w:tcW w:w="14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67,114,092</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9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- 0.14%*</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CFF0FC"/>
            </w:tcBorders>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50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Pivot3 Holdings, Inc.</w:t>
            </w:r>
          </w:p>
        </w:tc>
        <w:tc>
          <w:tcPr>
            <w:tcW w:w="140" w:type="dxa"/>
            <w:vAlign w:val="bottom"/>
            <w:tcBorders>
              <w:bottom w:val="single" w:sz="8" w:color="CFF0FC"/>
            </w:tcBorders>
            <w:shd w:val="clear" w:color="auto" w:fill="CFF0FC"/>
          </w:tcPr>
          <w:p>
            <w:pPr>
              <w:spacing w:after="0"/>
              <w:rPr>
                <w:sz w:val="24"/>
                <w:szCs w:val="24"/>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1</w:t>
            </w:r>
          </w:p>
        </w:tc>
        <w:tc>
          <w:tcPr>
            <w:tcW w:w="10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8"/>
              </w:rPr>
              <w:t>1/27/2021</w:t>
            </w:r>
          </w:p>
        </w:tc>
        <w:tc>
          <w:tcPr>
            <w:tcW w:w="1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2,675,585</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22"/>
        </w:trPr>
        <w:tc>
          <w:tcPr>
            <w:tcW w:w="25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Total Data Processing &amp; Outsourced Services</w:t>
            </w:r>
          </w:p>
        </w:tc>
        <w:tc>
          <w:tcPr>
            <w:tcW w:w="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- 0.00%*</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CFF0FC"/>
            </w:tcBorders>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 - 0.14%*</w:t>
            </w: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CFF0FC"/>
            </w:tcBorders>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14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12/14/2020</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12/13/2030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1120" w:type="dxa"/>
            <w:vAlign w:val="bottom"/>
            <w:tcBorders>
              <w:left w:val="single" w:sz="8" w:color="CFF0FC"/>
            </w:tcBorders>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4"/>
              </w:rPr>
              <w:t>12/14/2020</w:t>
            </w:r>
          </w:p>
        </w:tc>
        <w:tc>
          <w:tcPr>
            <w:tcW w:w="100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12/13/2030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12/14/2020</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12/13/2030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394,733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50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 Investments - 4.81%*</w:t>
            </w:r>
          </w:p>
        </w:tc>
        <w:tc>
          <w:tcPr>
            <w:tcW w:w="140" w:type="dxa"/>
            <w:vAlign w:val="bottom"/>
            <w:shd w:val="clear" w:color="auto" w:fill="CFF0FC"/>
          </w:tcPr>
          <w:p>
            <w:pPr>
              <w:spacing w:after="0"/>
              <w:rPr>
                <w:sz w:val="13"/>
                <w:szCs w:val="13"/>
                <w:color w:val="auto"/>
              </w:rPr>
            </w:pPr>
          </w:p>
        </w:tc>
        <w:tc>
          <w:tcPr>
            <w:tcW w:w="2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34,874</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29,131</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3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4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U.S. Treasury</w:t>
            </w: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Treasury Bill, 0.033%</w:t>
            </w:r>
          </w:p>
        </w:tc>
        <w:tc>
          <w:tcPr>
            <w:tcW w:w="10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12/30/2021</w:t>
            </w:r>
          </w:p>
        </w:tc>
        <w:tc>
          <w:tcPr>
            <w:tcW w:w="100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1/11/2022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45,001</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5"/>
        </w:trPr>
        <w:tc>
          <w:tcPr>
            <w:tcW w:w="250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U.S. Treasury - 7.42%*</w:t>
            </w:r>
          </w:p>
        </w:tc>
        <w:tc>
          <w:tcPr>
            <w:tcW w:w="140" w:type="dxa"/>
            <w:vAlign w:val="bottom"/>
            <w:tcBorders>
              <w:bottom w:val="single" w:sz="8" w:color="CFF0FC"/>
            </w:tcBorders>
            <w:shd w:val="clear" w:color="auto" w:fill="CFF0FC"/>
          </w:tcPr>
          <w:p>
            <w:pPr>
              <w:spacing w:after="0"/>
              <w:rPr>
                <w:sz w:val="13"/>
                <w:szCs w:val="13"/>
                <w:color w:val="auto"/>
              </w:rPr>
            </w:pPr>
          </w:p>
        </w:tc>
        <w:tc>
          <w:tcPr>
            <w:tcW w:w="23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45,001</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45,001</w:t>
            </w:r>
          </w:p>
        </w:tc>
        <w:tc>
          <w:tcPr>
            <w:tcW w:w="2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- 120.34%*</w:t>
            </w: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727,324</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729,516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-3436620</wp:posOffset>
            </wp:positionV>
            <wp:extent cx="68580" cy="1117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-3436620</wp:posOffset>
            </wp:positionV>
            <wp:extent cx="68580" cy="1117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-3222625</wp:posOffset>
            </wp:positionV>
            <wp:extent cx="68580" cy="1117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-3222625</wp:posOffset>
            </wp:positionV>
            <wp:extent cx="68580" cy="1117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-2802255</wp:posOffset>
            </wp:positionV>
            <wp:extent cx="68580" cy="1200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-2802255</wp:posOffset>
            </wp:positionV>
            <wp:extent cx="68580" cy="1200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-2287905</wp:posOffset>
            </wp:positionV>
            <wp:extent cx="68580" cy="1968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-2287905</wp:posOffset>
            </wp:positionV>
            <wp:extent cx="68580" cy="1968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-976630</wp:posOffset>
            </wp:positionV>
            <wp:extent cx="68580" cy="1111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-976630</wp:posOffset>
            </wp:positionV>
            <wp:extent cx="68580" cy="1111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-762000</wp:posOffset>
            </wp:positionV>
            <wp:extent cx="68580" cy="11112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-762000</wp:posOffset>
            </wp:positionV>
            <wp:extent cx="68580" cy="1111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-247650</wp:posOffset>
            </wp:positionV>
            <wp:extent cx="68580" cy="2228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22288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-247650</wp:posOffset>
            </wp:positionV>
            <wp:extent cx="68580" cy="2228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jc w:val="both"/>
        <w:ind w:left="760" w:hanging="374"/>
        <w:spacing w:after="0" w:line="177" w:lineRule="exact"/>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London Interbank Offered Rate ("LIBOR") or the U.S. Prime Rate. At December 31, 2021,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LIBOR was 0.21% and the U.S. Prime Rate was 3.25%.</w:t>
      </w:r>
    </w:p>
    <w:p>
      <w:pPr>
        <w:spacing w:after="0" w:line="1" w:lineRule="exact"/>
        <w:rPr>
          <w:rFonts w:ascii="Times New Roman" w:cs="Times New Roman" w:eastAsia="Times New Roman" w:hAnsi="Times New Roman"/>
          <w:sz w:val="19"/>
          <w:szCs w:val="19"/>
          <w:color w:val="auto"/>
          <w:vertAlign w:val="superscript"/>
        </w:rPr>
      </w:pPr>
    </w:p>
    <w:p>
      <w:pPr>
        <w:jc w:val="both"/>
        <w:ind w:left="760" w:hanging="374"/>
        <w:spacing w:after="0" w:line="205"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jc w:val="both"/>
        <w:ind w:left="760" w:hanging="374"/>
        <w:spacing w:after="0" w:line="207"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not a qualifying asset as defined under Section 55(a) of the Investment Company Act of 1940, as amended (the "1940 Act"). Non-qualifying assets represent 12.35% of total investments at fair value as of December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2"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 PIK security. PIK interest is accrued and will be paid at maturity.</w:t>
      </w:r>
    </w:p>
    <w:p>
      <w:pPr>
        <w:spacing w:after="0" w:line="3"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Disclosures of end-of-term-payments ("ETP") are one-time payments stated as a percentage of original principal amount.</w:t>
      </w:r>
    </w:p>
    <w:p>
      <w:pPr>
        <w:ind w:left="760" w:hanging="374"/>
        <w:spacing w:after="0" w:line="187" w:lineRule="auto"/>
        <w:tabs>
          <w:tab w:leader="none" w:pos="76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Investments are held at Fair Value net of the Fair Value of Unfunded Commitments. See Note 3 for additional detail.</w:t>
      </w:r>
    </w:p>
    <w:p>
      <w:pPr>
        <w:ind w:left="760" w:hanging="374"/>
        <w:spacing w:after="0" w:line="189"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Investments are non-income producing.</w:t>
      </w:r>
    </w:p>
    <w:p>
      <w:pPr>
        <w:spacing w:after="0" w:line="3" w:lineRule="exact"/>
        <w:rPr>
          <w:rFonts w:ascii="Times New Roman" w:cs="Times New Roman" w:eastAsia="Times New Roman" w:hAnsi="Times New Roman"/>
          <w:sz w:val="19"/>
          <w:szCs w:val="19"/>
          <w:color w:val="auto"/>
          <w:vertAlign w:val="superscript"/>
        </w:rPr>
      </w:pPr>
    </w:p>
    <w:p>
      <w:pPr>
        <w:ind w:left="760" w:hanging="374"/>
        <w:spacing w:after="0" w:line="196"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Credit Facility (as defined in Note 11) is secured by a perfected first priority security interest in each of the Company’s senior secured term loan investments, except for Pivot3 Holdings, Inc., Marley Spoon AG, Mojix, Inc., and The Kairn Corporation senior secured term loans.</w:t>
      </w:r>
    </w:p>
    <w:p>
      <w:pPr>
        <w:ind w:left="760" w:hanging="374"/>
        <w:spacing w:after="0" w:line="196"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Treasury bill with $45,000 par value purchased pursuant to a 0.25% reverse repurchase agreement with Goldman Sachs dated December 31, 2021, due to the Company on January 6, 2022, with a repurchase price to the Company of $44,775, collateralized by a 0.033% U.S. Treasury Bill due January 11, 2022 with a par value of $45,000 and fair value of $45,002.</w:t>
      </w:r>
    </w:p>
    <w:p>
      <w:pPr>
        <w:ind w:left="760" w:hanging="374"/>
        <w:spacing w:after="0" w:line="189"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are domiciled in the United States, unless otherwise noted.</w:t>
      </w:r>
    </w:p>
    <w:p>
      <w:pPr>
        <w:spacing w:after="0" w:line="3"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is domiciled in Canada.</w:t>
      </w:r>
    </w:p>
    <w:p>
      <w:pPr>
        <w:ind w:left="760" w:hanging="374"/>
        <w:spacing w:after="0" w:line="187" w:lineRule="auto"/>
        <w:tabs>
          <w:tab w:leader="none" w:pos="76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is domiciled in Germany.</w:t>
      </w:r>
    </w:p>
    <w:p>
      <w:pPr>
        <w:ind w:left="760" w:hanging="374"/>
        <w:spacing w:after="0" w:line="189"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domiciled in United Kingdom.</w:t>
      </w:r>
    </w:p>
    <w:p>
      <w:pPr>
        <w:spacing w:after="0" w:line="3"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6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Investment is either a cash success fee payable or earnout of shares based on the consummation of certain trigger events.</w:t>
      </w:r>
    </w:p>
    <w:p>
      <w:pPr>
        <w:ind w:left="760" w:hanging="374"/>
        <w:spacing w:after="0" w:line="189" w:lineRule="auto"/>
        <w:tabs>
          <w:tab w:leader="none" w:pos="760"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Control investment, as defined under the 1940 Act, in which the Company owns at least 25% of the investment’s voting securities or has greater than 50% representation on its board.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90" w:lineRule="auto"/>
        <w:tabs>
          <w:tab w:leader="none" w:pos="4221"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82" w:lineRule="exact"/>
        <w:rPr>
          <w:sz w:val="20"/>
          <w:szCs w:val="20"/>
          <w:color w:val="auto"/>
        </w:rPr>
      </w:pPr>
    </w:p>
    <w:p>
      <w:pPr>
        <w:ind w:left="760" w:hanging="374"/>
        <w:spacing w:after="0"/>
        <w:tabs>
          <w:tab w:leader="none" w:pos="760" w:val="left"/>
        </w:tabs>
        <w:numPr>
          <w:ilvl w:val="0"/>
          <w:numId w:val="6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publicly traded and listed on NASDAQ.</w:t>
      </w:r>
    </w:p>
    <w:p>
      <w:pPr>
        <w:spacing w:after="0" w:line="3" w:lineRule="exact"/>
        <w:rPr>
          <w:rFonts w:ascii="Times New Roman" w:cs="Times New Roman" w:eastAsia="Times New Roman" w:hAnsi="Times New Roman"/>
          <w:sz w:val="19"/>
          <w:szCs w:val="19"/>
          <w:color w:val="auto"/>
          <w:vertAlign w:val="superscript"/>
        </w:rPr>
      </w:pPr>
    </w:p>
    <w:p>
      <w:pPr>
        <w:ind w:left="760" w:hanging="374"/>
        <w:spacing w:after="0" w:line="187" w:lineRule="auto"/>
        <w:tabs>
          <w:tab w:leader="none" w:pos="760"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warrant count is based upon a percentage of ownership of Fidelis Cybersecurity, Inc.</w:t>
      </w:r>
    </w:p>
    <w:p>
      <w:pPr>
        <w:jc w:val="both"/>
        <w:ind w:left="760" w:hanging="374"/>
        <w:spacing w:after="0" w:line="203" w:lineRule="auto"/>
        <w:tabs>
          <w:tab w:leader="none" w:pos="760" w:val="left"/>
        </w:tabs>
        <w:numPr>
          <w:ilvl w:val="0"/>
          <w:numId w:val="6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 result of Brilliant Earth Group Inc.'s (the Public Company) IPO through an Up-C structure, the Company received a share of Class B common stock in Brilliant Earth Group, Inc. for every Class P unit it held in Brilliant Earth, LLC. On a one-to-one basis, both the Class B common stock and the Class P unit can be surrendered for Class A common stock in the Public Company.</w:t>
      </w:r>
    </w:p>
    <w:p>
      <w:pPr>
        <w:spacing w:after="0" w:line="1" w:lineRule="exact"/>
        <w:rPr>
          <w:rFonts w:ascii="Times New Roman" w:cs="Times New Roman" w:eastAsia="Times New Roman" w:hAnsi="Times New Roman"/>
          <w:sz w:val="19"/>
          <w:szCs w:val="19"/>
          <w:color w:val="auto"/>
          <w:vertAlign w:val="superscript"/>
        </w:rPr>
      </w:pPr>
    </w:p>
    <w:p>
      <w:pPr>
        <w:ind w:left="520" w:right="6760" w:hanging="134"/>
        <w:spacing w:after="0" w:line="219" w:lineRule="auto"/>
        <w:tabs>
          <w:tab w:leader="none" w:pos="759" w:val="left"/>
        </w:tabs>
        <w:numPr>
          <w:ilvl w:val="0"/>
          <w:numId w:val="6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not a "restricted security" under the Securities Act. * Value as a percentage of net assets.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classifies its investment portfolio in accordance with the requirements of the 1940 Act. Control investments are investments in which the Company owns more than 25% of the voting securities or maintains greater than 50% representation on the board. Affiliate investments are investments in which the Company owns between 5% and 25% (inclusive) of the voting securities and does not have rights to maintain greater than 50% representation on the board. The Company's affiliate and control investments as of December 31, 2021, along with the transactions during the year ended December 31, 2021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8"/>
          </w:tcPr>
          <w:p>
            <w:pPr>
              <w:jc w:val="right"/>
              <w:ind w:right="382"/>
              <w:spacing w:after="0"/>
              <w:rPr>
                <w:sz w:val="20"/>
                <w:szCs w:val="20"/>
                <w:color w:val="auto"/>
              </w:rPr>
            </w:pPr>
            <w:r>
              <w:rPr>
                <w:rFonts w:ascii="Times New Roman" w:cs="Times New Roman" w:eastAsia="Times New Roman" w:hAnsi="Times New Roman"/>
                <w:sz w:val="11"/>
                <w:szCs w:val="11"/>
                <w:b w:val="1"/>
                <w:bCs w:val="1"/>
                <w:color w:val="auto"/>
              </w:rPr>
              <w:t>For the Year Ended December 31, 2021</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46"/>
              <w:spacing w:after="0" w:line="118"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220" w:type="dxa"/>
            <w:vAlign w:val="bottom"/>
          </w:tcPr>
          <w:p>
            <w:pPr>
              <w:spacing w:after="0"/>
              <w:rPr>
                <w:sz w:val="10"/>
                <w:szCs w:val="10"/>
                <w:color w:val="auto"/>
              </w:rPr>
            </w:pPr>
          </w:p>
        </w:tc>
        <w:tc>
          <w:tcPr>
            <w:tcW w:w="900" w:type="dxa"/>
            <w:vAlign w:val="bottom"/>
            <w:gridSpan w:val="3"/>
          </w:tcPr>
          <w:p>
            <w:pPr>
              <w:jc w:val="center"/>
              <w:ind w:right="202"/>
              <w:spacing w:after="0" w:line="118" w:lineRule="exact"/>
              <w:rPr>
                <w:sz w:val="20"/>
                <w:szCs w:val="20"/>
                <w:color w:val="auto"/>
              </w:rPr>
            </w:pPr>
            <w:r>
              <w:rPr>
                <w:rFonts w:ascii="Times New Roman" w:cs="Times New Roman" w:eastAsia="Times New Roman" w:hAnsi="Times New Roman"/>
                <w:sz w:val="11"/>
                <w:szCs w:val="11"/>
                <w:b w:val="1"/>
                <w:bCs w:val="1"/>
                <w:color w:val="auto"/>
                <w:w w:val="96"/>
              </w:rPr>
              <w:t>Net change in</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82"/>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Fair Value as of</w:t>
            </w:r>
          </w:p>
        </w:tc>
        <w:tc>
          <w:tcPr>
            <w:tcW w:w="140" w:type="dxa"/>
            <w:vAlign w:val="bottom"/>
          </w:tcPr>
          <w:p>
            <w:pPr>
              <w:spacing w:after="0"/>
              <w:rPr>
                <w:sz w:val="12"/>
                <w:szCs w:val="12"/>
                <w:color w:val="auto"/>
              </w:rPr>
            </w:pPr>
          </w:p>
        </w:tc>
        <w:tc>
          <w:tcPr>
            <w:tcW w:w="80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12"/>
                <w:szCs w:val="12"/>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220" w:type="dxa"/>
            <w:vAlign w:val="bottom"/>
          </w:tcPr>
          <w:p>
            <w:pPr>
              <w:spacing w:after="0"/>
              <w:rPr>
                <w:sz w:val="12"/>
                <w:szCs w:val="12"/>
                <w:color w:val="auto"/>
              </w:rPr>
            </w:pPr>
          </w:p>
        </w:tc>
        <w:tc>
          <w:tcPr>
            <w:tcW w:w="900" w:type="dxa"/>
            <w:vAlign w:val="bottom"/>
            <w:gridSpan w:val="3"/>
          </w:tcPr>
          <w:p>
            <w:pPr>
              <w:jc w:val="center"/>
              <w:ind w:right="182"/>
              <w:spacing w:after="0"/>
              <w:rPr>
                <w:sz w:val="20"/>
                <w:szCs w:val="20"/>
                <w:color w:val="auto"/>
              </w:rPr>
            </w:pPr>
            <w:r>
              <w:rPr>
                <w:rFonts w:ascii="Times New Roman" w:cs="Times New Roman" w:eastAsia="Times New Roman" w:hAnsi="Times New Roman"/>
                <w:sz w:val="11"/>
                <w:szCs w:val="11"/>
                <w:b w:val="1"/>
                <w:bCs w:val="1"/>
                <w:color w:val="auto"/>
                <w:w w:val="97"/>
              </w:rPr>
              <w:t>Appreciation</w:t>
            </w:r>
          </w:p>
        </w:tc>
        <w:tc>
          <w:tcPr>
            <w:tcW w:w="80" w:type="dxa"/>
            <w:vAlign w:val="bottom"/>
          </w:tcPr>
          <w:p>
            <w:pPr>
              <w:spacing w:after="0"/>
              <w:rPr>
                <w:sz w:val="12"/>
                <w:szCs w:val="12"/>
                <w:color w:val="auto"/>
              </w:rPr>
            </w:pPr>
          </w:p>
        </w:tc>
        <w:tc>
          <w:tcPr>
            <w:tcW w:w="10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r>
              <w:rPr>
                <w:rFonts w:ascii="Times New Roman" w:cs="Times New Roman" w:eastAsia="Times New Roman" w:hAnsi="Times New Roman"/>
                <w:sz w:val="14"/>
                <w:szCs w:val="14"/>
                <w:b w:val="1"/>
                <w:bCs w:val="1"/>
                <w:color w:val="auto"/>
                <w:vertAlign w:val="superscript"/>
              </w:rPr>
              <w:t>(4)</w:t>
            </w: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Additions</w:t>
            </w:r>
            <w:r>
              <w:rPr>
                <w:rFonts w:ascii="Times New Roman" w:cs="Times New Roman" w:eastAsia="Times New Roman" w:hAnsi="Times New Roman"/>
                <w:sz w:val="14"/>
                <w:szCs w:val="14"/>
                <w:b w:val="1"/>
                <w:bCs w:val="1"/>
                <w:color w:val="auto"/>
                <w:vertAlign w:val="superscript"/>
              </w:rPr>
              <w:t>(1)</w:t>
            </w:r>
          </w:p>
        </w:tc>
        <w:tc>
          <w:tcPr>
            <w:tcW w:w="260" w:type="dxa"/>
            <w:vAlign w:val="bottom"/>
          </w:tcPr>
          <w:p>
            <w:pPr>
              <w:spacing w:after="0"/>
              <w:rPr>
                <w:sz w:val="11"/>
                <w:szCs w:val="11"/>
                <w:color w:val="auto"/>
              </w:rPr>
            </w:pPr>
          </w:p>
        </w:tc>
        <w:tc>
          <w:tcPr>
            <w:tcW w:w="920" w:type="dxa"/>
            <w:vAlign w:val="bottom"/>
            <w:gridSpan w:val="3"/>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97"/>
              </w:rPr>
              <w:t>Reductions</w:t>
            </w:r>
            <w:r>
              <w:rPr>
                <w:rFonts w:ascii="Times New Roman" w:cs="Times New Roman" w:eastAsia="Times New Roman" w:hAnsi="Times New Roman"/>
                <w:sz w:val="14"/>
                <w:szCs w:val="14"/>
                <w:b w:val="1"/>
                <w:bCs w:val="1"/>
                <w:color w:val="auto"/>
                <w:w w:val="97"/>
                <w:vertAlign w:val="superscript"/>
              </w:rPr>
              <w:t>(2)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jc w:val="center"/>
              <w:ind w:right="202"/>
              <w:spacing w:after="0"/>
              <w:rPr>
                <w:sz w:val="20"/>
                <w:szCs w:val="20"/>
                <w:color w:val="auto"/>
              </w:rPr>
            </w:pPr>
            <w:r>
              <w:rPr>
                <w:rFonts w:ascii="Times New Roman" w:cs="Times New Roman" w:eastAsia="Times New Roman" w:hAnsi="Times New Roman"/>
                <w:sz w:val="11"/>
                <w:szCs w:val="11"/>
                <w:b w:val="1"/>
                <w:bCs w:val="1"/>
                <w:color w:val="auto"/>
                <w:w w:val="96"/>
              </w:rPr>
              <w:t>(Depreciation</w:t>
            </w:r>
          </w:p>
        </w:tc>
        <w:tc>
          <w:tcPr>
            <w:tcW w:w="80" w:type="dxa"/>
            <w:vAlign w:val="bottom"/>
          </w:tcPr>
          <w:p>
            <w:pPr>
              <w:spacing w:after="0"/>
              <w:rPr>
                <w:sz w:val="11"/>
                <w:szCs w:val="11"/>
                <w:color w:val="auto"/>
              </w:rPr>
            </w:pPr>
          </w:p>
        </w:tc>
        <w:tc>
          <w:tcPr>
            <w:tcW w:w="10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6"/>
              </w:rPr>
              <w:t>December 31, 2021</w:t>
            </w:r>
            <w:r>
              <w:rPr>
                <w:rFonts w:ascii="Times New Roman" w:cs="Times New Roman" w:eastAsia="Times New Roman" w:hAnsi="Times New Roman"/>
                <w:sz w:val="14"/>
                <w:szCs w:val="14"/>
                <w:b w:val="1"/>
                <w:bCs w:val="1"/>
                <w:color w:val="auto"/>
                <w:w w:val="96"/>
                <w:vertAlign w:val="superscript"/>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Description</w:t>
            </w:r>
          </w:p>
        </w:tc>
        <w:tc>
          <w:tcPr>
            <w:tcW w:w="120" w:type="dxa"/>
            <w:vAlign w:val="bottom"/>
          </w:tcPr>
          <w:p>
            <w:pPr>
              <w:spacing w:after="0"/>
              <w:rPr>
                <w:sz w:val="13"/>
                <w:szCs w:val="13"/>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December 31, 2020</w:t>
            </w: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Control Investments</w:t>
            </w:r>
          </w:p>
        </w:tc>
        <w:tc>
          <w:tcPr>
            <w:tcW w:w="140" w:type="dxa"/>
            <w:vAlign w:val="bottom"/>
            <w:shd w:val="clear" w:color="auto" w:fill="CFF0FC"/>
          </w:tcPr>
          <w:p>
            <w:pPr>
              <w:spacing w:after="0"/>
              <w:rPr>
                <w:sz w:val="12"/>
                <w:szCs w:val="12"/>
                <w:color w:val="auto"/>
              </w:rPr>
            </w:pPr>
          </w:p>
        </w:tc>
        <w:tc>
          <w:tcPr>
            <w:tcW w:w="26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Senior Secured Term Loans</w:t>
            </w: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4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1"/>
                <w:szCs w:val="11"/>
                <w:color w:val="auto"/>
              </w:rPr>
              <w:t>Mojix, Inc.</w:t>
            </w:r>
          </w:p>
        </w:tc>
        <w:tc>
          <w:tcPr>
            <w:tcW w:w="140" w:type="dxa"/>
            <w:vAlign w:val="bottom"/>
            <w:shd w:val="clear" w:color="auto" w:fill="CFF0FC"/>
          </w:tcPr>
          <w:p>
            <w:pPr>
              <w:spacing w:after="0"/>
              <w:rPr>
                <w:sz w:val="9"/>
                <w:szCs w:val="9"/>
                <w:color w:val="auto"/>
              </w:rPr>
            </w:pPr>
          </w:p>
        </w:tc>
        <w:tc>
          <w:tcPr>
            <w:tcW w:w="262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14"/>
                <w:szCs w:val="14"/>
                <w:color w:val="auto"/>
              </w:rPr>
            </w:pPr>
          </w:p>
        </w:tc>
        <w:tc>
          <w:tcPr>
            <w:tcW w:w="2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1/15/2022</w:t>
            </w:r>
            <w:r>
              <w:rPr>
                <w:rFonts w:ascii="Times New Roman" w:cs="Times New Roman" w:eastAsia="Times New Roman" w:hAnsi="Times New Roman"/>
                <w:sz w:val="14"/>
                <w:szCs w:val="14"/>
                <w:color w:val="auto"/>
                <w:vertAlign w:val="superscript"/>
              </w:rPr>
              <w:t>(4)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1/15/2022</w:t>
            </w:r>
            <w:r>
              <w:rPr>
                <w:rFonts w:ascii="Times New Roman" w:cs="Times New Roman" w:eastAsia="Times New Roman" w:hAnsi="Times New Roman"/>
                <w:sz w:val="14"/>
                <w:szCs w:val="14"/>
                <w:color w:val="auto"/>
                <w:vertAlign w:val="superscript"/>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14"/>
                <w:szCs w:val="14"/>
                <w:color w:val="auto"/>
              </w:rPr>
            </w:pPr>
          </w:p>
        </w:tc>
        <w:tc>
          <w:tcPr>
            <w:tcW w:w="2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1/15/2022</w:t>
            </w:r>
            <w:r>
              <w:rPr>
                <w:rFonts w:ascii="Times New Roman" w:cs="Times New Roman" w:eastAsia="Times New Roman" w:hAnsi="Times New Roman"/>
                <w:sz w:val="14"/>
                <w:szCs w:val="14"/>
                <w:color w:val="auto"/>
                <w:vertAlign w:val="superscript"/>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1/15/2022</w:t>
            </w:r>
            <w:r>
              <w:rPr>
                <w:rFonts w:ascii="Times New Roman" w:cs="Times New Roman" w:eastAsia="Times New Roman" w:hAnsi="Times New Roman"/>
                <w:sz w:val="14"/>
                <w:szCs w:val="14"/>
                <w:color w:val="auto"/>
                <w:vertAlign w:val="superscript"/>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14"/>
                <w:szCs w:val="14"/>
                <w:color w:val="auto"/>
              </w:rPr>
            </w:pPr>
          </w:p>
        </w:tc>
        <w:tc>
          <w:tcPr>
            <w:tcW w:w="2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1/15/2022</w:t>
            </w:r>
            <w:r>
              <w:rPr>
                <w:rFonts w:ascii="Times New Roman" w:cs="Times New Roman" w:eastAsia="Times New Roman" w:hAnsi="Times New Roman"/>
                <w:sz w:val="14"/>
                <w:szCs w:val="14"/>
                <w:color w:val="auto"/>
                <w:vertAlign w:val="superscript"/>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814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1/31/2022</w:t>
            </w:r>
            <w:r>
              <w:rPr>
                <w:rFonts w:ascii="Times New Roman" w:cs="Times New Roman" w:eastAsia="Times New Roman" w:hAnsi="Times New Roman"/>
                <w:sz w:val="14"/>
                <w:szCs w:val="14"/>
                <w:color w:val="auto"/>
                <w:vertAlign w:val="superscript"/>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(210 )</w:t>
            </w:r>
          </w:p>
        </w:tc>
        <w:tc>
          <w:tcPr>
            <w:tcW w:w="8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6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LIBOR+12.00% PIK, 12.00% floor, 5% ETP, due</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spacing w:after="0"/>
              <w:rPr>
                <w:sz w:val="14"/>
                <w:szCs w:val="14"/>
                <w:color w:val="auto"/>
              </w:rPr>
            </w:pPr>
          </w:p>
        </w:tc>
        <w:tc>
          <w:tcPr>
            <w:tcW w:w="2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4/30/2021</w:t>
            </w:r>
            <w:r>
              <w:rPr>
                <w:rFonts w:ascii="Times New Roman" w:cs="Times New Roman" w:eastAsia="Times New Roman" w:hAnsi="Times New Roman"/>
                <w:sz w:val="14"/>
                <w:szCs w:val="14"/>
                <w:color w:val="auto"/>
                <w:vertAlign w:val="superscript"/>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(500 )</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Pivot3, Inc.</w:t>
            </w:r>
          </w:p>
        </w:tc>
        <w:tc>
          <w:tcPr>
            <w:tcW w:w="140" w:type="dxa"/>
            <w:vAlign w:val="bottom"/>
          </w:tcPr>
          <w:p>
            <w:pPr>
              <w:spacing w:after="0"/>
              <w:rPr>
                <w:sz w:val="10"/>
                <w:szCs w:val="10"/>
                <w:color w:val="auto"/>
              </w:rPr>
            </w:pPr>
          </w:p>
        </w:tc>
        <w:tc>
          <w:tcPr>
            <w:tcW w:w="2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LIBOR+8.50% PIK, 11.00% floor, 4.00% ETP, due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11/15/2022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(3,995 )</w:t>
            </w:r>
          </w:p>
        </w:tc>
        <w:tc>
          <w:tcPr>
            <w:tcW w:w="8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LIBOR+8.50% PIK, 11.00% floor, due 11/15/2022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(1,081 )</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LIBOR+8.50% PIK, 11.00% floor, 4.00% ETP, due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1"/>
                <w:szCs w:val="11"/>
                <w:color w:val="auto"/>
              </w:rPr>
              <w:t>(2,531 )</w:t>
            </w:r>
          </w:p>
        </w:tc>
        <w:tc>
          <w:tcPr>
            <w:tcW w:w="80" w:type="dxa"/>
            <w:vAlign w:val="bottom"/>
          </w:tcPr>
          <w:p>
            <w:pPr>
              <w:spacing w:after="0"/>
              <w:rPr>
                <w:sz w:val="10"/>
                <w:szCs w:val="10"/>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7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11/15/2022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Senior Secured Term Loans</w:t>
            </w:r>
          </w:p>
        </w:tc>
        <w:tc>
          <w:tcPr>
            <w:tcW w:w="140" w:type="dxa"/>
            <w:vAlign w:val="bottom"/>
            <w:tcBorders>
              <w:bottom w:val="single" w:sz="8" w:color="CFF0FC"/>
            </w:tcBorders>
            <w:shd w:val="clear" w:color="auto" w:fill="CFF0FC"/>
          </w:tcPr>
          <w:p>
            <w:pPr>
              <w:spacing w:after="0"/>
              <w:rPr>
                <w:sz w:val="12"/>
                <w:szCs w:val="12"/>
                <w:color w:val="auto"/>
              </w:rPr>
            </w:pPr>
          </w:p>
        </w:tc>
        <w:tc>
          <w:tcPr>
            <w:tcW w:w="26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8,962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14,416</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(8,317</w:t>
            </w:r>
          </w:p>
        </w:tc>
        <w:tc>
          <w:tcPr>
            <w:tcW w:w="240" w:type="dxa"/>
            <w:vAlign w:val="bottom"/>
            <w:tcBorders>
              <w:bottom w:val="single" w:sz="8" w:color="CFF0FC"/>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13,200</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28,261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 Stocks</w:t>
            </w: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Mojix, Inc.</w:t>
            </w:r>
          </w:p>
        </w:tc>
        <w:tc>
          <w:tcPr>
            <w:tcW w:w="140" w:type="dxa"/>
            <w:vAlign w:val="bottom"/>
            <w:shd w:val="clear" w:color="auto" w:fill="CFF0FC"/>
          </w:tcPr>
          <w:p>
            <w:pPr>
              <w:spacing w:after="0"/>
              <w:rPr>
                <w:sz w:val="13"/>
                <w:szCs w:val="13"/>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Series A-1 Preferred Stock</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Pivot3 Holdings, Inc.</w:t>
            </w:r>
          </w:p>
        </w:tc>
        <w:tc>
          <w:tcPr>
            <w:tcW w:w="140" w:type="dxa"/>
            <w:vAlign w:val="bottom"/>
          </w:tcPr>
          <w:p>
            <w:pPr>
              <w:spacing w:after="0"/>
              <w:rPr>
                <w:sz w:val="12"/>
                <w:szCs w:val="1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Series 1 Preferred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Stocks</w:t>
            </w:r>
          </w:p>
        </w:tc>
        <w:tc>
          <w:tcPr>
            <w:tcW w:w="140" w:type="dxa"/>
            <w:vAlign w:val="bottom"/>
            <w:tcBorders>
              <w:bottom w:val="single" w:sz="8" w:color="CFF0FC"/>
            </w:tcBorders>
            <w:shd w:val="clear" w:color="auto" w:fill="CFF0FC"/>
          </w:tcPr>
          <w:p>
            <w:pPr>
              <w:spacing w:after="0"/>
              <w:rPr>
                <w:sz w:val="12"/>
                <w:szCs w:val="12"/>
                <w:color w:val="auto"/>
              </w:rPr>
            </w:pPr>
          </w:p>
        </w:tc>
        <w:tc>
          <w:tcPr>
            <w:tcW w:w="26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2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Mojix, Inc.</w:t>
            </w:r>
          </w:p>
        </w:tc>
        <w:tc>
          <w:tcPr>
            <w:tcW w:w="140" w:type="dxa"/>
            <w:vAlign w:val="bottom"/>
            <w:shd w:val="clear" w:color="auto" w:fill="CFF0FC"/>
          </w:tcPr>
          <w:p>
            <w:pPr>
              <w:spacing w:after="0"/>
              <w:rPr>
                <w:sz w:val="10"/>
                <w:szCs w:val="10"/>
                <w:color w:val="auto"/>
              </w:rPr>
            </w:pPr>
          </w:p>
        </w:tc>
        <w:tc>
          <w:tcPr>
            <w:tcW w:w="26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Warrant for Common Stock, exercise price $1.286/share,</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expires 12/13/2030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Warrant for Common Stock, exercise price $2.1286/share,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expires 12/13/2030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8"/>
              </w:rPr>
              <w:t>Warrant for Common Stock, exercise price $5.57338/share,</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expires 12/13/2030</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Warrants</w:t>
            </w: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 investments</w:t>
            </w:r>
          </w:p>
        </w:tc>
        <w:tc>
          <w:tcPr>
            <w:tcW w:w="140" w:type="dxa"/>
            <w:vAlign w:val="bottom"/>
            <w:tcBorders>
              <w:bottom w:val="single" w:sz="8" w:color="CFF0FC"/>
            </w:tcBorders>
            <w:shd w:val="clear" w:color="auto" w:fill="CFF0FC"/>
          </w:tcPr>
          <w:p>
            <w:pPr>
              <w:spacing w:after="0"/>
              <w:rPr>
                <w:sz w:val="15"/>
                <w:szCs w:val="15"/>
                <w:color w:val="auto"/>
              </w:rPr>
            </w:pPr>
          </w:p>
        </w:tc>
        <w:tc>
          <w:tcPr>
            <w:tcW w:w="26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9,846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14,416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(8,317</w:t>
            </w:r>
          </w:p>
        </w:tc>
        <w:tc>
          <w:tcPr>
            <w:tcW w:w="240" w:type="dxa"/>
            <w:vAlign w:val="bottom"/>
            <w:tcBorders>
              <w:bottom w:val="single" w:sz="8" w:color="CFF0FC"/>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13,186</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29,131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-1379220</wp:posOffset>
            </wp:positionV>
            <wp:extent cx="77470" cy="10287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-1379220</wp:posOffset>
            </wp:positionV>
            <wp:extent cx="77470" cy="1028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-1379220</wp:posOffset>
            </wp:positionV>
            <wp:extent cx="76835" cy="10287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-1379220</wp:posOffset>
            </wp:positionV>
            <wp:extent cx="68580" cy="1028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-1379220</wp:posOffset>
            </wp:positionV>
            <wp:extent cx="68580" cy="1028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1028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-985520</wp:posOffset>
            </wp:positionV>
            <wp:extent cx="77470" cy="1028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-985520</wp:posOffset>
            </wp:positionV>
            <wp:extent cx="77470" cy="1028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76835" cy="10287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-985520</wp:posOffset>
            </wp:positionV>
            <wp:extent cx="68580" cy="10287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-985520</wp:posOffset>
            </wp:positionV>
            <wp:extent cx="68580" cy="10287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028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-376555</wp:posOffset>
            </wp:positionV>
            <wp:extent cx="77470" cy="11112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-376555</wp:posOffset>
            </wp:positionV>
            <wp:extent cx="77470" cy="11112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-376555</wp:posOffset>
            </wp:positionV>
            <wp:extent cx="76835" cy="11112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-376555</wp:posOffset>
            </wp:positionV>
            <wp:extent cx="68580" cy="1111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-376555</wp:posOffset>
            </wp:positionV>
            <wp:extent cx="68580" cy="11112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1112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-170815</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-153670</wp:posOffset>
            </wp:positionV>
            <wp:extent cx="7747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774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-153670</wp:posOffset>
            </wp:positionV>
            <wp:extent cx="774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768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-153670</wp:posOffset>
            </wp:positionV>
            <wp:extent cx="768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-153670</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-153670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4" w:lineRule="exact"/>
        <w:rPr>
          <w:sz w:val="20"/>
          <w:szCs w:val="20"/>
          <w:color w:val="auto"/>
        </w:rPr>
      </w:pPr>
    </w:p>
    <w:p>
      <w:pPr>
        <w:ind w:left="760" w:hanging="374"/>
        <w:spacing w:after="0" w:line="184" w:lineRule="auto"/>
        <w:tabs>
          <w:tab w:leader="none" w:pos="760"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29" w:lineRule="exact"/>
        <w:rPr>
          <w:rFonts w:ascii="Times New Roman" w:cs="Times New Roman" w:eastAsia="Times New Roman" w:hAnsi="Times New Roman"/>
          <w:sz w:val="24"/>
          <w:szCs w:val="24"/>
          <w:color w:val="auto"/>
          <w:vertAlign w:val="superscript"/>
        </w:rPr>
      </w:pPr>
    </w:p>
    <w:p>
      <w:pPr>
        <w:ind w:left="760" w:hanging="374"/>
        <w:spacing w:after="0" w:line="184" w:lineRule="auto"/>
        <w:tabs>
          <w:tab w:leader="none" w:pos="760"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42" w:lineRule="exact"/>
        <w:rPr>
          <w:rFonts w:ascii="Times New Roman" w:cs="Times New Roman" w:eastAsia="Times New Roman" w:hAnsi="Times New Roman"/>
          <w:sz w:val="24"/>
          <w:szCs w:val="24"/>
          <w:color w:val="auto"/>
          <w:vertAlign w:val="superscript"/>
        </w:rPr>
      </w:pPr>
    </w:p>
    <w:p>
      <w:pPr>
        <w:ind w:left="760" w:hanging="374"/>
        <w:spacing w:after="0" w:line="184" w:lineRule="auto"/>
        <w:tabs>
          <w:tab w:leader="none" w:pos="760"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 investments in the portfolio company, which as of December 31, 2021 represented 4.81% of the Company’s net assets, are restricted as to resale and were valued at fair value as determined in good faith by the Company’s Board of Directors.</w:t>
      </w:r>
    </w:p>
    <w:p>
      <w:pPr>
        <w:spacing w:after="0" w:line="1" w:lineRule="exact"/>
        <w:rPr>
          <w:rFonts w:ascii="Times New Roman" w:cs="Times New Roman" w:eastAsia="Times New Roman" w:hAnsi="Times New Roman"/>
          <w:sz w:val="24"/>
          <w:szCs w:val="24"/>
          <w:color w:val="auto"/>
          <w:vertAlign w:val="superscript"/>
        </w:rPr>
      </w:pPr>
    </w:p>
    <w:p>
      <w:pPr>
        <w:ind w:left="760" w:hanging="374"/>
        <w:spacing w:after="0" w:line="199" w:lineRule="auto"/>
        <w:tabs>
          <w:tab w:leader="none" w:pos="760"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the year ended December 31, 2021, the Company earned no investment income from control investments, except for the $117 from Pivot3 Holdings, Inc.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4900" w:right="4120" w:hanging="772"/>
        <w:spacing w:after="0" w:line="265" w:lineRule="auto"/>
        <w:tabs>
          <w:tab w:leader="none" w:pos="4221"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ind w:left="50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of our portfolio of investments (excluding any U.S. Treasury Bills held) by geographic region and industry as of December 31,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58"/>
        </w:trPr>
        <w:tc>
          <w:tcPr>
            <w:tcW w:w="7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348"/>
              <w:spacing w:after="0" w:line="158"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3"/>
                <w:szCs w:val="13"/>
                <w:color w:val="auto"/>
              </w:rPr>
            </w:pPr>
          </w:p>
        </w:tc>
        <w:tc>
          <w:tcPr>
            <w:tcW w:w="168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40" w:type="dxa"/>
            <w:vAlign w:val="bottom"/>
          </w:tcPr>
          <w:p>
            <w:pPr>
              <w:spacing w:after="0"/>
              <w:rPr>
                <w:sz w:val="16"/>
                <w:szCs w:val="16"/>
                <w:color w:val="auto"/>
              </w:rPr>
            </w:pPr>
          </w:p>
        </w:tc>
        <w:tc>
          <w:tcPr>
            <w:tcW w:w="14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7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Western United States</w:t>
            </w: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226,579</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37.38</w:t>
            </w:r>
          </w:p>
        </w:tc>
        <w:tc>
          <w:tcPr>
            <w:tcW w:w="30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Northeastern United States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170,983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 Central United States</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75,156</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Southeastern United States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Northwestern United States</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41,660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7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2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34,081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Midwestern United States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73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13,447</w:t>
            </w:r>
          </w:p>
        </w:tc>
        <w:tc>
          <w:tcPr>
            <w:tcW w:w="240" w:type="dxa"/>
            <w:vAlign w:val="bottom"/>
            <w:tcBorders>
              <w:bottom w:val="single" w:sz="8" w:color="CFF0FC"/>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r>
      <w:tr>
        <w:trPr>
          <w:trHeight w:val="169"/>
        </w:trPr>
        <w:tc>
          <w:tcPr>
            <w:tcW w:w="73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684,515</w:t>
            </w:r>
          </w:p>
        </w:tc>
        <w:tc>
          <w:tcPr>
            <w:tcW w:w="19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112.92</w:t>
            </w:r>
          </w:p>
        </w:tc>
        <w:tc>
          <w:tcPr>
            <w:tcW w:w="30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-144780</wp:posOffset>
            </wp:positionV>
            <wp:extent cx="77470" cy="1454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-144780</wp:posOffset>
            </wp:positionV>
            <wp:extent cx="68580" cy="1454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58"/>
        </w:trPr>
        <w:tc>
          <w:tcPr>
            <w:tcW w:w="7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28"/>
              <w:spacing w:after="0" w:line="158"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3"/>
                <w:szCs w:val="13"/>
                <w:color w:val="auto"/>
              </w:rPr>
            </w:pPr>
          </w:p>
        </w:tc>
        <w:tc>
          <w:tcPr>
            <w:tcW w:w="1680" w:type="dxa"/>
            <w:vAlign w:val="bottom"/>
          </w:tcPr>
          <w:p>
            <w:pPr>
              <w:jc w:val="right"/>
              <w:ind w:right="188"/>
              <w:spacing w:after="0" w:line="15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7"/>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40" w:type="dxa"/>
            <w:vAlign w:val="bottom"/>
          </w:tcPr>
          <w:p>
            <w:pPr>
              <w:spacing w:after="0"/>
              <w:rPr>
                <w:sz w:val="16"/>
                <w:szCs w:val="16"/>
                <w:color w:val="auto"/>
              </w:rPr>
            </w:pPr>
          </w:p>
        </w:tc>
        <w:tc>
          <w:tcPr>
            <w:tcW w:w="14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7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182,660</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3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Healthcare Technology</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146,757</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Internet Retail</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109,560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Internet Software &amp; Services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76,239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Human Resource &amp; Employment Services</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72,870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Data Processing &amp; Outsourced Services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Education Services</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Electronic Equipment &amp; Instruments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System Software</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 Hardware, Storage &amp; Peripherals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Specialized Consumer Services</w:t>
            </w: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&amp; Electronics Retail</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732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684,515</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112.92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768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7683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as of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October 25, 2021, the Company closed its initial public offering ("IPO"), issuing 6,850,000 shares of its common stock on the Nasdaq Global Select Market LLC under the symbol "RWAY".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accompanying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20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Certain items in the December 31, 2021 and December 31, 2020 financial statements have been reclassified to conform to the December 31, 2022 presentation with no effect on net the net increase in net assets resulting from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Cash represents deposits held at financial institutions while cash equivalents are highly liquid investments held at financial institutions with an original maturity of three months or less at the date of acquisition. At times,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Debt Costs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records costs related to the issuance of debt obligations as deferred debt costs. These costs are deferred and amortized using the straight-line method over the stated maturity life of the obligations. Deferred debt costs associated with the Company's Credit Facility and unsecured notes are netted with the outstanding principal balance on the Company's Statement of Assets and Liabilities, unless there are no outstanding borrowings, in which case the deferred debt costs are presented as an asset. For more information, see "Note 11 –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has, and may in the future,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of the repurchase price in the case of a reverse repurchase agreement of one-day duration and 102%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had no outstanding reverse repurchase agreements at December 31, 2022. Pursuant to a reverse repurchase agreement with Goldman Sachs, which expired on January 6, 2022, the Company purchased a U.S. Treasury Bill, due January 11, 2022. The fair value of the related collateral that the Company received for this agreement was $45.0 million at December 31, 2021. At December 31, 2021, the repurchase liability was $44.8 million, which is reflected as "Reverse repurchase agreement" on the Statement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unamortized loan origination fees, end-of-term payments, and unamortized market discounts are recorded as interest income and any prepayment penalties are recorded as fee income. Amendment fees and reimbursable lender expenses are also recorded as fee income.</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 For the years ended December 31, 2022, December 31, 2021, and December 31, 2020, 8.0%, 4.2%, and 6.4%, respectively, of the Company's total investment income was attributable to non-cash PIK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of Investments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Debt investments are placed on non-accrual status when principal, interest, and other obligations become materially past due or when there is a reasonable doubt that principal, interest or other obligations will be collected in full. At the point of non-accrual, the Company will cease recognizing interest income on the debt investment until all principal and interest due has been paid or the Company believes the borrower has demonstrated the ability to repay its current and future contractual obligations. Additionally, any original issue discount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of December 31, 2022 and December 31, 2021, the Company has not written off any accrued and uncollected PIK interest. As of December 31, 2022, the Company had one loan to Pivot3, Inc., representing an aggregate principal funded of $19.2 million at a fair market value of $9.3 million, on non-accrual status, which represents 0.8% of the Company’s total investment portfolio. The non-accrual loans as of December 31, 2022 had total interest of $3.9 million that would have been accrued into income. Had the loan not been on non-accrual status, $3.6 million would be payable, and $ 0.3 million would be OID. As of December 31, 2021, the Company had six loans to Mojix, Inc. and one loan to Pivot3, Inc., representing an aggregate principal funded of $30.3 million at a fair market value of $28.3 million on non-accrual status, which represents 3.9% of the Company’s total investment portfolio. The non-accrual loans as of December 31, 2021 had total interest of $4.8 million that would have been accrued into income. Had the loans not been on non-accrual status, $4.1 million would be payable, and $0.7 million would be OID. As of December 31, 2020, the Company had six loans to Mojix, Inc. representing an aggregate principal funded of $11.0 million at a fair market value of $9.0 million on non-accrual status, which represents 1.4% of the Company’s total investment portfolio. The non-accrual status loans as of December 31, 2020 had total interest of $1.6 million that would have been accrued into income. Had the loan not been on non-accrual status, $1.2 million would be payable, and $0.4 million would be OID.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The Company measures the value of its investments at fair value in accordance with ASC </w:t>
      </w:r>
      <w:r>
        <w:rPr>
          <w:rFonts w:ascii="Times New Roman" w:cs="Times New Roman" w:eastAsia="Times New Roman" w:hAnsi="Times New Roman"/>
          <w:sz w:val="18"/>
          <w:szCs w:val="18"/>
          <w:i w:val="1"/>
          <w:iCs w:val="1"/>
          <w:color w:val="auto"/>
        </w:rPr>
        <w:t>Topic 820, Fair Value Measurements and Disclosure</w:t>
      </w:r>
      <w:r>
        <w:rPr>
          <w:rFonts w:ascii="Times New Roman" w:cs="Times New Roman" w:eastAsia="Times New Roman" w:hAnsi="Times New Roman"/>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80" w:lineRule="exact"/>
        <w:rPr>
          <w:sz w:val="20"/>
          <w:szCs w:val="20"/>
          <w:color w:val="auto"/>
        </w:rPr>
      </w:pPr>
    </w:p>
    <w:p>
      <w:pPr>
        <w:ind w:left="1140" w:hanging="383"/>
        <w:spacing w:after="0" w:line="282"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are based on quoted prices in active markets for identical assets or liabilities that are accessible at the measurement date.</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are based on quoted prices in markets that are not active or for which all significant inputs are observable, either directly or indirectly and model-based valuation techniques for which all significant inputs are observable.</w:t>
      </w:r>
    </w:p>
    <w:p>
      <w:pPr>
        <w:spacing w:after="0" w:line="53"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Company undertakes a multi-step valuation process each quarter, as described below:</w:t>
      </w:r>
    </w:p>
    <w:p>
      <w:pPr>
        <w:spacing w:after="0" w:line="162" w:lineRule="exact"/>
        <w:rPr>
          <w:sz w:val="20"/>
          <w:szCs w:val="20"/>
          <w:color w:val="auto"/>
        </w:rPr>
      </w:pPr>
    </w:p>
    <w:p>
      <w:pPr>
        <w:ind w:left="1140" w:hanging="383"/>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investment being initially valued by RGC’s investment professionals that are responsible for the portfolio investment;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6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then reviews these preliminary valuations from RGC and the independent valuation firm, if any, and makes a recommendation to our Board of Directors regarding such valuations; and</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Rule 2a-5 under the 1940 Act was adopted by the SEC in December 2020 and establishes requirements for determining fair value in good faith for purposes of the 1940 Act. Rule 2a-5 permits boards, subject to board oversight and certain other conditions, to designate certain parties to perform fair value determinations. Rule 2a-5 also defines when market quotations are "readily available" for purposes of the 1940 Act and the threshold for determining whether a fund must determine the fair value of a security. The SEC also adopted new Rule 31a-4 under the 1940 Act ("Rule 31a-4"), which provides the recordkeeping requirements associated with fair value determinations. Finally, the SEC rescinded previously issued guidance on related issues, including the role of the board in determining fair value and the accounting and auditing of fund investments. Rule 2a-5 and Rule 31a-4 became effective on March 8, 2021, and had a compliance date of September 8, 2022. While our board of directors has not elected to designate RGC as the valuation designee, the Company has adopted certain revisions to its valuation policies and procedures in order comply with the applicable requirements of Rule 2a-5 and Rule 31a-4.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Techniques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1"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To determine the fair value of the Company’s debt investments, the Company compares the cost basis of the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8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Fair value of warrants is primarily determined using a Black Scholes option-pricing model. Privately held warrants and equity-related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valued based on an analysis of various factors including, but not limited to, the following:</w:t>
      </w:r>
    </w:p>
    <w:p>
      <w:pPr>
        <w:spacing w:after="0" w:line="52" w:lineRule="exact"/>
        <w:rPr>
          <w:sz w:val="20"/>
          <w:szCs w:val="20"/>
          <w:color w:val="auto"/>
        </w:rPr>
      </w:pPr>
    </w:p>
    <w:p>
      <w:pPr>
        <w:jc w:val="both"/>
        <w:ind w:left="1140" w:hanging="383"/>
        <w:spacing w:after="0" w:line="254"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83" w:lineRule="exact"/>
        <w:rPr>
          <w:rFonts w:ascii="Times New Roman" w:cs="Times New Roman" w:eastAsia="Times New Roman" w:hAnsi="Times New Roman"/>
          <w:sz w:val="18"/>
          <w:szCs w:val="18"/>
          <w:color w:val="auto"/>
        </w:rPr>
      </w:pPr>
    </w:p>
    <w:p>
      <w:pPr>
        <w:jc w:val="both"/>
        <w:ind w:left="1140" w:hanging="383"/>
        <w:spacing w:after="0" w:line="25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140" w:hanging="383"/>
        <w:spacing w:after="0" w:line="258"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75"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rFonts w:ascii="Times New Roman" w:cs="Times New Roman" w:eastAsia="Times New Roman" w:hAnsi="Times New Roman"/>
          <w:sz w:val="18"/>
          <w:szCs w:val="18"/>
          <w:color w:val="auto"/>
        </w:rPr>
      </w:pPr>
    </w:p>
    <w:p>
      <w:pPr>
        <w:jc w:val="both"/>
        <w:ind w:left="1140" w:hanging="383"/>
        <w:spacing w:after="0" w:line="256"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or decreases in this unobservable input could result in a significantly higher or lower fair value, but a significantly higher or lower fair value measurement of any of the Company’s portfolio investments may occur regardless of whether there is a significant increase or decrease in this unobservable input.</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As a result, with the exception of the Company’s borrowings, which are reported at cost, all assets and liabilities approximate fair value on the Statements of Assets and Liabilities due to their short maturity.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the Company's Credit Facility, 2026 Notes, July 2027 Notes, August 2027 Notes, and December 2027 Notes (as defined in “Note 11</w:t>
      </w:r>
    </w:p>
    <w:p>
      <w:pPr>
        <w:spacing w:after="0" w:line="27" w:lineRule="exact"/>
        <w:rPr>
          <w:sz w:val="20"/>
          <w:szCs w:val="20"/>
          <w:color w:val="auto"/>
        </w:rPr>
      </w:pPr>
    </w:p>
    <w:p>
      <w:pPr>
        <w:jc w:val="both"/>
        <w:ind w:firstLine="8"/>
        <w:spacing w:after="0" w:line="253" w:lineRule="auto"/>
        <w:tabs>
          <w:tab w:leader="none" w:pos="1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is estimated using relative market yield approach. The fair value of the Company’s Credit Facility, 2026 Notes and August 2027 Notes is estimated using Level 3 inputs by discounting remaining payments using comparable market rates or market quotes for similar instruments at the measurement date. The fair value of the Company’s July 2027 Notes and December 2027 is based on vendor pricing received by the Company, which is considered a level 2 input, and reflects the market close price of the notes traded on the Nasdaq Global Select Market LLC under the symbol "RWAYL" and "RWAYZ", respectively.</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2022, the carrying value of the Credit Facility, July 2027 Notes, August 2027 Notes, and December 2027 Notes approximates fair value. As of December 31, 2021, the carrying value of the Credit Facility approximates fair value. As of December 31, 2022, the fair value of the 2026 Notes was approximately $57 million and the carrying value was approximately $69.1 million, net of unamortized deferred financing fees of $818 thousand. As of December 31, 2021, the fair value of the 2026 Notes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Classification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a beneficial ownership of more than 25.0% of the voting securities of an investee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starting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United States federal income taxes in the future.</w:t>
      </w:r>
    </w:p>
    <w:p>
      <w:pPr>
        <w:spacing w:after="0" w:line="192"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Differences between taxable income and net increase in net assets resulting from operations either can be temporary, meaning they will reverse in the future, or permanent. In accordance with Section 946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ASC, permanent tax differences are reclassified from accumulated undistributed earnings to paid-in-capital at the end of each year and have no impact on total net assets. For more information, see "Note 7 – Income Taxes."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Basic and diluted earnings/(loss) per common share is calculated using the weighted-average number of common shares outstanding for the period presented. For the years ended December 31, 2022, 2021 and 2020, basic and diluted earnings/(loss) per share were the same because there were no potentially dilutive securities outstanding. Per share data is based on the weighted-average shares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Distributions to common stockholders are recorded on the applicable record date. The amount, if any, to be distributed to common stockholders is determined by the Board each quarter and is generally based upon the Company’s earnings estimated by management. Net realized capital gains, if any, are generally distributed at least annually.</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declared and paid dividends in the amount of $51.6 million of which $40.7 million was distributed in cash and the remainder distributed in shares to stockholders pursuant to the Company’s Dividend Reinvestment Plan. For the year ended December 31, 2021, the Company declared and paid dividends in the amount of $44.9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which $17.9 million was distributed in cash and the remainder distributed in shares to stockholders pursuant to the Company’s Dividend Reinvestment Plan. For the year ended December 31, 2020, the Company declared and paid dividends in the amount of $39.7 million of which $7.3 million was distributed in cash and the remainder distributed in shares to stockholders pursuant to the Company’s Dividend Reinvestment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Offering Costs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below), the Company and RGC agreed that organization and offering costs incurred in connection with the Initial Private Offering would be borne by the Company up to a maximum amount of $1.0 million, provided that the amount of such costs in excess of $1.0 million would be paid by RGC. As of December 31, 2016, the Company had already incurred the maximum amount of $1.0 million in organization and offering costs incurred in connection with the Initial Private Offering.</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Offering costs related to the Second Private Offering were accumulated and charged to additional paid in capital at the time of closing beginning in 2019. These offering costs related to the Second Private Offering were subject to a cap of $0.6 million, excluding placement agent fees which had no cap, of which the Company will bear the cost. At the completion of the Second Private Offering, the Company had accumulated and recorded $0.7 million in offering costs and $ 0.2 million in placement agent fees related to the Second Private Offering. Under the terms of the Second Private Offering, offering costs in excess of $0.6 million, excluding placement agent fees, were reimbursed by RGC.</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Offering costs related to the IPO were accumulated and charged to additional paid in capital at the time of closing in October 2021. The Company had accumulated and recorded $7.0 million of offering costs related to the Company’s IPO. The offering costs were fully born by the Company and included underwriting fees, legal fees, and other costs pertaining to the preparation of the Company’s offering materials as well as travel-related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does not anticipate the new standard will have a material impact to the consolidated financial statements and related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$315.7 million in unfunded loan commitments to provide debt financing to its portfolio companies. The balance of unfunded commitments to extend financing as of December 31, 2022 was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3PL Central LLC</w:t>
            </w:r>
          </w:p>
        </w:tc>
        <w:tc>
          <w:tcPr>
            <w:tcW w:w="200" w:type="dxa"/>
            <w:vAlign w:val="bottom"/>
            <w:shd w:val="clear" w:color="auto" w:fill="CFF0FC"/>
          </w:tcPr>
          <w:p>
            <w:pPr>
              <w:spacing w:after="0"/>
              <w:rPr>
                <w:sz w:val="14"/>
                <w:szCs w:val="14"/>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4"/>
                <w:szCs w:val="14"/>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Brivo,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CloudPay,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EBR Systems,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Intellisite Holdings, Inc. (dba Epic IO Technologies,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Interactions Corporation</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 Insurance,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Madison Reed,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Moximed,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Nalu Medical,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Revelle Aesthetics,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Skillshare,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tcPr>
          <w:p>
            <w:pPr>
              <w:spacing w:after="0"/>
              <w:rPr>
                <w:sz w:val="15"/>
                <w:szCs w:val="15"/>
                <w:color w:val="auto"/>
              </w:rPr>
            </w:pPr>
          </w:p>
        </w:tc>
      </w:tr>
      <w:tr>
        <w:trPr>
          <w:trHeight w:val="176"/>
        </w:trPr>
        <w:tc>
          <w:tcPr>
            <w:tcW w:w="5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200" w:type="dxa"/>
            <w:vAlign w:val="bottom"/>
            <w:tcBorders>
              <w:bottom w:val="single" w:sz="8" w:color="CFF0FC"/>
            </w:tcBorders>
            <w:shd w:val="clear" w:color="auto" w:fill="CFF0FC"/>
          </w:tcPr>
          <w:p>
            <w:pPr>
              <w:spacing w:after="0"/>
              <w:rPr>
                <w:sz w:val="15"/>
                <w:szCs w:val="15"/>
                <w:color w:val="auto"/>
              </w:rPr>
            </w:pPr>
          </w:p>
        </w:tc>
        <w:tc>
          <w:tcPr>
            <w:tcW w:w="3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5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8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315,685</w:t>
            </w:r>
          </w:p>
        </w:tc>
        <w:tc>
          <w:tcPr>
            <w:tcW w:w="100" w:type="dxa"/>
            <w:vAlign w:val="bottom"/>
          </w:tcPr>
          <w:p>
            <w:pPr>
              <w:spacing w:after="0"/>
              <w:rPr>
                <w:sz w:val="14"/>
                <w:szCs w:val="14"/>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December 31, 2021, the Company had $187.0 million in unfunded loan commitments to provide debt financing to its portfolio companies. The balance of unfunded commitments to extend financing as of December 31, 2021 was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Allurion Technologies, Inc.</w:t>
            </w:r>
          </w:p>
        </w:tc>
        <w:tc>
          <w:tcPr>
            <w:tcW w:w="200" w:type="dxa"/>
            <w:vAlign w:val="bottom"/>
            <w:shd w:val="clear" w:color="auto" w:fill="CFF0FC"/>
          </w:tcPr>
          <w:p>
            <w:pPr>
              <w:spacing w:after="0"/>
              <w:rPr>
                <w:sz w:val="14"/>
                <w:szCs w:val="14"/>
                <w:color w:val="auto"/>
              </w:rPr>
            </w:pPr>
          </w:p>
        </w:tc>
        <w:tc>
          <w:tcPr>
            <w:tcW w:w="3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4"/>
                <w:szCs w:val="14"/>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CloudPay, Inc.</w:t>
            </w:r>
          </w:p>
        </w:tc>
        <w:tc>
          <w:tcPr>
            <w:tcW w:w="20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7"/>
                <w:szCs w:val="17"/>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CrossRoads Extremity Systems, LLC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2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5"/>
                <w:szCs w:val="15"/>
                <w:color w:val="auto"/>
              </w:rPr>
            </w:pPr>
          </w:p>
        </w:tc>
      </w:tr>
      <w:tr>
        <w:trPr>
          <w:trHeight w:val="17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Gynesonics,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INRIX, Inc.</w:t>
            </w:r>
          </w:p>
        </w:tc>
        <w:tc>
          <w:tcPr>
            <w:tcW w:w="2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Intellisite Holdings, Inc. (dba Epic IO Technologies,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Marley Spoon AG</w:t>
            </w:r>
          </w:p>
        </w:tc>
        <w:tc>
          <w:tcPr>
            <w:tcW w:w="2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5"/>
                <w:szCs w:val="15"/>
                <w:color w:val="auto"/>
              </w:rPr>
            </w:pPr>
          </w:p>
        </w:tc>
      </w:tr>
      <w:tr>
        <w:trPr>
          <w:trHeight w:val="17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ShareThis,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FF0FC"/>
          </w:tcPr>
          <w:p>
            <w:pPr>
              <w:spacing w:after="0"/>
              <w:rPr>
                <w:sz w:val="15"/>
                <w:szCs w:val="15"/>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tcPr>
          <w:p>
            <w:pPr>
              <w:spacing w:after="0"/>
              <w:rPr>
                <w:sz w:val="17"/>
                <w:szCs w:val="17"/>
                <w:color w:val="auto"/>
              </w:rPr>
            </w:pPr>
          </w:p>
        </w:tc>
      </w:tr>
      <w:tr>
        <w:trPr>
          <w:trHeight w:val="203"/>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VERO Biotech LLC</w:t>
            </w:r>
          </w:p>
        </w:tc>
        <w:tc>
          <w:tcPr>
            <w:tcW w:w="200" w:type="dxa"/>
            <w:vAlign w:val="bottom"/>
            <w:tcBorders>
              <w:bottom w:val="single" w:sz="8" w:color="CFF0FC"/>
            </w:tcBorders>
            <w:shd w:val="clear" w:color="auto" w:fill="CFF0FC"/>
          </w:tcPr>
          <w:p>
            <w:pPr>
              <w:spacing w:after="0"/>
              <w:rPr>
                <w:sz w:val="17"/>
                <w:szCs w:val="17"/>
                <w:color w:val="auto"/>
              </w:rPr>
            </w:pPr>
          </w:p>
        </w:tc>
        <w:tc>
          <w:tcPr>
            <w:tcW w:w="3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69"/>
        </w:trPr>
        <w:tc>
          <w:tcPr>
            <w:tcW w:w="5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186,985</w:t>
            </w:r>
          </w:p>
        </w:tc>
        <w:tc>
          <w:tcPr>
            <w:tcW w:w="100" w:type="dxa"/>
            <w:vAlign w:val="bottom"/>
          </w:tcPr>
          <w:p>
            <w:pPr>
              <w:spacing w:after="0"/>
              <w:rPr>
                <w:sz w:val="14"/>
                <w:szCs w:val="14"/>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0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Company has evaluated the expected net future cash flows related to unfunded commitments and determined the fair value to be zero as of December 31, 2022 and December 31, 2021.</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February 24, 2022, the Board of Directors approved a repurchase program (the "Repurchase Program") under which the Company may repurchase up to $25.0 million of its outstanding common stock. Under the Repurchase Program, purchases may be made at management's discretion from time to time in open-market transactions, in accordance with all applicable securities laws and regulations. As of December 31, 2022, 871,345 shares of the Company's common stock were repurchased under the Repurchase Program for an aggregate purchase price of $10.8 million. The Repurchase Program was not renewed by the Board of Directors, and expired on February 24,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Concentration of Credit Risk</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Increase in Net Assets Resulting from Operations per Common Share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income per common share for the years ended December 31, 2022, 2021 and 2020 (in thousands, except for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4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32,250</w:t>
            </w:r>
          </w:p>
        </w:tc>
        <w:tc>
          <w:tcPr>
            <w:tcW w:w="3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45,619</w:t>
            </w:r>
          </w:p>
        </w:tc>
        <w:tc>
          <w:tcPr>
            <w:tcW w:w="3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46,980</w:t>
            </w:r>
          </w:p>
        </w:tc>
        <w:tc>
          <w:tcPr>
            <w:tcW w:w="100" w:type="dxa"/>
            <w:vAlign w:val="bottom"/>
            <w:shd w:val="clear" w:color="auto" w:fill="CFF0FC"/>
          </w:tcPr>
          <w:p>
            <w:pPr>
              <w:spacing w:after="0"/>
              <w:rPr>
                <w:sz w:val="14"/>
                <w:szCs w:val="14"/>
                <w:color w:val="auto"/>
              </w:rPr>
            </w:pP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for the period</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40,971,242</w:t>
            </w: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34,183,358</w:t>
            </w: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27,617,425</w:t>
            </w:r>
          </w:p>
        </w:tc>
        <w:tc>
          <w:tcPr>
            <w:tcW w:w="100" w:type="dxa"/>
            <w:vAlign w:val="bottom"/>
            <w:shd w:val="clear" w:color="auto" w:fill="CFF0FC"/>
          </w:tcPr>
          <w:p>
            <w:pPr>
              <w:spacing w:after="0"/>
              <w:rPr>
                <w:sz w:val="15"/>
                <w:szCs w:val="15"/>
                <w:color w:val="auto"/>
              </w:rPr>
            </w:pPr>
          </w:p>
        </w:tc>
      </w:tr>
      <w:tr>
        <w:trPr>
          <w:trHeight w:val="17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40,971,242</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34,183,358</w:t>
            </w: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27,617,425</w:t>
            </w:r>
          </w:p>
        </w:tc>
        <w:tc>
          <w:tcPr>
            <w:tcW w:w="100" w:type="dxa"/>
            <w:vAlign w:val="bottom"/>
          </w:tcPr>
          <w:p>
            <w:pPr>
              <w:spacing w:after="0"/>
              <w:rPr>
                <w:sz w:val="15"/>
                <w:szCs w:val="15"/>
                <w:color w:val="auto"/>
              </w:rPr>
            </w:pPr>
          </w:p>
        </w:tc>
      </w:tr>
      <w:tr>
        <w:trPr>
          <w:trHeight w:val="175"/>
        </w:trPr>
        <w:tc>
          <w:tcPr>
            <w:tcW w:w="56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income (loss) per common share</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FF0FC"/>
          </w:tcPr>
          <w:p>
            <w:pPr>
              <w:spacing w:after="0"/>
              <w:rPr>
                <w:sz w:val="15"/>
                <w:szCs w:val="15"/>
                <w:color w:val="auto"/>
              </w:rPr>
            </w:pPr>
          </w:p>
        </w:tc>
      </w:tr>
      <w:tr>
        <w:trPr>
          <w:trHeight w:val="188"/>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40" w:type="dxa"/>
            <w:vAlign w:val="bottom"/>
          </w:tcPr>
          <w:p>
            <w:pPr>
              <w:spacing w:after="0"/>
              <w:rPr>
                <w:sz w:val="16"/>
                <w:szCs w:val="16"/>
                <w:color w:val="auto"/>
              </w:rPr>
            </w:pP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r>
      <w:tr>
        <w:trPr>
          <w:trHeight w:val="28"/>
        </w:trPr>
        <w:tc>
          <w:tcPr>
            <w:tcW w:w="5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62" w:lineRule="exact"/>
        <w:rPr>
          <w:sz w:val="20"/>
          <w:szCs w:val="20"/>
          <w:color w:val="auto"/>
        </w:rPr>
      </w:pPr>
    </w:p>
    <w:p>
      <w:pPr>
        <w:ind w:left="760" w:hanging="374"/>
        <w:spacing w:after="0"/>
        <w:tabs>
          <w:tab w:leader="none" w:pos="760" w:val="left"/>
        </w:tabs>
        <w:numPr>
          <w:ilvl w:val="0"/>
          <w:numId w:val="7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Per share data is based on average weighted shares outstanding</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Net Assets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the authority to issue 100,000,000 shares of common stock, $0.01 par value per share. In October 2015, in connection with the Company’s formation, the Company issued and sold 1,667 shares of common stock to R. David Spreng, the President and Chief Executive Officer of the Company and Chairman of the Company’s Board of Directors, for an aggregate purchase price of $25 thousand. The sale of shares of common stock was approved by the unanimous consent of the Company’s sole director at initial public of the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Common Stock Offerings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Beginning October 15, 2019 and ending September 29, 2021, the Company had completed multiple closings under its second private offering (the "Second Private Offering") and had accepted aggregate capital commitments of $181.7 million. In connection with the Second Private Offering the Company has issued 9,617,379 shares of its common stock for a total purchase price of $144.3 million. Concurrent with the IPO (as defined below), all undrawn commitments under the Second Private Offering were cancelled.</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March 31, 2020 and March 24, 2021, the Company had issued in aggregate 22,564 shares as an additional direct investment by Runway Growth Holdings LLC, an affiliate of RGC, at a per-share price of $15.00 for total proceeds of $0.3 million in a private offering pursuant to an exemption from registration under Regulation D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Company’s common stock began trading on the Nasdaq Global Select Market LLC on October 21, 2021 under the symbol "RWAY". The Company closed its initial public offering ("IPO"), issuing 6,850,000 shares of its common stock at a public offering price of $14.60 per share. Net of underwriting fees and offering costs, the Company received net cash proceeds of $93.0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Reinvestment Plan</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maintains a Dividend Reinvestment Plan for our common stockholders.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purchased 781,498 shares of common stock in the open market for a total of $10.9 million under the Dividend Reinvestment Plan. During the year ended December 31, 2021, the Company issued 1,830,974 shares of common stock for a total of $27.0 million under the Dividend Reinvestment Plan. Prior to 2021, the Company issued a total of 4,816,873 shares of common stock for a total of $70.8 million under Dividend Reinvestment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February 24, 2022, the Board of Directors approved the Repurchase Program under which the Company may repurchase up to $25 million of its outstanding common stock. Under the Repurchase Program, purchases may be made at management’s discretion from time to time in open-market transactions, in accordance with all applicable securities laws and regulations. During the year ended December 31, 2022, the Company repurchased 871,345 shares for an aggregate purchase price of $10.8 million in connection with its Repurchase Program. The Repurchase Program was not renewed by the Board of Directors, and expired on February 24,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distributions declared and paid since inception through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6"/>
                <w:szCs w:val="16"/>
                <w:color w:val="auto"/>
              </w:rPr>
            </w:pPr>
          </w:p>
        </w:tc>
        <w:tc>
          <w:tcPr>
            <w:tcW w:w="16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 per Share</w:t>
            </w: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2018</w:t>
            </w: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15, 2018</w:t>
            </w:r>
          </w:p>
        </w:tc>
        <w:tc>
          <w:tcPr>
            <w:tcW w:w="1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2018</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4"/>
                <w:szCs w:val="14"/>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26, 2018</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15, 2018</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31, 2018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2018</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31, 2018</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15, 2018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22, 2019</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26, 2019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7, 2019</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21,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May 31, 2019</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16, 2019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30,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5, 2019</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26,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27,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September 30, 2019</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November 12, 2019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9,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10, 2019</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23, 2019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5, 2020</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6, 2020</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20, 2020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7, 2020</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8, 2020</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21, 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5, 2020</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6, 2020</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20, 2020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 2020</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12, 2020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4, 2021</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5, 2021</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19, 2021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29, 2021</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30, 2021</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13, 2021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19, 2021</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20, 2021</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12, 2021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28, 2021</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8, 2021</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22, 2021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February 24, 2022</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8, 2022</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22,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28, 2022</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2022</w:t>
            </w: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24,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28, 2022</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9, 2022</w:t>
            </w:r>
          </w:p>
        </w:tc>
        <w:tc>
          <w:tcPr>
            <w:tcW w:w="18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23,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FF0FC"/>
          </w:tcPr>
          <w:p>
            <w:pPr>
              <w:spacing w:after="0"/>
              <w:rPr>
                <w:sz w:val="15"/>
                <w:szCs w:val="15"/>
                <w:color w:val="auto"/>
              </w:rPr>
            </w:pPr>
          </w:p>
        </w:tc>
      </w:tr>
      <w:tr>
        <w:trPr>
          <w:trHeight w:val="19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27, 2022</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8, 2022</w:t>
            </w: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22,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starting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diversification requirements and it distributes at least 90% of its net ordinary income and net short-term capital gains in excess of its net long-term capital losses, if any, to its stockholders. So long as the Company obtains and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United States federal income taxes in the future.</w:t>
      </w:r>
    </w:p>
    <w:p>
      <w:pPr>
        <w:spacing w:after="0" w:line="187"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such taxable income in excess of current year dividend distributions from such current year taxable income into the next tax year and pay a 4% excise tax on such income, as required. If we determine that our estimated current year taxable income will exceed our estimated dividend distributions for the current year from such income, we accrue excise tax on estimated excess taxable income as such taxable income is earned. For the years ended December 31, 2022, 2021, and 2020, we recorded an expense of $290.0 thousand, $0, and $1.3 thousand,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ASC, permanent tax differences are reclassified from accumulated undistributed earnings to paid-in-capital at the end of each year and have no impact on total net assets. For the years ended December 31, 2022, 2021, and 2020, the Company reclassified for book purposes amounts arising from permanent book/tax differences primarily related to non-deductible excise taxes paid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3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00" w:type="dxa"/>
            <w:vAlign w:val="bottom"/>
            <w:shd w:val="clear" w:color="auto" w:fill="CFF0FC"/>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88"/>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undistributed earnings</w:t>
            </w: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r>
    </w:tbl>
    <w:p>
      <w:pPr>
        <w:spacing w:after="0" w:line="18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distributions paid to stockholders are reported as ordinary income, return of capital, long term capital gains or a combination thereof. The tax character of distributions paid for the years ended December 31, 2022, 2021, and 2020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Ordinary income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51,593</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44,943</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39,518</w:t>
            </w:r>
          </w:p>
        </w:tc>
        <w:tc>
          <w:tcPr>
            <w:tcW w:w="100" w:type="dxa"/>
            <w:vAlign w:val="bottom"/>
            <w:shd w:val="clear" w:color="auto" w:fill="CFF0FC"/>
          </w:tcPr>
          <w:p>
            <w:pPr>
              <w:spacing w:after="0"/>
              <w:rPr>
                <w:sz w:val="14"/>
                <w:szCs w:val="14"/>
                <w:color w:val="auto"/>
              </w:rPr>
            </w:pPr>
          </w:p>
        </w:tc>
      </w:tr>
      <w:tr>
        <w:trPr>
          <w:trHeight w:val="175"/>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capital gain</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5"/>
                <w:szCs w:val="15"/>
                <w:color w:val="auto"/>
              </w:rPr>
            </w:pPr>
          </w:p>
        </w:tc>
      </w:tr>
      <w:tr>
        <w:trPr>
          <w:trHeight w:val="17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of capital</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r>
    </w:tbl>
    <w:p>
      <w:pPr>
        <w:spacing w:after="0" w:line="23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tax cost of investments for U.S. federal income tax purposes (in thousands), as well as the net and gross changes in unrealized appreciation (depreciation) on investments owned (in thousands) at December 31, 2022, 2021 and 2020 .</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09"/>
        </w:trPr>
        <w:tc>
          <w:tcPr>
            <w:tcW w:w="73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Tax cost of investments</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1,149,902</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726,969</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619,496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 in unrealized appreciation on a tax basis</w:t>
            </w: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9,207</w:t>
            </w: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23,598</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21,396</w:t>
            </w:r>
          </w:p>
        </w:tc>
        <w:tc>
          <w:tcPr>
            <w:tcW w:w="100" w:type="dxa"/>
            <w:vAlign w:val="bottom"/>
            <w:shd w:val="clear" w:color="auto" w:fill="CFF0FC"/>
          </w:tcPr>
          <w:p>
            <w:pPr>
              <w:spacing w:after="0"/>
              <w:rPr>
                <w:sz w:val="15"/>
                <w:szCs w:val="15"/>
                <w:color w:val="auto"/>
              </w:rPr>
            </w:pPr>
          </w:p>
        </w:tc>
      </w:tr>
      <w:tr>
        <w:trPr>
          <w:trHeight w:val="17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unrealized depreciation on a tax basis</w:t>
            </w:r>
          </w:p>
        </w:tc>
        <w:tc>
          <w:tcPr>
            <w:tcW w:w="240" w:type="dxa"/>
            <w:vAlign w:val="bottom"/>
          </w:tcPr>
          <w:p>
            <w:pPr>
              <w:spacing w:after="0"/>
              <w:rPr>
                <w:sz w:val="15"/>
                <w:szCs w:val="15"/>
                <w:color w:val="auto"/>
              </w:rPr>
            </w:pPr>
          </w:p>
        </w:tc>
        <w:tc>
          <w:tcPr>
            <w:tcW w:w="11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(32,800 )</w:t>
            </w:r>
          </w:p>
        </w:tc>
        <w:tc>
          <w:tcPr>
            <w:tcW w:w="2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(21,050 )</w:t>
            </w:r>
          </w:p>
        </w:tc>
        <w:tc>
          <w:tcPr>
            <w:tcW w:w="2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(19,066 )</w:t>
            </w:r>
          </w:p>
        </w:tc>
      </w:tr>
      <w:tr>
        <w:trPr>
          <w:trHeight w:val="209"/>
        </w:trPr>
        <w:tc>
          <w:tcPr>
            <w:tcW w:w="73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Net change in unrealized appreciation (depreciation) on a tax basis</w:t>
            </w: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(23,593</w:t>
            </w:r>
          </w:p>
        </w:tc>
        <w:tc>
          <w:tcPr>
            <w:tcW w:w="380" w:type="dxa"/>
            <w:vAlign w:val="bottom"/>
            <w:tcBorders>
              <w:bottom w:val="single" w:sz="8" w:color="CFF0FC"/>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2,548</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2,330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-505460</wp:posOffset>
            </wp:positionV>
            <wp:extent cx="1817370" cy="1371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817370" cy="1371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December 31, 2022, 2021 and 2020, the components of distributable earnings on a tax basis detailed below differ from the amounts reflected in the Company’s Statements of Assets and Liabilities by temporary and other book/tax differences, primarily relating to the tax treatment of debt modifications,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Undistributed ordinary income</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10,473</w:t>
            </w: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shd w:val="clear" w:color="auto" w:fill="CFF0FC"/>
          </w:tcPr>
          <w:p>
            <w:pPr>
              <w:spacing w:after="0"/>
              <w:rPr>
                <w:sz w:val="14"/>
                <w:szCs w:val="14"/>
                <w:color w:val="auto"/>
              </w:rPr>
            </w:pPr>
          </w:p>
        </w:tc>
      </w:tr>
      <w:tr>
        <w:trPr>
          <w:trHeight w:val="17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Undistributed capital gains</w:t>
            </w:r>
          </w:p>
        </w:tc>
        <w:tc>
          <w:tcPr>
            <w:tcW w:w="220" w:type="dxa"/>
            <w:vAlign w:val="bottom"/>
          </w:tcPr>
          <w:p>
            <w:pPr>
              <w:spacing w:after="0"/>
              <w:rPr>
                <w:sz w:val="15"/>
                <w:szCs w:val="15"/>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Capital loss carry forwards</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(6,011 )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(2,931 )</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(4,359 )</w:t>
            </w:r>
          </w:p>
        </w:tc>
      </w:tr>
      <w:tr>
        <w:trPr>
          <w:trHeight w:val="17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Late year losses</w:t>
            </w:r>
          </w:p>
        </w:tc>
        <w:tc>
          <w:tcPr>
            <w:tcW w:w="220" w:type="dxa"/>
            <w:vAlign w:val="bottom"/>
          </w:tcPr>
          <w:p>
            <w:pPr>
              <w:spacing w:after="0"/>
              <w:rPr>
                <w:sz w:val="15"/>
                <w:szCs w:val="15"/>
                <w:color w:val="auto"/>
              </w:rPr>
            </w:pPr>
          </w:p>
        </w:tc>
        <w:tc>
          <w:tcPr>
            <w:tcW w:w="11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accumulated losses</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(189 )</w:t>
            </w: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(213 )</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(236 )</w:t>
            </w:r>
          </w:p>
        </w:tc>
      </w:tr>
      <w:tr>
        <w:trPr>
          <w:trHeight w:val="17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a tax basis</w:t>
            </w:r>
          </w:p>
        </w:tc>
        <w:tc>
          <w:tcPr>
            <w:tcW w:w="220" w:type="dxa"/>
            <w:vAlign w:val="bottom"/>
          </w:tcPr>
          <w:p>
            <w:pPr>
              <w:spacing w:after="0"/>
              <w:rPr>
                <w:sz w:val="15"/>
                <w:szCs w:val="15"/>
                <w:color w:val="auto"/>
              </w:rPr>
            </w:pP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(23,593 )</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tcPr>
          <w:p>
            <w:pPr>
              <w:spacing w:after="0"/>
              <w:rPr>
                <w:sz w:val="15"/>
                <w:szCs w:val="15"/>
                <w:color w:val="auto"/>
              </w:rPr>
            </w:pPr>
          </w:p>
        </w:tc>
      </w:tr>
      <w:tr>
        <w:trPr>
          <w:trHeight w:val="209"/>
        </w:trPr>
        <w:tc>
          <w:tcPr>
            <w:tcW w:w="73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Accumulated earnings/(deficit) on a tax basis</w:t>
            </w: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(19,320</w:t>
            </w:r>
          </w:p>
        </w:tc>
        <w:tc>
          <w:tcPr>
            <w:tcW w:w="380" w:type="dxa"/>
            <w:vAlign w:val="bottom"/>
            <w:tcBorders>
              <w:bottom w:val="single" w:sz="8" w:color="CFF0FC"/>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(267</w:t>
            </w:r>
          </w:p>
        </w:tc>
        <w:tc>
          <w:tcPr>
            <w:tcW w:w="340" w:type="dxa"/>
            <w:vAlign w:val="bottom"/>
            <w:tcBorders>
              <w:bottom w:val="single" w:sz="8" w:color="CFF0FC"/>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(943</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utilized capital loss carryforward in the amount of $0, $1.4 million, and $0, respectively, to offset realized capital gains.</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December 31, 2022, December 31, 2021 or December 31, 2020. Although we file federal and state tax returns, our major tax jurisdiction is federal. The previous three year-ends and the interim tax period since then remain subject to examination by the Internal Revenue Service.</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U.S. federal income tax at corporate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 Agreements and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Advisory Agreement</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August 3, 2017, the Board of Directors approved certain amendments to the Prior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Under the terms of the Advisory Agreement, RGC:</w:t>
      </w:r>
    </w:p>
    <w:p>
      <w:pPr>
        <w:spacing w:after="0" w:line="190" w:lineRule="exact"/>
        <w:rPr>
          <w:sz w:val="20"/>
          <w:szCs w:val="20"/>
          <w:color w:val="auto"/>
        </w:rPr>
      </w:pPr>
    </w:p>
    <w:p>
      <w:pPr>
        <w:ind w:left="1140" w:hanging="383"/>
        <w:spacing w:after="0" w:line="282"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Company’s portfolio, the nature and timing of the changes to the portfolio and the manner of implementing such changes;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the Company makes;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and monitors the investments the Company makes;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Company will purchase, retain or sell;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investments; and</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Company with other such investment advisory, research and related services as the Company may, from time to time, reasonably require for the investment of its funds.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Management Fee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base management fee is payable on the first day of each calendar quarter.</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 million but less than $1.0 billion. For purposes of the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 billion, the base management fee will be an amount equal to 0.375% (1.50% annualized) of the Company’s average daily Gross Assets during the most recently completed calendar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RGC earned base management fees of $11.9 million, $9.0 million and $6.8 million for the years ended December 31, 2022, 2021 and 2020,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Incentive Fee</w:t>
      </w:r>
    </w:p>
    <w:p>
      <w:pPr>
        <w:spacing w:after="0" w:line="225" w:lineRule="exact"/>
        <w:rPr>
          <w:sz w:val="20"/>
          <w:szCs w:val="20"/>
          <w:color w:val="auto"/>
        </w:rPr>
      </w:pPr>
    </w:p>
    <w:p>
      <w:pPr>
        <w:jc w:val="both"/>
        <w:ind w:firstLine="374"/>
        <w:spacing w:after="0" w:line="312" w:lineRule="auto"/>
        <w:rPr>
          <w:sz w:val="20"/>
          <w:szCs w:val="20"/>
          <w:color w:val="auto"/>
        </w:rPr>
      </w:pPr>
      <w:r>
        <w:rPr>
          <w:rFonts w:ascii="Times New Roman" w:cs="Times New Roman" w:eastAsia="Times New Roman" w:hAnsi="Times New Roman"/>
          <w:sz w:val="17"/>
          <w:szCs w:val="17"/>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4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9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Until the consummation of a Spin-Off transaction,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RGC earned incentive fees of $13.2 million, $ 11.0 million of which was payable in cash, and $2.2 million were accrued and generated from deferred interest. For the year ended December 31, 2021, RGC earned incentive fees of $9.2 million, $7.4 million of which were payable in cash, and $ 1.8 million were accrued and generated from deferred interest. For the year ended December 31, 2020, RGC earned incentive fees of $7.3 million, $5.4 million of which were payable in cash, and $1.9 million were accrued and generated from deferred interest. All incentive fees accrued and generated from deferred interest (i.e., PIK and certain discount accretion) are not payable until receipt of respective cash by the Company. As of December 31, 2022, $3.8 million were payable in cash and $5.0 million were deferred incentive fees payable, both of which are included in incentive fees payable on the Statement of Assets and Liabilities. As of December 31, 2021, $2.5 million of incentive fees payable were payable in cash, and $3.5 million were deferred incentive fees payable, both of which are included in incentive fees payable on the Statement of Assets and Liabilities.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December 31, 2022 and December 31, 2021, there was no capital gains incentive fee accrued, earned or payable to RGC under the Advisory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Spin-Off Incentive Fee</w:t>
      </w:r>
    </w:p>
    <w:p>
      <w:pPr>
        <w:spacing w:after="0" w:line="22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Income Incentive Fee will be payable in connection with a Public Fund Spin-Off as follows. The Income Incentive Fee will be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Company reimbursed the Administrator $ 1.1 million during the year ended December 31, 2022. As of December 31, 2022, the Company had accrued a net payable to the Administrator of $0.4 million, which is included in Accrued expenses and other liabilities on the Statement of Assets and Liabilities. Of the total amount reimbursed to the Administrator, $0.9 million was related to overhead allocation expense for the year ended December 31, 2022. The Company reimbursed the Administrator $0.9 million during the year ended December 31, 2021. As of December 31, 2021, the Company had accrued a net payable to the Administrator of $0.2 million. Of the total amount reimbursed to the Administrator, $0.8 million was related to overhead allocation expense for the year ended December 31, 2021. The Company reimbursed the Administrator $0.5 million during the year ended December 31, 2020. As of December 31, 2020, the Company had accrued a net payable to the Administrator of $0.1 million. Of the total amount reimbursed to the Administrator, $0.5 million was related to overhead allocation expense for the year ended December 31, 2020. Administration fees, which include fees payable by the Administrator to third-party service providers who provide additional administration services for the Company, were $0.7 million, $0.6 million, and $0.5 million for the years ended December 31, 2022, 2021 and 2020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Oaktree Strategic Relationship</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strategic relationship, OCM purchased an aggregate of 14,571,334 shares of our common stock for an aggregate purchase price of $219.3 million in our Initial Private Offering and our Second Private Offering. As of December 31, 2022, OCM Growth Holdings, LLC ("OCM") owned 21,129,688 shares of our common stock or 52% of our total issued and outstanding shares. OCM has granted a proxy to us pursuant to which the shares held by OCM will be voted in the same proportion as our other stockholders vote their shares.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connection with the OCM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$125.0 million capital commitment. Brian Laibow, Co-Head of North America &amp; Managing Director of Oaktree's Global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OCM also purchased additional equity in RGC in connection with its commitment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2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Company’s assets recorded at fair value have been categorized based upon a fair value hierarchy in accordance with ASC Topic 820. See "Note 2 — Summary of Significant Accounting Policies" for a discussion of the Company’s policies.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measured at fair value as of December 31, 2022 and 2021, respectively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40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9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12,682</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1,080,121</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16,650</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16,755</w:t>
            </w:r>
          </w:p>
        </w:tc>
        <w:tc>
          <w:tcPr>
            <w:tcW w:w="100" w:type="dxa"/>
            <w:vAlign w:val="bottom"/>
          </w:tcPr>
          <w:p>
            <w:pPr>
              <w:spacing w:after="0"/>
              <w:rPr>
                <w:sz w:val="15"/>
                <w:szCs w:val="15"/>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2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320" w:type="dxa"/>
            <w:vAlign w:val="bottom"/>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30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1,111,946</w:t>
            </w:r>
          </w:p>
        </w:tc>
        <w:tc>
          <w:tcPr>
            <w:tcW w:w="3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1,126,309</w:t>
            </w:r>
          </w:p>
        </w:tc>
        <w:tc>
          <w:tcPr>
            <w:tcW w:w="100" w:type="dxa"/>
            <w:vAlign w:val="bottom"/>
            <w:shd w:val="clear" w:color="auto" w:fill="CFF0FC"/>
          </w:tcPr>
          <w:p>
            <w:pPr>
              <w:spacing w:after="0"/>
              <w:rPr>
                <w:sz w:val="14"/>
                <w:szCs w:val="14"/>
                <w:color w:val="auto"/>
              </w:rPr>
            </w:pPr>
          </w:p>
        </w:tc>
      </w:tr>
      <w:tr>
        <w:trPr>
          <w:trHeight w:val="169"/>
        </w:trPr>
        <w:tc>
          <w:tcPr>
            <w:tcW w:w="33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200" w:type="dxa"/>
            <w:vAlign w:val="bottom"/>
            <w:tcBorders>
              <w:bottom w:val="single" w:sz="8" w:color="auto"/>
            </w:tcBorders>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12,836</w:t>
            </w: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ind w:right="9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1,527</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1,111,946</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1,126,309</w:t>
            </w:r>
          </w:p>
        </w:tc>
        <w:tc>
          <w:tcPr>
            <w:tcW w:w="10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1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20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400" w:type="dxa"/>
            <w:vAlign w:val="bottom"/>
            <w:gridSpan w:val="2"/>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9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w:t>
            </w:r>
          </w:p>
        </w:tc>
        <w:tc>
          <w:tcPr>
            <w:tcW w:w="100" w:type="dxa"/>
            <w:vAlign w:val="bottom"/>
          </w:tcPr>
          <w:p>
            <w:pPr>
              <w:spacing w:after="0"/>
              <w:rPr>
                <w:sz w:val="15"/>
                <w:szCs w:val="15"/>
                <w:color w:val="auto"/>
              </w:rPr>
            </w:pPr>
          </w:p>
        </w:tc>
      </w:tr>
      <w:tr>
        <w:trPr>
          <w:trHeight w:val="176"/>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15,705</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623,054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623,054</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100" w:type="dxa"/>
            <w:vAlign w:val="bottom"/>
          </w:tcPr>
          <w:p>
            <w:pPr>
              <w:spacing w:after="0"/>
              <w:rPr>
                <w:sz w:val="15"/>
                <w:szCs w:val="15"/>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2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657,346</w:t>
            </w: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684,515</w:t>
            </w:r>
          </w:p>
        </w:tc>
        <w:tc>
          <w:tcPr>
            <w:tcW w:w="100" w:type="dxa"/>
            <w:vAlign w:val="bottom"/>
            <w:shd w:val="clear" w:color="auto" w:fill="CFF0FC"/>
          </w:tcPr>
          <w:p>
            <w:pPr>
              <w:spacing w:after="0"/>
              <w:rPr>
                <w:sz w:val="14"/>
                <w:szCs w:val="14"/>
                <w:color w:val="auto"/>
              </w:rPr>
            </w:pPr>
          </w:p>
        </w:tc>
      </w:tr>
      <w:tr>
        <w:trPr>
          <w:trHeight w:val="17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Bill</w:t>
            </w:r>
          </w:p>
        </w:tc>
        <w:tc>
          <w:tcPr>
            <w:tcW w:w="1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3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w:t>
            </w:r>
          </w:p>
        </w:tc>
        <w:tc>
          <w:tcPr>
            <w:tcW w:w="100" w:type="dxa"/>
            <w:vAlign w:val="bottom"/>
          </w:tcPr>
          <w:p>
            <w:pPr>
              <w:spacing w:after="0"/>
              <w:rPr>
                <w:sz w:val="15"/>
                <w:szCs w:val="15"/>
                <w:color w:val="auto"/>
              </w:rPr>
            </w:pPr>
          </w:p>
        </w:tc>
      </w:tr>
      <w:tr>
        <w:trPr>
          <w:trHeight w:val="209"/>
        </w:trPr>
        <w:tc>
          <w:tcPr>
            <w:tcW w:w="33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200" w:type="dxa"/>
            <w:vAlign w:val="bottom"/>
            <w:tcBorders>
              <w:bottom w:val="single" w:sz="8" w:color="auto"/>
            </w:tcBorders>
            <w:shd w:val="clear" w:color="auto" w:fill="CFF0FC"/>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63,266</w:t>
            </w:r>
          </w:p>
        </w:tc>
        <w:tc>
          <w:tcPr>
            <w:tcW w:w="3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9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8,904</w:t>
            </w: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657,346</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-25400</wp:posOffset>
            </wp:positionV>
            <wp:extent cx="7747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-8255</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recognizes transfers into and out of the levels indicated above at the end of the reporting period. During the period ended December 31, 2022, the Company had common stock investments with restrictions lifted, resulting in an asset transfer out of Level 2 and into Level 1 at the fair value of $5.4 million. During the periods ended December 31, 2022 and December 31, 2021, the Company had warrant investments converted to common stock investments, resulting in asset transfers out of Level 3 and into Level 2 at the fair value of $2.2 million and $15.3 million, respectively. The following table presents a rollforward of Level 3 assets measured at fair value as of December 31, 2022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15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Second Lien Term</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3"/>
                <w:szCs w:val="13"/>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60" w:type="dxa"/>
            <w:vAlign w:val="bottom"/>
          </w:tcPr>
          <w:p>
            <w:pPr>
              <w:spacing w:after="0"/>
              <w:rPr>
                <w:sz w:val="16"/>
                <w:szCs w:val="16"/>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623,054</w:t>
            </w:r>
          </w:p>
        </w:tc>
        <w:tc>
          <w:tcPr>
            <w:tcW w:w="22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200" w:type="dxa"/>
            <w:vAlign w:val="bottom"/>
          </w:tcPr>
          <w:p>
            <w:pPr>
              <w:spacing w:after="0"/>
              <w:rPr>
                <w:sz w:val="14"/>
                <w:szCs w:val="14"/>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w:t>
            </w:r>
          </w:p>
        </w:tc>
        <w:tc>
          <w:tcPr>
            <w:tcW w:w="22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657,346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w:t>
            </w:r>
          </w:p>
        </w:tc>
        <w:tc>
          <w:tcPr>
            <w:tcW w:w="16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6,744</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premiums or accretion of discounts</w:t>
            </w:r>
          </w:p>
        </w:tc>
        <w:tc>
          <w:tcPr>
            <w:tcW w:w="16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614,636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Sales or repayments of</w:t>
            </w:r>
          </w:p>
        </w:tc>
        <w:tc>
          <w:tcPr>
            <w:tcW w:w="160" w:type="dxa"/>
            <w:vAlign w:val="bottom"/>
          </w:tcPr>
          <w:p>
            <w:pPr>
              <w:spacing w:after="0"/>
              <w:rPr>
                <w:sz w:val="11"/>
                <w:szCs w:val="11"/>
                <w:color w:val="auto"/>
              </w:rPr>
            </w:pPr>
          </w:p>
        </w:tc>
        <w:tc>
          <w:tcPr>
            <w:tcW w:w="1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(800 )</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(161,660 )</w:t>
            </w:r>
          </w:p>
        </w:tc>
        <w:tc>
          <w:tcPr>
            <w:tcW w:w="2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(1,508 )</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(163,968 )</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investments</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out of Level 3</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(2,239 )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(2,239 )</w:t>
            </w: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w:t>
            </w:r>
          </w:p>
        </w:tc>
        <w:tc>
          <w:tcPr>
            <w:tcW w:w="160" w:type="dxa"/>
            <w:vAlign w:val="bottom"/>
          </w:tcPr>
          <w:p>
            <w:pPr>
              <w:spacing w:after="0"/>
              <w:rPr>
                <w:sz w:val="15"/>
                <w:szCs w:val="15"/>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(2,000 )</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(851 )</w:t>
            </w: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(2,851 )</w:t>
            </w:r>
          </w:p>
        </w:tc>
        <w:tc>
          <w:tcPr>
            <w:tcW w:w="0" w:type="dxa"/>
            <w:vAlign w:val="bottom"/>
          </w:tcPr>
          <w:p>
            <w:pPr>
              <w:spacing w:after="0"/>
              <w:rPr>
                <w:sz w:val="1"/>
                <w:szCs w:val="1"/>
                <w:color w:val="auto"/>
              </w:rPr>
            </w:pPr>
          </w:p>
        </w:tc>
      </w:tr>
      <w:tr>
        <w:trPr>
          <w:trHeight w:val="139"/>
        </w:trPr>
        <w:tc>
          <w:tcPr>
            <w:tcW w:w="22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appreciation</w:t>
            </w:r>
          </w:p>
        </w:tc>
        <w:tc>
          <w:tcPr>
            <w:tcW w:w="16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(3,377 )</w:t>
            </w:r>
          </w:p>
        </w:tc>
        <w:tc>
          <w:tcPr>
            <w:tcW w:w="14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(10,647 )</w:t>
            </w:r>
          </w:p>
        </w:tc>
        <w:tc>
          <w:tcPr>
            <w:tcW w:w="2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(2,243 )</w:t>
            </w:r>
          </w:p>
        </w:tc>
        <w:tc>
          <w:tcPr>
            <w:tcW w:w="26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(14,452 )</w:t>
            </w:r>
          </w:p>
        </w:tc>
        <w:tc>
          <w:tcPr>
            <w:tcW w:w="0" w:type="dxa"/>
            <w:vAlign w:val="bottom"/>
          </w:tcPr>
          <w:p>
            <w:pPr>
              <w:spacing w:after="0"/>
              <w:rPr>
                <w:sz w:val="1"/>
                <w:szCs w:val="1"/>
                <w:color w:val="auto"/>
              </w:rPr>
            </w:pPr>
          </w:p>
        </w:tc>
      </w:tr>
      <w:tr>
        <w:trPr>
          <w:trHeight w:val="171"/>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December 31, 2022</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347</w:t>
            </w: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1,174</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1,080,121</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13,654</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16,650</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1,111,946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4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1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on Level 3</w:t>
            </w:r>
          </w:p>
        </w:tc>
        <w:tc>
          <w:tcPr>
            <w:tcW w:w="1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investments still held as of</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(115 )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(3,377 )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(9,752 )</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(4,889 )</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(18,133 )</w:t>
            </w:r>
          </w:p>
        </w:tc>
        <w:tc>
          <w:tcPr>
            <w:tcW w:w="0" w:type="dxa"/>
            <w:vAlign w:val="bottom"/>
          </w:tcPr>
          <w:p>
            <w:pPr>
              <w:spacing w:after="0"/>
              <w:rPr>
                <w:sz w:val="1"/>
                <w:szCs w:val="1"/>
                <w:color w:val="auto"/>
              </w:rPr>
            </w:pPr>
          </w:p>
        </w:tc>
      </w:tr>
      <w:tr>
        <w:trPr>
          <w:trHeight w:val="184"/>
        </w:trPr>
        <w:tc>
          <w:tcPr>
            <w:tcW w:w="224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December 31, 2022</w:t>
            </w:r>
          </w:p>
        </w:tc>
        <w:tc>
          <w:tcPr>
            <w:tcW w:w="160" w:type="dxa"/>
            <w:vAlign w:val="bottom"/>
            <w:vMerge w:val="continue"/>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380" w:type="dxa"/>
            <w:vAlign w:val="bottom"/>
            <w:gridSpan w:val="2"/>
            <w:vMerge w:val="continue"/>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-574040</wp:posOffset>
            </wp:positionV>
            <wp:extent cx="76835" cy="1460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-574040</wp:posOffset>
            </wp:positionV>
            <wp:extent cx="76835" cy="1460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-574040</wp:posOffset>
            </wp:positionV>
            <wp:extent cx="68580" cy="1460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-574040</wp:posOffset>
            </wp:positionV>
            <wp:extent cx="68580" cy="1460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-574040</wp:posOffset>
            </wp:positionV>
            <wp:extent cx="68580" cy="146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146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-59690</wp:posOffset>
            </wp:positionV>
            <wp:extent cx="768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-42545</wp:posOffset>
            </wp:positionV>
            <wp:extent cx="768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-59690</wp:posOffset>
            </wp:positionV>
            <wp:extent cx="768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-42545</wp:posOffset>
            </wp:positionV>
            <wp:extent cx="768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-59690</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-42545</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-59690</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-42545</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-59690</wp:posOffset>
            </wp:positionV>
            <wp:extent cx="6858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-42545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-59690</wp:posOffset>
            </wp:positionV>
            <wp:extent cx="6858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-42545</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 w:lineRule="exact"/>
        <w:rPr>
          <w:sz w:val="20"/>
          <w:szCs w:val="20"/>
          <w:color w:val="auto"/>
        </w:rPr>
      </w:pPr>
    </w:p>
    <w:p>
      <w:pPr>
        <w:ind w:left="760" w:hanging="374"/>
        <w:spacing w:after="0"/>
        <w:tabs>
          <w:tab w:leader="none" w:pos="760" w:val="left"/>
        </w:tabs>
        <w:numPr>
          <w:ilvl w:val="0"/>
          <w:numId w:val="7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Net of reorganization and restructuring of investments.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December 31, 2021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Pr>
          <w:p>
            <w:pPr>
              <w:spacing w:after="0"/>
              <w:rPr>
                <w:sz w:val="13"/>
                <w:szCs w:val="13"/>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40" w:type="dxa"/>
            <w:vAlign w:val="bottom"/>
          </w:tcPr>
          <w:p>
            <w:pPr>
              <w:spacing w:after="0"/>
              <w:rPr>
                <w:sz w:val="13"/>
                <w:szCs w:val="13"/>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Second Lien Term</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3"/>
                <w:szCs w:val="13"/>
                <w:color w:val="auto"/>
              </w:rPr>
            </w:pPr>
          </w:p>
        </w:tc>
        <w:tc>
          <w:tcPr>
            <w:tcW w:w="11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6"/>
                <w:szCs w:val="16"/>
                <w:color w:val="auto"/>
              </w:rPr>
            </w:pPr>
          </w:p>
        </w:tc>
        <w:tc>
          <w:tcPr>
            <w:tcW w:w="13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2020</w:t>
            </w: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240" w:type="dxa"/>
            <w:vAlign w:val="bottom"/>
          </w:tcPr>
          <w:p>
            <w:pPr>
              <w:spacing w:after="0"/>
              <w:rPr>
                <w:sz w:val="14"/>
                <w:szCs w:val="14"/>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501,965</w:t>
            </w:r>
          </w:p>
        </w:tc>
        <w:tc>
          <w:tcPr>
            <w:tcW w:w="2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33,009</w:t>
            </w:r>
          </w:p>
        </w:tc>
        <w:tc>
          <w:tcPr>
            <w:tcW w:w="240" w:type="dxa"/>
            <w:vAlign w:val="bottom"/>
          </w:tcPr>
          <w:p>
            <w:pPr>
              <w:spacing w:after="0"/>
              <w:rPr>
                <w:sz w:val="14"/>
                <w:szCs w:val="14"/>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 premiums</w:t>
            </w:r>
          </w:p>
        </w:tc>
        <w:tc>
          <w:tcPr>
            <w:tcW w:w="220" w:type="dxa"/>
            <w:vAlign w:val="bottom"/>
            <w:shd w:val="clear" w:color="auto" w:fill="CFF0FC"/>
          </w:tcPr>
          <w:p>
            <w:pPr>
              <w:spacing w:after="0"/>
              <w:rPr>
                <w:sz w:val="12"/>
                <w:szCs w:val="12"/>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7,742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or accretion of discounts</w:t>
            </w:r>
          </w:p>
        </w:tc>
        <w:tc>
          <w:tcPr>
            <w:tcW w:w="220" w:type="dxa"/>
            <w:vAlign w:val="bottom"/>
            <w:shd w:val="clear" w:color="auto" w:fill="CFF0FC"/>
          </w:tcPr>
          <w:p>
            <w:pPr>
              <w:spacing w:after="0"/>
              <w:rPr>
                <w:sz w:val="16"/>
                <w:szCs w:val="16"/>
                <w:color w:val="auto"/>
              </w:rPr>
            </w:pPr>
          </w:p>
        </w:tc>
        <w:tc>
          <w:tcPr>
            <w:tcW w:w="14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405,039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420,747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interest</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Sales or repayments of investments</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(293,323 )</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(425 )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(293,748 )</w:t>
            </w: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out of Level 3</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(15,305 )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(15,305 )</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(825 )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(825 )</w:t>
            </w:r>
          </w:p>
        </w:tc>
        <w:tc>
          <w:tcPr>
            <w:tcW w:w="0" w:type="dxa"/>
            <w:vAlign w:val="bottom"/>
          </w:tcPr>
          <w:p>
            <w:pPr>
              <w:spacing w:after="0"/>
              <w:rPr>
                <w:sz w:val="1"/>
                <w:szCs w:val="1"/>
                <w:color w:val="auto"/>
              </w:rPr>
            </w:pPr>
          </w:p>
        </w:tc>
      </w:tr>
      <w:tr>
        <w:trPr>
          <w:trHeight w:val="139"/>
        </w:trPr>
        <w:tc>
          <w:tcPr>
            <w:tcW w:w="25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appreciation</w:t>
            </w:r>
          </w:p>
        </w:tc>
        <w:tc>
          <w:tcPr>
            <w:tcW w:w="220" w:type="dxa"/>
            <w:vAlign w:val="bottom"/>
            <w:shd w:val="clear" w:color="auto" w:fill="CFF0FC"/>
          </w:tcPr>
          <w:p>
            <w:pPr>
              <w:spacing w:after="0"/>
              <w:rPr>
                <w:sz w:val="12"/>
                <w:szCs w:val="12"/>
                <w:color w:val="auto"/>
              </w:rPr>
            </w:pPr>
          </w:p>
        </w:tc>
        <w:tc>
          <w:tcPr>
            <w:tcW w:w="16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(2,004 )</w:t>
            </w:r>
          </w:p>
        </w:tc>
        <w:tc>
          <w:tcPr>
            <w:tcW w:w="220" w:type="dxa"/>
            <w:vAlign w:val="bottom"/>
            <w:shd w:val="clear" w:color="auto" w:fill="CFF0FC"/>
          </w:tcPr>
          <w:p>
            <w:pPr>
              <w:spacing w:after="0"/>
              <w:rPr>
                <w:sz w:val="12"/>
                <w:szCs w:val="12"/>
                <w:color w:val="auto"/>
              </w:rPr>
            </w:pPr>
          </w:p>
        </w:tc>
        <w:tc>
          <w:tcPr>
            <w:tcW w:w="1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(1,365 )</w:t>
            </w:r>
          </w:p>
        </w:tc>
        <w:tc>
          <w:tcPr>
            <w:tcW w:w="14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(574 )</w:t>
            </w:r>
          </w:p>
        </w:tc>
        <w:tc>
          <w:tcPr>
            <w:tcW w:w="0" w:type="dxa"/>
            <w:vAlign w:val="bottom"/>
          </w:tcPr>
          <w:p>
            <w:pPr>
              <w:spacing w:after="0"/>
              <w:rPr>
                <w:sz w:val="1"/>
                <w:szCs w:val="1"/>
                <w:color w:val="auto"/>
              </w:rPr>
            </w:pPr>
          </w:p>
        </w:tc>
      </w:tr>
      <w:tr>
        <w:trPr>
          <w:trHeight w:val="171"/>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shd w:val="clear" w:color="auto" w:fill="CFF0FC"/>
          </w:tcPr>
          <w:p>
            <w:pPr>
              <w:spacing w:after="0"/>
              <w:rPr>
                <w:sz w:val="14"/>
                <w:szCs w:val="14"/>
                <w:color w:val="auto"/>
              </w:rPr>
            </w:pPr>
          </w:p>
        </w:tc>
        <w:tc>
          <w:tcPr>
            <w:tcW w:w="168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December 31, 2021</w:t>
            </w:r>
          </w:p>
        </w:tc>
        <w:tc>
          <w:tcPr>
            <w:tcW w:w="2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1,332</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623,054</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12,873</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20,087</w:t>
            </w:r>
          </w:p>
        </w:tc>
        <w:tc>
          <w:tcPr>
            <w:tcW w:w="24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657,346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8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22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on Level 3 investments</w:t>
            </w: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(2,004 )</w:t>
            </w: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(545 )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(2,687 )</w:t>
            </w: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(5,236 )</w:t>
            </w:r>
          </w:p>
        </w:tc>
        <w:tc>
          <w:tcPr>
            <w:tcW w:w="0" w:type="dxa"/>
            <w:vAlign w:val="bottom"/>
          </w:tcPr>
          <w:p>
            <w:pPr>
              <w:spacing w:after="0"/>
              <w:rPr>
                <w:sz w:val="1"/>
                <w:szCs w:val="1"/>
                <w:color w:val="auto"/>
              </w:rPr>
            </w:pPr>
          </w:p>
        </w:tc>
      </w:tr>
      <w:tr>
        <w:trPr>
          <w:trHeight w:val="184"/>
        </w:trPr>
        <w:tc>
          <w:tcPr>
            <w:tcW w:w="25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still held as of December 31, 2021</w:t>
            </w:r>
          </w:p>
        </w:tc>
        <w:tc>
          <w:tcPr>
            <w:tcW w:w="220" w:type="dxa"/>
            <w:vAlign w:val="bottom"/>
            <w:vMerge w:val="continue"/>
            <w:shd w:val="clear" w:color="auto" w:fill="CFF0FC"/>
          </w:tcPr>
          <w:p>
            <w:pPr>
              <w:spacing w:after="0"/>
              <w:rPr>
                <w:sz w:val="16"/>
                <w:szCs w:val="16"/>
                <w:color w:val="auto"/>
              </w:rPr>
            </w:pPr>
          </w:p>
        </w:tc>
        <w:tc>
          <w:tcPr>
            <w:tcW w:w="1680" w:type="dxa"/>
            <w:vAlign w:val="bottom"/>
            <w:gridSpan w:val="2"/>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480" w:type="dxa"/>
            <w:vAlign w:val="bottom"/>
            <w:gridSpan w:val="2"/>
            <w:vMerge w:val="continue"/>
            <w:shd w:val="clear" w:color="auto" w:fill="CFF0FC"/>
          </w:tcPr>
          <w:p>
            <w:pPr>
              <w:spacing w:after="0"/>
              <w:rPr>
                <w:sz w:val="16"/>
                <w:szCs w:val="16"/>
                <w:color w:val="auto"/>
              </w:rPr>
            </w:pPr>
          </w:p>
        </w:tc>
        <w:tc>
          <w:tcPr>
            <w:tcW w:w="1460" w:type="dxa"/>
            <w:vAlign w:val="bottom"/>
            <w:gridSpan w:val="2"/>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5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-479425</wp:posOffset>
            </wp:positionV>
            <wp:extent cx="76835" cy="1460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-479425</wp:posOffset>
            </wp:positionV>
            <wp:extent cx="68580" cy="1460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-479425</wp:posOffset>
            </wp:positionV>
            <wp:extent cx="68580" cy="1460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-479425</wp:posOffset>
            </wp:positionV>
            <wp:extent cx="68580" cy="146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460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-59690</wp:posOffset>
            </wp:positionV>
            <wp:extent cx="768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-42545</wp:posOffset>
            </wp:positionV>
            <wp:extent cx="768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-59690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-42545</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-59690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-42545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-59690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-42545</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-59690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-42545</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 w:lineRule="exact"/>
        <w:rPr>
          <w:sz w:val="20"/>
          <w:szCs w:val="20"/>
          <w:color w:val="auto"/>
        </w:rPr>
      </w:pPr>
    </w:p>
    <w:p>
      <w:pPr>
        <w:ind w:left="760" w:hanging="374"/>
        <w:spacing w:after="0"/>
        <w:tabs>
          <w:tab w:leader="none" w:pos="760" w:val="left"/>
        </w:tabs>
        <w:numPr>
          <w:ilvl w:val="0"/>
          <w:numId w:val="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Net of reorganization and restructuring of investments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December 31, 2022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6"/>
                <w:szCs w:val="16"/>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133"/>
        </w:trPr>
        <w:tc>
          <w:tcPr>
            <w:tcW w:w="26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80" w:type="dxa"/>
            <w:vAlign w:val="bottom"/>
            <w:shd w:val="clear" w:color="auto" w:fill="CFF0FC"/>
          </w:tcPr>
          <w:p>
            <w:pPr>
              <w:spacing w:after="0"/>
              <w:rPr>
                <w:sz w:val="11"/>
                <w:szCs w:val="11"/>
                <w:color w:val="auto"/>
              </w:rPr>
            </w:pPr>
          </w:p>
        </w:tc>
        <w:tc>
          <w:tcPr>
            <w:tcW w:w="210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shd w:val="clear" w:color="auto" w:fill="CFF0FC"/>
          </w:tcPr>
          <w:p>
            <w:pPr>
              <w:spacing w:after="0"/>
              <w:rPr>
                <w:sz w:val="11"/>
                <w:szCs w:val="11"/>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jc w:val="center"/>
              <w:ind w:right="68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2620" w:type="dxa"/>
            <w:vAlign w:val="bottom"/>
            <w:vMerge w:val="continue"/>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shd w:val="clear" w:color="auto" w:fill="CFF0FC"/>
          </w:tcPr>
          <w:p>
            <w:pPr>
              <w:spacing w:after="0"/>
              <w:rPr>
                <w:sz w:val="16"/>
                <w:szCs w:val="16"/>
                <w:color w:val="auto"/>
              </w:rPr>
            </w:pPr>
          </w:p>
        </w:tc>
        <w:tc>
          <w:tcPr>
            <w:tcW w:w="2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80" w:type="dxa"/>
            <w:vAlign w:val="bottom"/>
          </w:tcPr>
          <w:p>
            <w:pPr>
              <w:spacing w:after="0"/>
              <w:rPr>
                <w:sz w:val="12"/>
                <w:szCs w:val="12"/>
                <w:color w:val="auto"/>
              </w:rPr>
            </w:pPr>
          </w:p>
        </w:tc>
        <w:tc>
          <w:tcPr>
            <w:tcW w:w="21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vMerge w:val="restart"/>
          </w:tcPr>
          <w:p>
            <w:pPr>
              <w:jc w:val="center"/>
              <w:ind w:right="68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1,053,748</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- 28.0% (15.2%)</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approach</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- 19.3% (12.9%)</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26,373</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- 37.4% (30.9%)</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Second Lien Term Loans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- 16.1% (16.1%)</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Market approach</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- 12.2% (12.2%)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260" w:type="dxa"/>
            <w:vAlign w:val="bottom"/>
            <w:gridSpan w:val="3"/>
          </w:tcPr>
          <w:p>
            <w:pPr>
              <w:jc w:val="right"/>
              <w:ind w:right="408"/>
              <w:spacing w:after="0"/>
              <w:rPr>
                <w:sz w:val="20"/>
                <w:szCs w:val="20"/>
                <w:color w:val="auto"/>
              </w:rPr>
            </w:pPr>
            <w:r>
              <w:rPr>
                <w:rFonts w:ascii="Times New Roman" w:cs="Times New Roman" w:eastAsia="Times New Roman" w:hAnsi="Times New Roman"/>
                <w:sz w:val="14"/>
                <w:szCs w:val="14"/>
                <w:color w:val="auto"/>
              </w:rPr>
              <w:t>2.7% - 4.9% (4.3%)</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- 98.4% (49.0%)</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0.5 - 5.0 (2.2 years)</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1.16x - 88.63x (5.47x)</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6,404</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- 40.0% (34.6%)</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2.35x -</w:t>
            </w:r>
          </w:p>
        </w:tc>
        <w:tc>
          <w:tcPr>
            <w:tcW w:w="1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199.38x (13.10x)</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44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1,111,946</w:t>
            </w: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-145415</wp:posOffset>
            </wp:positionV>
            <wp:extent cx="76835" cy="1460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December 31, 2021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133"/>
        </w:trPr>
        <w:tc>
          <w:tcPr>
            <w:tcW w:w="2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Preferred Stock</w:t>
            </w: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300" w:type="dxa"/>
            <w:vAlign w:val="bottom"/>
            <w:shd w:val="clear" w:color="auto" w:fill="CFF0FC"/>
          </w:tcPr>
          <w:p>
            <w:pPr>
              <w:spacing w:after="0"/>
              <w:rPr>
                <w:sz w:val="11"/>
                <w:szCs w:val="11"/>
                <w:color w:val="auto"/>
              </w:rPr>
            </w:pPr>
          </w:p>
        </w:tc>
        <w:tc>
          <w:tcPr>
            <w:tcW w:w="210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80" w:type="dxa"/>
            <w:vAlign w:val="bottom"/>
            <w:shd w:val="clear" w:color="auto" w:fill="CFF0FC"/>
          </w:tcPr>
          <w:p>
            <w:pPr>
              <w:spacing w:after="0"/>
              <w:rPr>
                <w:sz w:val="11"/>
                <w:szCs w:val="11"/>
                <w:color w:val="auto"/>
              </w:rPr>
            </w:pPr>
          </w:p>
        </w:tc>
        <w:tc>
          <w:tcPr>
            <w:tcW w:w="20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FF0FC"/>
          </w:tcPr>
          <w:p>
            <w:pPr>
              <w:spacing w:after="0"/>
              <w:rPr>
                <w:sz w:val="11"/>
                <w:szCs w:val="11"/>
                <w:color w:val="auto"/>
              </w:rPr>
            </w:pPr>
          </w:p>
        </w:tc>
        <w:tc>
          <w:tcPr>
            <w:tcW w:w="2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80" w:type="dxa"/>
            <w:vAlign w:val="bottom"/>
            <w:shd w:val="clear" w:color="auto" w:fill="CFF0FC"/>
          </w:tcPr>
          <w:p>
            <w:pPr>
              <w:spacing w:after="0"/>
              <w:rPr>
                <w:sz w:val="16"/>
                <w:szCs w:val="16"/>
                <w:color w:val="auto"/>
              </w:rPr>
            </w:pPr>
          </w:p>
        </w:tc>
        <w:tc>
          <w:tcPr>
            <w:tcW w:w="20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594,794</w:t>
            </w:r>
          </w:p>
        </w:tc>
        <w:tc>
          <w:tcPr>
            <w:tcW w:w="3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6.2% - 71.2% (12.9%)</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Market approach</w:t>
            </w:r>
          </w:p>
        </w:tc>
        <w:tc>
          <w:tcPr>
            <w:tcW w:w="18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2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5.1% - 100.1% (11.8%)</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28,260</w:t>
            </w:r>
          </w:p>
        </w:tc>
        <w:tc>
          <w:tcPr>
            <w:tcW w:w="3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16.3% - 25.0% (20.8%)</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Second Lien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12,873</w:t>
            </w:r>
          </w:p>
        </w:tc>
        <w:tc>
          <w:tcPr>
            <w:tcW w:w="30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8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12.2% - 12.2% (12.2%)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13,133</w:t>
            </w:r>
          </w:p>
        </w:tc>
        <w:tc>
          <w:tcPr>
            <w:tcW w:w="3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2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0.1% - 1.2% (0.5%)</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26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20.0% - 75.0% (39.6%)</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0.5 - 5.7 (2.0 yrs)</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0.00x - 13.46x (6.16x)</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3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8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30.0% - 46.0% (36.0%)</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Borders>
              <w:bottom w:val="single" w:sz="8" w:color="CFF0FC"/>
            </w:tcBorders>
            <w:shd w:val="clear" w:color="auto" w:fill="CFF0FC"/>
          </w:tcPr>
          <w:p>
            <w:pPr>
              <w:spacing w:after="0"/>
              <w:rPr>
                <w:sz w:val="17"/>
                <w:szCs w:val="17"/>
                <w:color w:val="auto"/>
              </w:rPr>
            </w:pPr>
          </w:p>
        </w:tc>
        <w:tc>
          <w:tcPr>
            <w:tcW w:w="2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2.94x - 123.71x (9.53x)</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657,346</w:t>
            </w: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-290830</wp:posOffset>
            </wp:positionV>
            <wp:extent cx="76835" cy="1460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835" cy="146050"/>
                    </a:xfrm>
                    <a:prstGeom prst="rect">
                      <a:avLst/>
                    </a:prstGeom>
                    <a:noFill/>
                  </pic:spPr>
                </pic:pic>
              </a:graphicData>
            </a:graphic>
          </wp:anchor>
        </w:drawing>
      </w:r>
    </w:p>
    <w:p>
      <w:pPr>
        <w:spacing w:after="0" w:line="200" w:lineRule="exact"/>
        <w:rPr>
          <w:sz w:val="20"/>
          <w:szCs w:val="20"/>
          <w:color w:val="auto"/>
        </w:rPr>
      </w:pPr>
    </w:p>
    <w:p>
      <w:pPr>
        <w:ind w:left="760" w:hanging="374"/>
        <w:spacing w:after="0" w:line="206" w:lineRule="auto"/>
        <w:tabs>
          <w:tab w:leader="none" w:pos="76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 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97" w:lineRule="exact"/>
        <w:rPr>
          <w:rFonts w:ascii="Times New Roman" w:cs="Times New Roman" w:eastAsia="Times New Roman" w:hAnsi="Times New Roman"/>
          <w:sz w:val="23"/>
          <w:szCs w:val="23"/>
          <w:color w:val="auto"/>
          <w:vertAlign w:val="superscript"/>
        </w:rPr>
      </w:pPr>
    </w:p>
    <w:p>
      <w:pPr>
        <w:ind w:left="760" w:right="20" w:hanging="374"/>
        <w:spacing w:after="0" w:line="208" w:lineRule="auto"/>
        <w:tabs>
          <w:tab w:leader="none" w:pos="76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years ended December 31, 2022 and December 31, 2021.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year ended December 31, 2022, the Company had realized losses of $(0.9) million and a net change in unrealized depreciation of $(2.2) million from its investments in warrants. For the year ended December 31, 2021, the Company had realized losses of $0.8 million and a net change in unrealized appreciation of $2.8 million from its investments in warrants. For the year ended December 31, 2020, the Company had realized gains of $1.2 million and a net change in unrealized appreciation of $14.2 million from its investments in warrants. Realized gains from warrants is included in Realized gain (loss) on non-control/non-affiliate investments, including U.S. Treasury Bills on the Statement of Operations. The net change in unrealized appreciation (depreciation) from warrants is included in Net change in unrealized appreciation (depreciation) on non-control/non-affiliate investments, including U.S. Treasury Bills, except for $0.0 million, $0.2 million, and $0.4 million, respectively for the years ended December 31, 2022, December 31, 2021 and December 31, 2020, which are included in Net change in unrealized appreciation on affiliate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Borrowings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December 31, 2022 and December 31, 2021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36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right"/>
              <w:ind w:right="268"/>
              <w:spacing w:after="0" w:line="12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3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1"/>
                <w:szCs w:val="11"/>
                <w:color w:val="auto"/>
              </w:rPr>
            </w:pPr>
          </w:p>
        </w:tc>
        <w:tc>
          <w:tcPr>
            <w:tcW w:w="1180" w:type="dxa"/>
            <w:vAlign w:val="bottom"/>
            <w:gridSpan w:val="3"/>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88"/>
              <w:spacing w:after="0" w:line="18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408"/>
              <w:spacing w:after="0" w:line="18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425,000</w:t>
            </w:r>
          </w:p>
        </w:tc>
        <w:tc>
          <w:tcPr>
            <w:tcW w:w="1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337,000</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1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332,360</w:t>
            </w: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(818 )</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(376 )</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(2,380 )</w:t>
            </w:r>
          </w:p>
        </w:tc>
        <w:tc>
          <w:tcPr>
            <w:tcW w:w="3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78,120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(653 )</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2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December 2027</w:t>
            </w: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51,750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(1,802 )</w:t>
            </w:r>
          </w:p>
        </w:tc>
        <w:tc>
          <w:tcPr>
            <w:tcW w:w="3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49,948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647,250</w:t>
            </w:r>
          </w:p>
        </w:tc>
        <w:tc>
          <w:tcPr>
            <w:tcW w:w="180" w:type="dxa"/>
            <w:vAlign w:val="bottom"/>
          </w:tcPr>
          <w:p>
            <w:pPr>
              <w:spacing w:after="0"/>
              <w:rPr>
                <w:sz w:val="14"/>
                <w:szCs w:val="14"/>
                <w:color w:val="auto"/>
              </w:rPr>
            </w:pP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559,250</w:t>
            </w:r>
          </w:p>
        </w:tc>
        <w:tc>
          <w:tcPr>
            <w:tcW w:w="1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(10,293 )</w:t>
            </w: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548,957</w:t>
            </w:r>
          </w:p>
        </w:tc>
        <w:tc>
          <w:tcPr>
            <w:tcW w:w="2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370,000</w:t>
            </w:r>
          </w:p>
        </w:tc>
        <w:tc>
          <w:tcPr>
            <w:tcW w:w="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81,000</w:t>
            </w:r>
          </w:p>
        </w:tc>
        <w:tc>
          <w:tcPr>
            <w:tcW w:w="36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(1,511 )</w:t>
            </w:r>
          </w:p>
        </w:tc>
        <w:tc>
          <w:tcPr>
            <w:tcW w:w="3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79,489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-145415</wp:posOffset>
            </wp:positionV>
            <wp:extent cx="76835" cy="146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-145415</wp:posOffset>
            </wp:positionV>
            <wp:extent cx="76835" cy="1460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-145415</wp:posOffset>
            </wp:positionV>
            <wp:extent cx="77470" cy="146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-145415</wp:posOffset>
            </wp:positionV>
            <wp:extent cx="68580" cy="146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-145415</wp:posOffset>
            </wp:positionV>
            <wp:extent cx="68580" cy="1460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-145415</wp:posOffset>
            </wp:positionV>
            <wp:extent cx="68580" cy="1460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-145415</wp:posOffset>
            </wp:positionV>
            <wp:extent cx="68580" cy="1460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0"/>
          <w:szCs w:val="20"/>
          <w:color w:val="auto"/>
        </w:rPr>
      </w:pPr>
    </w:p>
    <w:p>
      <w:pPr>
        <w:ind w:left="760" w:hanging="374"/>
        <w:spacing w:after="0"/>
        <w:tabs>
          <w:tab w:leader="none" w:pos="760"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Net of accumulated amortization.</w:t>
      </w:r>
    </w:p>
    <w:p>
      <w:pPr>
        <w:spacing w:after="0" w:line="208"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December 31, 2021 and December 31, 2020, the components of interest expense, amortization of deferred debt costs, and the unused fees on the Credit Facility (as defined below) on the Company's borrowings were as follows (dollars in thousands) :</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Unused Facility and</w:t>
            </w:r>
          </w:p>
        </w:tc>
        <w:tc>
          <w:tcPr>
            <w:tcW w:w="240" w:type="dxa"/>
            <w:vAlign w:val="bottom"/>
          </w:tcPr>
          <w:p>
            <w:pPr>
              <w:spacing w:after="0"/>
              <w:rPr>
                <w:sz w:val="12"/>
                <w:szCs w:val="12"/>
                <w:color w:val="auto"/>
              </w:rPr>
            </w:pPr>
          </w:p>
        </w:tc>
        <w:tc>
          <w:tcPr>
            <w:tcW w:w="10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 Expense</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 Fees</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of Debt</w:t>
            </w: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46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3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2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10,248</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7.60</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4.52</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2,785</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8.04</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2027 Notes</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7.58</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2027 Notes</w:t>
            </w:r>
          </w:p>
        </w:tc>
        <w:tc>
          <w:tcPr>
            <w:tcW w:w="1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6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4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8.44</w:t>
            </w:r>
          </w:p>
        </w:tc>
        <w:tc>
          <w:tcPr>
            <w:tcW w:w="2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16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 2022</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13,755</w:t>
            </w:r>
          </w:p>
        </w:tc>
        <w:tc>
          <w:tcPr>
            <w:tcW w:w="1460" w:type="dxa"/>
            <w:vAlign w:val="bottom"/>
            <w:gridSpan w:val="2"/>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1,390</w:t>
            </w:r>
          </w:p>
        </w:tc>
        <w:tc>
          <w:tcPr>
            <w:tcW w:w="1360" w:type="dxa"/>
            <w:vAlign w:val="bottom"/>
            <w:gridSpan w:val="2"/>
          </w:tcPr>
          <w:p>
            <w:pPr>
              <w:jc w:val="right"/>
              <w:ind w:right="9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1,615</w:t>
            </w:r>
          </w:p>
        </w:tc>
        <w:tc>
          <w:tcPr>
            <w:tcW w:w="1280" w:type="dxa"/>
            <w:vAlign w:val="bottom"/>
            <w:gridSpan w:val="2"/>
          </w:tcPr>
          <w:p>
            <w:pPr>
              <w:jc w:val="right"/>
              <w:ind w:right="8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16,759</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146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3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2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10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5.82</w:t>
            </w:r>
          </w:p>
        </w:tc>
        <w:tc>
          <w:tcPr>
            <w:tcW w:w="2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4.69</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FF0FC"/>
            </w:tcBorders>
            <w:shd w:val="clear" w:color="auto" w:fill="CFF0FC"/>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 2021</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2,544</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472</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4,142</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460" w:type="dxa"/>
            <w:vAlign w:val="bottom"/>
            <w:gridSpan w:val="2"/>
            <w:vMerge w:val="restart"/>
          </w:tcPr>
          <w:p>
            <w:pPr>
              <w:jc w:val="right"/>
              <w:ind w:right="10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360" w:type="dxa"/>
            <w:vAlign w:val="bottom"/>
            <w:gridSpan w:val="2"/>
            <w:vMerge w:val="restart"/>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80" w:type="dxa"/>
            <w:vAlign w:val="bottom"/>
            <w:gridSpan w:val="2"/>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6.17</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FF0FC"/>
            </w:tcBorders>
            <w:shd w:val="clear" w:color="auto" w:fill="CFF0FC"/>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 2020</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987</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10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225</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510</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1,722</w:t>
            </w: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-1216660</wp:posOffset>
            </wp:positionV>
            <wp:extent cx="76835" cy="3683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6835" cy="36830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-1216660</wp:posOffset>
            </wp:positionV>
            <wp:extent cx="68580" cy="3683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-1216660</wp:posOffset>
            </wp:positionV>
            <wp:extent cx="68580" cy="3683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-1216660</wp:posOffset>
            </wp:positionV>
            <wp:extent cx="68580" cy="3683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-504825</wp:posOffset>
            </wp:positionV>
            <wp:extent cx="3385820" cy="3683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385820" cy="36830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7683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768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685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 w:lineRule="exact"/>
        <w:rPr>
          <w:sz w:val="20"/>
          <w:szCs w:val="20"/>
          <w:color w:val="auto"/>
        </w:rPr>
      </w:pPr>
    </w:p>
    <w:p>
      <w:pPr>
        <w:ind w:left="760" w:hanging="374"/>
        <w:spacing w:after="0"/>
        <w:tabs>
          <w:tab w:leader="none" w:pos="760" w:val="left"/>
        </w:tabs>
        <w:numPr>
          <w:ilvl w:val="0"/>
          <w:numId w:val="8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Does not include interest expense related to U.S. Treasury Bills.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December 31, 2022, the Company had $425.0 million in total commitments available under the Credit Facility, which includes an accordion feature that allows the Company to increase the total commitments under the Credit Facility up to $500.0 million. The availability period under the Credit Facility expires on April 20, 2025 and is followed by a one-year amortization period. The stated maturity date under the Credit Facility is April 20, 2026, unless extended.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on a per annum basis equal to the Adjusted Term Secured Overnight Financing Rate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unused commitment fees that range from 0.25% to 1.00% per annum based on the total unused lender commitment under the Credit Facility.</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Credit Facility is collateralized by all eligible investment assets held by the Company. The Credit Facility contains representations and warranties and affirmative and negative covenants customary for secured financings of this type, including certain financial covenants such as a consolidated tangible net worth requirements and a required asset coverage ratio.</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December 31, 2021, the weighted average outstanding Credit Facility balance was $134.9 million and $70.2 million, respectively, and the weighted average effective interest rate was 5.89% and 3.50%,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10, 2021, the Company completed a private debt offering of $70.0 million in aggregate principal amount of 4.25% interest-bearing unsecured Series 2021A Senior Notes due 2026 (the "2026 Notes") to institutional accredited investors (as defined in Regulation D under the Securities Act of 1933, as amended (the "Securities Act"). The 2026 Notes were issued in two closings, the initial issuance of $20.0 million 2026 Notes closed on December 10, 2021 and the second and final issuance of $50.0 million closed on February 10, 2022.</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The 2026 Notes bear an interest rate of 4.25% per year and are due on December 10, 2026, unless redeemed, purchased or prepaid prior to such date by the Company or its affiliates in accordance with their terms. Interest on the 2026 Notes will be due semiannually in arrears on June 10 and December 10 of each year, commencing on June 10, 2022. The interest rate is subject to a 1.00% increase in the event that, subject to certain exceptions, the 2026 Notes cease to have an investment grade rating or receive an investment grade rating below the Investment Grade (as defined in the Note Purchase Agreement). The 2026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Aggregate offering costs in connection with the 2026 Notes issuance, including the underwriter’s discount and commissions, were $1.0 million, which were capitalized and deferred. As of December 31, 2022 and December 31, 2021, unamortized deferred debt costs related to the 2026 Notes were $0.8 million and $0.4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2027 Notes</w:t>
      </w:r>
    </w:p>
    <w:p>
      <w:pPr>
        <w:spacing w:after="0" w:line="26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July 28, 2022, the Company issued and sold $80.5 million in aggregate principal amount of 7.50% interest-bearing unsecured Notes due July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July 2027 Notes bear an interest rate of 7.50% per year and are due on July 28, 2027. Interest on the 2027 Notes will be due quarterly in arrears on March 1, June 1, September 1, and December 1 of each year, commencing September 1, 2022.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Aggregate offering costs in connection with the July 2027 Notes issuance, including the underwriter’s discount and commissions, were $2.6 million, which were capitalized and deferred. As of December 31, 2022 and December 31, 2021, unamortized deferred debt costs related to the July 2027 Notes were $2.4 million and $0,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2027 Notes</w:t>
      </w:r>
    </w:p>
    <w:p>
      <w:pPr>
        <w:spacing w:after="0" w:line="25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On August 31, 2022, the Company issued and sold a private debt offering of $20.0 million in aggregate principal amount of 7.00% interest-bearing unsecured Series 2022A Senior Notes due 2027 (the "August 2027 Notes") to HCM Master Fund Limited.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commencing February 23, 2023. The August 2027 Notes are general unsecured obligations of the Company that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all outstanding and future unsecured, unsubordinated indebtedness issued by the Company.</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Aggregate offering costs in connection with the August 2027 Notes issuance, including the underwriter’s discount and commissions, were $0.7 million, which were capitalized and deferred. As of December 31, 2022 and December 31, 2021, unamortized deferred debt costs related to the August 2027 Notes were $0.7 million and $0,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2027 Notes</w:t>
      </w:r>
    </w:p>
    <w:p>
      <w:pPr>
        <w:spacing w:after="0" w:line="2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December 7, 2022, the Company issued and sold $51.75 million in aggregate principal amount of 8.00% interest-bearing unsecured Notes due December 2027 (the "December 2027 Notes") under its shelf Registration Statement on Form N-2. The December 2027 Notes were issued pursuant to the Base Indenture dated July 28, 2022 (the "Base Indenture") and Second Supplemental Indenture, dated December 7, 2022 (together with the Base Indenture, the "Indenture"), between the Company and the Trustee, U.S. Bank Trust Company, National Association.</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The December 2027 Notes bear an interest rate of 8.0% per year and are due on December 28, 2027. Interest on the 2027 Notes will be due quarterly in arrears on March 1, June 1, September 1, and December 1 of each year, commencing March 1, 2023.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7"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Aggregate offering costs in connection with the December 2027 Notes issuance, including the underwriter’s discount and commissions, were $1.8 million, which were capitalized and deferred. As of December 31, 2022 and December 31, 2021, unamortized deferred debt costs related to the December 2027 Notes were $1.8 million and $0,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22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Information about the Company’s senior securities is shown in the following table for the fiscal years ended December 31, 2022, 2021, 2020, 2019 and 2018 (in thousands). No senior securities were outstanding for the fiscal years ended December 31, 2017 and prior.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260" w:type="dxa"/>
            <w:vAlign w:val="bottom"/>
          </w:tcPr>
          <w:p>
            <w:pPr>
              <w:spacing w:after="0"/>
              <w:rPr>
                <w:sz w:val="12"/>
                <w:szCs w:val="12"/>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6"/>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 and Period</w:t>
            </w:r>
          </w:p>
        </w:tc>
        <w:tc>
          <w:tcPr>
            <w:tcW w:w="140" w:type="dxa"/>
            <w:vAlign w:val="bottom"/>
          </w:tcPr>
          <w:p>
            <w:pPr>
              <w:spacing w:after="0"/>
              <w:rPr>
                <w:sz w:val="12"/>
                <w:szCs w:val="12"/>
                <w:color w:val="auto"/>
              </w:rPr>
            </w:pPr>
          </w:p>
        </w:tc>
        <w:tc>
          <w:tcPr>
            <w:tcW w:w="1520" w:type="dxa"/>
            <w:vAlign w:val="bottom"/>
            <w:gridSpan w:val="2"/>
          </w:tcPr>
          <w:p>
            <w:pPr>
              <w:jc w:val="right"/>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Exclusive</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of Treasury Securities</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8"/>
              <w:spacing w:after="0" w:line="189"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9"/>
                <w:szCs w:val="19"/>
                <w:b w:val="1"/>
                <w:bCs w:val="1"/>
                <w:color w:val="auto"/>
                <w:vertAlign w:val="superscript"/>
              </w:rPr>
              <w:t>(2)</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9"/>
                <w:szCs w:val="19"/>
                <w:b w:val="1"/>
                <w:bCs w:val="1"/>
                <w:color w:val="auto"/>
                <w:w w:val="92"/>
                <w:vertAlign w:val="superscript"/>
              </w:rPr>
              <w:t>(3)</w:t>
            </w:r>
          </w:p>
        </w:tc>
        <w:tc>
          <w:tcPr>
            <w:tcW w:w="260" w:type="dxa"/>
            <w:vAlign w:val="bottom"/>
          </w:tcPr>
          <w:p>
            <w:pPr>
              <w:spacing w:after="0"/>
              <w:rPr>
                <w:sz w:val="16"/>
                <w:szCs w:val="16"/>
                <w:color w:val="auto"/>
              </w:rPr>
            </w:pPr>
          </w:p>
        </w:tc>
        <w:tc>
          <w:tcPr>
            <w:tcW w:w="1280" w:type="dxa"/>
            <w:vAlign w:val="bottom"/>
            <w:tcBorders>
              <w:bottom w:val="single" w:sz="8" w:color="auto"/>
            </w:tcBorders>
          </w:tcPr>
          <w:p>
            <w:pPr>
              <w:ind w:left="140"/>
              <w:spacing w:after="0" w:line="189" w:lineRule="exact"/>
              <w:rPr>
                <w:sz w:val="20"/>
                <w:szCs w:val="20"/>
                <w:color w:val="auto"/>
              </w:rPr>
            </w:pPr>
            <w:r>
              <w:rPr>
                <w:rFonts w:ascii="Times New Roman" w:cs="Times New Roman" w:eastAsia="Times New Roman" w:hAnsi="Times New Roman"/>
                <w:sz w:val="14"/>
                <w:szCs w:val="14"/>
                <w:b w:val="1"/>
                <w:bCs w:val="1"/>
                <w:color w:val="auto"/>
              </w:rPr>
              <w:t>Value per Unit</w:t>
            </w:r>
            <w:r>
              <w:rPr>
                <w:rFonts w:ascii="Times New Roman" w:cs="Times New Roman" w:eastAsia="Times New Roman" w:hAnsi="Times New Roman"/>
                <w:sz w:val="19"/>
                <w:szCs w:val="19"/>
                <w:b w:val="1"/>
                <w:bCs w:val="1"/>
                <w:color w:val="auto"/>
                <w:vertAlign w:val="superscript"/>
              </w:rPr>
              <w:t>(4)</w:t>
            </w:r>
          </w:p>
        </w:tc>
        <w:tc>
          <w:tcPr>
            <w:tcW w:w="0" w:type="dxa"/>
            <w:vAlign w:val="bottom"/>
          </w:tcPr>
          <w:p>
            <w:pPr>
              <w:spacing w:after="0"/>
              <w:rPr>
                <w:sz w:val="1"/>
                <w:szCs w:val="1"/>
                <w:color w:val="auto"/>
              </w:rPr>
            </w:pPr>
          </w:p>
        </w:tc>
      </w:tr>
      <w:tr>
        <w:trPr>
          <w:trHeight w:val="169"/>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2027 Notes</w:t>
            </w:r>
          </w:p>
        </w:tc>
        <w:tc>
          <w:tcPr>
            <w:tcW w:w="4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4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9,229</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31,310</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4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337,000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7,169</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Credit Facility</w:t>
            </w:r>
          </w:p>
        </w:tc>
        <w:tc>
          <w:tcPr>
            <w:tcW w:w="43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 CIBC </w:t>
            </w:r>
            <w:r>
              <w:rPr>
                <w:rFonts w:ascii="Times New Roman" w:cs="Times New Roman" w:eastAsia="Times New Roman" w:hAnsi="Times New Roman"/>
                <w:sz w:val="19"/>
                <w:szCs w:val="19"/>
                <w:b w:val="1"/>
                <w:bCs w:val="1"/>
                <w:color w:val="auto"/>
                <w:vertAlign w:val="superscript"/>
              </w:rPr>
              <w:t>(5)</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59,500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559,250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w:t>
            </w:r>
          </w:p>
        </w:tc>
        <w:tc>
          <w:tcPr>
            <w:tcW w:w="22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5"/>
        </w:trPr>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61,000</w:t>
            </w:r>
          </w:p>
        </w:tc>
        <w:tc>
          <w:tcPr>
            <w:tcW w:w="4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7,169</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8"/>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59,500</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220" w:type="dxa"/>
            <w:vAlign w:val="bottom"/>
          </w:tcPr>
          <w:p>
            <w:pPr>
              <w:spacing w:after="0"/>
              <w:rPr>
                <w:sz w:val="16"/>
                <w:szCs w:val="16"/>
                <w:color w:val="auto"/>
              </w:rPr>
            </w:pPr>
          </w:p>
        </w:tc>
        <w:tc>
          <w:tcPr>
            <w:tcW w:w="1140" w:type="dxa"/>
            <w:vAlign w:val="bottom"/>
          </w:tcPr>
          <w:p>
            <w:pPr>
              <w:ind w:left="9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6"/>
                <w:szCs w:val="16"/>
                <w:color w:val="auto"/>
              </w:rPr>
            </w:pPr>
          </w:p>
        </w:tc>
        <w:tc>
          <w:tcPr>
            <w:tcW w:w="12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68"/>
        </w:trPr>
        <w:tc>
          <w:tcPr>
            <w:tcW w:w="94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60" w:hanging="374"/>
        <w:spacing w:after="0"/>
        <w:tabs>
          <w:tab w:leader="none" w:pos="76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Total amount of each class of senior securities outstanding at the end of the period presented</w:t>
      </w:r>
      <w:r>
        <w:rPr>
          <w:rFonts w:ascii="Times New Roman" w:cs="Times New Roman" w:eastAsia="Times New Roman" w:hAnsi="Times New Roman"/>
          <w:sz w:val="17"/>
          <w:szCs w:val="17"/>
          <w:color w:val="auto"/>
        </w:rPr>
        <w:t>.</w:t>
      </w:r>
    </w:p>
    <w:p>
      <w:pPr>
        <w:spacing w:after="0" w:line="89" w:lineRule="exact"/>
        <w:rPr>
          <w:rFonts w:ascii="Times New Roman" w:cs="Times New Roman" w:eastAsia="Times New Roman" w:hAnsi="Times New Roman"/>
          <w:sz w:val="24"/>
          <w:szCs w:val="24"/>
          <w:color w:val="auto"/>
          <w:vertAlign w:val="superscript"/>
        </w:rPr>
      </w:pPr>
    </w:p>
    <w:p>
      <w:pPr>
        <w:ind w:left="760" w:hanging="374"/>
        <w:spacing w:after="0" w:line="219" w:lineRule="auto"/>
        <w:tabs>
          <w:tab w:leader="none" w:pos="76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sset coverage per unit is the ratio of the carrying value of total assets, less all liabilities excluding indebtedness represented by senior securities in this table to the aggregate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of senior securities representing indebtedness. Asset coverage per unit is express in terms of dollar amounts per $1,000 of indebtedness and is calculated on a consolidated basis.</w:t>
      </w:r>
    </w:p>
    <w:p>
      <w:pPr>
        <w:spacing w:after="0" w:line="109" w:lineRule="exact"/>
        <w:rPr>
          <w:rFonts w:ascii="Times New Roman" w:cs="Times New Roman" w:eastAsia="Times New Roman" w:hAnsi="Times New Roman"/>
          <w:sz w:val="24"/>
          <w:szCs w:val="24"/>
          <w:color w:val="auto"/>
          <w:vertAlign w:val="superscript"/>
        </w:rPr>
      </w:pPr>
    </w:p>
    <w:p>
      <w:pPr>
        <w:ind w:left="760" w:hanging="374"/>
        <w:spacing w:after="0" w:line="184" w:lineRule="auto"/>
        <w:tabs>
          <w:tab w:leader="none" w:pos="76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p>
      <w:pPr>
        <w:spacing w:after="0" w:line="22" w:lineRule="exact"/>
        <w:rPr>
          <w:rFonts w:ascii="Times New Roman" w:cs="Times New Roman" w:eastAsia="Times New Roman" w:hAnsi="Times New Roman"/>
          <w:sz w:val="24"/>
          <w:szCs w:val="24"/>
          <w:color w:val="auto"/>
          <w:vertAlign w:val="superscript"/>
        </w:rPr>
      </w:pPr>
    </w:p>
    <w:p>
      <w:pPr>
        <w:ind w:left="760" w:hanging="374"/>
        <w:spacing w:after="0"/>
        <w:tabs>
          <w:tab w:leader="none" w:pos="76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Not applicable because the senior securities are not registered for public trading.</w:t>
      </w:r>
    </w:p>
    <w:p>
      <w:pPr>
        <w:spacing w:after="0" w:line="135" w:lineRule="exact"/>
        <w:rPr>
          <w:rFonts w:ascii="Times New Roman" w:cs="Times New Roman" w:eastAsia="Times New Roman" w:hAnsi="Times New Roman"/>
          <w:sz w:val="24"/>
          <w:szCs w:val="24"/>
          <w:color w:val="auto"/>
          <w:vertAlign w:val="superscript"/>
        </w:rPr>
      </w:pPr>
    </w:p>
    <w:p>
      <w:pPr>
        <w:ind w:left="760" w:hanging="374"/>
        <w:spacing w:after="0" w:line="197" w:lineRule="auto"/>
        <w:tabs>
          <w:tab w:leader="none" w:pos="760"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On June 22, 2018, the Company entered into the Credit Facility with CIBC. On May 31, 2019, in conjunction with securing and entering into the new Credit Facility, the Company terminated the Credit Facility with CIBC</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Financial Highlights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6"/>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1"/>
        </w:trPr>
        <w:tc>
          <w:tcPr>
            <w:tcW w:w="26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2017</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2016</w:t>
            </w: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Per Share Data</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asset value at beginning of period</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14.65</w:t>
            </w:r>
          </w:p>
        </w:tc>
        <w:tc>
          <w:tcPr>
            <w:tcW w:w="40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14.84</w:t>
            </w:r>
          </w:p>
        </w:tc>
        <w:tc>
          <w:tcPr>
            <w:tcW w:w="38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14.58</w:t>
            </w:r>
          </w:p>
        </w:tc>
        <w:tc>
          <w:tcPr>
            <w:tcW w:w="38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15.14</w:t>
            </w:r>
          </w:p>
        </w:tc>
        <w:tc>
          <w:tcPr>
            <w:tcW w:w="50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14.66</w:t>
            </w:r>
          </w:p>
        </w:tc>
        <w:tc>
          <w:tcPr>
            <w:tcW w:w="38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10.38</w:t>
            </w:r>
          </w:p>
        </w:tc>
        <w:tc>
          <w:tcPr>
            <w:tcW w:w="36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15.00</w:t>
            </w:r>
          </w:p>
        </w:tc>
      </w:tr>
      <w:tr>
        <w:trPr>
          <w:trHeight w:val="149"/>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Net investment income</w:t>
            </w:r>
            <w:r>
              <w:rPr>
                <w:rFonts w:ascii="Times New Roman" w:cs="Times New Roman" w:eastAsia="Times New Roman" w:hAnsi="Times New Roman"/>
                <w:sz w:val="14"/>
                <w:szCs w:val="14"/>
                <w:color w:val="auto"/>
                <w:vertAlign w:val="superscript"/>
              </w:rPr>
              <w:t>(3)</w:t>
            </w:r>
          </w:p>
        </w:tc>
        <w:tc>
          <w:tcPr>
            <w:tcW w:w="260" w:type="dxa"/>
            <w:vAlign w:val="bottom"/>
          </w:tcPr>
          <w:p>
            <w:pPr>
              <w:spacing w:after="0"/>
              <w:rPr>
                <w:sz w:val="12"/>
                <w:szCs w:val="12"/>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(0.66)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(83.81)</w:t>
            </w:r>
          </w:p>
        </w:tc>
      </w:tr>
      <w:tr>
        <w:trPr>
          <w:trHeight w:val="14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Realized gain (loss)</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(0.03)</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0.12</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(0.19)</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0.03</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unrealized appreciation (depreciation)</w:t>
            </w:r>
          </w:p>
        </w:tc>
        <w:tc>
          <w:tcPr>
            <w:tcW w:w="260" w:type="dxa"/>
            <w:vAlign w:val="bottom"/>
          </w:tcPr>
          <w:p>
            <w:pPr>
              <w:spacing w:after="0"/>
              <w:rPr>
                <w:sz w:val="12"/>
                <w:szCs w:val="12"/>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(0.64)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0.52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(0.50)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(0.01)</w:t>
            </w:r>
          </w:p>
        </w:tc>
      </w:tr>
      <w:tr>
        <w:trPr>
          <w:trHeight w:val="15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shares</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79.20</w:t>
            </w: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Dividends</w:t>
            </w:r>
            <w:r>
              <w:rPr>
                <w:rFonts w:ascii="Times New Roman" w:cs="Times New Roman" w:eastAsia="Times New Roman" w:hAnsi="Times New Roman"/>
                <w:sz w:val="14"/>
                <w:szCs w:val="14"/>
                <w:color w:val="auto"/>
                <w:vertAlign w:val="superscript"/>
              </w:rPr>
              <w:t>(1)</w:t>
            </w:r>
          </w:p>
        </w:tc>
        <w:tc>
          <w:tcPr>
            <w:tcW w:w="260" w:type="dxa"/>
            <w:vAlign w:val="bottom"/>
          </w:tcPr>
          <w:p>
            <w:pPr>
              <w:spacing w:after="0"/>
              <w:rPr>
                <w:sz w:val="12"/>
                <w:szCs w:val="12"/>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(0.77)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Offering costs</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(0.21)</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(0.03)</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Accretion (dilution)</w:t>
            </w:r>
            <w:r>
              <w:rPr>
                <w:rFonts w:ascii="Times New Roman" w:cs="Times New Roman" w:eastAsia="Times New Roman" w:hAnsi="Times New Roman"/>
                <w:sz w:val="14"/>
                <w:szCs w:val="14"/>
                <w:color w:val="auto"/>
                <w:vertAlign w:val="superscript"/>
              </w:rPr>
              <w:t>(4)</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0.04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(0.01)</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0.16</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(0.01)</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4.80</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82"/>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asset value at end of period</w:t>
            </w:r>
          </w:p>
        </w:tc>
        <w:tc>
          <w:tcPr>
            <w:tcW w:w="26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14.22</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14.65</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14.84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14.58</w:t>
            </w:r>
          </w:p>
        </w:tc>
        <w:tc>
          <w:tcPr>
            <w:tcW w:w="1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15.14</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14.66</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10.38</w:t>
            </w:r>
          </w:p>
        </w:tc>
      </w:tr>
      <w:tr>
        <w:trPr>
          <w:trHeight w:val="129"/>
        </w:trPr>
        <w:tc>
          <w:tcPr>
            <w:tcW w:w="2680" w:type="dxa"/>
            <w:vAlign w:val="bottom"/>
          </w:tcPr>
          <w:p>
            <w:pPr>
              <w:ind w:left="20"/>
              <w:spacing w:after="0" w:line="129" w:lineRule="exact"/>
              <w:rPr>
                <w:sz w:val="20"/>
                <w:szCs w:val="20"/>
                <w:color w:val="auto"/>
              </w:rPr>
            </w:pPr>
            <w:r>
              <w:rPr>
                <w:rFonts w:ascii="Times New Roman" w:cs="Times New Roman" w:eastAsia="Times New Roman" w:hAnsi="Times New Roman"/>
                <w:sz w:val="11"/>
                <w:szCs w:val="11"/>
                <w:color w:val="auto"/>
              </w:rPr>
              <w:t>Total return based on net asset value</w:t>
            </w:r>
            <w:r>
              <w:rPr>
                <w:rFonts w:ascii="Times New Roman" w:cs="Times New Roman" w:eastAsia="Times New Roman" w:hAnsi="Times New Roman"/>
                <w:sz w:val="14"/>
                <w:szCs w:val="14"/>
                <w:color w:val="auto"/>
                <w:vertAlign w:val="superscript"/>
              </w:rPr>
              <w:t>(2)</w:t>
            </w: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 %</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 %</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41.23 %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(30.80) %</w:t>
            </w:r>
          </w:p>
        </w:tc>
      </w:tr>
      <w:tr>
        <w:trPr>
          <w:trHeight w:val="148"/>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 for the period, basic</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40,971,242</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34,183,358</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27,617,425</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18,701,021</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9,300,960</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2,795,274</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10,774</w:t>
            </w:r>
          </w:p>
        </w:tc>
      </w:tr>
      <w:tr>
        <w:trPr>
          <w:trHeight w:val="145"/>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Ratio/Supplemental Data:</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assets at end of period</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576,052</w:t>
            </w:r>
          </w:p>
        </w:tc>
        <w:tc>
          <w:tcPr>
            <w:tcW w:w="40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606,195</w:t>
            </w:r>
          </w:p>
        </w:tc>
        <w:tc>
          <w:tcPr>
            <w:tcW w:w="38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466,244</w:t>
            </w:r>
          </w:p>
        </w:tc>
        <w:tc>
          <w:tcPr>
            <w:tcW w:w="38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376,313</w:t>
            </w:r>
          </w:p>
        </w:tc>
        <w:tc>
          <w:tcPr>
            <w:tcW w:w="50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167,369</w:t>
            </w:r>
          </w:p>
        </w:tc>
        <w:tc>
          <w:tcPr>
            <w:tcW w:w="38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127,040</w:t>
            </w:r>
          </w:p>
        </w:tc>
        <w:tc>
          <w:tcPr>
            <w:tcW w:w="36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3,477</w:t>
            </w:r>
          </w:p>
        </w:tc>
      </w:tr>
      <w:tr>
        <w:trPr>
          <w:trHeight w:val="148"/>
        </w:trPr>
        <w:tc>
          <w:tcPr>
            <w:tcW w:w="26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Average net assets</w:t>
            </w:r>
            <w:r>
              <w:rPr>
                <w:rFonts w:ascii="Times New Roman" w:cs="Times New Roman" w:eastAsia="Times New Roman" w:hAnsi="Times New Roman"/>
                <w:sz w:val="14"/>
                <w:szCs w:val="14"/>
                <w:color w:val="auto"/>
                <w:vertAlign w:val="superscript"/>
              </w:rPr>
              <w:t>(5)</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589,669</w:t>
            </w:r>
          </w:p>
        </w:tc>
        <w:tc>
          <w:tcPr>
            <w:tcW w:w="40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508,836</w:t>
            </w:r>
          </w:p>
        </w:tc>
        <w:tc>
          <w:tcPr>
            <w:tcW w:w="38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403,188</w:t>
            </w:r>
          </w:p>
        </w:tc>
        <w:tc>
          <w:tcPr>
            <w:tcW w:w="3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283,774</w:t>
            </w:r>
          </w:p>
        </w:tc>
        <w:tc>
          <w:tcPr>
            <w:tcW w:w="50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141,046</w:t>
            </w:r>
          </w:p>
        </w:tc>
        <w:tc>
          <w:tcPr>
            <w:tcW w:w="38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40,389</w:t>
            </w: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152</w:t>
            </w:r>
          </w:p>
        </w:tc>
      </w:tr>
      <w:tr>
        <w:trPr>
          <w:trHeight w:val="148"/>
        </w:trPr>
        <w:tc>
          <w:tcPr>
            <w:tcW w:w="26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1"/>
                <w:szCs w:val="11"/>
                <w:color w:val="auto"/>
              </w:rPr>
              <w:t>Ratio of net operating expenses to average net assets</w:t>
            </w:r>
            <w:r>
              <w:rPr>
                <w:rFonts w:ascii="Times New Roman" w:cs="Times New Roman" w:eastAsia="Times New Roman" w:hAnsi="Times New Roman"/>
                <w:sz w:val="14"/>
                <w:szCs w:val="14"/>
                <w:color w:val="auto"/>
                <w:vertAlign w:val="superscript"/>
              </w:rPr>
              <w:t>(6)</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8.27 %</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5.28 %</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4.84 %</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6.58 %</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6.42 %</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12.46 %</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595.90 %</w:t>
            </w:r>
          </w:p>
        </w:tc>
      </w:tr>
      <w:tr>
        <w:trPr>
          <w:trHeight w:val="121"/>
        </w:trPr>
        <w:tc>
          <w:tcPr>
            <w:tcW w:w="26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Ratio of net increase (decrease) in net assets resulting</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2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from operations to average net assets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5.47 %</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9.74 %</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(595.90) %</w:t>
            </w:r>
          </w:p>
        </w:tc>
      </w:tr>
      <w:tr>
        <w:trPr>
          <w:trHeight w:val="153"/>
        </w:trPr>
        <w:tc>
          <w:tcPr>
            <w:tcW w:w="268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1"/>
                <w:szCs w:val="11"/>
                <w:color w:val="auto"/>
              </w:rPr>
              <w:t>Portfolio turnover rate</w:t>
            </w:r>
            <w:r>
              <w:rPr>
                <w:rFonts w:ascii="Times New Roman" w:cs="Times New Roman" w:eastAsia="Times New Roman" w:hAnsi="Times New Roman"/>
                <w:sz w:val="14"/>
                <w:szCs w:val="14"/>
                <w:color w:val="auto"/>
                <w:vertAlign w:val="superscript"/>
              </w:rPr>
              <w:t>(7)</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20.06 %</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49.61 %</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25.14 %</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32.99 %</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11.66 %</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227.09 %</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-856615</wp:posOffset>
            </wp:positionV>
            <wp:extent cx="4003040" cy="1200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00304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1" w:lineRule="exact"/>
        <w:rPr>
          <w:sz w:val="20"/>
          <w:szCs w:val="20"/>
          <w:color w:val="auto"/>
        </w:rPr>
      </w:pPr>
    </w:p>
    <w:p>
      <w:pPr>
        <w:ind w:left="760" w:hanging="374"/>
        <w:spacing w:after="0"/>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Financial highlights are based on weighted-average shares outstanding.</w:t>
      </w:r>
    </w:p>
    <w:p>
      <w:pPr>
        <w:spacing w:after="0" w:line="99" w:lineRule="exact"/>
        <w:rPr>
          <w:rFonts w:ascii="Times New Roman" w:cs="Times New Roman" w:eastAsia="Times New Roman" w:hAnsi="Times New Roman"/>
          <w:sz w:val="24"/>
          <w:szCs w:val="24"/>
          <w:color w:val="auto"/>
          <w:vertAlign w:val="superscript"/>
        </w:rPr>
      </w:pPr>
    </w:p>
    <w:p>
      <w:pPr>
        <w:ind w:left="760" w:hanging="374"/>
        <w:spacing w:after="0" w:line="195" w:lineRule="auto"/>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Total return based on net asset value is based upon the change in net asset value per share between the opening and ending net asset values per share in the year.</w:t>
      </w:r>
    </w:p>
    <w:p>
      <w:pPr>
        <w:spacing w:after="0" w:line="135" w:lineRule="exact"/>
        <w:rPr>
          <w:rFonts w:ascii="Times New Roman" w:cs="Times New Roman" w:eastAsia="Times New Roman" w:hAnsi="Times New Roman"/>
          <w:sz w:val="24"/>
          <w:szCs w:val="24"/>
          <w:color w:val="auto"/>
          <w:vertAlign w:val="superscript"/>
        </w:rPr>
      </w:pPr>
    </w:p>
    <w:p>
      <w:pPr>
        <w:ind w:left="760" w:right="220" w:hanging="374"/>
        <w:spacing w:after="0" w:line="184" w:lineRule="auto"/>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Return from investment operations was 9.97%, 8.76%, 9.47%, 12.88%, 8.59%, (6.36%) and (30.80%) for the years ended December 31, 2022, 2021, 2020, 2019, 2018, 2017, and 2016, respectively. Return from investment operations represents returns on net investment income from operations.</w:t>
      </w:r>
    </w:p>
    <w:p>
      <w:pPr>
        <w:spacing w:after="0" w:line="110" w:lineRule="exact"/>
        <w:rPr>
          <w:rFonts w:ascii="Times New Roman" w:cs="Times New Roman" w:eastAsia="Times New Roman" w:hAnsi="Times New Roman"/>
          <w:sz w:val="24"/>
          <w:szCs w:val="24"/>
          <w:color w:val="auto"/>
          <w:vertAlign w:val="superscript"/>
        </w:rPr>
      </w:pPr>
    </w:p>
    <w:p>
      <w:pPr>
        <w:ind w:left="760" w:right="60" w:hanging="374"/>
        <w:spacing w:after="0" w:line="184" w:lineRule="auto"/>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Return from accretion (dilution) was 0.27%, 0.00%, (0.06%), 0.88%, (0.07%), 46.24%, and 0.00% for the years ended December 31, 2022, 2021, 2020, 2019, 2018, 2017, and 2016, respectively.</w:t>
      </w:r>
    </w:p>
    <w:p>
      <w:pPr>
        <w:spacing w:after="0" w:line="110" w:lineRule="exact"/>
        <w:rPr>
          <w:rFonts w:ascii="Times New Roman" w:cs="Times New Roman" w:eastAsia="Times New Roman" w:hAnsi="Times New Roman"/>
          <w:sz w:val="24"/>
          <w:szCs w:val="24"/>
          <w:color w:val="auto"/>
          <w:vertAlign w:val="superscript"/>
        </w:rPr>
      </w:pPr>
    </w:p>
    <w:p>
      <w:pPr>
        <w:ind w:left="760" w:right="360" w:hanging="374"/>
        <w:spacing w:after="0" w:line="184" w:lineRule="auto"/>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Ratio of net investment income to average net assets was 10.14%, 8.74%, 9.47%, 12.88%, 8.30%, (4.56%), and (595.90%) for the years ended December 31, 2022, 2021, 2020, 2019, 2018, 2017, and 2016, respectively.</w:t>
      </w:r>
    </w:p>
    <w:p>
      <w:pPr>
        <w:spacing w:after="0" w:line="110" w:lineRule="exact"/>
        <w:rPr>
          <w:rFonts w:ascii="Times New Roman" w:cs="Times New Roman" w:eastAsia="Times New Roman" w:hAnsi="Times New Roman"/>
          <w:sz w:val="24"/>
          <w:szCs w:val="24"/>
          <w:color w:val="auto"/>
          <w:vertAlign w:val="superscript"/>
        </w:rPr>
      </w:pPr>
    </w:p>
    <w:p>
      <w:pPr>
        <w:ind w:left="760" w:right="220" w:hanging="374"/>
        <w:spacing w:after="0" w:line="184" w:lineRule="auto"/>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Ratio of net operating expenses excluding incentive fees, to average net assets was 6.03%, 3.47%, 3.04%, 3.64%, 5.42%, 12.46%, and 595.95% for the years ended December 31, 2022, 2021, 2020, 2019, 2018, 2017, and 2016, respectively.</w:t>
      </w:r>
    </w:p>
    <w:p>
      <w:pPr>
        <w:spacing w:after="0" w:line="110" w:lineRule="exact"/>
        <w:rPr>
          <w:rFonts w:ascii="Times New Roman" w:cs="Times New Roman" w:eastAsia="Times New Roman" w:hAnsi="Times New Roman"/>
          <w:sz w:val="24"/>
          <w:szCs w:val="24"/>
          <w:color w:val="auto"/>
          <w:vertAlign w:val="superscript"/>
        </w:rPr>
      </w:pPr>
    </w:p>
    <w:p>
      <w:pPr>
        <w:ind w:left="760" w:right="160" w:hanging="374"/>
        <w:spacing w:after="0" w:line="184" w:lineRule="auto"/>
        <w:tabs>
          <w:tab w:leader="none" w:pos="760" w:val="left"/>
        </w:tabs>
        <w:numPr>
          <w:ilvl w:val="0"/>
          <w:numId w:val="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portfolio turnover rate for the years ended December 31, 2022, 2021, 2020, 2019, 2018 and 2017 equals the lesser of investment portfolio purchases or sales during the period, divided by the average investment portfolio value during the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evaluated events subsequent to December 31, 2022 through March 2, 2023, the date the financial statements were issued.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January 3, 2023, TRACON Pharmaceuticals, Inc. prepaid its outstanding principal balance of $10.0 million on the senior secured loan.</w:t>
      </w:r>
    </w:p>
    <w:p>
      <w:pPr>
        <w:spacing w:after="0" w:line="22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January 4, 2023, the Company entered into an amendment (the "Credit Agreement Amendment") to the Amended and Restated Credit Agreement dated as of April 20, 2022 (the "Credit Agreement"), among the Company, as borrower; the financial institutions parties thereto as lenders (the "Lenders"); KeyBank National Association, as administrative agent for the Lenders; CIBC Bank USA, as documentation agent; MUFG Bank, Ltd., as co-documentation agent; and U.S. Bank Trust Company, National Association, as collateral custodian and paying agent. The Credit Agreement Amendment amended the Credit Agreement to, among other things, (i) revise the liquidity covenant to incorporate coverage for delayed draw term loans within the Company’s pledged loan portfolio and make additional clarifying modifications to the covenant; (ii) add a swingline sub-commitment within the KeyBank commitment to accommodate the potential for delayed fundings of Lender advances; and (iii) change the requirements for future facility amount increases under the accordion provisions of the Credit Agreement. In conjunction with the Credit Agreement Amendment, the Company increased the facility amount under the Credit Agreement by $50.0 million pursuant to the existing accordion provisions of the Credit Agreement. As part of the increased facility amount, Autobahn Funding Company LLC and Valley National Bank became new Lenders. The amendments to the Credit Agreement were effective as of January 4, 2023, with the exception of the revision to the liquidity covenant, which was effective as of December 31, 2022.</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January 31, 2023, the Company funded an investment of $2.0 million to Intellisite Holdings, Inc. (dba Epic IO Technologies,Inc.).</w:t>
      </w:r>
    </w:p>
    <w:p>
      <w:pPr>
        <w:spacing w:after="0" w:line="26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February 23, 2023, the Board of Directors declared an ordinary distribution of $0.40 per share and a supplemental distribution of $0.05 per share for stockholders of record on March 7, 2023 payable on or before March 21, 2023.</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February 23, 2023, the Company funded an investment of $4.0 million to Brivo,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00" w:lineRule="exact"/>
        <w:rPr>
          <w:sz w:val="20"/>
          <w:szCs w:val="20"/>
          <w:color w:val="auto"/>
        </w:rPr>
      </w:pPr>
    </w:p>
    <w:p>
      <w:pPr>
        <w:jc w:val="both"/>
        <w:ind w:firstLine="374"/>
        <w:spacing w:after="0" w:line="226"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financial statements for external reporting purposes in accordance with U.S. GAAP.</w:t>
      </w:r>
    </w:p>
    <w:p>
      <w:pPr>
        <w:spacing w:after="0" w:line="19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financial statements.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the Company’s internal control over financial reporting as of December 31, 2022 based on the framework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assessment, management concluded that the Company’s internal control over financial reporting as of December 31, 2022 was effective.</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an exemption for emerging growth companies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year ended December 31, 2022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table is being provided to update as of December 31, 2022, certain information in our registration statement on Form N-2 (File No. 333-262146). The information is intended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Annual Report on Form 10-K contains a reference to fees or expenses paid by "you," "us," or "the Company," or that "we" will pay for expenses, stockholders will indirectly bear such fees or expenses as investors in 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8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(1)</w:t>
            </w:r>
          </w:p>
        </w:tc>
      </w:tr>
      <w:tr>
        <w:trPr>
          <w:trHeight w:val="175"/>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expenses (as a percentage of offering price)</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(2)</w:t>
            </w:r>
          </w:p>
        </w:tc>
      </w:tr>
      <w:tr>
        <w:trPr>
          <w:trHeight w:val="176"/>
        </w:trPr>
        <w:tc>
          <w:tcPr>
            <w:tcW w:w="8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Dividend reinvestment plan expenses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(3)</w:t>
            </w:r>
          </w:p>
        </w:tc>
      </w:tr>
      <w:tr>
        <w:trPr>
          <w:trHeight w:val="169"/>
        </w:trPr>
        <w:tc>
          <w:tcPr>
            <w:tcW w:w="8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stockholder transaction expenses (as a percentage of offering price)</w:t>
            </w:r>
          </w:p>
        </w:tc>
        <w:tc>
          <w:tcPr>
            <w:tcW w:w="170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8"/>
                <w:szCs w:val="18"/>
                <w:color w:val="auto"/>
                <w:vertAlign w:val="subscript"/>
              </w:rPr>
              <w:t>%</w:t>
            </w:r>
          </w:p>
        </w:tc>
        <w:tc>
          <w:tcPr>
            <w:tcW w:w="680" w:type="dxa"/>
            <w:vAlign w:val="bottom"/>
          </w:tcPr>
          <w:p>
            <w:pPr>
              <w:spacing w:after="0"/>
              <w:rPr>
                <w:sz w:val="14"/>
                <w:szCs w:val="14"/>
                <w:color w:val="auto"/>
              </w:rPr>
            </w:pPr>
          </w:p>
        </w:tc>
      </w:tr>
      <w:tr>
        <w:trPr>
          <w:trHeight w:val="20"/>
        </w:trPr>
        <w:tc>
          <w:tcPr>
            <w:tcW w:w="88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56"/>
        </w:trPr>
        <w:tc>
          <w:tcPr>
            <w:tcW w:w="88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Annual expenses (as a percentage of net assets attributable to common stock):</w:t>
            </w:r>
          </w:p>
        </w:tc>
        <w:tc>
          <w:tcPr>
            <w:tcW w:w="13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76"/>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 payable under the Investment Advisory Agreement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(4)</w:t>
            </w:r>
          </w:p>
        </w:tc>
      </w:tr>
      <w:tr>
        <w:trPr>
          <w:trHeight w:val="175"/>
        </w:trPr>
        <w:tc>
          <w:tcPr>
            <w:tcW w:w="8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 payable under the Investment Advisory Agreement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3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(5)</w:t>
            </w:r>
          </w:p>
        </w:tc>
      </w:tr>
      <w:tr>
        <w:trPr>
          <w:trHeight w:val="176"/>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payments on borrowed funds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(6)</w:t>
            </w:r>
          </w:p>
        </w:tc>
      </w:tr>
      <w:tr>
        <w:trPr>
          <w:trHeight w:val="175"/>
        </w:trPr>
        <w:tc>
          <w:tcPr>
            <w:tcW w:w="8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3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0"/>
                <w:szCs w:val="10"/>
                <w:color w:val="auto"/>
              </w:rPr>
              <w:t>(7)(8)</w:t>
            </w:r>
          </w:p>
        </w:tc>
      </w:tr>
      <w:tr>
        <w:trPr>
          <w:trHeight w:val="169"/>
        </w:trPr>
        <w:tc>
          <w:tcPr>
            <w:tcW w:w="8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annual expenses</w:t>
            </w:r>
          </w:p>
        </w:tc>
        <w:tc>
          <w:tcPr>
            <w:tcW w:w="13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6.92</w:t>
            </w:r>
          </w:p>
        </w:tc>
        <w:tc>
          <w:tcPr>
            <w:tcW w:w="3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(8)</w:t>
            </w:r>
          </w:p>
        </w:tc>
      </w:tr>
      <w:tr>
        <w:trPr>
          <w:trHeight w:val="20"/>
        </w:trPr>
        <w:tc>
          <w:tcPr>
            <w:tcW w:w="8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7"/>
        </w:trPr>
        <w:tc>
          <w:tcPr>
            <w:tcW w:w="8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-993775</wp:posOffset>
            </wp:positionV>
            <wp:extent cx="68580" cy="14541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-290830</wp:posOffset>
            </wp:positionV>
            <wp:extent cx="68580" cy="1460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43" w:lineRule="exact"/>
        <w:rPr>
          <w:sz w:val="20"/>
          <w:szCs w:val="20"/>
          <w:color w:val="auto"/>
        </w:rPr>
      </w:pPr>
    </w:p>
    <w:p>
      <w:pPr>
        <w:ind w:left="760" w:hanging="374"/>
        <w:spacing w:after="0"/>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event that the securities are sold to or through underwriters, a related prospectus will disclose the applicable sales load (underwriting discount or commission).</w:t>
      </w:r>
    </w:p>
    <w:p>
      <w:pPr>
        <w:spacing w:after="0" w:line="72" w:lineRule="exact"/>
        <w:rPr>
          <w:rFonts w:ascii="Times New Roman" w:cs="Times New Roman" w:eastAsia="Times New Roman" w:hAnsi="Times New Roman"/>
          <w:sz w:val="19"/>
          <w:szCs w:val="19"/>
          <w:color w:val="auto"/>
          <w:vertAlign w:val="superscript"/>
        </w:rPr>
      </w:pPr>
    </w:p>
    <w:p>
      <w:pPr>
        <w:ind w:left="760" w:right="20" w:hanging="374"/>
        <w:spacing w:after="0" w:line="210" w:lineRule="auto"/>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related prospectus will disclose the estimated amount of offering expenses, the offering price and the estimated amount of offering expenses borne by the Company as a percentage of the offering price.</w:t>
      </w:r>
    </w:p>
    <w:p>
      <w:pPr>
        <w:spacing w:after="0" w:line="38"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expenses of the Dividend Reinvestment Plan are included in "other expenses" in the table above. For additional information, see </w:t>
      </w:r>
      <w:r>
        <w:rPr>
          <w:rFonts w:ascii="Times New Roman" w:cs="Times New Roman" w:eastAsia="Times New Roman" w:hAnsi="Times New Roman"/>
          <w:sz w:val="14"/>
          <w:szCs w:val="14"/>
          <w:i w:val="1"/>
          <w:iCs w:val="1"/>
          <w:color w:val="auto"/>
        </w:rPr>
        <w:t>"Dividend Reinvestment Plan."</w:t>
      </w:r>
    </w:p>
    <w:p>
      <w:pPr>
        <w:spacing w:after="0" w:line="72" w:lineRule="exact"/>
        <w:rPr>
          <w:rFonts w:ascii="Times New Roman" w:cs="Times New Roman" w:eastAsia="Times New Roman" w:hAnsi="Times New Roman"/>
          <w:sz w:val="19"/>
          <w:szCs w:val="19"/>
          <w:color w:val="auto"/>
          <w:vertAlign w:val="superscript"/>
        </w:rPr>
      </w:pPr>
    </w:p>
    <w:p>
      <w:pPr>
        <w:ind w:left="760" w:right="60" w:hanging="374"/>
        <w:spacing w:after="0" w:line="210" w:lineRule="auto"/>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Assumes the base management fee will be an amount equal to 0.40% (1.60% annualized) of our average daily Gross Assets during the most recently completed calendar quarter. See </w:t>
      </w:r>
      <w:r>
        <w:rPr>
          <w:rFonts w:ascii="Times New Roman" w:cs="Times New Roman" w:eastAsia="Times New Roman" w:hAnsi="Times New Roman"/>
          <w:sz w:val="14"/>
          <w:szCs w:val="14"/>
          <w:i w:val="1"/>
          <w:iCs w:val="1"/>
          <w:color w:val="auto"/>
        </w:rPr>
        <w:t>"Management and Other Agreements - Compensation of Adviser."</w:t>
      </w:r>
    </w:p>
    <w:p>
      <w:pPr>
        <w:spacing w:after="0" w:line="38"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incentive fee, which provides RGC with a share of the income that RGC generates for us, consists of an Investment Income Fee and a Capital Gains Fee.</w:t>
      </w:r>
    </w:p>
    <w:p>
      <w:pPr>
        <w:spacing w:after="0" w:line="72" w:lineRule="exact"/>
        <w:rPr>
          <w:rFonts w:ascii="Times New Roman" w:cs="Times New Roman" w:eastAsia="Times New Roman" w:hAnsi="Times New Roman"/>
          <w:sz w:val="19"/>
          <w:szCs w:val="19"/>
          <w:color w:val="auto"/>
          <w:vertAlign w:val="superscript"/>
        </w:rPr>
      </w:pPr>
    </w:p>
    <w:p>
      <w:pPr>
        <w:ind w:left="760" w:right="20" w:hanging="374"/>
        <w:spacing w:after="0" w:line="213" w:lineRule="auto"/>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payments on borrowed funds represents an estimate of our annualized interest expense based on borrowings under the Credit Agreement. The assumed weighted average interest rate on our total debt outstanding was 3.5%. We may borrow additional funds from time to time to make investments to the extent we determine that the economic situation is conducive to doing so. We may also issue debt securities or preferred stock, subject to our compliance with applicable requirements under the 1940 Act.</w:t>
      </w:r>
    </w:p>
    <w:p>
      <w:pPr>
        <w:spacing w:after="0" w:line="67" w:lineRule="exact"/>
        <w:rPr>
          <w:rFonts w:ascii="Times New Roman" w:cs="Times New Roman" w:eastAsia="Times New Roman" w:hAnsi="Times New Roman"/>
          <w:sz w:val="19"/>
          <w:szCs w:val="19"/>
          <w:color w:val="auto"/>
          <w:vertAlign w:val="superscript"/>
        </w:rPr>
      </w:pPr>
    </w:p>
    <w:p>
      <w:pPr>
        <w:ind w:left="760" w:right="260" w:hanging="374"/>
        <w:spacing w:after="0" w:line="214" w:lineRule="auto"/>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Includes our overhead expenses, such as payments under the Administration Agreement for certain expenses incurred by the Adviser. See </w:t>
      </w:r>
      <w:r>
        <w:rPr>
          <w:rFonts w:ascii="Times New Roman" w:cs="Times New Roman" w:eastAsia="Times New Roman" w:hAnsi="Times New Roman"/>
          <w:sz w:val="14"/>
          <w:szCs w:val="14"/>
          <w:i w:val="1"/>
          <w:iCs w:val="1"/>
          <w:color w:val="auto"/>
        </w:rPr>
        <w:t xml:space="preserve">"Management and Other Agreements -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Investment Advisory Agreement; Administration Agreement; License Agreement." </w:t>
      </w:r>
      <w:r>
        <w:rPr>
          <w:rFonts w:ascii="Times New Roman" w:cs="Times New Roman" w:eastAsia="Times New Roman" w:hAnsi="Times New Roman"/>
          <w:sz w:val="14"/>
          <w:szCs w:val="14"/>
          <w:color w:val="auto"/>
        </w:rPr>
        <w:t>We based these expenses on estimated amounts for the current fiscal year.</w:t>
      </w:r>
    </w:p>
    <w:p>
      <w:pPr>
        <w:spacing w:after="0" w:line="38"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w:t>
      </w:r>
    </w:p>
    <w:p>
      <w:pPr>
        <w:spacing w:after="0" w:line="18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Under the Income Incentive Fee, we pay RGC each quarter an incentive fee with respect to our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Pre-Incentive Fee net investment income, expressed as a rate of return on the value of our net assets (defined as total assets less liabilities) at the end of the immediately preceding fiscal quarter, will be compared to a "hurdle rate" of 2.0% per quarter (8.0% annualized). We will pay RGC an Income Incentive Fee with respect to the our Pre-Incentive Fee net investment income in each calendar quarter as follows: (1) no Income Incentive Fee in any calendar quarter in which our Pre-Incentive Fee net investment income does not exceed the hurdle rate of 2.0%; (2) 80% of our Pre-Incentive Fee net investment income with respect to that portion of such Pre-Incentive Fee net investment income, if any, that exceeds the hurdle rate but is less than 2.667% in any calendar quarter (10.668% annualized) (the portion of our Pre-Incentive Fee net investment income that exceeds the hurdle but is less than 2.667% is referred to as the "catch-up"; the "catch-up" is meant to provide RGC with 20.0% of our Pre-Incentive Fee net investment income as if a hurdle did not apply if our Pre-Incentive Fee net investment income exceeds 2.667% in any calendar quarter (10.668% annualized)); and (3) 20.0% of the amount of our Pre-Incentive Fee net investment income, if any, that exceeds 2.667% in any calendar quarter (10.668% annualized) payable to RGC (once the hurdle is reached and the catch-up is achieved, 20.0% of all Pre-Incentive Fee net investment income thereafter is allocated to RGC). Under the Capital Gains Fee, we will pay RGC, as of the end of each calendar year, 20.0% of our aggregate cumulative realized capital gains, if any, from the date of our election to be regulated as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BDC through the end of that calendar year, computed net of our aggregate cumulative realized capital losses and aggregate cumulative unrealized capital depreciation through the end of such year, less the aggregate amount of any previously paid Capital Gains Fee. See "Management and Other Agreements -  Compensation of Adviser."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Transaction expenses are included in the following example.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 Year</w:t>
            </w:r>
          </w:p>
        </w:tc>
        <w:tc>
          <w:tcPr>
            <w:tcW w:w="2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Years</w:t>
            </w:r>
          </w:p>
        </w:tc>
        <w:tc>
          <w:tcPr>
            <w:tcW w:w="3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 Years</w:t>
            </w:r>
          </w:p>
        </w:tc>
        <w:tc>
          <w:tcPr>
            <w:tcW w:w="2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10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5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You would pay the following expenses on a $1,000 investment, assuming a 5% annual</w:t>
            </w:r>
          </w:p>
        </w:tc>
        <w:tc>
          <w:tcPr>
            <w:tcW w:w="880" w:type="dxa"/>
            <w:vAlign w:val="bottom"/>
            <w:vMerge w:val="restart"/>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20" w:type="dxa"/>
            <w:vAlign w:val="bottom"/>
            <w:gridSpan w:val="2"/>
            <w:vMerge w:val="restart"/>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0" w:type="dxa"/>
            <w:vAlign w:val="bottom"/>
            <w:gridSpan w:val="2"/>
            <w:vMerge w:val="restart"/>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5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return from realized capital gains</w:t>
            </w:r>
          </w:p>
        </w:tc>
        <w:tc>
          <w:tcPr>
            <w:tcW w:w="880" w:type="dxa"/>
            <w:vAlign w:val="bottom"/>
            <w:vMerge w:val="continue"/>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540" w:type="dxa"/>
            <w:vAlign w:val="bottom"/>
            <w:gridSpan w:val="2"/>
            <w:vMerge w:val="continue"/>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19"/>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Incentive Fee under the Advisory Agreement is unlikely to be significant assuming a 5% annual return, the example assumes that the 5% annual return will be generated entirely through the realization of capital gains on our assets and, as a result, will trigger the payment of the Capital Gains Fee under the Advisory Agreement. The Income Incentive Fee under the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Income Incentive Fee of a material amount, our expenses, and returns to our investors, would be higher. In addition, while the example assumes reinvestment of all dividends and distributions at net asset value, if our Board authorizes and we declare a cash dividend, participants in our Dividend Reinvestment Plan who have not otherwise elected to receive cash will receive a number of shares of our common stockc, determined by dividing the total dollar amount of the dividend payable to a participant by the market price per share of our common stock at the close of trading on the valuation date for the dividend. See "Item 1. Business—Dividend Reinvestment Plan" for additional information regarding our Dividend Reinvestment Plan.</w:t>
      </w:r>
    </w:p>
    <w:p>
      <w:pPr>
        <w:spacing w:after="0" w:line="190" w:lineRule="exact"/>
        <w:rPr>
          <w:sz w:val="20"/>
          <w:szCs w:val="20"/>
          <w:color w:val="auto"/>
        </w:rPr>
      </w:pPr>
    </w:p>
    <w:p>
      <w:pPr>
        <w:jc w:val="both"/>
        <w:ind w:right="20" w:firstLine="419"/>
        <w:spacing w:after="0" w:line="282"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firstLine="1293"/>
        <w:spacing w:after="0" w:line="261" w:lineRule="auto"/>
        <w:rPr>
          <w:sz w:val="20"/>
          <w:szCs w:val="20"/>
          <w:color w:val="auto"/>
        </w:rPr>
      </w:pPr>
      <w:r>
        <w:rPr>
          <w:rFonts w:ascii="Times New Roman" w:cs="Times New Roman" w:eastAsia="Times New Roman" w:hAnsi="Times New Roman"/>
          <w:sz w:val="18"/>
          <w:szCs w:val="18"/>
          <w:color w:val="auto"/>
        </w:rPr>
        <w:t>The terms "we," "us," and "our" refers to Runway Growth Finance Corp. We will file a definitive proxy statement for our 2023 annual meeting of stockholders (the "2023 Proxy Statement) with the SEC pursuant to Regulation 14A under the Exchange Act not later than 120 days after the end of our fiscal year. Accordingly, certain information required by Part III has been omitted under General Instruction G(3) to Form 10-K. Only those sections of our 2023 Proxy Statement that specifically address the items set forth herein are incorporated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The information required by Item 10 is incorporated by reference from our 2023 Proxy Statement. The 2023 Proxy Statement will be filed with the SEC within 120 days after the end of the fiscal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Regulation 14A under the Exchange Act.</w:t>
      </w:r>
    </w:p>
    <w:p>
      <w:pPr>
        <w:spacing w:after="0" w:line="179"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https://investors.runwaygrowth.com/static-files/51fd1f5a-9ffc-402a-bedb-cf35308c0af3. We intend to disclose any changes in, or waivers from, the Code of Business Conduct and Ethics by posting such information on the same website or by filing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each case to the extent such disclosure is required by rules of the SEC or</w:t>
      </w:r>
    </w:p>
    <w:p>
      <w:pPr>
        <w:spacing w:after="0"/>
        <w:rPr>
          <w:sz w:val="20"/>
          <w:szCs w:val="20"/>
          <w:color w:val="auto"/>
        </w:rPr>
      </w:pPr>
      <w:r>
        <w:rPr>
          <w:rFonts w:ascii="Times New Roman" w:cs="Times New Roman" w:eastAsia="Times New Roman" w:hAnsi="Times New Roman"/>
          <w:sz w:val="18"/>
          <w:szCs w:val="18"/>
          <w:color w:val="auto"/>
        </w:rPr>
        <w:t>NASDAQ.</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firstLine="374"/>
        <w:spacing w:after="0" w:line="235" w:lineRule="exact"/>
        <w:rPr>
          <w:sz w:val="20"/>
          <w:szCs w:val="20"/>
          <w:color w:val="auto"/>
        </w:rPr>
      </w:pPr>
      <w:r>
        <w:rPr>
          <w:rFonts w:ascii="Times New Roman" w:cs="Times New Roman" w:eastAsia="Times New Roman" w:hAnsi="Times New Roman"/>
          <w:sz w:val="18"/>
          <w:szCs w:val="18"/>
          <w:color w:val="auto"/>
        </w:rPr>
        <w:t>The information required by Item 11 is incorporated by reference from our 2023 Proxy Statement. The 2023 Proxy Statement will be filed with the SEC within 120 days after the end of the fiscal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Regulation 14A under the Exchange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The information required by Item 12 is incorporated by reference from our 2023 Proxy Statement. The 2023 Proxy Statement will be filed with the SEC within 120 days after the end of the fiscal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Regulation 14A under the Exchange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The information required by Item 13 is incorporated by reference from our 2023 Proxy Statement. The 2023 Proxy Statement will be filed with the SEC within 120 days after the end of the fiscal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Regulation 14A under the Exchange 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374"/>
        <w:spacing w:after="0" w:line="235" w:lineRule="exact"/>
        <w:rPr>
          <w:sz w:val="20"/>
          <w:szCs w:val="20"/>
          <w:color w:val="auto"/>
        </w:rPr>
      </w:pPr>
      <w:r>
        <w:rPr>
          <w:rFonts w:ascii="Times New Roman" w:cs="Times New Roman" w:eastAsia="Times New Roman" w:hAnsi="Times New Roman"/>
          <w:sz w:val="18"/>
          <w:szCs w:val="18"/>
          <w:color w:val="auto"/>
        </w:rPr>
        <w:t>The information required by Item 14 is incorporated by reference from our 2023 Proxy Statement. The 2023 Proxy Statement will be filed with the SEC within 120 days after the end of the fiscal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pursuant to Regulation 14A under the Exchange Act.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following documents are filed or incorporated by reference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(a)Financial Statements</w:t>
      </w:r>
    </w:p>
    <w:p>
      <w:pPr>
        <w:spacing w:after="0" w:line="200" w:lineRule="exact"/>
        <w:rPr>
          <w:sz w:val="20"/>
          <w:szCs w:val="20"/>
          <w:color w:val="auto"/>
        </w:rPr>
      </w:pPr>
    </w:p>
    <w:p>
      <w:pPr>
        <w:ind w:left="380"/>
        <w:spacing w:after="0" w:line="207" w:lineRule="exact"/>
        <w:tabs>
          <w:tab w:leader="none" w:pos="740" w:val="left"/>
        </w:tabs>
        <w:rPr>
          <w:sz w:val="20"/>
          <w:szCs w:val="20"/>
          <w:color w:val="auto"/>
        </w:rPr>
      </w:pPr>
      <w:r>
        <w:rPr>
          <w:rFonts w:ascii="Times New Roman" w:cs="Times New Roman" w:eastAsia="Times New Roman" w:hAnsi="Times New Roman"/>
          <w:sz w:val="18"/>
          <w:szCs w:val="18"/>
          <w:color w:val="auto"/>
        </w:rPr>
        <w:t>(1)</w:t>
        <w:tab/>
        <w:t>Financial Statements — Refer to Part II, Item 8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which are filed herewith::</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 w:type="dxa"/>
            <w:vAlign w:val="bottom"/>
            <w:tcBorders>
              <w:bottom w:val="single" w:sz="8" w:color="CCEEFF"/>
            </w:tcBorders>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3"/>
        </w:trPr>
        <w:tc>
          <w:tcPr>
            <w:tcW w:w="26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860" w:type="dxa"/>
            <w:vAlign w:val="bottom"/>
            <w:tcBorders>
              <w:bottom w:val="single" w:sz="8" w:color="CCEEFF"/>
            </w:tcBorders>
            <w:gridSpan w:val="6"/>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243"/>
        </w:trPr>
        <w:tc>
          <w:tcPr>
            <w:tcW w:w="1038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Statements of Assets and Liabilities as of December 31, 2022 and 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48"/>
        </w:trPr>
        <w:tc>
          <w:tcPr>
            <w:tcW w:w="2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91"/>
        </w:trPr>
        <w:tc>
          <w:tcPr>
            <w:tcW w:w="260" w:type="dxa"/>
            <w:vAlign w:val="bottom"/>
            <w:tcBorders>
              <w:bottom w:val="single" w:sz="8" w:color="CCEEFF"/>
            </w:tcBorders>
            <w:shd w:val="clear" w:color="auto" w:fill="CCEEFF"/>
          </w:tcPr>
          <w:p>
            <w:pPr>
              <w:spacing w:after="0"/>
              <w:rPr>
                <w:sz w:val="24"/>
                <w:szCs w:val="24"/>
                <w:color w:val="auto"/>
              </w:rPr>
            </w:pPr>
          </w:p>
        </w:tc>
        <w:tc>
          <w:tcPr>
            <w:tcW w:w="590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Statements of Operations for the years ended December 31, 2022, 2021 and 2020</w:t>
            </w:r>
          </w:p>
        </w:tc>
        <w:tc>
          <w:tcPr>
            <w:tcW w:w="4220" w:type="dxa"/>
            <w:vAlign w:val="bottom"/>
            <w:tcBorders>
              <w:bottom w:val="single" w:sz="8" w:color="CCEEFF"/>
            </w:tcBorders>
            <w:gridSpan w:val="3"/>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216"/>
        </w:trPr>
        <w:tc>
          <w:tcPr>
            <w:tcW w:w="1038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Statements of Changes in Net Assets for the years ended December 31, 2022, 2021 and 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34"/>
        </w:trPr>
        <w:tc>
          <w:tcPr>
            <w:tcW w:w="260" w:type="dxa"/>
            <w:vAlign w:val="bottom"/>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3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1"/>
        </w:trPr>
        <w:tc>
          <w:tcPr>
            <w:tcW w:w="260" w:type="dxa"/>
            <w:vAlign w:val="bottom"/>
            <w:tcBorders>
              <w:bottom w:val="single" w:sz="8" w:color="CCEEFF"/>
            </w:tcBorders>
            <w:shd w:val="clear" w:color="auto" w:fill="CCEEFF"/>
          </w:tcPr>
          <w:p>
            <w:pPr>
              <w:spacing w:after="0"/>
              <w:rPr>
                <w:sz w:val="24"/>
                <w:szCs w:val="24"/>
                <w:color w:val="auto"/>
              </w:rPr>
            </w:pPr>
          </w:p>
        </w:tc>
        <w:tc>
          <w:tcPr>
            <w:tcW w:w="596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2022, 2021 and 2020</w:t>
            </w:r>
          </w:p>
        </w:tc>
        <w:tc>
          <w:tcPr>
            <w:tcW w:w="4160" w:type="dxa"/>
            <w:vAlign w:val="bottom"/>
            <w:tcBorders>
              <w:bottom w:val="single" w:sz="8" w:color="CCEEFF"/>
            </w:tcBorders>
            <w:gridSpan w:val="2"/>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r>
        <w:trPr>
          <w:trHeight w:val="243"/>
        </w:trPr>
        <w:tc>
          <w:tcPr>
            <w:tcW w:w="1038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Schedules of Investments as of December 31, 2022 and 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48"/>
        </w:trPr>
        <w:tc>
          <w:tcPr>
            <w:tcW w:w="2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43"/>
        </w:trPr>
        <w:tc>
          <w:tcPr>
            <w:tcW w:w="10380" w:type="dxa"/>
            <w:vAlign w:val="bottom"/>
            <w:gridSpan w:val="10"/>
            <w:shd w:val="clear" w:color="auto" w:fill="CCEEFF"/>
          </w:tcPr>
          <w:p>
            <w:pPr>
              <w:ind w:left="260"/>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38"/>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02"/>
        </w:trPr>
        <w:tc>
          <w:tcPr>
            <w:tcW w:w="920" w:type="dxa"/>
            <w:vAlign w:val="bottom"/>
            <w:vMerge w:val="restart"/>
          </w:tcPr>
          <w:p>
            <w:pPr>
              <w:ind w:left="2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30"/>
            <w:vMerge w:val="restart"/>
          </w:tcPr>
          <w:p>
            <w:pPr>
              <w:spacing w:after="0" w:line="182" w:lineRule="exact"/>
              <w:rPr>
                <w:rFonts w:ascii="Times New Roman" w:cs="Times New Roman" w:eastAsia="Times New Roman" w:hAnsi="Times New Roman"/>
                <w:sz w:val="18"/>
                <w:szCs w:val="18"/>
                <w:color w:val="0000FF"/>
                <w:w w:val="98"/>
              </w:rPr>
            </w:pPr>
            <w:hyperlink r:id="rId748">
              <w:r>
                <w:rPr>
                  <w:rFonts w:ascii="Times New Roman" w:cs="Times New Roman" w:eastAsia="Times New Roman" w:hAnsi="Times New Roman"/>
                  <w:sz w:val="18"/>
                  <w:szCs w:val="18"/>
                  <w:color w:val="0000FF"/>
                  <w:w w:val="98"/>
                </w:rPr>
                <w:t>Articles of Amendment and Restatement</w:t>
              </w:r>
            </w:hyperlink>
          </w:p>
        </w:tc>
        <w:tc>
          <w:tcPr>
            <w:tcW w:w="140" w:type="dxa"/>
            <w:vAlign w:val="bottom"/>
            <w:tcBorders>
              <w:bottom w:val="single" w:sz="8" w:color="0000FF"/>
            </w:tcBorders>
            <w:gridSpan w:val="2"/>
          </w:tcPr>
          <w:p>
            <w:pPr>
              <w:jc w:val="right"/>
              <w:spacing w:after="0" w:line="88" w:lineRule="exact"/>
              <w:rPr>
                <w:rFonts w:ascii="Times New Roman" w:cs="Times New Roman" w:eastAsia="Times New Roman" w:hAnsi="Times New Roman"/>
                <w:sz w:val="10"/>
                <w:szCs w:val="10"/>
                <w:color w:val="0000FF"/>
              </w:rPr>
            </w:pPr>
            <w:hyperlink r:id="rId748">
              <w:r>
                <w:rPr>
                  <w:rFonts w:ascii="Times New Roman" w:cs="Times New Roman" w:eastAsia="Times New Roman" w:hAnsi="Times New Roman"/>
                  <w:sz w:val="10"/>
                  <w:szCs w:val="10"/>
                  <w:color w:val="0000FF"/>
                </w:rPr>
                <w:t>(1)</w:t>
              </w:r>
            </w:hyperlink>
          </w:p>
        </w:tc>
        <w:tc>
          <w:tcPr>
            <w:tcW w:w="920" w:type="dxa"/>
            <w:vAlign w:val="bottom"/>
            <w:gridSpan w:val="2"/>
            <w:vMerge w:val="restart"/>
          </w:tcPr>
          <w:p>
            <w:pPr>
              <w:spacing w:after="0"/>
              <w:rPr>
                <w:sz w:val="8"/>
                <w:szCs w:val="8"/>
                <w:color w:val="auto"/>
              </w:rPr>
            </w:pPr>
          </w:p>
        </w:tc>
        <w:tc>
          <w:tcPr>
            <w:tcW w:w="620" w:type="dxa"/>
            <w:vAlign w:val="bottom"/>
            <w:gridSpan w:val="3"/>
            <w:vMerge w:val="restart"/>
          </w:tcPr>
          <w:p>
            <w:pPr>
              <w:spacing w:after="0"/>
              <w:rPr>
                <w:sz w:val="8"/>
                <w:szCs w:val="8"/>
                <w:color w:val="auto"/>
              </w:rPr>
            </w:pPr>
          </w:p>
        </w:tc>
        <w:tc>
          <w:tcPr>
            <w:tcW w:w="1100" w:type="dxa"/>
            <w:vAlign w:val="bottom"/>
            <w:gridSpan w:val="3"/>
            <w:vMerge w:val="restart"/>
          </w:tcPr>
          <w:p>
            <w:pPr>
              <w:spacing w:after="0"/>
              <w:rPr>
                <w:sz w:val="8"/>
                <w:szCs w:val="8"/>
                <w:color w:val="auto"/>
              </w:rPr>
            </w:pPr>
          </w:p>
        </w:tc>
        <w:tc>
          <w:tcPr>
            <w:tcW w:w="200" w:type="dxa"/>
            <w:vAlign w:val="bottom"/>
            <w:gridSpan w:val="3"/>
            <w:vMerge w:val="restart"/>
          </w:tcPr>
          <w:p>
            <w:pPr>
              <w:spacing w:after="0"/>
              <w:rPr>
                <w:sz w:val="8"/>
                <w:szCs w:val="8"/>
                <w:color w:val="auto"/>
              </w:rPr>
            </w:pPr>
          </w:p>
        </w:tc>
        <w:tc>
          <w:tcPr>
            <w:tcW w:w="840" w:type="dxa"/>
            <w:vAlign w:val="bottom"/>
            <w:gridSpan w:val="3"/>
            <w:vMerge w:val="restart"/>
          </w:tcPr>
          <w:p>
            <w:pPr>
              <w:spacing w:after="0"/>
              <w:rPr>
                <w:sz w:val="8"/>
                <w:szCs w:val="8"/>
                <w:color w:val="auto"/>
              </w:rPr>
            </w:pPr>
          </w:p>
        </w:tc>
        <w:tc>
          <w:tcPr>
            <w:tcW w:w="700" w:type="dxa"/>
            <w:vAlign w:val="bottom"/>
            <w:gridSpan w:val="4"/>
            <w:vMerge w:val="restart"/>
          </w:tcPr>
          <w:p>
            <w:pPr>
              <w:spacing w:after="0"/>
              <w:rPr>
                <w:sz w:val="8"/>
                <w:szCs w:val="8"/>
                <w:color w:val="auto"/>
              </w:rPr>
            </w:pPr>
          </w:p>
        </w:tc>
        <w:tc>
          <w:tcPr>
            <w:tcW w:w="780" w:type="dxa"/>
            <w:vAlign w:val="bottom"/>
            <w:gridSpan w:val="3"/>
            <w:vMerge w:val="restart"/>
          </w:tcPr>
          <w:p>
            <w:pPr>
              <w:spacing w:after="0"/>
              <w:rPr>
                <w:sz w:val="8"/>
                <w:szCs w:val="8"/>
                <w:color w:val="auto"/>
              </w:rPr>
            </w:pPr>
          </w:p>
        </w:tc>
        <w:tc>
          <w:tcPr>
            <w:tcW w:w="360" w:type="dxa"/>
            <w:vAlign w:val="bottom"/>
            <w:gridSpan w:val="3"/>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540" w:type="dxa"/>
            <w:vAlign w:val="bottom"/>
            <w:gridSpan w:val="4"/>
            <w:vMerge w:val="restart"/>
          </w:tcPr>
          <w:p>
            <w:pPr>
              <w:spacing w:after="0"/>
              <w:rPr>
                <w:sz w:val="8"/>
                <w:szCs w:val="8"/>
                <w:color w:val="auto"/>
              </w:rPr>
            </w:pPr>
          </w:p>
        </w:tc>
        <w:tc>
          <w:tcPr>
            <w:tcW w:w="500" w:type="dxa"/>
            <w:vAlign w:val="bottom"/>
            <w:gridSpan w:val="6"/>
            <w:vMerge w:val="restart"/>
          </w:tcPr>
          <w:p>
            <w:pPr>
              <w:spacing w:after="0"/>
              <w:rPr>
                <w:sz w:val="8"/>
                <w:szCs w:val="8"/>
                <w:color w:val="auto"/>
              </w:rPr>
            </w:pPr>
          </w:p>
        </w:tc>
        <w:tc>
          <w:tcPr>
            <w:tcW w:w="280" w:type="dxa"/>
            <w:vAlign w:val="bottom"/>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920" w:type="dxa"/>
            <w:vAlign w:val="bottom"/>
            <w:tcBorders>
              <w:bottom w:val="single" w:sz="8" w:color="0000FF"/>
            </w:tcBorders>
            <w:gridSpan w:val="30"/>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12"/>
            <w:vMerge w:val="restart"/>
          </w:tcPr>
          <w:p>
            <w:pPr>
              <w:spacing w:after="0"/>
              <w:rPr>
                <w:rFonts w:ascii="Times New Roman" w:cs="Times New Roman" w:eastAsia="Times New Roman" w:hAnsi="Times New Roman"/>
                <w:sz w:val="18"/>
                <w:szCs w:val="18"/>
                <w:color w:val="0000FF"/>
                <w:w w:val="97"/>
              </w:rPr>
            </w:pPr>
            <w:hyperlink r:id="rId749">
              <w:r>
                <w:rPr>
                  <w:rFonts w:ascii="Times New Roman" w:cs="Times New Roman" w:eastAsia="Times New Roman" w:hAnsi="Times New Roman"/>
                  <w:sz w:val="18"/>
                  <w:szCs w:val="18"/>
                  <w:color w:val="0000FF"/>
                  <w:w w:val="97"/>
                </w:rPr>
                <w:t>Articles of Amendment</w:t>
              </w:r>
            </w:hyperlink>
          </w:p>
        </w:tc>
        <w:tc>
          <w:tcPr>
            <w:tcW w:w="20" w:type="dxa"/>
            <w:vAlign w:val="bottom"/>
            <w:vMerge w:val="restart"/>
          </w:tcPr>
          <w:p>
            <w:pPr>
              <w:spacing w:after="0"/>
              <w:rPr>
                <w:sz w:val="15"/>
                <w:szCs w:val="15"/>
                <w:color w:val="auto"/>
              </w:rPr>
            </w:pPr>
          </w:p>
        </w:tc>
        <w:tc>
          <w:tcPr>
            <w:tcW w:w="180" w:type="dxa"/>
            <w:vAlign w:val="bottom"/>
            <w:tcBorders>
              <w:bottom w:val="single" w:sz="8" w:color="0000FF"/>
            </w:tcBorders>
            <w:gridSpan w:val="3"/>
          </w:tcPr>
          <w:p>
            <w:pPr>
              <w:jc w:val="right"/>
              <w:spacing w:after="0"/>
              <w:rPr>
                <w:rFonts w:ascii="Times New Roman" w:cs="Times New Roman" w:eastAsia="Times New Roman" w:hAnsi="Times New Roman"/>
                <w:sz w:val="12"/>
                <w:szCs w:val="12"/>
                <w:color w:val="0000FF"/>
                <w:w w:val="79"/>
              </w:rPr>
            </w:pPr>
            <w:hyperlink r:id="rId749">
              <w:r>
                <w:rPr>
                  <w:rFonts w:ascii="Times New Roman" w:cs="Times New Roman" w:eastAsia="Times New Roman" w:hAnsi="Times New Roman"/>
                  <w:sz w:val="12"/>
                  <w:szCs w:val="12"/>
                  <w:color w:val="0000FF"/>
                  <w:w w:val="79"/>
                </w:rPr>
                <w:t>(15)</w:t>
              </w:r>
            </w:hyperlink>
          </w:p>
        </w:tc>
        <w:tc>
          <w:tcPr>
            <w:tcW w:w="100" w:type="dxa"/>
            <w:vAlign w:val="bottom"/>
            <w:vMerge w:val="restart"/>
          </w:tcPr>
          <w:p>
            <w:pPr>
              <w:spacing w:after="0"/>
              <w:rPr>
                <w:sz w:val="15"/>
                <w:szCs w:val="15"/>
                <w:color w:val="auto"/>
              </w:rPr>
            </w:pPr>
          </w:p>
        </w:tc>
        <w:tc>
          <w:tcPr>
            <w:tcW w:w="420" w:type="dxa"/>
            <w:vAlign w:val="bottom"/>
            <w:gridSpan w:val="6"/>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40" w:type="dxa"/>
            <w:vAlign w:val="bottom"/>
            <w:gridSpan w:val="3"/>
            <w:vMerge w:val="restart"/>
          </w:tcPr>
          <w:p>
            <w:pPr>
              <w:spacing w:after="0"/>
              <w:rPr>
                <w:sz w:val="15"/>
                <w:szCs w:val="15"/>
                <w:color w:val="auto"/>
              </w:rPr>
            </w:pPr>
          </w:p>
        </w:tc>
        <w:tc>
          <w:tcPr>
            <w:tcW w:w="260" w:type="dxa"/>
            <w:vAlign w:val="bottom"/>
            <w:gridSpan w:val="3"/>
            <w:vMerge w:val="restart"/>
          </w:tcPr>
          <w:p>
            <w:pPr>
              <w:spacing w:after="0"/>
              <w:rPr>
                <w:sz w:val="15"/>
                <w:szCs w:val="15"/>
                <w:color w:val="auto"/>
              </w:rPr>
            </w:pPr>
          </w:p>
        </w:tc>
        <w:tc>
          <w:tcPr>
            <w:tcW w:w="960" w:type="dxa"/>
            <w:vAlign w:val="bottom"/>
            <w:gridSpan w:val="3"/>
            <w:vMerge w:val="restart"/>
          </w:tcPr>
          <w:p>
            <w:pPr>
              <w:spacing w:after="0"/>
              <w:rPr>
                <w:sz w:val="15"/>
                <w:szCs w:val="15"/>
                <w:color w:val="auto"/>
              </w:rPr>
            </w:pPr>
          </w:p>
        </w:tc>
        <w:tc>
          <w:tcPr>
            <w:tcW w:w="620" w:type="dxa"/>
            <w:vAlign w:val="bottom"/>
            <w:gridSpan w:val="3"/>
            <w:vMerge w:val="restart"/>
          </w:tcPr>
          <w:p>
            <w:pPr>
              <w:spacing w:after="0"/>
              <w:rPr>
                <w:sz w:val="15"/>
                <w:szCs w:val="15"/>
                <w:color w:val="auto"/>
              </w:rPr>
            </w:pPr>
          </w:p>
        </w:tc>
        <w:tc>
          <w:tcPr>
            <w:tcW w:w="1100" w:type="dxa"/>
            <w:vAlign w:val="bottom"/>
            <w:gridSpan w:val="3"/>
            <w:vMerge w:val="restart"/>
          </w:tcPr>
          <w:p>
            <w:pPr>
              <w:spacing w:after="0"/>
              <w:rPr>
                <w:sz w:val="15"/>
                <w:szCs w:val="15"/>
                <w:color w:val="auto"/>
              </w:rPr>
            </w:pPr>
          </w:p>
        </w:tc>
        <w:tc>
          <w:tcPr>
            <w:tcW w:w="200" w:type="dxa"/>
            <w:vAlign w:val="bottom"/>
            <w:gridSpan w:val="3"/>
            <w:vMerge w:val="restart"/>
          </w:tcPr>
          <w:p>
            <w:pPr>
              <w:spacing w:after="0"/>
              <w:rPr>
                <w:sz w:val="15"/>
                <w:szCs w:val="15"/>
                <w:color w:val="auto"/>
              </w:rPr>
            </w:pPr>
          </w:p>
        </w:tc>
        <w:tc>
          <w:tcPr>
            <w:tcW w:w="840" w:type="dxa"/>
            <w:vAlign w:val="bottom"/>
            <w:gridSpan w:val="3"/>
            <w:vMerge w:val="restart"/>
          </w:tcPr>
          <w:p>
            <w:pPr>
              <w:spacing w:after="0"/>
              <w:rPr>
                <w:sz w:val="15"/>
                <w:szCs w:val="15"/>
                <w:color w:val="auto"/>
              </w:rPr>
            </w:pPr>
          </w:p>
        </w:tc>
        <w:tc>
          <w:tcPr>
            <w:tcW w:w="700" w:type="dxa"/>
            <w:vAlign w:val="bottom"/>
            <w:gridSpan w:val="4"/>
            <w:vMerge w:val="restart"/>
          </w:tcPr>
          <w:p>
            <w:pPr>
              <w:spacing w:after="0"/>
              <w:rPr>
                <w:sz w:val="15"/>
                <w:szCs w:val="15"/>
                <w:color w:val="auto"/>
              </w:rPr>
            </w:pPr>
          </w:p>
        </w:tc>
        <w:tc>
          <w:tcPr>
            <w:tcW w:w="780" w:type="dxa"/>
            <w:vAlign w:val="bottom"/>
            <w:gridSpan w:val="3"/>
            <w:vMerge w:val="restart"/>
          </w:tcPr>
          <w:p>
            <w:pPr>
              <w:spacing w:after="0"/>
              <w:rPr>
                <w:sz w:val="15"/>
                <w:szCs w:val="15"/>
                <w:color w:val="auto"/>
              </w:rPr>
            </w:pPr>
          </w:p>
        </w:tc>
        <w:tc>
          <w:tcPr>
            <w:tcW w:w="360" w:type="dxa"/>
            <w:vAlign w:val="bottom"/>
            <w:gridSpan w:val="3"/>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540" w:type="dxa"/>
            <w:vAlign w:val="bottom"/>
            <w:gridSpan w:val="4"/>
            <w:vMerge w:val="restart"/>
          </w:tcPr>
          <w:p>
            <w:pPr>
              <w:spacing w:after="0"/>
              <w:rPr>
                <w:sz w:val="15"/>
                <w:szCs w:val="15"/>
                <w:color w:val="auto"/>
              </w:rPr>
            </w:pPr>
          </w:p>
        </w:tc>
        <w:tc>
          <w:tcPr>
            <w:tcW w:w="500" w:type="dxa"/>
            <w:vAlign w:val="bottom"/>
            <w:gridSpan w:val="6"/>
            <w:vMerge w:val="restart"/>
          </w:tcPr>
          <w:p>
            <w:pPr>
              <w:spacing w:after="0"/>
              <w:rPr>
                <w:sz w:val="15"/>
                <w:szCs w:val="15"/>
                <w:color w:val="auto"/>
              </w:rPr>
            </w:pPr>
          </w:p>
        </w:tc>
        <w:tc>
          <w:tcPr>
            <w:tcW w:w="280" w:type="dxa"/>
            <w:vAlign w:val="bottom"/>
            <w:gridSpan w:val="8"/>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tcBorders>
              <w:bottom w:val="single" w:sz="8" w:color="0000FF"/>
            </w:tcBorders>
            <w:gridSpan w:val="12"/>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gridSpan w:val="2"/>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gridSpan w:val="6"/>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26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gridSpan w:val="29"/>
            <w:vMerge w:val="restart"/>
          </w:tcPr>
          <w:p>
            <w:pPr>
              <w:spacing w:after="0"/>
              <w:rPr>
                <w:rFonts w:ascii="Times New Roman" w:cs="Times New Roman" w:eastAsia="Times New Roman" w:hAnsi="Times New Roman"/>
                <w:sz w:val="18"/>
                <w:szCs w:val="18"/>
                <w:color w:val="0000FF"/>
                <w:w w:val="98"/>
              </w:rPr>
            </w:pPr>
            <w:hyperlink r:id="rId750">
              <w:r>
                <w:rPr>
                  <w:rFonts w:ascii="Times New Roman" w:cs="Times New Roman" w:eastAsia="Times New Roman" w:hAnsi="Times New Roman"/>
                  <w:sz w:val="18"/>
                  <w:szCs w:val="18"/>
                  <w:color w:val="0000FF"/>
                  <w:w w:val="98"/>
                </w:rPr>
                <w:t>Second Amended and Restated Bylaws</w:t>
              </w:r>
            </w:hyperlink>
          </w:p>
        </w:tc>
        <w:tc>
          <w:tcPr>
            <w:tcW w:w="20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9"/>
              </w:rPr>
            </w:pPr>
            <w:hyperlink r:id="rId750">
              <w:r>
                <w:rPr>
                  <w:rFonts w:ascii="Times New Roman" w:cs="Times New Roman" w:eastAsia="Times New Roman" w:hAnsi="Times New Roman"/>
                  <w:sz w:val="12"/>
                  <w:szCs w:val="12"/>
                  <w:color w:val="0000FF"/>
                  <w:w w:val="89"/>
                </w:rPr>
                <w:t>(15)</w:t>
              </w:r>
            </w:hyperlink>
          </w:p>
        </w:tc>
        <w:tc>
          <w:tcPr>
            <w:tcW w:w="960" w:type="dxa"/>
            <w:vAlign w:val="bottom"/>
            <w:gridSpan w:val="3"/>
            <w:vMerge w:val="restart"/>
          </w:tcPr>
          <w:p>
            <w:pPr>
              <w:spacing w:after="0"/>
              <w:rPr>
                <w:sz w:val="17"/>
                <w:szCs w:val="17"/>
                <w:color w:val="auto"/>
              </w:rPr>
            </w:pPr>
          </w:p>
        </w:tc>
        <w:tc>
          <w:tcPr>
            <w:tcW w:w="620" w:type="dxa"/>
            <w:vAlign w:val="bottom"/>
            <w:gridSpan w:val="3"/>
            <w:vMerge w:val="restart"/>
          </w:tcPr>
          <w:p>
            <w:pPr>
              <w:spacing w:after="0"/>
              <w:rPr>
                <w:sz w:val="17"/>
                <w:szCs w:val="17"/>
                <w:color w:val="auto"/>
              </w:rPr>
            </w:pPr>
          </w:p>
        </w:tc>
        <w:tc>
          <w:tcPr>
            <w:tcW w:w="1100" w:type="dxa"/>
            <w:vAlign w:val="bottom"/>
            <w:gridSpan w:val="3"/>
            <w:vMerge w:val="restart"/>
          </w:tcPr>
          <w:p>
            <w:pPr>
              <w:spacing w:after="0"/>
              <w:rPr>
                <w:sz w:val="17"/>
                <w:szCs w:val="17"/>
                <w:color w:val="auto"/>
              </w:rPr>
            </w:pPr>
          </w:p>
        </w:tc>
        <w:tc>
          <w:tcPr>
            <w:tcW w:w="200" w:type="dxa"/>
            <w:vAlign w:val="bottom"/>
            <w:gridSpan w:val="3"/>
            <w:vMerge w:val="restart"/>
          </w:tcPr>
          <w:p>
            <w:pPr>
              <w:spacing w:after="0"/>
              <w:rPr>
                <w:sz w:val="17"/>
                <w:szCs w:val="17"/>
                <w:color w:val="auto"/>
              </w:rPr>
            </w:pPr>
          </w:p>
        </w:tc>
        <w:tc>
          <w:tcPr>
            <w:tcW w:w="840" w:type="dxa"/>
            <w:vAlign w:val="bottom"/>
            <w:gridSpan w:val="3"/>
            <w:vMerge w:val="restart"/>
          </w:tcPr>
          <w:p>
            <w:pPr>
              <w:spacing w:after="0"/>
              <w:rPr>
                <w:sz w:val="17"/>
                <w:szCs w:val="17"/>
                <w:color w:val="auto"/>
              </w:rPr>
            </w:pPr>
          </w:p>
        </w:tc>
        <w:tc>
          <w:tcPr>
            <w:tcW w:w="700" w:type="dxa"/>
            <w:vAlign w:val="bottom"/>
            <w:gridSpan w:val="4"/>
            <w:vMerge w:val="restart"/>
          </w:tcPr>
          <w:p>
            <w:pPr>
              <w:spacing w:after="0"/>
              <w:rPr>
                <w:sz w:val="17"/>
                <w:szCs w:val="17"/>
                <w:color w:val="auto"/>
              </w:rPr>
            </w:pPr>
          </w:p>
        </w:tc>
        <w:tc>
          <w:tcPr>
            <w:tcW w:w="780" w:type="dxa"/>
            <w:vAlign w:val="bottom"/>
            <w:gridSpan w:val="3"/>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20" w:type="dxa"/>
            <w:vAlign w:val="bottom"/>
            <w:tcBorders>
              <w:bottom w:val="single" w:sz="8" w:color="0000FF"/>
            </w:tcBorders>
            <w:gridSpan w:val="29"/>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22"/>
            <w:vMerge w:val="restart"/>
          </w:tcPr>
          <w:p>
            <w:pPr>
              <w:spacing w:after="0"/>
              <w:rPr>
                <w:rFonts w:ascii="Times New Roman" w:cs="Times New Roman" w:eastAsia="Times New Roman" w:hAnsi="Times New Roman"/>
                <w:sz w:val="18"/>
                <w:szCs w:val="18"/>
                <w:color w:val="0000FF"/>
                <w:w w:val="98"/>
              </w:rPr>
            </w:pPr>
            <w:hyperlink r:id="rId751">
              <w:r>
                <w:rPr>
                  <w:rFonts w:ascii="Times New Roman" w:cs="Times New Roman" w:eastAsia="Times New Roman" w:hAnsi="Times New Roman"/>
                  <w:sz w:val="18"/>
                  <w:szCs w:val="18"/>
                  <w:color w:val="0000FF"/>
                  <w:w w:val="98"/>
                </w:rPr>
                <w:t>Form of Subscription Agreement</w:t>
              </w:r>
            </w:hyperlink>
          </w:p>
        </w:tc>
        <w:tc>
          <w:tcPr>
            <w:tcW w:w="140" w:type="dxa"/>
            <w:vAlign w:val="bottom"/>
            <w:tcBorders>
              <w:bottom w:val="single" w:sz="8" w:color="0000FF"/>
            </w:tcBorders>
            <w:gridSpan w:val="3"/>
          </w:tcPr>
          <w:p>
            <w:pPr>
              <w:jc w:val="right"/>
              <w:spacing w:after="0"/>
              <w:rPr>
                <w:rFonts w:ascii="Times New Roman" w:cs="Times New Roman" w:eastAsia="Times New Roman" w:hAnsi="Times New Roman"/>
                <w:sz w:val="12"/>
                <w:szCs w:val="12"/>
                <w:color w:val="0000FF"/>
                <w:w w:val="85"/>
              </w:rPr>
            </w:pPr>
            <w:hyperlink r:id="rId751">
              <w:r>
                <w:rPr>
                  <w:rFonts w:ascii="Times New Roman" w:cs="Times New Roman" w:eastAsia="Times New Roman" w:hAnsi="Times New Roman"/>
                  <w:sz w:val="12"/>
                  <w:szCs w:val="12"/>
                  <w:color w:val="0000FF"/>
                  <w:w w:val="85"/>
                </w:rPr>
                <w:t>(3)</w:t>
              </w:r>
            </w:hyperlink>
          </w:p>
        </w:tc>
        <w:tc>
          <w:tcPr>
            <w:tcW w:w="240" w:type="dxa"/>
            <w:vAlign w:val="bottom"/>
            <w:gridSpan w:val="3"/>
            <w:vMerge w:val="restart"/>
          </w:tcPr>
          <w:p>
            <w:pPr>
              <w:spacing w:after="0"/>
              <w:rPr>
                <w:sz w:val="17"/>
                <w:szCs w:val="17"/>
                <w:color w:val="auto"/>
              </w:rPr>
            </w:pPr>
          </w:p>
        </w:tc>
        <w:tc>
          <w:tcPr>
            <w:tcW w:w="1220" w:type="dxa"/>
            <w:vAlign w:val="bottom"/>
            <w:gridSpan w:val="6"/>
            <w:vMerge w:val="restart"/>
          </w:tcPr>
          <w:p>
            <w:pPr>
              <w:spacing w:after="0"/>
              <w:rPr>
                <w:sz w:val="17"/>
                <w:szCs w:val="17"/>
                <w:color w:val="auto"/>
              </w:rPr>
            </w:pPr>
          </w:p>
        </w:tc>
        <w:tc>
          <w:tcPr>
            <w:tcW w:w="620" w:type="dxa"/>
            <w:vAlign w:val="bottom"/>
            <w:gridSpan w:val="3"/>
            <w:vMerge w:val="restart"/>
          </w:tcPr>
          <w:p>
            <w:pPr>
              <w:spacing w:after="0"/>
              <w:rPr>
                <w:sz w:val="17"/>
                <w:szCs w:val="17"/>
                <w:color w:val="auto"/>
              </w:rPr>
            </w:pPr>
          </w:p>
        </w:tc>
        <w:tc>
          <w:tcPr>
            <w:tcW w:w="1100" w:type="dxa"/>
            <w:vAlign w:val="bottom"/>
            <w:gridSpan w:val="3"/>
            <w:vMerge w:val="restart"/>
          </w:tcPr>
          <w:p>
            <w:pPr>
              <w:spacing w:after="0"/>
              <w:rPr>
                <w:sz w:val="17"/>
                <w:szCs w:val="17"/>
                <w:color w:val="auto"/>
              </w:rPr>
            </w:pPr>
          </w:p>
        </w:tc>
        <w:tc>
          <w:tcPr>
            <w:tcW w:w="200" w:type="dxa"/>
            <w:vAlign w:val="bottom"/>
            <w:gridSpan w:val="3"/>
            <w:vMerge w:val="restart"/>
          </w:tcPr>
          <w:p>
            <w:pPr>
              <w:spacing w:after="0"/>
              <w:rPr>
                <w:sz w:val="17"/>
                <w:szCs w:val="17"/>
                <w:color w:val="auto"/>
              </w:rPr>
            </w:pPr>
          </w:p>
        </w:tc>
        <w:tc>
          <w:tcPr>
            <w:tcW w:w="840" w:type="dxa"/>
            <w:vAlign w:val="bottom"/>
            <w:gridSpan w:val="3"/>
            <w:vMerge w:val="restart"/>
          </w:tcPr>
          <w:p>
            <w:pPr>
              <w:spacing w:after="0"/>
              <w:rPr>
                <w:sz w:val="17"/>
                <w:szCs w:val="17"/>
                <w:color w:val="auto"/>
              </w:rPr>
            </w:pPr>
          </w:p>
        </w:tc>
        <w:tc>
          <w:tcPr>
            <w:tcW w:w="700" w:type="dxa"/>
            <w:vAlign w:val="bottom"/>
            <w:gridSpan w:val="4"/>
            <w:vMerge w:val="restart"/>
          </w:tcPr>
          <w:p>
            <w:pPr>
              <w:spacing w:after="0"/>
              <w:rPr>
                <w:sz w:val="17"/>
                <w:szCs w:val="17"/>
                <w:color w:val="auto"/>
              </w:rPr>
            </w:pPr>
          </w:p>
        </w:tc>
        <w:tc>
          <w:tcPr>
            <w:tcW w:w="780" w:type="dxa"/>
            <w:vAlign w:val="bottom"/>
            <w:gridSpan w:val="3"/>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tcBorders>
              <w:bottom w:val="single" w:sz="8" w:color="0000FF"/>
            </w:tcBorders>
            <w:gridSpan w:val="2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15"/>
            <w:vMerge w:val="restart"/>
          </w:tcPr>
          <w:p>
            <w:pPr>
              <w:spacing w:after="0"/>
              <w:rPr>
                <w:rFonts w:ascii="Times New Roman" w:cs="Times New Roman" w:eastAsia="Times New Roman" w:hAnsi="Times New Roman"/>
                <w:sz w:val="18"/>
                <w:szCs w:val="18"/>
                <w:color w:val="0000FF"/>
                <w:w w:val="98"/>
              </w:rPr>
            </w:pPr>
            <w:hyperlink r:id="rId752">
              <w:r>
                <w:rPr>
                  <w:rFonts w:ascii="Times New Roman" w:cs="Times New Roman" w:eastAsia="Times New Roman" w:hAnsi="Times New Roman"/>
                  <w:sz w:val="18"/>
                  <w:szCs w:val="18"/>
                  <w:color w:val="0000FF"/>
                  <w:w w:val="98"/>
                </w:rPr>
                <w:t>Description of Securities</w:t>
              </w:r>
            </w:hyperlink>
          </w:p>
        </w:tc>
        <w:tc>
          <w:tcPr>
            <w:tcW w:w="20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9"/>
              </w:rPr>
            </w:pPr>
            <w:hyperlink r:id="rId752">
              <w:r>
                <w:rPr>
                  <w:rFonts w:ascii="Times New Roman" w:cs="Times New Roman" w:eastAsia="Times New Roman" w:hAnsi="Times New Roman"/>
                  <w:sz w:val="12"/>
                  <w:szCs w:val="12"/>
                  <w:color w:val="0000FF"/>
                  <w:w w:val="89"/>
                </w:rPr>
                <w:t>(11)</w:t>
              </w:r>
            </w:hyperlink>
          </w:p>
        </w:tc>
        <w:tc>
          <w:tcPr>
            <w:tcW w:w="420" w:type="dxa"/>
            <w:vAlign w:val="bottom"/>
            <w:gridSpan w:val="6"/>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300" w:type="dxa"/>
            <w:vAlign w:val="bottom"/>
            <w:gridSpan w:val="4"/>
            <w:vMerge w:val="restart"/>
          </w:tcPr>
          <w:p>
            <w:pPr>
              <w:spacing w:after="0"/>
              <w:rPr>
                <w:sz w:val="17"/>
                <w:szCs w:val="17"/>
                <w:color w:val="auto"/>
              </w:rPr>
            </w:pPr>
          </w:p>
        </w:tc>
        <w:tc>
          <w:tcPr>
            <w:tcW w:w="1220" w:type="dxa"/>
            <w:vAlign w:val="bottom"/>
            <w:gridSpan w:val="6"/>
            <w:vMerge w:val="restart"/>
          </w:tcPr>
          <w:p>
            <w:pPr>
              <w:spacing w:after="0"/>
              <w:rPr>
                <w:sz w:val="17"/>
                <w:szCs w:val="17"/>
                <w:color w:val="auto"/>
              </w:rPr>
            </w:pPr>
          </w:p>
        </w:tc>
        <w:tc>
          <w:tcPr>
            <w:tcW w:w="620" w:type="dxa"/>
            <w:vAlign w:val="bottom"/>
            <w:gridSpan w:val="3"/>
            <w:vMerge w:val="restart"/>
          </w:tcPr>
          <w:p>
            <w:pPr>
              <w:spacing w:after="0"/>
              <w:rPr>
                <w:sz w:val="17"/>
                <w:szCs w:val="17"/>
                <w:color w:val="auto"/>
              </w:rPr>
            </w:pPr>
          </w:p>
        </w:tc>
        <w:tc>
          <w:tcPr>
            <w:tcW w:w="1100" w:type="dxa"/>
            <w:vAlign w:val="bottom"/>
            <w:gridSpan w:val="3"/>
            <w:vMerge w:val="restart"/>
          </w:tcPr>
          <w:p>
            <w:pPr>
              <w:spacing w:after="0"/>
              <w:rPr>
                <w:sz w:val="17"/>
                <w:szCs w:val="17"/>
                <w:color w:val="auto"/>
              </w:rPr>
            </w:pPr>
          </w:p>
        </w:tc>
        <w:tc>
          <w:tcPr>
            <w:tcW w:w="200" w:type="dxa"/>
            <w:vAlign w:val="bottom"/>
            <w:gridSpan w:val="3"/>
            <w:vMerge w:val="restart"/>
          </w:tcPr>
          <w:p>
            <w:pPr>
              <w:spacing w:after="0"/>
              <w:rPr>
                <w:sz w:val="17"/>
                <w:szCs w:val="17"/>
                <w:color w:val="auto"/>
              </w:rPr>
            </w:pPr>
          </w:p>
        </w:tc>
        <w:tc>
          <w:tcPr>
            <w:tcW w:w="840" w:type="dxa"/>
            <w:vAlign w:val="bottom"/>
            <w:gridSpan w:val="3"/>
            <w:vMerge w:val="restart"/>
          </w:tcPr>
          <w:p>
            <w:pPr>
              <w:spacing w:after="0"/>
              <w:rPr>
                <w:sz w:val="17"/>
                <w:szCs w:val="17"/>
                <w:color w:val="auto"/>
              </w:rPr>
            </w:pPr>
          </w:p>
        </w:tc>
        <w:tc>
          <w:tcPr>
            <w:tcW w:w="700" w:type="dxa"/>
            <w:vAlign w:val="bottom"/>
            <w:gridSpan w:val="4"/>
            <w:vMerge w:val="restart"/>
          </w:tcPr>
          <w:p>
            <w:pPr>
              <w:spacing w:after="0"/>
              <w:rPr>
                <w:sz w:val="17"/>
                <w:szCs w:val="17"/>
                <w:color w:val="auto"/>
              </w:rPr>
            </w:pPr>
          </w:p>
        </w:tc>
        <w:tc>
          <w:tcPr>
            <w:tcW w:w="780" w:type="dxa"/>
            <w:vAlign w:val="bottom"/>
            <w:gridSpan w:val="3"/>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Borders>
              <w:bottom w:val="single" w:sz="8" w:color="0000FF"/>
            </w:tcBorders>
            <w:gridSpan w:val="15"/>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420" w:type="dxa"/>
            <w:vAlign w:val="bottom"/>
            <w:gridSpan w:val="6"/>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75"/>
          </w:tcPr>
          <w:p>
            <w:pPr>
              <w:spacing w:after="0"/>
              <w:rPr>
                <w:rFonts w:ascii="Times New Roman" w:cs="Times New Roman" w:eastAsia="Times New Roman" w:hAnsi="Times New Roman"/>
                <w:sz w:val="18"/>
                <w:szCs w:val="18"/>
                <w:color w:val="0000FF"/>
              </w:rPr>
            </w:pPr>
            <w:hyperlink r:id="rId753">
              <w:r>
                <w:rPr>
                  <w:rFonts w:ascii="Times New Roman" w:cs="Times New Roman" w:eastAsia="Times New Roman" w:hAnsi="Times New Roman"/>
                  <w:sz w:val="18"/>
                  <w:szCs w:val="18"/>
                  <w:color w:val="0000FF"/>
                </w:rPr>
                <w:t>Indenture, dated July 28, 2022, by and between Runway Growth Finance Corp. and U.S. Bank Trust Company, National Association, as</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0000FF"/>
              <w:bottom w:val="single" w:sz="8" w:color="0000FF"/>
            </w:tcBorders>
            <w:vMerge w:val="restart"/>
          </w:tcPr>
          <w:p>
            <w:pPr>
              <w:spacing w:after="0" w:line="196" w:lineRule="exact"/>
              <w:rPr>
                <w:rFonts w:ascii="Times New Roman" w:cs="Times New Roman" w:eastAsia="Times New Roman" w:hAnsi="Times New Roman"/>
                <w:sz w:val="18"/>
                <w:szCs w:val="18"/>
                <w:color w:val="0000FF"/>
                <w:w w:val="91"/>
              </w:rPr>
            </w:pPr>
            <w:hyperlink r:id="rId753">
              <w:r>
                <w:rPr>
                  <w:rFonts w:ascii="Times New Roman" w:cs="Times New Roman" w:eastAsia="Times New Roman" w:hAnsi="Times New Roman"/>
                  <w:sz w:val="18"/>
                  <w:szCs w:val="18"/>
                  <w:color w:val="0000FF"/>
                  <w:w w:val="91"/>
                </w:rPr>
                <w:t>trustee</w:t>
              </w:r>
            </w:hyperlink>
          </w:p>
        </w:tc>
        <w:tc>
          <w:tcPr>
            <w:tcW w:w="22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rPr>
            </w:pPr>
            <w:hyperlink r:id="rId753">
              <w:r>
                <w:rPr>
                  <w:rFonts w:ascii="Times New Roman" w:cs="Times New Roman" w:eastAsia="Times New Roman" w:hAnsi="Times New Roman"/>
                  <w:sz w:val="11"/>
                  <w:szCs w:val="11"/>
                  <w:color w:val="0000FF"/>
                </w:rPr>
                <w:t>(22)</w:t>
              </w:r>
            </w:hyperlink>
          </w:p>
        </w:tc>
        <w:tc>
          <w:tcPr>
            <w:tcW w:w="180" w:type="dxa"/>
            <w:vAlign w:val="bottom"/>
            <w:tcBorders>
              <w:top w:val="single" w:sz="8" w:color="0000FF"/>
              <w:bottom w:val="single" w:sz="8" w:color="0000FF"/>
            </w:tcBorders>
            <w:gridSpan w:val="3"/>
            <w:vMerge w:val="restart"/>
          </w:tcPr>
          <w:p>
            <w:pPr>
              <w:spacing w:after="0"/>
              <w:rPr>
                <w:sz w:val="10"/>
                <w:szCs w:val="10"/>
                <w:color w:val="auto"/>
              </w:rPr>
            </w:pPr>
          </w:p>
        </w:tc>
        <w:tc>
          <w:tcPr>
            <w:tcW w:w="560" w:type="dxa"/>
            <w:vAlign w:val="bottom"/>
            <w:tcBorders>
              <w:top w:val="single" w:sz="8" w:color="0000FF"/>
              <w:bottom w:val="single" w:sz="8" w:color="0000FF"/>
            </w:tcBorders>
            <w:gridSpan w:val="2"/>
            <w:vMerge w:val="restart"/>
          </w:tcPr>
          <w:p>
            <w:pPr>
              <w:spacing w:after="0"/>
              <w:rPr>
                <w:sz w:val="10"/>
                <w:szCs w:val="10"/>
                <w:color w:val="auto"/>
              </w:rPr>
            </w:pPr>
          </w:p>
        </w:tc>
        <w:tc>
          <w:tcPr>
            <w:tcW w:w="200" w:type="dxa"/>
            <w:vAlign w:val="bottom"/>
            <w:tcBorders>
              <w:top w:val="single" w:sz="8" w:color="0000FF"/>
              <w:bottom w:val="single" w:sz="8" w:color="0000FF"/>
            </w:tcBorders>
            <w:gridSpan w:val="3"/>
            <w:vMerge w:val="restart"/>
          </w:tcPr>
          <w:p>
            <w:pPr>
              <w:spacing w:after="0"/>
              <w:rPr>
                <w:sz w:val="10"/>
                <w:szCs w:val="10"/>
                <w:color w:val="auto"/>
              </w:rPr>
            </w:pPr>
          </w:p>
        </w:tc>
        <w:tc>
          <w:tcPr>
            <w:tcW w:w="780" w:type="dxa"/>
            <w:vAlign w:val="bottom"/>
            <w:tcBorders>
              <w:top w:val="single" w:sz="8" w:color="0000FF"/>
              <w:bottom w:val="single" w:sz="8" w:color="0000FF"/>
            </w:tcBorders>
            <w:gridSpan w:val="12"/>
            <w:vMerge w:val="restart"/>
          </w:tcPr>
          <w:p>
            <w:pPr>
              <w:spacing w:after="0"/>
              <w:rPr>
                <w:sz w:val="10"/>
                <w:szCs w:val="10"/>
                <w:color w:val="auto"/>
              </w:rPr>
            </w:pPr>
          </w:p>
        </w:tc>
        <w:tc>
          <w:tcPr>
            <w:tcW w:w="60" w:type="dxa"/>
            <w:vAlign w:val="bottom"/>
            <w:tcBorders>
              <w:top w:val="single" w:sz="8" w:color="0000FF"/>
              <w:bottom w:val="single" w:sz="8" w:color="0000FF"/>
            </w:tcBorders>
            <w:vMerge w:val="restart"/>
          </w:tcPr>
          <w:p>
            <w:pPr>
              <w:spacing w:after="0"/>
              <w:rPr>
                <w:sz w:val="10"/>
                <w:szCs w:val="10"/>
                <w:color w:val="auto"/>
              </w:rPr>
            </w:pPr>
          </w:p>
        </w:tc>
        <w:tc>
          <w:tcPr>
            <w:tcW w:w="300" w:type="dxa"/>
            <w:vAlign w:val="bottom"/>
            <w:tcBorders>
              <w:top w:val="single" w:sz="8" w:color="0000FF"/>
              <w:bottom w:val="single" w:sz="8" w:color="0000FF"/>
            </w:tcBorders>
            <w:gridSpan w:val="4"/>
            <w:vMerge w:val="restart"/>
          </w:tcPr>
          <w:p>
            <w:pPr>
              <w:spacing w:after="0"/>
              <w:rPr>
                <w:sz w:val="10"/>
                <w:szCs w:val="10"/>
                <w:color w:val="auto"/>
              </w:rPr>
            </w:pPr>
          </w:p>
        </w:tc>
        <w:tc>
          <w:tcPr>
            <w:tcW w:w="1220" w:type="dxa"/>
            <w:vAlign w:val="bottom"/>
            <w:tcBorders>
              <w:top w:val="single" w:sz="8" w:color="0000FF"/>
              <w:bottom w:val="single" w:sz="8" w:color="0000FF"/>
            </w:tcBorders>
            <w:gridSpan w:val="6"/>
            <w:vMerge w:val="restart"/>
          </w:tcPr>
          <w:p>
            <w:pPr>
              <w:spacing w:after="0"/>
              <w:rPr>
                <w:sz w:val="10"/>
                <w:szCs w:val="10"/>
                <w:color w:val="auto"/>
              </w:rPr>
            </w:pPr>
          </w:p>
        </w:tc>
        <w:tc>
          <w:tcPr>
            <w:tcW w:w="620" w:type="dxa"/>
            <w:vAlign w:val="bottom"/>
            <w:tcBorders>
              <w:top w:val="single" w:sz="8" w:color="0000FF"/>
              <w:bottom w:val="single" w:sz="8" w:color="0000FF"/>
            </w:tcBorders>
            <w:gridSpan w:val="3"/>
            <w:vMerge w:val="restart"/>
          </w:tcPr>
          <w:p>
            <w:pPr>
              <w:spacing w:after="0"/>
              <w:rPr>
                <w:sz w:val="10"/>
                <w:szCs w:val="10"/>
                <w:color w:val="auto"/>
              </w:rPr>
            </w:pPr>
          </w:p>
        </w:tc>
        <w:tc>
          <w:tcPr>
            <w:tcW w:w="1100" w:type="dxa"/>
            <w:vAlign w:val="bottom"/>
            <w:tcBorders>
              <w:top w:val="single" w:sz="8" w:color="0000FF"/>
              <w:bottom w:val="single" w:sz="8" w:color="0000FF"/>
            </w:tcBorders>
            <w:gridSpan w:val="3"/>
            <w:vMerge w:val="restart"/>
          </w:tcPr>
          <w:p>
            <w:pPr>
              <w:spacing w:after="0"/>
              <w:rPr>
                <w:sz w:val="10"/>
                <w:szCs w:val="10"/>
                <w:color w:val="auto"/>
              </w:rPr>
            </w:pPr>
          </w:p>
        </w:tc>
        <w:tc>
          <w:tcPr>
            <w:tcW w:w="200" w:type="dxa"/>
            <w:vAlign w:val="bottom"/>
            <w:tcBorders>
              <w:top w:val="single" w:sz="8" w:color="0000FF"/>
              <w:bottom w:val="single" w:sz="8" w:color="0000FF"/>
            </w:tcBorders>
            <w:gridSpan w:val="3"/>
            <w:vMerge w:val="restart"/>
          </w:tcPr>
          <w:p>
            <w:pPr>
              <w:spacing w:after="0"/>
              <w:rPr>
                <w:sz w:val="10"/>
                <w:szCs w:val="10"/>
                <w:color w:val="auto"/>
              </w:rPr>
            </w:pPr>
          </w:p>
        </w:tc>
        <w:tc>
          <w:tcPr>
            <w:tcW w:w="840" w:type="dxa"/>
            <w:vAlign w:val="bottom"/>
            <w:tcBorders>
              <w:top w:val="single" w:sz="8" w:color="0000FF"/>
              <w:bottom w:val="single" w:sz="8" w:color="0000FF"/>
            </w:tcBorders>
            <w:gridSpan w:val="3"/>
            <w:vMerge w:val="restart"/>
          </w:tcPr>
          <w:p>
            <w:pPr>
              <w:spacing w:after="0"/>
              <w:rPr>
                <w:sz w:val="10"/>
                <w:szCs w:val="10"/>
                <w:color w:val="auto"/>
              </w:rPr>
            </w:pPr>
          </w:p>
        </w:tc>
        <w:tc>
          <w:tcPr>
            <w:tcW w:w="700" w:type="dxa"/>
            <w:vAlign w:val="bottom"/>
            <w:tcBorders>
              <w:top w:val="single" w:sz="8" w:color="0000FF"/>
              <w:bottom w:val="single" w:sz="8" w:color="0000FF"/>
            </w:tcBorders>
            <w:gridSpan w:val="4"/>
            <w:vMerge w:val="restart"/>
          </w:tcPr>
          <w:p>
            <w:pPr>
              <w:spacing w:after="0"/>
              <w:rPr>
                <w:sz w:val="10"/>
                <w:szCs w:val="10"/>
                <w:color w:val="auto"/>
              </w:rPr>
            </w:pPr>
          </w:p>
        </w:tc>
        <w:tc>
          <w:tcPr>
            <w:tcW w:w="780" w:type="dxa"/>
            <w:vAlign w:val="bottom"/>
            <w:tcBorders>
              <w:top w:val="single" w:sz="8" w:color="0000FF"/>
              <w:bottom w:val="single" w:sz="8" w:color="0000FF"/>
            </w:tcBorders>
            <w:gridSpan w:val="3"/>
            <w:vMerge w:val="restart"/>
          </w:tcPr>
          <w:p>
            <w:pPr>
              <w:spacing w:after="0"/>
              <w:rPr>
                <w:sz w:val="10"/>
                <w:szCs w:val="10"/>
                <w:color w:val="auto"/>
              </w:rPr>
            </w:pPr>
          </w:p>
        </w:tc>
        <w:tc>
          <w:tcPr>
            <w:tcW w:w="360" w:type="dxa"/>
            <w:vAlign w:val="bottom"/>
            <w:tcBorders>
              <w:top w:val="single" w:sz="8" w:color="0000FF"/>
              <w:bottom w:val="single" w:sz="8" w:color="0000FF"/>
            </w:tcBorders>
            <w:gridSpan w:val="3"/>
            <w:vMerge w:val="restart"/>
          </w:tcPr>
          <w:p>
            <w:pPr>
              <w:spacing w:after="0"/>
              <w:rPr>
                <w:sz w:val="10"/>
                <w:szCs w:val="10"/>
                <w:color w:val="auto"/>
              </w:rPr>
            </w:pPr>
          </w:p>
        </w:tc>
        <w:tc>
          <w:tcPr>
            <w:tcW w:w="80" w:type="dxa"/>
            <w:vAlign w:val="bottom"/>
            <w:tcBorders>
              <w:top w:val="single" w:sz="8" w:color="0000FF"/>
              <w:bottom w:val="single" w:sz="8" w:color="0000FF"/>
            </w:tcBorders>
            <w:vMerge w:val="restart"/>
          </w:tcPr>
          <w:p>
            <w:pPr>
              <w:spacing w:after="0"/>
              <w:rPr>
                <w:sz w:val="10"/>
                <w:szCs w:val="10"/>
                <w:color w:val="auto"/>
              </w:rPr>
            </w:pPr>
          </w:p>
        </w:tc>
        <w:tc>
          <w:tcPr>
            <w:tcW w:w="540" w:type="dxa"/>
            <w:vAlign w:val="bottom"/>
            <w:tcBorders>
              <w:top w:val="single" w:sz="8" w:color="0000FF"/>
              <w:bottom w:val="single" w:sz="8" w:color="0000FF"/>
            </w:tcBorders>
            <w:gridSpan w:val="4"/>
            <w:vMerge w:val="restart"/>
          </w:tcPr>
          <w:p>
            <w:pPr>
              <w:spacing w:after="0"/>
              <w:rPr>
                <w:sz w:val="10"/>
                <w:szCs w:val="10"/>
                <w:color w:val="auto"/>
              </w:rPr>
            </w:pPr>
          </w:p>
        </w:tc>
        <w:tc>
          <w:tcPr>
            <w:tcW w:w="500" w:type="dxa"/>
            <w:vAlign w:val="bottom"/>
            <w:tcBorders>
              <w:top w:val="single" w:sz="8" w:color="0000FF"/>
              <w:bottom w:val="single" w:sz="8" w:color="0000FF"/>
            </w:tcBorders>
            <w:gridSpan w:val="6"/>
            <w:vMerge w:val="restart"/>
          </w:tcPr>
          <w:p>
            <w:pPr>
              <w:spacing w:after="0"/>
              <w:rPr>
                <w:sz w:val="10"/>
                <w:szCs w:val="10"/>
                <w:color w:val="auto"/>
              </w:rPr>
            </w:pPr>
          </w:p>
        </w:tc>
        <w:tc>
          <w:tcPr>
            <w:tcW w:w="140" w:type="dxa"/>
            <w:vAlign w:val="bottom"/>
            <w:tcBorders>
              <w:top w:val="single" w:sz="8" w:color="0000FF"/>
              <w:bottom w:val="single" w:sz="8" w:color="0000FF"/>
            </w:tcBorders>
            <w:gridSpan w:val="2"/>
            <w:vMerge w:val="restart"/>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780" w:type="dxa"/>
            <w:vAlign w:val="bottom"/>
            <w:gridSpan w:val="1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75"/>
          </w:tcPr>
          <w:p>
            <w:pPr>
              <w:spacing w:after="0"/>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First Supplemental Indenture, dated July 28, 2022, by and between Runway Growth Finance Corp. and U.S. Bank Trust Company,</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20"/>
            <w:vMerge w:val="restart"/>
          </w:tcPr>
          <w:p>
            <w:pPr>
              <w:spacing w:after="0" w:line="196" w:lineRule="exact"/>
              <w:rPr>
                <w:rFonts w:ascii="Times New Roman" w:cs="Times New Roman" w:eastAsia="Times New Roman" w:hAnsi="Times New Roman"/>
                <w:sz w:val="18"/>
                <w:szCs w:val="18"/>
                <w:color w:val="0000FF"/>
                <w:w w:val="99"/>
              </w:rPr>
            </w:pPr>
            <w:hyperlink r:id="rId754">
              <w:r>
                <w:rPr>
                  <w:rFonts w:ascii="Times New Roman" w:cs="Times New Roman" w:eastAsia="Times New Roman" w:hAnsi="Times New Roman"/>
                  <w:sz w:val="18"/>
                  <w:szCs w:val="18"/>
                  <w:color w:val="0000FF"/>
                  <w:w w:val="99"/>
                </w:rPr>
                <w:t>National Association, as trustee</w:t>
              </w:r>
            </w:hyperlink>
          </w:p>
        </w:tc>
        <w:tc>
          <w:tcPr>
            <w:tcW w:w="180" w:type="dxa"/>
            <w:vAlign w:val="bottom"/>
            <w:tcBorders>
              <w:top w:val="single" w:sz="8" w:color="0000FF"/>
              <w:bottom w:val="single" w:sz="8" w:color="0000FF"/>
            </w:tcBorders>
            <w:gridSpan w:val="4"/>
          </w:tcPr>
          <w:p>
            <w:pPr>
              <w:jc w:val="right"/>
              <w:spacing w:after="0" w:line="102" w:lineRule="exact"/>
              <w:rPr>
                <w:rFonts w:ascii="Times New Roman" w:cs="Times New Roman" w:eastAsia="Times New Roman" w:hAnsi="Times New Roman"/>
                <w:sz w:val="11"/>
                <w:szCs w:val="11"/>
                <w:color w:val="0000FF"/>
                <w:w w:val="87"/>
              </w:rPr>
            </w:pPr>
            <w:hyperlink r:id="rId754">
              <w:r>
                <w:rPr>
                  <w:rFonts w:ascii="Times New Roman" w:cs="Times New Roman" w:eastAsia="Times New Roman" w:hAnsi="Times New Roman"/>
                  <w:sz w:val="11"/>
                  <w:szCs w:val="11"/>
                  <w:color w:val="0000FF"/>
                  <w:w w:val="87"/>
                </w:rPr>
                <w:t>(22)</w:t>
              </w:r>
            </w:hyperlink>
          </w:p>
        </w:tc>
        <w:tc>
          <w:tcPr>
            <w:tcW w:w="300" w:type="dxa"/>
            <w:vAlign w:val="bottom"/>
            <w:tcBorders>
              <w:top w:val="single" w:sz="8" w:color="0000FF"/>
              <w:bottom w:val="single" w:sz="8" w:color="0000FF"/>
            </w:tcBorders>
            <w:gridSpan w:val="4"/>
            <w:vMerge w:val="restart"/>
          </w:tcPr>
          <w:p>
            <w:pPr>
              <w:spacing w:after="0"/>
              <w:rPr>
                <w:sz w:val="10"/>
                <w:szCs w:val="10"/>
                <w:color w:val="auto"/>
              </w:rPr>
            </w:pPr>
          </w:p>
        </w:tc>
        <w:tc>
          <w:tcPr>
            <w:tcW w:w="1220" w:type="dxa"/>
            <w:vAlign w:val="bottom"/>
            <w:tcBorders>
              <w:top w:val="single" w:sz="8" w:color="0000FF"/>
              <w:bottom w:val="single" w:sz="8" w:color="0000FF"/>
            </w:tcBorders>
            <w:gridSpan w:val="6"/>
            <w:vMerge w:val="restart"/>
          </w:tcPr>
          <w:p>
            <w:pPr>
              <w:spacing w:after="0"/>
              <w:rPr>
                <w:sz w:val="10"/>
                <w:szCs w:val="10"/>
                <w:color w:val="auto"/>
              </w:rPr>
            </w:pPr>
          </w:p>
        </w:tc>
        <w:tc>
          <w:tcPr>
            <w:tcW w:w="620" w:type="dxa"/>
            <w:vAlign w:val="bottom"/>
            <w:tcBorders>
              <w:top w:val="single" w:sz="8" w:color="0000FF"/>
              <w:bottom w:val="single" w:sz="8" w:color="0000FF"/>
            </w:tcBorders>
            <w:gridSpan w:val="3"/>
            <w:vMerge w:val="restart"/>
          </w:tcPr>
          <w:p>
            <w:pPr>
              <w:spacing w:after="0"/>
              <w:rPr>
                <w:sz w:val="10"/>
                <w:szCs w:val="10"/>
                <w:color w:val="auto"/>
              </w:rPr>
            </w:pPr>
          </w:p>
        </w:tc>
        <w:tc>
          <w:tcPr>
            <w:tcW w:w="1100" w:type="dxa"/>
            <w:vAlign w:val="bottom"/>
            <w:tcBorders>
              <w:top w:val="single" w:sz="8" w:color="0000FF"/>
              <w:bottom w:val="single" w:sz="8" w:color="0000FF"/>
            </w:tcBorders>
            <w:gridSpan w:val="3"/>
            <w:vMerge w:val="restart"/>
          </w:tcPr>
          <w:p>
            <w:pPr>
              <w:spacing w:after="0"/>
              <w:rPr>
                <w:sz w:val="10"/>
                <w:szCs w:val="10"/>
                <w:color w:val="auto"/>
              </w:rPr>
            </w:pPr>
          </w:p>
        </w:tc>
        <w:tc>
          <w:tcPr>
            <w:tcW w:w="200" w:type="dxa"/>
            <w:vAlign w:val="bottom"/>
            <w:tcBorders>
              <w:top w:val="single" w:sz="8" w:color="0000FF"/>
              <w:bottom w:val="single" w:sz="8" w:color="0000FF"/>
            </w:tcBorders>
            <w:gridSpan w:val="3"/>
            <w:vMerge w:val="restart"/>
          </w:tcPr>
          <w:p>
            <w:pPr>
              <w:spacing w:after="0"/>
              <w:rPr>
                <w:sz w:val="10"/>
                <w:szCs w:val="10"/>
                <w:color w:val="auto"/>
              </w:rPr>
            </w:pPr>
          </w:p>
        </w:tc>
        <w:tc>
          <w:tcPr>
            <w:tcW w:w="840" w:type="dxa"/>
            <w:vAlign w:val="bottom"/>
            <w:tcBorders>
              <w:top w:val="single" w:sz="8" w:color="0000FF"/>
              <w:bottom w:val="single" w:sz="8" w:color="0000FF"/>
            </w:tcBorders>
            <w:gridSpan w:val="3"/>
            <w:vMerge w:val="restart"/>
          </w:tcPr>
          <w:p>
            <w:pPr>
              <w:spacing w:after="0"/>
              <w:rPr>
                <w:sz w:val="10"/>
                <w:szCs w:val="10"/>
                <w:color w:val="auto"/>
              </w:rPr>
            </w:pPr>
          </w:p>
        </w:tc>
        <w:tc>
          <w:tcPr>
            <w:tcW w:w="700" w:type="dxa"/>
            <w:vAlign w:val="bottom"/>
            <w:tcBorders>
              <w:top w:val="single" w:sz="8" w:color="0000FF"/>
              <w:bottom w:val="single" w:sz="8" w:color="0000FF"/>
            </w:tcBorders>
            <w:gridSpan w:val="4"/>
            <w:vMerge w:val="restart"/>
          </w:tcPr>
          <w:p>
            <w:pPr>
              <w:spacing w:after="0"/>
              <w:rPr>
                <w:sz w:val="10"/>
                <w:szCs w:val="10"/>
                <w:color w:val="auto"/>
              </w:rPr>
            </w:pPr>
          </w:p>
        </w:tc>
        <w:tc>
          <w:tcPr>
            <w:tcW w:w="780" w:type="dxa"/>
            <w:vAlign w:val="bottom"/>
            <w:tcBorders>
              <w:top w:val="single" w:sz="8" w:color="0000FF"/>
              <w:bottom w:val="single" w:sz="8" w:color="0000FF"/>
            </w:tcBorders>
            <w:gridSpan w:val="3"/>
            <w:vMerge w:val="restart"/>
          </w:tcPr>
          <w:p>
            <w:pPr>
              <w:spacing w:after="0"/>
              <w:rPr>
                <w:sz w:val="10"/>
                <w:szCs w:val="10"/>
                <w:color w:val="auto"/>
              </w:rPr>
            </w:pPr>
          </w:p>
        </w:tc>
        <w:tc>
          <w:tcPr>
            <w:tcW w:w="360" w:type="dxa"/>
            <w:vAlign w:val="bottom"/>
            <w:tcBorders>
              <w:top w:val="single" w:sz="8" w:color="0000FF"/>
              <w:bottom w:val="single" w:sz="8" w:color="0000FF"/>
            </w:tcBorders>
            <w:gridSpan w:val="3"/>
            <w:vMerge w:val="restart"/>
          </w:tcPr>
          <w:p>
            <w:pPr>
              <w:spacing w:after="0"/>
              <w:rPr>
                <w:sz w:val="10"/>
                <w:szCs w:val="10"/>
                <w:color w:val="auto"/>
              </w:rPr>
            </w:pPr>
          </w:p>
        </w:tc>
        <w:tc>
          <w:tcPr>
            <w:tcW w:w="80" w:type="dxa"/>
            <w:vAlign w:val="bottom"/>
            <w:tcBorders>
              <w:top w:val="single" w:sz="8" w:color="0000FF"/>
              <w:bottom w:val="single" w:sz="8" w:color="0000FF"/>
            </w:tcBorders>
            <w:vMerge w:val="restart"/>
          </w:tcPr>
          <w:p>
            <w:pPr>
              <w:spacing w:after="0"/>
              <w:rPr>
                <w:sz w:val="10"/>
                <w:szCs w:val="10"/>
                <w:color w:val="auto"/>
              </w:rPr>
            </w:pPr>
          </w:p>
        </w:tc>
        <w:tc>
          <w:tcPr>
            <w:tcW w:w="540" w:type="dxa"/>
            <w:vAlign w:val="bottom"/>
            <w:tcBorders>
              <w:top w:val="single" w:sz="8" w:color="0000FF"/>
              <w:bottom w:val="single" w:sz="8" w:color="0000FF"/>
            </w:tcBorders>
            <w:gridSpan w:val="4"/>
            <w:vMerge w:val="restart"/>
          </w:tcPr>
          <w:p>
            <w:pPr>
              <w:spacing w:after="0"/>
              <w:rPr>
                <w:sz w:val="10"/>
                <w:szCs w:val="10"/>
                <w:color w:val="auto"/>
              </w:rPr>
            </w:pPr>
          </w:p>
        </w:tc>
        <w:tc>
          <w:tcPr>
            <w:tcW w:w="240" w:type="dxa"/>
            <w:vAlign w:val="bottom"/>
            <w:tcBorders>
              <w:top w:val="single" w:sz="8" w:color="0000FF"/>
              <w:bottom w:val="single" w:sz="8" w:color="0000FF"/>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tcBorders>
              <w:bottom w:val="single" w:sz="8" w:color="0000FF"/>
            </w:tcBorders>
            <w:gridSpan w:val="20"/>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38"/>
            <w:vMerge w:val="restart"/>
          </w:tcPr>
          <w:p>
            <w:pPr>
              <w:spacing w:after="0"/>
              <w:rPr>
                <w:rFonts w:ascii="Times New Roman" w:cs="Times New Roman" w:eastAsia="Times New Roman" w:hAnsi="Times New Roman"/>
                <w:sz w:val="18"/>
                <w:szCs w:val="18"/>
                <w:color w:val="0000FF"/>
                <w:w w:val="99"/>
              </w:rPr>
            </w:pPr>
            <w:hyperlink r:id="rId754">
              <w:r>
                <w:rPr>
                  <w:rFonts w:ascii="Times New Roman" w:cs="Times New Roman" w:eastAsia="Times New Roman" w:hAnsi="Times New Roman"/>
                  <w:sz w:val="18"/>
                  <w:szCs w:val="18"/>
                  <w:color w:val="0000FF"/>
                  <w:w w:val="99"/>
                </w:rPr>
                <w:t>Form of Global Note 7.50% Note Due 2027 (included as part of Exhibit 4.2)</w:t>
              </w:r>
            </w:hyperlink>
          </w:p>
        </w:tc>
        <w:tc>
          <w:tcPr>
            <w:tcW w:w="20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9"/>
              </w:rPr>
            </w:pPr>
            <w:hyperlink r:id="rId754">
              <w:r>
                <w:rPr>
                  <w:rFonts w:ascii="Times New Roman" w:cs="Times New Roman" w:eastAsia="Times New Roman" w:hAnsi="Times New Roman"/>
                  <w:sz w:val="12"/>
                  <w:szCs w:val="12"/>
                  <w:color w:val="0000FF"/>
                  <w:w w:val="89"/>
                </w:rPr>
                <w:t>(22)</w:t>
              </w:r>
            </w:hyperlink>
          </w:p>
        </w:tc>
        <w:tc>
          <w:tcPr>
            <w:tcW w:w="200" w:type="dxa"/>
            <w:vAlign w:val="bottom"/>
            <w:gridSpan w:val="3"/>
            <w:vMerge w:val="restart"/>
          </w:tcPr>
          <w:p>
            <w:pPr>
              <w:spacing w:after="0"/>
              <w:rPr>
                <w:sz w:val="17"/>
                <w:szCs w:val="17"/>
                <w:color w:val="auto"/>
              </w:rPr>
            </w:pPr>
          </w:p>
        </w:tc>
        <w:tc>
          <w:tcPr>
            <w:tcW w:w="840" w:type="dxa"/>
            <w:vAlign w:val="bottom"/>
            <w:gridSpan w:val="3"/>
            <w:vMerge w:val="restart"/>
          </w:tcPr>
          <w:p>
            <w:pPr>
              <w:spacing w:after="0"/>
              <w:rPr>
                <w:sz w:val="17"/>
                <w:szCs w:val="17"/>
                <w:color w:val="auto"/>
              </w:rPr>
            </w:pPr>
          </w:p>
        </w:tc>
        <w:tc>
          <w:tcPr>
            <w:tcW w:w="700" w:type="dxa"/>
            <w:vAlign w:val="bottom"/>
            <w:gridSpan w:val="4"/>
            <w:vMerge w:val="restart"/>
          </w:tcPr>
          <w:p>
            <w:pPr>
              <w:spacing w:after="0"/>
              <w:rPr>
                <w:sz w:val="17"/>
                <w:szCs w:val="17"/>
                <w:color w:val="auto"/>
              </w:rPr>
            </w:pPr>
          </w:p>
        </w:tc>
        <w:tc>
          <w:tcPr>
            <w:tcW w:w="780" w:type="dxa"/>
            <w:vAlign w:val="bottom"/>
            <w:gridSpan w:val="3"/>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5500" w:type="dxa"/>
            <w:vAlign w:val="bottom"/>
            <w:tcBorders>
              <w:bottom w:val="single" w:sz="8" w:color="0000FF"/>
            </w:tcBorders>
            <w:gridSpan w:val="3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75"/>
          </w:tcPr>
          <w:p>
            <w:pPr>
              <w:spacing w:after="0"/>
              <w:rPr>
                <w:rFonts w:ascii="Times New Roman" w:cs="Times New Roman" w:eastAsia="Times New Roman" w:hAnsi="Times New Roman"/>
                <w:sz w:val="18"/>
                <w:szCs w:val="18"/>
                <w:color w:val="0000FF"/>
                <w:w w:val="99"/>
              </w:rPr>
            </w:pPr>
            <w:hyperlink r:id="rId755">
              <w:r>
                <w:rPr>
                  <w:rFonts w:ascii="Times New Roman" w:cs="Times New Roman" w:eastAsia="Times New Roman" w:hAnsi="Times New Roman"/>
                  <w:sz w:val="18"/>
                  <w:szCs w:val="18"/>
                  <w:color w:val="0000FF"/>
                  <w:w w:val="99"/>
                </w:rPr>
                <w:t>Second Supplemental Indenture, dated December 7, 2022, by and between Runway Growth Finance Corp. and U.S. Bank Trust Company,</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20"/>
            <w:vMerge w:val="restart"/>
          </w:tcPr>
          <w:p>
            <w:pPr>
              <w:spacing w:after="0" w:line="196" w:lineRule="exact"/>
              <w:rPr>
                <w:rFonts w:ascii="Times New Roman" w:cs="Times New Roman" w:eastAsia="Times New Roman" w:hAnsi="Times New Roman"/>
                <w:sz w:val="18"/>
                <w:szCs w:val="18"/>
                <w:color w:val="0000FF"/>
                <w:w w:val="99"/>
              </w:rPr>
            </w:pPr>
            <w:hyperlink r:id="rId755">
              <w:r>
                <w:rPr>
                  <w:rFonts w:ascii="Times New Roman" w:cs="Times New Roman" w:eastAsia="Times New Roman" w:hAnsi="Times New Roman"/>
                  <w:sz w:val="18"/>
                  <w:szCs w:val="18"/>
                  <w:color w:val="0000FF"/>
                  <w:w w:val="99"/>
                </w:rPr>
                <w:t>National Association, as trustee</w:t>
              </w:r>
            </w:hyperlink>
          </w:p>
        </w:tc>
        <w:tc>
          <w:tcPr>
            <w:tcW w:w="180" w:type="dxa"/>
            <w:vAlign w:val="bottom"/>
            <w:tcBorders>
              <w:top w:val="single" w:sz="8" w:color="0000FF"/>
              <w:bottom w:val="single" w:sz="8" w:color="0000FF"/>
            </w:tcBorders>
            <w:gridSpan w:val="4"/>
          </w:tcPr>
          <w:p>
            <w:pPr>
              <w:jc w:val="right"/>
              <w:spacing w:after="0" w:line="102" w:lineRule="exact"/>
              <w:rPr>
                <w:rFonts w:ascii="Times New Roman" w:cs="Times New Roman" w:eastAsia="Times New Roman" w:hAnsi="Times New Roman"/>
                <w:sz w:val="11"/>
                <w:szCs w:val="11"/>
                <w:color w:val="0000FF"/>
                <w:w w:val="87"/>
              </w:rPr>
            </w:pPr>
            <w:hyperlink r:id="rId755">
              <w:r>
                <w:rPr>
                  <w:rFonts w:ascii="Times New Roman" w:cs="Times New Roman" w:eastAsia="Times New Roman" w:hAnsi="Times New Roman"/>
                  <w:sz w:val="11"/>
                  <w:szCs w:val="11"/>
                  <w:color w:val="0000FF"/>
                  <w:w w:val="87"/>
                </w:rPr>
                <w:t>(23)</w:t>
              </w:r>
            </w:hyperlink>
          </w:p>
        </w:tc>
        <w:tc>
          <w:tcPr>
            <w:tcW w:w="300" w:type="dxa"/>
            <w:vAlign w:val="bottom"/>
            <w:tcBorders>
              <w:top w:val="single" w:sz="8" w:color="0000FF"/>
              <w:bottom w:val="single" w:sz="8" w:color="0000FF"/>
            </w:tcBorders>
            <w:gridSpan w:val="4"/>
            <w:vMerge w:val="restart"/>
          </w:tcPr>
          <w:p>
            <w:pPr>
              <w:spacing w:after="0"/>
              <w:rPr>
                <w:sz w:val="10"/>
                <w:szCs w:val="10"/>
                <w:color w:val="auto"/>
              </w:rPr>
            </w:pPr>
          </w:p>
        </w:tc>
        <w:tc>
          <w:tcPr>
            <w:tcW w:w="1220" w:type="dxa"/>
            <w:vAlign w:val="bottom"/>
            <w:tcBorders>
              <w:top w:val="single" w:sz="8" w:color="0000FF"/>
              <w:bottom w:val="single" w:sz="8" w:color="0000FF"/>
            </w:tcBorders>
            <w:gridSpan w:val="6"/>
            <w:vMerge w:val="restart"/>
          </w:tcPr>
          <w:p>
            <w:pPr>
              <w:spacing w:after="0"/>
              <w:rPr>
                <w:sz w:val="10"/>
                <w:szCs w:val="10"/>
                <w:color w:val="auto"/>
              </w:rPr>
            </w:pPr>
          </w:p>
        </w:tc>
        <w:tc>
          <w:tcPr>
            <w:tcW w:w="620" w:type="dxa"/>
            <w:vAlign w:val="bottom"/>
            <w:tcBorders>
              <w:top w:val="single" w:sz="8" w:color="0000FF"/>
              <w:bottom w:val="single" w:sz="8" w:color="0000FF"/>
            </w:tcBorders>
            <w:gridSpan w:val="3"/>
            <w:vMerge w:val="restart"/>
          </w:tcPr>
          <w:p>
            <w:pPr>
              <w:spacing w:after="0"/>
              <w:rPr>
                <w:sz w:val="10"/>
                <w:szCs w:val="10"/>
                <w:color w:val="auto"/>
              </w:rPr>
            </w:pPr>
          </w:p>
        </w:tc>
        <w:tc>
          <w:tcPr>
            <w:tcW w:w="1300" w:type="dxa"/>
            <w:vAlign w:val="bottom"/>
            <w:tcBorders>
              <w:top w:val="single" w:sz="8" w:color="0000FF"/>
              <w:bottom w:val="single" w:sz="8" w:color="0000FF"/>
            </w:tcBorders>
            <w:gridSpan w:val="6"/>
            <w:vMerge w:val="restart"/>
          </w:tcPr>
          <w:p>
            <w:pPr>
              <w:spacing w:after="0"/>
              <w:rPr>
                <w:sz w:val="10"/>
                <w:szCs w:val="10"/>
                <w:color w:val="auto"/>
              </w:rPr>
            </w:pPr>
          </w:p>
        </w:tc>
        <w:tc>
          <w:tcPr>
            <w:tcW w:w="840" w:type="dxa"/>
            <w:vAlign w:val="bottom"/>
            <w:tcBorders>
              <w:top w:val="single" w:sz="8" w:color="0000FF"/>
              <w:bottom w:val="single" w:sz="8" w:color="0000FF"/>
            </w:tcBorders>
            <w:gridSpan w:val="3"/>
            <w:vMerge w:val="restart"/>
          </w:tcPr>
          <w:p>
            <w:pPr>
              <w:spacing w:after="0"/>
              <w:rPr>
                <w:sz w:val="10"/>
                <w:szCs w:val="10"/>
                <w:color w:val="auto"/>
              </w:rPr>
            </w:pPr>
          </w:p>
        </w:tc>
        <w:tc>
          <w:tcPr>
            <w:tcW w:w="700" w:type="dxa"/>
            <w:vAlign w:val="bottom"/>
            <w:tcBorders>
              <w:top w:val="single" w:sz="8" w:color="0000FF"/>
              <w:bottom w:val="single" w:sz="8" w:color="0000FF"/>
            </w:tcBorders>
            <w:gridSpan w:val="4"/>
            <w:vMerge w:val="restart"/>
          </w:tcPr>
          <w:p>
            <w:pPr>
              <w:spacing w:after="0"/>
              <w:rPr>
                <w:sz w:val="10"/>
                <w:szCs w:val="10"/>
                <w:color w:val="auto"/>
              </w:rPr>
            </w:pPr>
          </w:p>
        </w:tc>
        <w:tc>
          <w:tcPr>
            <w:tcW w:w="780" w:type="dxa"/>
            <w:vAlign w:val="bottom"/>
            <w:tcBorders>
              <w:top w:val="single" w:sz="8" w:color="0000FF"/>
              <w:bottom w:val="single" w:sz="8" w:color="0000FF"/>
            </w:tcBorders>
            <w:gridSpan w:val="3"/>
            <w:vMerge w:val="restart"/>
          </w:tcPr>
          <w:p>
            <w:pPr>
              <w:spacing w:after="0"/>
              <w:rPr>
                <w:sz w:val="10"/>
                <w:szCs w:val="10"/>
                <w:color w:val="auto"/>
              </w:rPr>
            </w:pPr>
          </w:p>
        </w:tc>
        <w:tc>
          <w:tcPr>
            <w:tcW w:w="360" w:type="dxa"/>
            <w:vAlign w:val="bottom"/>
            <w:tcBorders>
              <w:top w:val="single" w:sz="8" w:color="0000FF"/>
              <w:bottom w:val="single" w:sz="8" w:color="0000FF"/>
            </w:tcBorders>
            <w:gridSpan w:val="3"/>
            <w:vMerge w:val="restart"/>
          </w:tcPr>
          <w:p>
            <w:pPr>
              <w:spacing w:after="0"/>
              <w:rPr>
                <w:sz w:val="10"/>
                <w:szCs w:val="10"/>
                <w:color w:val="auto"/>
              </w:rPr>
            </w:pPr>
          </w:p>
        </w:tc>
        <w:tc>
          <w:tcPr>
            <w:tcW w:w="80" w:type="dxa"/>
            <w:vAlign w:val="bottom"/>
            <w:tcBorders>
              <w:top w:val="single" w:sz="8" w:color="0000FF"/>
              <w:bottom w:val="single" w:sz="8" w:color="0000FF"/>
            </w:tcBorders>
            <w:vMerge w:val="restart"/>
          </w:tcPr>
          <w:p>
            <w:pPr>
              <w:spacing w:after="0"/>
              <w:rPr>
                <w:sz w:val="10"/>
                <w:szCs w:val="10"/>
                <w:color w:val="auto"/>
              </w:rPr>
            </w:pPr>
          </w:p>
        </w:tc>
        <w:tc>
          <w:tcPr>
            <w:tcW w:w="540" w:type="dxa"/>
            <w:vAlign w:val="bottom"/>
            <w:tcBorders>
              <w:top w:val="single" w:sz="8" w:color="0000FF"/>
              <w:bottom w:val="single" w:sz="8" w:color="0000FF"/>
            </w:tcBorders>
            <w:gridSpan w:val="4"/>
            <w:vMerge w:val="restart"/>
          </w:tcPr>
          <w:p>
            <w:pPr>
              <w:spacing w:after="0"/>
              <w:rPr>
                <w:sz w:val="10"/>
                <w:szCs w:val="10"/>
                <w:color w:val="auto"/>
              </w:rPr>
            </w:pPr>
          </w:p>
        </w:tc>
        <w:tc>
          <w:tcPr>
            <w:tcW w:w="500" w:type="dxa"/>
            <w:vAlign w:val="bottom"/>
            <w:tcBorders>
              <w:top w:val="single" w:sz="8" w:color="0000FF"/>
              <w:bottom w:val="single" w:sz="8" w:color="0000FF"/>
            </w:tcBorders>
            <w:gridSpan w:val="6"/>
            <w:vMerge w:val="restart"/>
          </w:tcPr>
          <w:p>
            <w:pPr>
              <w:spacing w:after="0"/>
              <w:rPr>
                <w:sz w:val="10"/>
                <w:szCs w:val="10"/>
                <w:color w:val="auto"/>
              </w:rPr>
            </w:pPr>
          </w:p>
        </w:tc>
        <w:tc>
          <w:tcPr>
            <w:tcW w:w="260" w:type="dxa"/>
            <w:vAlign w:val="bottom"/>
            <w:tcBorders>
              <w:top w:val="single" w:sz="8" w:color="0000FF"/>
              <w:bottom w:val="single" w:sz="8" w:color="0000FF"/>
            </w:tcBorders>
            <w:gridSpan w:val="7"/>
            <w:vMerge w:val="restart"/>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tcBorders>
              <w:bottom w:val="single" w:sz="8" w:color="0000FF"/>
            </w:tcBorders>
            <w:gridSpan w:val="20"/>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0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4"/>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6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gridSpan w:val="38"/>
            <w:vMerge w:val="restart"/>
          </w:tcPr>
          <w:p>
            <w:pPr>
              <w:spacing w:after="0"/>
              <w:rPr>
                <w:rFonts w:ascii="Times New Roman" w:cs="Times New Roman" w:eastAsia="Times New Roman" w:hAnsi="Times New Roman"/>
                <w:sz w:val="18"/>
                <w:szCs w:val="18"/>
                <w:color w:val="0000FF"/>
                <w:w w:val="99"/>
              </w:rPr>
            </w:pPr>
            <w:hyperlink r:id="rId755">
              <w:r>
                <w:rPr>
                  <w:rFonts w:ascii="Times New Roman" w:cs="Times New Roman" w:eastAsia="Times New Roman" w:hAnsi="Times New Roman"/>
                  <w:sz w:val="18"/>
                  <w:szCs w:val="18"/>
                  <w:color w:val="0000FF"/>
                  <w:w w:val="99"/>
                </w:rPr>
                <w:t>Form of Global Note 8.00% Note Due 2027 (included as part of Exhibit 4.1)</w:t>
              </w:r>
            </w:hyperlink>
          </w:p>
        </w:tc>
        <w:tc>
          <w:tcPr>
            <w:tcW w:w="20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9"/>
              </w:rPr>
            </w:pPr>
            <w:hyperlink r:id="rId755">
              <w:r>
                <w:rPr>
                  <w:rFonts w:ascii="Times New Roman" w:cs="Times New Roman" w:eastAsia="Times New Roman" w:hAnsi="Times New Roman"/>
                  <w:sz w:val="12"/>
                  <w:szCs w:val="12"/>
                  <w:color w:val="0000FF"/>
                  <w:w w:val="89"/>
                </w:rPr>
                <w:t>(23)</w:t>
              </w:r>
            </w:hyperlink>
          </w:p>
        </w:tc>
        <w:tc>
          <w:tcPr>
            <w:tcW w:w="200" w:type="dxa"/>
            <w:vAlign w:val="bottom"/>
            <w:gridSpan w:val="3"/>
            <w:vMerge w:val="restart"/>
          </w:tcPr>
          <w:p>
            <w:pPr>
              <w:spacing w:after="0"/>
              <w:rPr>
                <w:sz w:val="17"/>
                <w:szCs w:val="17"/>
                <w:color w:val="auto"/>
              </w:rPr>
            </w:pPr>
          </w:p>
        </w:tc>
        <w:tc>
          <w:tcPr>
            <w:tcW w:w="840" w:type="dxa"/>
            <w:vAlign w:val="bottom"/>
            <w:gridSpan w:val="3"/>
            <w:vMerge w:val="restart"/>
          </w:tcPr>
          <w:p>
            <w:pPr>
              <w:spacing w:after="0"/>
              <w:rPr>
                <w:sz w:val="17"/>
                <w:szCs w:val="17"/>
                <w:color w:val="auto"/>
              </w:rPr>
            </w:pPr>
          </w:p>
        </w:tc>
        <w:tc>
          <w:tcPr>
            <w:tcW w:w="700" w:type="dxa"/>
            <w:vAlign w:val="bottom"/>
            <w:gridSpan w:val="4"/>
            <w:vMerge w:val="restart"/>
          </w:tcPr>
          <w:p>
            <w:pPr>
              <w:spacing w:after="0"/>
              <w:rPr>
                <w:sz w:val="17"/>
                <w:szCs w:val="17"/>
                <w:color w:val="auto"/>
              </w:rPr>
            </w:pPr>
          </w:p>
        </w:tc>
        <w:tc>
          <w:tcPr>
            <w:tcW w:w="780" w:type="dxa"/>
            <w:vAlign w:val="bottom"/>
            <w:gridSpan w:val="3"/>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5500" w:type="dxa"/>
            <w:vAlign w:val="bottom"/>
            <w:tcBorders>
              <w:bottom w:val="single" w:sz="8" w:color="0000FF"/>
            </w:tcBorders>
            <w:gridSpan w:val="3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44"/>
            <w:vMerge w:val="restart"/>
          </w:tcPr>
          <w:p>
            <w:pPr>
              <w:spacing w:after="0"/>
              <w:rPr>
                <w:rFonts w:ascii="Times New Roman" w:cs="Times New Roman" w:eastAsia="Times New Roman" w:hAnsi="Times New Roman"/>
                <w:sz w:val="18"/>
                <w:szCs w:val="18"/>
                <w:color w:val="0000FF"/>
                <w:w w:val="99"/>
              </w:rPr>
            </w:pPr>
            <w:hyperlink r:id="rId756">
              <w:r>
                <w:rPr>
                  <w:rFonts w:ascii="Times New Roman" w:cs="Times New Roman" w:eastAsia="Times New Roman" w:hAnsi="Times New Roman"/>
                  <w:sz w:val="18"/>
                  <w:szCs w:val="18"/>
                  <w:color w:val="0000FF"/>
                  <w:w w:val="99"/>
                </w:rPr>
                <w:t>Voting Proxy of OCM Growth Holdings, LLC in favor of Runway Growth Credit Fund Inc.</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756">
              <w:r>
                <w:rPr>
                  <w:rFonts w:ascii="Times New Roman" w:cs="Times New Roman" w:eastAsia="Times New Roman" w:hAnsi="Times New Roman"/>
                  <w:sz w:val="12"/>
                  <w:szCs w:val="12"/>
                  <w:color w:val="0000FF"/>
                  <w:w w:val="85"/>
                </w:rPr>
                <w:t>(4)</w:t>
              </w:r>
            </w:hyperlink>
          </w:p>
        </w:tc>
        <w:tc>
          <w:tcPr>
            <w:tcW w:w="700" w:type="dxa"/>
            <w:vAlign w:val="bottom"/>
            <w:gridSpan w:val="4"/>
            <w:vMerge w:val="restart"/>
          </w:tcPr>
          <w:p>
            <w:pPr>
              <w:spacing w:after="0"/>
              <w:rPr>
                <w:sz w:val="17"/>
                <w:szCs w:val="17"/>
                <w:color w:val="auto"/>
              </w:rPr>
            </w:pPr>
          </w:p>
        </w:tc>
        <w:tc>
          <w:tcPr>
            <w:tcW w:w="780" w:type="dxa"/>
            <w:vAlign w:val="bottom"/>
            <w:gridSpan w:val="3"/>
            <w:vMerge w:val="restart"/>
          </w:tcPr>
          <w:p>
            <w:pPr>
              <w:spacing w:after="0"/>
              <w:rPr>
                <w:sz w:val="17"/>
                <w:szCs w:val="17"/>
                <w:color w:val="auto"/>
              </w:rPr>
            </w:pPr>
          </w:p>
        </w:tc>
        <w:tc>
          <w:tcPr>
            <w:tcW w:w="360" w:type="dxa"/>
            <w:vAlign w:val="bottom"/>
            <w:gridSpan w:val="3"/>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0" w:type="dxa"/>
            <w:vAlign w:val="bottom"/>
            <w:tcBorders>
              <w:bottom w:val="single" w:sz="8" w:color="0000FF"/>
            </w:tcBorders>
            <w:gridSpan w:val="4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75"/>
          </w:tcPr>
          <w:p>
            <w:pPr>
              <w:spacing w:after="0"/>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Second Amended and Restated Investment Advisory Agreement between Runway Growth Credit Fund Inc. and Runway Growth Capital</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FF"/>
              <w:bottom w:val="single" w:sz="8" w:color="0000FF"/>
            </w:tcBorders>
            <w:gridSpan w:val="18"/>
            <w:vMerge w:val="restart"/>
          </w:tcPr>
          <w:p>
            <w:pPr>
              <w:spacing w:after="0" w:line="196" w:lineRule="exact"/>
              <w:rPr>
                <w:rFonts w:ascii="Times New Roman" w:cs="Times New Roman" w:eastAsia="Times New Roman" w:hAnsi="Times New Roman"/>
                <w:sz w:val="18"/>
                <w:szCs w:val="18"/>
                <w:color w:val="0000FF"/>
                <w:w w:val="98"/>
              </w:rPr>
            </w:pPr>
            <w:hyperlink r:id="rId757">
              <w:r>
                <w:rPr>
                  <w:rFonts w:ascii="Times New Roman" w:cs="Times New Roman" w:eastAsia="Times New Roman" w:hAnsi="Times New Roman"/>
                  <w:sz w:val="18"/>
                  <w:szCs w:val="18"/>
                  <w:color w:val="0000FF"/>
                  <w:w w:val="98"/>
                </w:rPr>
                <w:t>LLC, as the investment adviser</w:t>
              </w:r>
            </w:hyperlink>
          </w:p>
        </w:tc>
        <w:tc>
          <w:tcPr>
            <w:tcW w:w="160" w:type="dxa"/>
            <w:vAlign w:val="bottom"/>
            <w:tcBorders>
              <w:top w:val="single" w:sz="8" w:color="0000FF"/>
              <w:bottom w:val="single" w:sz="8" w:color="0000FF"/>
            </w:tcBorders>
            <w:gridSpan w:val="5"/>
          </w:tcPr>
          <w:p>
            <w:pPr>
              <w:jc w:val="right"/>
              <w:spacing w:after="0" w:line="102" w:lineRule="exact"/>
              <w:rPr>
                <w:rFonts w:ascii="Times New Roman" w:cs="Times New Roman" w:eastAsia="Times New Roman" w:hAnsi="Times New Roman"/>
                <w:sz w:val="11"/>
                <w:szCs w:val="11"/>
                <w:color w:val="0000FF"/>
                <w:w w:val="93"/>
              </w:rPr>
            </w:pPr>
            <w:hyperlink r:id="rId757">
              <w:r>
                <w:rPr>
                  <w:rFonts w:ascii="Times New Roman" w:cs="Times New Roman" w:eastAsia="Times New Roman" w:hAnsi="Times New Roman"/>
                  <w:sz w:val="11"/>
                  <w:szCs w:val="11"/>
                  <w:color w:val="0000FF"/>
                  <w:w w:val="93"/>
                </w:rPr>
                <w:t>(5)</w:t>
              </w:r>
            </w:hyperlink>
          </w:p>
        </w:tc>
        <w:tc>
          <w:tcPr>
            <w:tcW w:w="360" w:type="dxa"/>
            <w:vAlign w:val="bottom"/>
            <w:tcBorders>
              <w:top w:val="single" w:sz="8" w:color="0000FF"/>
              <w:bottom w:val="single" w:sz="8" w:color="0000FF"/>
            </w:tcBorders>
            <w:gridSpan w:val="5"/>
            <w:vMerge w:val="restart"/>
          </w:tcPr>
          <w:p>
            <w:pPr>
              <w:spacing w:after="0"/>
              <w:rPr>
                <w:sz w:val="10"/>
                <w:szCs w:val="10"/>
                <w:color w:val="auto"/>
              </w:rPr>
            </w:pPr>
          </w:p>
        </w:tc>
        <w:tc>
          <w:tcPr>
            <w:tcW w:w="1220" w:type="dxa"/>
            <w:vAlign w:val="bottom"/>
            <w:tcBorders>
              <w:top w:val="single" w:sz="8" w:color="0000FF"/>
              <w:bottom w:val="single" w:sz="8" w:color="0000FF"/>
            </w:tcBorders>
            <w:gridSpan w:val="6"/>
            <w:vMerge w:val="restart"/>
          </w:tcPr>
          <w:p>
            <w:pPr>
              <w:spacing w:after="0"/>
              <w:rPr>
                <w:sz w:val="10"/>
                <w:szCs w:val="10"/>
                <w:color w:val="auto"/>
              </w:rPr>
            </w:pPr>
          </w:p>
        </w:tc>
        <w:tc>
          <w:tcPr>
            <w:tcW w:w="620" w:type="dxa"/>
            <w:vAlign w:val="bottom"/>
            <w:tcBorders>
              <w:top w:val="single" w:sz="8" w:color="0000FF"/>
              <w:bottom w:val="single" w:sz="8" w:color="0000FF"/>
            </w:tcBorders>
            <w:gridSpan w:val="3"/>
            <w:vMerge w:val="restart"/>
          </w:tcPr>
          <w:p>
            <w:pPr>
              <w:spacing w:after="0"/>
              <w:rPr>
                <w:sz w:val="10"/>
                <w:szCs w:val="10"/>
                <w:color w:val="auto"/>
              </w:rPr>
            </w:pPr>
          </w:p>
        </w:tc>
        <w:tc>
          <w:tcPr>
            <w:tcW w:w="1300" w:type="dxa"/>
            <w:vAlign w:val="bottom"/>
            <w:tcBorders>
              <w:top w:val="single" w:sz="8" w:color="0000FF"/>
              <w:bottom w:val="single" w:sz="8" w:color="0000FF"/>
            </w:tcBorders>
            <w:gridSpan w:val="6"/>
            <w:vMerge w:val="restart"/>
          </w:tcPr>
          <w:p>
            <w:pPr>
              <w:spacing w:after="0"/>
              <w:rPr>
                <w:sz w:val="10"/>
                <w:szCs w:val="10"/>
                <w:color w:val="auto"/>
              </w:rPr>
            </w:pPr>
          </w:p>
        </w:tc>
        <w:tc>
          <w:tcPr>
            <w:tcW w:w="1540" w:type="dxa"/>
            <w:vAlign w:val="bottom"/>
            <w:tcBorders>
              <w:top w:val="single" w:sz="8" w:color="0000FF"/>
              <w:bottom w:val="single" w:sz="8" w:color="0000FF"/>
            </w:tcBorders>
            <w:gridSpan w:val="7"/>
            <w:vMerge w:val="restart"/>
          </w:tcPr>
          <w:p>
            <w:pPr>
              <w:spacing w:after="0"/>
              <w:rPr>
                <w:sz w:val="10"/>
                <w:szCs w:val="10"/>
                <w:color w:val="auto"/>
              </w:rPr>
            </w:pPr>
          </w:p>
        </w:tc>
        <w:tc>
          <w:tcPr>
            <w:tcW w:w="780" w:type="dxa"/>
            <w:vAlign w:val="bottom"/>
            <w:tcBorders>
              <w:top w:val="single" w:sz="8" w:color="0000FF"/>
              <w:bottom w:val="single" w:sz="8" w:color="0000FF"/>
            </w:tcBorders>
            <w:gridSpan w:val="3"/>
            <w:vMerge w:val="restart"/>
          </w:tcPr>
          <w:p>
            <w:pPr>
              <w:spacing w:after="0"/>
              <w:rPr>
                <w:sz w:val="10"/>
                <w:szCs w:val="10"/>
                <w:color w:val="auto"/>
              </w:rPr>
            </w:pPr>
          </w:p>
        </w:tc>
        <w:tc>
          <w:tcPr>
            <w:tcW w:w="360" w:type="dxa"/>
            <w:vAlign w:val="bottom"/>
            <w:tcBorders>
              <w:top w:val="single" w:sz="8" w:color="0000FF"/>
              <w:bottom w:val="single" w:sz="8" w:color="0000FF"/>
            </w:tcBorders>
            <w:gridSpan w:val="3"/>
            <w:vMerge w:val="restart"/>
          </w:tcPr>
          <w:p>
            <w:pPr>
              <w:spacing w:after="0"/>
              <w:rPr>
                <w:sz w:val="10"/>
                <w:szCs w:val="10"/>
                <w:color w:val="auto"/>
              </w:rPr>
            </w:pPr>
          </w:p>
        </w:tc>
        <w:tc>
          <w:tcPr>
            <w:tcW w:w="80" w:type="dxa"/>
            <w:vAlign w:val="bottom"/>
            <w:tcBorders>
              <w:top w:val="single" w:sz="8" w:color="0000FF"/>
              <w:bottom w:val="single" w:sz="8" w:color="0000FF"/>
            </w:tcBorders>
            <w:vMerge w:val="restart"/>
          </w:tcPr>
          <w:p>
            <w:pPr>
              <w:spacing w:after="0"/>
              <w:rPr>
                <w:sz w:val="10"/>
                <w:szCs w:val="10"/>
                <w:color w:val="auto"/>
              </w:rPr>
            </w:pPr>
          </w:p>
        </w:tc>
        <w:tc>
          <w:tcPr>
            <w:tcW w:w="540" w:type="dxa"/>
            <w:vAlign w:val="bottom"/>
            <w:tcBorders>
              <w:top w:val="single" w:sz="8" w:color="0000FF"/>
              <w:bottom w:val="single" w:sz="8" w:color="0000FF"/>
            </w:tcBorders>
            <w:gridSpan w:val="4"/>
            <w:vMerge w:val="restart"/>
          </w:tcPr>
          <w:p>
            <w:pPr>
              <w:spacing w:after="0"/>
              <w:rPr>
                <w:sz w:val="10"/>
                <w:szCs w:val="10"/>
                <w:color w:val="auto"/>
              </w:rPr>
            </w:pPr>
          </w:p>
        </w:tc>
        <w:tc>
          <w:tcPr>
            <w:tcW w:w="500" w:type="dxa"/>
            <w:vAlign w:val="bottom"/>
            <w:tcBorders>
              <w:top w:val="single" w:sz="8" w:color="0000FF"/>
              <w:bottom w:val="single" w:sz="8" w:color="0000FF"/>
            </w:tcBorders>
            <w:gridSpan w:val="6"/>
            <w:vMerge w:val="restart"/>
          </w:tcPr>
          <w:p>
            <w:pPr>
              <w:spacing w:after="0"/>
              <w:rPr>
                <w:sz w:val="10"/>
                <w:szCs w:val="10"/>
                <w:color w:val="auto"/>
              </w:rPr>
            </w:pPr>
          </w:p>
        </w:tc>
        <w:tc>
          <w:tcPr>
            <w:tcW w:w="200" w:type="dxa"/>
            <w:vAlign w:val="bottom"/>
            <w:tcBorders>
              <w:top w:val="single" w:sz="8" w:color="0000FF"/>
              <w:bottom w:val="single" w:sz="8" w:color="0000FF"/>
            </w:tcBorders>
            <w:gridSpan w:val="4"/>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tcBorders>
              <w:bottom w:val="single" w:sz="8" w:color="0000FF"/>
            </w:tcBorders>
            <w:gridSpan w:val="1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40" w:type="dxa"/>
            <w:vAlign w:val="bottom"/>
            <w:gridSpan w:val="4"/>
          </w:tcPr>
          <w:p>
            <w:pPr>
              <w:spacing w:after="0"/>
              <w:rPr>
                <w:sz w:val="5"/>
                <w:szCs w:val="5"/>
                <w:color w:val="auto"/>
              </w:rPr>
            </w:pPr>
          </w:p>
        </w:tc>
        <w:tc>
          <w:tcPr>
            <w:tcW w:w="360" w:type="dxa"/>
            <w:vAlign w:val="bottom"/>
            <w:gridSpan w:val="5"/>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1540" w:type="dxa"/>
            <w:vAlign w:val="bottom"/>
            <w:gridSpan w:val="7"/>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0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75"/>
          </w:tcPr>
          <w:p>
            <w:pPr>
              <w:spacing w:after="0"/>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Amended and Restated Administration Agreement between Runway Growth Credit Fund Inc. and Runway Administrator Services, LLC,</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Borders>
              <w:top w:val="single" w:sz="8" w:color="0000FF"/>
              <w:bottom w:val="single" w:sz="8" w:color="0000FF"/>
            </w:tcBorders>
            <w:gridSpan w:val="7"/>
            <w:vMerge w:val="restart"/>
          </w:tcPr>
          <w:p>
            <w:pPr>
              <w:spacing w:after="0" w:line="196" w:lineRule="exact"/>
              <w:rPr>
                <w:rFonts w:ascii="Times New Roman" w:cs="Times New Roman" w:eastAsia="Times New Roman" w:hAnsi="Times New Roman"/>
                <w:sz w:val="18"/>
                <w:szCs w:val="18"/>
                <w:color w:val="0000FF"/>
                <w:w w:val="97"/>
              </w:rPr>
            </w:pPr>
            <w:hyperlink r:id="rId758">
              <w:r>
                <w:rPr>
                  <w:rFonts w:ascii="Times New Roman" w:cs="Times New Roman" w:eastAsia="Times New Roman" w:hAnsi="Times New Roman"/>
                  <w:sz w:val="18"/>
                  <w:szCs w:val="18"/>
                  <w:color w:val="0000FF"/>
                  <w:w w:val="97"/>
                </w:rPr>
                <w:t>as the administrator</w:t>
              </w:r>
            </w:hyperlink>
          </w:p>
        </w:tc>
        <w:tc>
          <w:tcPr>
            <w:tcW w:w="20" w:type="dxa"/>
            <w:vAlign w:val="bottom"/>
            <w:tcBorders>
              <w:top w:val="single" w:sz="8" w:color="0000FF"/>
              <w:bottom w:val="single" w:sz="8" w:color="0000FF"/>
            </w:tcBorders>
            <w:vMerge w:val="restart"/>
          </w:tcPr>
          <w:p>
            <w:pPr>
              <w:spacing w:after="0"/>
              <w:rPr>
                <w:sz w:val="10"/>
                <w:szCs w:val="10"/>
                <w:color w:val="auto"/>
              </w:rPr>
            </w:pPr>
          </w:p>
        </w:tc>
        <w:tc>
          <w:tcPr>
            <w:tcW w:w="200" w:type="dxa"/>
            <w:vAlign w:val="bottom"/>
            <w:tcBorders>
              <w:top w:val="single" w:sz="8" w:color="0000FF"/>
              <w:bottom w:val="single" w:sz="8" w:color="0000FF"/>
            </w:tcBorders>
            <w:gridSpan w:val="3"/>
          </w:tcPr>
          <w:p>
            <w:pPr>
              <w:jc w:val="right"/>
              <w:ind w:right="20"/>
              <w:spacing w:after="0" w:line="102" w:lineRule="exact"/>
              <w:rPr>
                <w:rFonts w:ascii="Times New Roman" w:cs="Times New Roman" w:eastAsia="Times New Roman" w:hAnsi="Times New Roman"/>
                <w:sz w:val="11"/>
                <w:szCs w:val="11"/>
                <w:color w:val="0000FF"/>
                <w:w w:val="87"/>
              </w:rPr>
            </w:pPr>
            <w:hyperlink r:id="rId758">
              <w:r>
                <w:rPr>
                  <w:rFonts w:ascii="Times New Roman" w:cs="Times New Roman" w:eastAsia="Times New Roman" w:hAnsi="Times New Roman"/>
                  <w:sz w:val="11"/>
                  <w:szCs w:val="11"/>
                  <w:color w:val="0000FF"/>
                  <w:w w:val="87"/>
                </w:rPr>
                <w:t>(14)</w:t>
              </w:r>
            </w:hyperlink>
          </w:p>
        </w:tc>
        <w:tc>
          <w:tcPr>
            <w:tcW w:w="100" w:type="dxa"/>
            <w:vAlign w:val="bottom"/>
            <w:tcBorders>
              <w:top w:val="single" w:sz="8" w:color="0000FF"/>
              <w:bottom w:val="single" w:sz="8" w:color="0000FF"/>
            </w:tcBorders>
            <w:gridSpan w:val="3"/>
            <w:vMerge w:val="restart"/>
          </w:tcPr>
          <w:p>
            <w:pPr>
              <w:spacing w:after="0"/>
              <w:rPr>
                <w:sz w:val="10"/>
                <w:szCs w:val="10"/>
                <w:color w:val="auto"/>
              </w:rPr>
            </w:pPr>
          </w:p>
        </w:tc>
        <w:tc>
          <w:tcPr>
            <w:tcW w:w="1040" w:type="dxa"/>
            <w:vAlign w:val="bottom"/>
            <w:tcBorders>
              <w:top w:val="single" w:sz="8" w:color="0000FF"/>
              <w:bottom w:val="single" w:sz="8" w:color="0000FF"/>
            </w:tcBorders>
            <w:gridSpan w:val="14"/>
            <w:vMerge w:val="restart"/>
          </w:tcPr>
          <w:p>
            <w:pPr>
              <w:spacing w:after="0"/>
              <w:rPr>
                <w:sz w:val="10"/>
                <w:szCs w:val="10"/>
                <w:color w:val="auto"/>
              </w:rPr>
            </w:pPr>
          </w:p>
        </w:tc>
        <w:tc>
          <w:tcPr>
            <w:tcW w:w="1220" w:type="dxa"/>
            <w:vAlign w:val="bottom"/>
            <w:tcBorders>
              <w:top w:val="single" w:sz="8" w:color="0000FF"/>
              <w:bottom w:val="single" w:sz="8" w:color="0000FF"/>
            </w:tcBorders>
            <w:gridSpan w:val="6"/>
            <w:vMerge w:val="restart"/>
          </w:tcPr>
          <w:p>
            <w:pPr>
              <w:spacing w:after="0"/>
              <w:rPr>
                <w:sz w:val="10"/>
                <w:szCs w:val="10"/>
                <w:color w:val="auto"/>
              </w:rPr>
            </w:pPr>
          </w:p>
        </w:tc>
        <w:tc>
          <w:tcPr>
            <w:tcW w:w="620" w:type="dxa"/>
            <w:vAlign w:val="bottom"/>
            <w:tcBorders>
              <w:top w:val="single" w:sz="8" w:color="0000FF"/>
              <w:bottom w:val="single" w:sz="8" w:color="0000FF"/>
            </w:tcBorders>
            <w:gridSpan w:val="3"/>
            <w:vMerge w:val="restart"/>
          </w:tcPr>
          <w:p>
            <w:pPr>
              <w:spacing w:after="0"/>
              <w:rPr>
                <w:sz w:val="10"/>
                <w:szCs w:val="10"/>
                <w:color w:val="auto"/>
              </w:rPr>
            </w:pPr>
          </w:p>
        </w:tc>
        <w:tc>
          <w:tcPr>
            <w:tcW w:w="1300" w:type="dxa"/>
            <w:vAlign w:val="bottom"/>
            <w:tcBorders>
              <w:top w:val="single" w:sz="8" w:color="0000FF"/>
              <w:bottom w:val="single" w:sz="8" w:color="0000FF"/>
            </w:tcBorders>
            <w:gridSpan w:val="6"/>
            <w:vMerge w:val="restart"/>
          </w:tcPr>
          <w:p>
            <w:pPr>
              <w:spacing w:after="0"/>
              <w:rPr>
                <w:sz w:val="10"/>
                <w:szCs w:val="10"/>
                <w:color w:val="auto"/>
              </w:rPr>
            </w:pPr>
          </w:p>
        </w:tc>
        <w:tc>
          <w:tcPr>
            <w:tcW w:w="1540" w:type="dxa"/>
            <w:vAlign w:val="bottom"/>
            <w:tcBorders>
              <w:top w:val="single" w:sz="8" w:color="0000FF"/>
              <w:bottom w:val="single" w:sz="8" w:color="0000FF"/>
            </w:tcBorders>
            <w:gridSpan w:val="7"/>
            <w:vMerge w:val="restart"/>
          </w:tcPr>
          <w:p>
            <w:pPr>
              <w:spacing w:after="0"/>
              <w:rPr>
                <w:sz w:val="10"/>
                <w:szCs w:val="10"/>
                <w:color w:val="auto"/>
              </w:rPr>
            </w:pPr>
          </w:p>
        </w:tc>
        <w:tc>
          <w:tcPr>
            <w:tcW w:w="780" w:type="dxa"/>
            <w:vAlign w:val="bottom"/>
            <w:tcBorders>
              <w:top w:val="single" w:sz="8" w:color="0000FF"/>
              <w:bottom w:val="single" w:sz="8" w:color="0000FF"/>
            </w:tcBorders>
            <w:gridSpan w:val="3"/>
            <w:vMerge w:val="restart"/>
          </w:tcPr>
          <w:p>
            <w:pPr>
              <w:spacing w:after="0"/>
              <w:rPr>
                <w:sz w:val="10"/>
                <w:szCs w:val="10"/>
                <w:color w:val="auto"/>
              </w:rPr>
            </w:pPr>
          </w:p>
        </w:tc>
        <w:tc>
          <w:tcPr>
            <w:tcW w:w="360" w:type="dxa"/>
            <w:vAlign w:val="bottom"/>
            <w:tcBorders>
              <w:top w:val="single" w:sz="8" w:color="0000FF"/>
              <w:bottom w:val="single" w:sz="8" w:color="0000FF"/>
            </w:tcBorders>
            <w:gridSpan w:val="3"/>
            <w:vMerge w:val="restart"/>
          </w:tcPr>
          <w:p>
            <w:pPr>
              <w:spacing w:after="0"/>
              <w:rPr>
                <w:sz w:val="10"/>
                <w:szCs w:val="10"/>
                <w:color w:val="auto"/>
              </w:rPr>
            </w:pPr>
          </w:p>
        </w:tc>
        <w:tc>
          <w:tcPr>
            <w:tcW w:w="80" w:type="dxa"/>
            <w:vAlign w:val="bottom"/>
            <w:tcBorders>
              <w:top w:val="single" w:sz="8" w:color="0000FF"/>
              <w:bottom w:val="single" w:sz="8" w:color="0000FF"/>
            </w:tcBorders>
            <w:vMerge w:val="restart"/>
          </w:tcPr>
          <w:p>
            <w:pPr>
              <w:spacing w:after="0"/>
              <w:rPr>
                <w:sz w:val="10"/>
                <w:szCs w:val="10"/>
                <w:color w:val="auto"/>
              </w:rPr>
            </w:pPr>
          </w:p>
        </w:tc>
        <w:tc>
          <w:tcPr>
            <w:tcW w:w="540" w:type="dxa"/>
            <w:vAlign w:val="bottom"/>
            <w:tcBorders>
              <w:top w:val="single" w:sz="8" w:color="0000FF"/>
              <w:bottom w:val="single" w:sz="8" w:color="0000FF"/>
            </w:tcBorders>
            <w:gridSpan w:val="4"/>
            <w:vMerge w:val="restart"/>
          </w:tcPr>
          <w:p>
            <w:pPr>
              <w:spacing w:after="0"/>
              <w:rPr>
                <w:sz w:val="10"/>
                <w:szCs w:val="10"/>
                <w:color w:val="auto"/>
              </w:rPr>
            </w:pPr>
          </w:p>
        </w:tc>
        <w:tc>
          <w:tcPr>
            <w:tcW w:w="500" w:type="dxa"/>
            <w:vAlign w:val="bottom"/>
            <w:tcBorders>
              <w:top w:val="single" w:sz="8" w:color="0000FF"/>
              <w:bottom w:val="single" w:sz="8" w:color="0000FF"/>
            </w:tcBorders>
            <w:gridSpan w:val="6"/>
            <w:vMerge w:val="restart"/>
          </w:tcPr>
          <w:p>
            <w:pPr>
              <w:spacing w:after="0"/>
              <w:rPr>
                <w:sz w:val="10"/>
                <w:szCs w:val="10"/>
                <w:color w:val="auto"/>
              </w:rPr>
            </w:pPr>
          </w:p>
        </w:tc>
        <w:tc>
          <w:tcPr>
            <w:tcW w:w="220" w:type="dxa"/>
            <w:vAlign w:val="bottom"/>
            <w:tcBorders>
              <w:top w:val="single" w:sz="8" w:color="0000FF"/>
              <w:bottom w:val="single" w:sz="8" w:color="0000FF"/>
            </w:tcBorders>
            <w:gridSpan w:val="5"/>
            <w:vMerge w:val="restart"/>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Borders>
              <w:bottom w:val="single" w:sz="8" w:color="0000FF"/>
            </w:tcBorders>
            <w:gridSpan w:val="7"/>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gridSpan w:val="3"/>
            <w:vMerge w:val="continue"/>
          </w:tcPr>
          <w:p>
            <w:pPr>
              <w:spacing w:after="0"/>
              <w:rPr>
                <w:sz w:val="5"/>
                <w:szCs w:val="5"/>
                <w:color w:val="auto"/>
              </w:rPr>
            </w:pPr>
          </w:p>
        </w:tc>
        <w:tc>
          <w:tcPr>
            <w:tcW w:w="1040" w:type="dxa"/>
            <w:vAlign w:val="bottom"/>
            <w:gridSpan w:val="14"/>
            <w:vMerge w:val="continue"/>
          </w:tcPr>
          <w:p>
            <w:pPr>
              <w:spacing w:after="0"/>
              <w:rPr>
                <w:sz w:val="5"/>
                <w:szCs w:val="5"/>
                <w:color w:val="auto"/>
              </w:rPr>
            </w:pPr>
          </w:p>
        </w:tc>
        <w:tc>
          <w:tcPr>
            <w:tcW w:w="1220" w:type="dxa"/>
            <w:vAlign w:val="bottom"/>
            <w:gridSpan w:val="6"/>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1540" w:type="dxa"/>
            <w:vAlign w:val="bottom"/>
            <w:gridSpan w:val="7"/>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2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gridSpan w:val="48"/>
            <w:vMerge w:val="restart"/>
          </w:tcPr>
          <w:p>
            <w:pPr>
              <w:spacing w:after="0"/>
              <w:rPr>
                <w:rFonts w:ascii="Times New Roman" w:cs="Times New Roman" w:eastAsia="Times New Roman" w:hAnsi="Times New Roman"/>
                <w:sz w:val="18"/>
                <w:szCs w:val="18"/>
                <w:color w:val="0000FF"/>
                <w:w w:val="99"/>
              </w:rPr>
            </w:pPr>
            <w:hyperlink r:id="rId759">
              <w:r>
                <w:rPr>
                  <w:rFonts w:ascii="Times New Roman" w:cs="Times New Roman" w:eastAsia="Times New Roman" w:hAnsi="Times New Roman"/>
                  <w:sz w:val="18"/>
                  <w:szCs w:val="18"/>
                  <w:color w:val="0000FF"/>
                  <w:w w:val="99"/>
                </w:rPr>
                <w:t>Stockholder Agreement between Runway Growth Credit Fund Inc. and OCM Growth Holdings, LLC</w:t>
              </w:r>
            </w:hyperlink>
          </w:p>
        </w:tc>
        <w:tc>
          <w:tcPr>
            <w:tcW w:w="140" w:type="dxa"/>
            <w:vAlign w:val="bottom"/>
            <w:tcBorders>
              <w:bottom w:val="single" w:sz="8" w:color="0000FF"/>
            </w:tcBorders>
            <w:gridSpan w:val="2"/>
          </w:tcPr>
          <w:p>
            <w:pPr>
              <w:jc w:val="right"/>
              <w:spacing w:after="0" w:line="136" w:lineRule="exact"/>
              <w:rPr>
                <w:rFonts w:ascii="Times New Roman" w:cs="Times New Roman" w:eastAsia="Times New Roman" w:hAnsi="Times New Roman"/>
                <w:sz w:val="12"/>
                <w:szCs w:val="12"/>
                <w:color w:val="0000FF"/>
                <w:w w:val="85"/>
              </w:rPr>
            </w:pPr>
            <w:hyperlink r:id="rId759">
              <w:r>
                <w:rPr>
                  <w:rFonts w:ascii="Times New Roman" w:cs="Times New Roman" w:eastAsia="Times New Roman" w:hAnsi="Times New Roman"/>
                  <w:sz w:val="12"/>
                  <w:szCs w:val="12"/>
                  <w:color w:val="0000FF"/>
                  <w:w w:val="85"/>
                </w:rPr>
                <w:t>(1)</w:t>
              </w:r>
            </w:hyperlink>
          </w:p>
        </w:tc>
        <w:tc>
          <w:tcPr>
            <w:tcW w:w="780" w:type="dxa"/>
            <w:vAlign w:val="bottom"/>
            <w:gridSpan w:val="3"/>
            <w:vMerge w:val="restart"/>
          </w:tcPr>
          <w:p>
            <w:pPr>
              <w:spacing w:after="0"/>
              <w:rPr>
                <w:sz w:val="13"/>
                <w:szCs w:val="13"/>
                <w:color w:val="auto"/>
              </w:rPr>
            </w:pPr>
          </w:p>
        </w:tc>
        <w:tc>
          <w:tcPr>
            <w:tcW w:w="360" w:type="dxa"/>
            <w:vAlign w:val="bottom"/>
            <w:gridSpan w:val="3"/>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540" w:type="dxa"/>
            <w:vAlign w:val="bottom"/>
            <w:gridSpan w:val="4"/>
            <w:vMerge w:val="restart"/>
          </w:tcPr>
          <w:p>
            <w:pPr>
              <w:spacing w:after="0"/>
              <w:rPr>
                <w:sz w:val="13"/>
                <w:szCs w:val="13"/>
                <w:color w:val="auto"/>
              </w:rPr>
            </w:pPr>
          </w:p>
        </w:tc>
        <w:tc>
          <w:tcPr>
            <w:tcW w:w="500" w:type="dxa"/>
            <w:vAlign w:val="bottom"/>
            <w:gridSpan w:val="6"/>
            <w:vMerge w:val="restart"/>
          </w:tcPr>
          <w:p>
            <w:pPr>
              <w:spacing w:after="0"/>
              <w:rPr>
                <w:sz w:val="13"/>
                <w:szCs w:val="13"/>
                <w:color w:val="auto"/>
              </w:rPr>
            </w:pPr>
          </w:p>
        </w:tc>
        <w:tc>
          <w:tcPr>
            <w:tcW w:w="2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7300" w:type="dxa"/>
            <w:vAlign w:val="bottom"/>
            <w:tcBorders>
              <w:bottom w:val="single" w:sz="8" w:color="0000FF"/>
            </w:tcBorders>
            <w:gridSpan w:val="4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gridSpan w:val="54"/>
            <w:vMerge w:val="restart"/>
          </w:tcPr>
          <w:p>
            <w:pPr>
              <w:spacing w:after="0"/>
              <w:rPr>
                <w:rFonts w:ascii="Times New Roman" w:cs="Times New Roman" w:eastAsia="Times New Roman" w:hAnsi="Times New Roman"/>
                <w:sz w:val="18"/>
                <w:szCs w:val="18"/>
                <w:color w:val="0000FF"/>
                <w:w w:val="99"/>
              </w:rPr>
            </w:pPr>
            <w:hyperlink r:id="rId760">
              <w:r>
                <w:rPr>
                  <w:rFonts w:ascii="Times New Roman" w:cs="Times New Roman" w:eastAsia="Times New Roman" w:hAnsi="Times New Roman"/>
                  <w:sz w:val="18"/>
                  <w:szCs w:val="18"/>
                  <w:color w:val="0000FF"/>
                  <w:w w:val="99"/>
                </w:rPr>
                <w:t>Custody Agreement between Runway Growth Credit Fund Inc. and U.S. Bank National Association, as the custodian</w:t>
              </w:r>
            </w:hyperlink>
          </w:p>
        </w:tc>
        <w:tc>
          <w:tcPr>
            <w:tcW w:w="140" w:type="dxa"/>
            <w:vAlign w:val="bottom"/>
            <w:tcBorders>
              <w:bottom w:val="single" w:sz="8" w:color="0000FF"/>
            </w:tcBorders>
            <w:gridSpan w:val="2"/>
          </w:tcPr>
          <w:p>
            <w:pPr>
              <w:spacing w:after="0" w:line="136" w:lineRule="exact"/>
              <w:rPr>
                <w:rFonts w:ascii="Times New Roman" w:cs="Times New Roman" w:eastAsia="Times New Roman" w:hAnsi="Times New Roman"/>
                <w:sz w:val="12"/>
                <w:szCs w:val="12"/>
                <w:color w:val="0000FF"/>
                <w:w w:val="85"/>
              </w:rPr>
            </w:pPr>
            <w:hyperlink r:id="rId760">
              <w:r>
                <w:rPr>
                  <w:rFonts w:ascii="Times New Roman" w:cs="Times New Roman" w:eastAsia="Times New Roman" w:hAnsi="Times New Roman"/>
                  <w:sz w:val="12"/>
                  <w:szCs w:val="12"/>
                  <w:color w:val="0000FF"/>
                  <w:w w:val="85"/>
                </w:rPr>
                <w:t>(1)</w:t>
              </w:r>
            </w:hyperlink>
          </w:p>
        </w:tc>
        <w:tc>
          <w:tcPr>
            <w:tcW w:w="80" w:type="dxa"/>
            <w:vAlign w:val="bottom"/>
            <w:vMerge w:val="restart"/>
          </w:tcPr>
          <w:p>
            <w:pPr>
              <w:spacing w:after="0"/>
              <w:rPr>
                <w:sz w:val="13"/>
                <w:szCs w:val="13"/>
                <w:color w:val="auto"/>
              </w:rPr>
            </w:pPr>
          </w:p>
        </w:tc>
        <w:tc>
          <w:tcPr>
            <w:tcW w:w="540" w:type="dxa"/>
            <w:vAlign w:val="bottom"/>
            <w:gridSpan w:val="4"/>
            <w:vMerge w:val="restart"/>
          </w:tcPr>
          <w:p>
            <w:pPr>
              <w:spacing w:after="0"/>
              <w:rPr>
                <w:sz w:val="13"/>
                <w:szCs w:val="13"/>
                <w:color w:val="auto"/>
              </w:rPr>
            </w:pPr>
          </w:p>
        </w:tc>
        <w:tc>
          <w:tcPr>
            <w:tcW w:w="500" w:type="dxa"/>
            <w:vAlign w:val="bottom"/>
            <w:gridSpan w:val="6"/>
            <w:vMerge w:val="restart"/>
          </w:tcPr>
          <w:p>
            <w:pPr>
              <w:spacing w:after="0"/>
              <w:rPr>
                <w:sz w:val="13"/>
                <w:szCs w:val="13"/>
                <w:color w:val="auto"/>
              </w:rPr>
            </w:pPr>
          </w:p>
        </w:tc>
        <w:tc>
          <w:tcPr>
            <w:tcW w:w="2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40" w:type="dxa"/>
            <w:vAlign w:val="bottom"/>
            <w:tcBorders>
              <w:bottom w:val="single" w:sz="8" w:color="0000FF"/>
            </w:tcBorders>
            <w:gridSpan w:val="54"/>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gridSpan w:val="33"/>
            <w:vMerge w:val="restart"/>
          </w:tcPr>
          <w:p>
            <w:pPr>
              <w:spacing w:after="0"/>
              <w:rPr>
                <w:rFonts w:ascii="Times New Roman" w:cs="Times New Roman" w:eastAsia="Times New Roman" w:hAnsi="Times New Roman"/>
                <w:sz w:val="18"/>
                <w:szCs w:val="18"/>
                <w:color w:val="0000FF"/>
                <w:w w:val="99"/>
              </w:rPr>
            </w:pPr>
            <w:hyperlink r:id="rId761">
              <w:r>
                <w:rPr>
                  <w:rFonts w:ascii="Times New Roman" w:cs="Times New Roman" w:eastAsia="Times New Roman" w:hAnsi="Times New Roman"/>
                  <w:sz w:val="18"/>
                  <w:szCs w:val="18"/>
                  <w:color w:val="0000FF"/>
                  <w:w w:val="99"/>
                </w:rPr>
                <w:t>Amended and Restated Dividend Reinvestment Plan</w:t>
              </w:r>
            </w:hyperlink>
          </w:p>
        </w:tc>
        <w:tc>
          <w:tcPr>
            <w:tcW w:w="20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89"/>
              </w:rPr>
            </w:pPr>
            <w:hyperlink r:id="rId761">
              <w:r>
                <w:rPr>
                  <w:rFonts w:ascii="Times New Roman" w:cs="Times New Roman" w:eastAsia="Times New Roman" w:hAnsi="Times New Roman"/>
                  <w:sz w:val="12"/>
                  <w:szCs w:val="12"/>
                  <w:color w:val="0000FF"/>
                  <w:w w:val="89"/>
                </w:rPr>
                <w:t>(16)</w:t>
              </w:r>
            </w:hyperlink>
          </w:p>
        </w:tc>
        <w:tc>
          <w:tcPr>
            <w:tcW w:w="620" w:type="dxa"/>
            <w:vAlign w:val="bottom"/>
            <w:gridSpan w:val="3"/>
            <w:vMerge w:val="restart"/>
          </w:tcPr>
          <w:p>
            <w:pPr>
              <w:spacing w:after="0"/>
              <w:rPr>
                <w:sz w:val="15"/>
                <w:szCs w:val="15"/>
                <w:color w:val="auto"/>
              </w:rPr>
            </w:pPr>
          </w:p>
        </w:tc>
        <w:tc>
          <w:tcPr>
            <w:tcW w:w="1300" w:type="dxa"/>
            <w:vAlign w:val="bottom"/>
            <w:gridSpan w:val="6"/>
            <w:vMerge w:val="restart"/>
          </w:tcPr>
          <w:p>
            <w:pPr>
              <w:spacing w:after="0"/>
              <w:rPr>
                <w:sz w:val="15"/>
                <w:szCs w:val="15"/>
                <w:color w:val="auto"/>
              </w:rPr>
            </w:pPr>
          </w:p>
        </w:tc>
        <w:tc>
          <w:tcPr>
            <w:tcW w:w="2320" w:type="dxa"/>
            <w:vAlign w:val="bottom"/>
            <w:gridSpan w:val="10"/>
            <w:vMerge w:val="restart"/>
          </w:tcPr>
          <w:p>
            <w:pPr>
              <w:spacing w:after="0"/>
              <w:rPr>
                <w:sz w:val="15"/>
                <w:szCs w:val="15"/>
                <w:color w:val="auto"/>
              </w:rPr>
            </w:pPr>
          </w:p>
        </w:tc>
        <w:tc>
          <w:tcPr>
            <w:tcW w:w="440" w:type="dxa"/>
            <w:vAlign w:val="bottom"/>
            <w:gridSpan w:val="4"/>
            <w:vMerge w:val="restart"/>
          </w:tcPr>
          <w:p>
            <w:pPr>
              <w:spacing w:after="0"/>
              <w:rPr>
                <w:sz w:val="15"/>
                <w:szCs w:val="15"/>
                <w:color w:val="auto"/>
              </w:rPr>
            </w:pPr>
          </w:p>
        </w:tc>
        <w:tc>
          <w:tcPr>
            <w:tcW w:w="540" w:type="dxa"/>
            <w:vAlign w:val="bottom"/>
            <w:gridSpan w:val="4"/>
            <w:vMerge w:val="restart"/>
          </w:tcPr>
          <w:p>
            <w:pPr>
              <w:spacing w:after="0"/>
              <w:rPr>
                <w:sz w:val="15"/>
                <w:szCs w:val="15"/>
                <w:color w:val="auto"/>
              </w:rPr>
            </w:pPr>
          </w:p>
        </w:tc>
        <w:tc>
          <w:tcPr>
            <w:tcW w:w="500" w:type="dxa"/>
            <w:vAlign w:val="bottom"/>
            <w:gridSpan w:val="6"/>
            <w:vMerge w:val="restart"/>
          </w:tcPr>
          <w:p>
            <w:pPr>
              <w:spacing w:after="0"/>
              <w:rPr>
                <w:sz w:val="15"/>
                <w:szCs w:val="15"/>
                <w:color w:val="auto"/>
              </w:rPr>
            </w:pPr>
          </w:p>
        </w:tc>
        <w:tc>
          <w:tcPr>
            <w:tcW w:w="280" w:type="dxa"/>
            <w:vAlign w:val="bottom"/>
            <w:gridSpan w:val="8"/>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tcBorders>
              <w:bottom w:val="single" w:sz="8" w:color="0000FF"/>
            </w:tcBorders>
            <w:gridSpan w:val="33"/>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2320" w:type="dxa"/>
            <w:vAlign w:val="bottom"/>
            <w:gridSpan w:val="10"/>
            <w:vMerge w:val="continue"/>
          </w:tcPr>
          <w:p>
            <w:pPr>
              <w:spacing w:after="0"/>
              <w:rPr>
                <w:sz w:val="5"/>
                <w:szCs w:val="5"/>
                <w:color w:val="auto"/>
              </w:rPr>
            </w:pPr>
          </w:p>
        </w:tc>
        <w:tc>
          <w:tcPr>
            <w:tcW w:w="440" w:type="dxa"/>
            <w:vAlign w:val="bottom"/>
            <w:gridSpan w:val="4"/>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gridSpan w:val="26"/>
            <w:vMerge w:val="restart"/>
          </w:tcPr>
          <w:p>
            <w:pPr>
              <w:spacing w:after="0"/>
              <w:rPr>
                <w:rFonts w:ascii="Times New Roman" w:cs="Times New Roman" w:eastAsia="Times New Roman" w:hAnsi="Times New Roman"/>
                <w:sz w:val="18"/>
                <w:szCs w:val="18"/>
                <w:color w:val="0000FF"/>
                <w:w w:val="99"/>
              </w:rPr>
            </w:pPr>
            <w:hyperlink r:id="rId762">
              <w:r>
                <w:rPr>
                  <w:rFonts w:ascii="Times New Roman" w:cs="Times New Roman" w:eastAsia="Times New Roman" w:hAnsi="Times New Roman"/>
                  <w:sz w:val="18"/>
                  <w:szCs w:val="18"/>
                  <w:color w:val="0000FF"/>
                  <w:w w:val="99"/>
                </w:rPr>
                <w:t>Form of Indemnification Agreement</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762">
              <w:r>
                <w:rPr>
                  <w:rFonts w:ascii="Times New Roman" w:cs="Times New Roman" w:eastAsia="Times New Roman" w:hAnsi="Times New Roman"/>
                  <w:sz w:val="12"/>
                  <w:szCs w:val="12"/>
                  <w:color w:val="0000FF"/>
                  <w:w w:val="85"/>
                </w:rPr>
                <w:t>(6)</w:t>
              </w:r>
            </w:hyperlink>
          </w:p>
        </w:tc>
        <w:tc>
          <w:tcPr>
            <w:tcW w:w="1840" w:type="dxa"/>
            <w:vAlign w:val="bottom"/>
            <w:gridSpan w:val="9"/>
            <w:vMerge w:val="restart"/>
          </w:tcPr>
          <w:p>
            <w:pPr>
              <w:spacing w:after="0"/>
              <w:rPr>
                <w:sz w:val="17"/>
                <w:szCs w:val="17"/>
                <w:color w:val="auto"/>
              </w:rPr>
            </w:pPr>
          </w:p>
        </w:tc>
        <w:tc>
          <w:tcPr>
            <w:tcW w:w="1300" w:type="dxa"/>
            <w:vAlign w:val="bottom"/>
            <w:gridSpan w:val="6"/>
            <w:vMerge w:val="restart"/>
          </w:tcPr>
          <w:p>
            <w:pPr>
              <w:spacing w:after="0"/>
              <w:rPr>
                <w:sz w:val="17"/>
                <w:szCs w:val="17"/>
                <w:color w:val="auto"/>
              </w:rPr>
            </w:pPr>
          </w:p>
        </w:tc>
        <w:tc>
          <w:tcPr>
            <w:tcW w:w="2320" w:type="dxa"/>
            <w:vAlign w:val="bottom"/>
            <w:gridSpan w:val="10"/>
            <w:vMerge w:val="restart"/>
          </w:tcPr>
          <w:p>
            <w:pPr>
              <w:spacing w:after="0"/>
              <w:rPr>
                <w:sz w:val="17"/>
                <w:szCs w:val="17"/>
                <w:color w:val="auto"/>
              </w:rPr>
            </w:pPr>
          </w:p>
        </w:tc>
        <w:tc>
          <w:tcPr>
            <w:tcW w:w="440" w:type="dxa"/>
            <w:vAlign w:val="bottom"/>
            <w:gridSpan w:val="4"/>
            <w:vMerge w:val="restart"/>
          </w:tcPr>
          <w:p>
            <w:pPr>
              <w:spacing w:after="0"/>
              <w:rPr>
                <w:sz w:val="17"/>
                <w:szCs w:val="17"/>
                <w:color w:val="auto"/>
              </w:rPr>
            </w:pPr>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20" w:type="dxa"/>
            <w:vAlign w:val="bottom"/>
            <w:tcBorders>
              <w:bottom w:val="single" w:sz="8" w:color="0000FF"/>
            </w:tcBorders>
            <w:gridSpan w:val="26"/>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40" w:type="dxa"/>
            <w:vAlign w:val="bottom"/>
            <w:gridSpan w:val="9"/>
            <w:vMerge w:val="continue"/>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2320" w:type="dxa"/>
            <w:vAlign w:val="bottom"/>
            <w:gridSpan w:val="10"/>
            <w:vMerge w:val="continue"/>
          </w:tcPr>
          <w:p>
            <w:pPr>
              <w:spacing w:after="0"/>
              <w:rPr>
                <w:sz w:val="5"/>
                <w:szCs w:val="5"/>
                <w:color w:val="auto"/>
              </w:rPr>
            </w:pPr>
          </w:p>
        </w:tc>
        <w:tc>
          <w:tcPr>
            <w:tcW w:w="440" w:type="dxa"/>
            <w:vAlign w:val="bottom"/>
            <w:gridSpan w:val="4"/>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gridSpan w:val="55"/>
            <w:vMerge w:val="restart"/>
          </w:tcPr>
          <w:p>
            <w:pPr>
              <w:spacing w:after="0"/>
              <w:rPr>
                <w:rFonts w:ascii="Times New Roman" w:cs="Times New Roman" w:eastAsia="Times New Roman" w:hAnsi="Times New Roman"/>
                <w:sz w:val="18"/>
                <w:szCs w:val="18"/>
                <w:color w:val="0000FF"/>
                <w:w w:val="99"/>
              </w:rPr>
            </w:pPr>
            <w:hyperlink r:id="rId763">
              <w:r>
                <w:rPr>
                  <w:rFonts w:ascii="Times New Roman" w:cs="Times New Roman" w:eastAsia="Times New Roman" w:hAnsi="Times New Roman"/>
                  <w:sz w:val="18"/>
                  <w:szCs w:val="18"/>
                  <w:color w:val="0000FF"/>
                  <w:w w:val="99"/>
                </w:rPr>
                <w:t>Trademark License Agreement by and between Runway Growth Capital LLC and the Runway Growth Finance Corp.</w:t>
              </w:r>
            </w:hyperlink>
          </w:p>
        </w:tc>
        <w:tc>
          <w:tcPr>
            <w:tcW w:w="20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89"/>
              </w:rPr>
            </w:pPr>
            <w:hyperlink r:id="rId763">
              <w:r>
                <w:rPr>
                  <w:rFonts w:ascii="Times New Roman" w:cs="Times New Roman" w:eastAsia="Times New Roman" w:hAnsi="Times New Roman"/>
                  <w:sz w:val="12"/>
                  <w:szCs w:val="12"/>
                  <w:color w:val="0000FF"/>
                  <w:w w:val="89"/>
                </w:rPr>
                <w:t>(19)</w:t>
              </w:r>
            </w:hyperlink>
          </w:p>
        </w:tc>
        <w:tc>
          <w:tcPr>
            <w:tcW w:w="540" w:type="dxa"/>
            <w:vAlign w:val="bottom"/>
            <w:gridSpan w:val="4"/>
            <w:vMerge w:val="restart"/>
          </w:tcPr>
          <w:p>
            <w:pPr>
              <w:spacing w:after="0"/>
              <w:rPr>
                <w:sz w:val="17"/>
                <w:szCs w:val="17"/>
                <w:color w:val="auto"/>
              </w:rPr>
            </w:pPr>
          </w:p>
        </w:tc>
        <w:tc>
          <w:tcPr>
            <w:tcW w:w="500" w:type="dxa"/>
            <w:vAlign w:val="bottom"/>
            <w:gridSpan w:val="6"/>
            <w:vMerge w:val="restart"/>
          </w:tcPr>
          <w:p>
            <w:pPr>
              <w:spacing w:after="0"/>
              <w:rPr>
                <w:sz w:val="17"/>
                <w:szCs w:val="17"/>
                <w:color w:val="auto"/>
              </w:rPr>
            </w:pPr>
          </w:p>
        </w:tc>
        <w:tc>
          <w:tcPr>
            <w:tcW w:w="280" w:type="dxa"/>
            <w:vAlign w:val="bottom"/>
            <w:gridSpan w:val="8"/>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60" w:type="dxa"/>
            <w:vAlign w:val="bottom"/>
            <w:tcBorders>
              <w:bottom w:val="single" w:sz="8" w:color="0000FF"/>
            </w:tcBorders>
            <w:gridSpan w:val="55"/>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gridSpan w:val="51"/>
            <w:vMerge w:val="restart"/>
          </w:tcPr>
          <w:p>
            <w:pPr>
              <w:spacing w:after="0"/>
              <w:rPr>
                <w:rFonts w:ascii="Times New Roman" w:cs="Times New Roman" w:eastAsia="Times New Roman" w:hAnsi="Times New Roman"/>
                <w:sz w:val="18"/>
                <w:szCs w:val="18"/>
                <w:color w:val="0000FF"/>
                <w:w w:val="99"/>
              </w:rPr>
            </w:pPr>
            <w:hyperlink r:id="rId764">
              <w:r>
                <w:rPr>
                  <w:rFonts w:ascii="Times New Roman" w:cs="Times New Roman" w:eastAsia="Times New Roman" w:hAnsi="Times New Roman"/>
                  <w:sz w:val="18"/>
                  <w:szCs w:val="18"/>
                  <w:color w:val="0000FF"/>
                  <w:w w:val="99"/>
                </w:rPr>
                <w:t>Transfer Agent Agreement by and between American Stock Transfer &amp; Trust Company, LLC and the Registrant</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764">
              <w:r>
                <w:rPr>
                  <w:rFonts w:ascii="Times New Roman" w:cs="Times New Roman" w:eastAsia="Times New Roman" w:hAnsi="Times New Roman"/>
                  <w:sz w:val="12"/>
                  <w:szCs w:val="12"/>
                  <w:color w:val="0000FF"/>
                  <w:w w:val="85"/>
                </w:rPr>
                <w:t>(8)</w:t>
              </w:r>
            </w:hyperlink>
          </w:p>
        </w:tc>
        <w:tc>
          <w:tcPr>
            <w:tcW w:w="980" w:type="dxa"/>
            <w:vAlign w:val="bottom"/>
            <w:gridSpan w:val="8"/>
            <w:vMerge w:val="restart"/>
          </w:tcPr>
          <w:p>
            <w:pPr>
              <w:spacing w:after="0"/>
              <w:rPr>
                <w:sz w:val="13"/>
                <w:szCs w:val="13"/>
                <w:color w:val="auto"/>
              </w:rPr>
            </w:pPr>
          </w:p>
        </w:tc>
        <w:tc>
          <w:tcPr>
            <w:tcW w:w="500" w:type="dxa"/>
            <w:vAlign w:val="bottom"/>
            <w:gridSpan w:val="6"/>
            <w:vMerge w:val="restart"/>
          </w:tcPr>
          <w:p>
            <w:pPr>
              <w:spacing w:after="0"/>
              <w:rPr>
                <w:sz w:val="13"/>
                <w:szCs w:val="13"/>
                <w:color w:val="auto"/>
              </w:rPr>
            </w:pPr>
          </w:p>
        </w:tc>
        <w:tc>
          <w:tcPr>
            <w:tcW w:w="2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80" w:type="dxa"/>
            <w:vAlign w:val="bottom"/>
            <w:tcBorders>
              <w:bottom w:val="single" w:sz="8" w:color="0000FF"/>
            </w:tcBorders>
            <w:gridSpan w:val="51"/>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8"/>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75"/>
          </w:tcPr>
          <w:p>
            <w:pPr>
              <w:spacing w:after="0"/>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Marketing and Consulting Agreement by and between Pickwick Capital Partners, LLC, Runway Growth Capital LLC and the</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0000FF"/>
              <w:bottom w:val="single" w:sz="8" w:color="0000FF"/>
            </w:tcBorders>
            <w:gridSpan w:val="4"/>
            <w:vMerge w:val="restart"/>
          </w:tcPr>
          <w:p>
            <w:pPr>
              <w:spacing w:after="0" w:line="196" w:lineRule="exact"/>
              <w:rPr>
                <w:rFonts w:ascii="Times New Roman" w:cs="Times New Roman" w:eastAsia="Times New Roman" w:hAnsi="Times New Roman"/>
                <w:sz w:val="18"/>
                <w:szCs w:val="18"/>
                <w:color w:val="0000FF"/>
                <w:w w:val="94"/>
              </w:rPr>
            </w:pPr>
            <w:hyperlink r:id="rId765">
              <w:r>
                <w:rPr>
                  <w:rFonts w:ascii="Times New Roman" w:cs="Times New Roman" w:eastAsia="Times New Roman" w:hAnsi="Times New Roman"/>
                  <w:sz w:val="18"/>
                  <w:szCs w:val="18"/>
                  <w:color w:val="0000FF"/>
                  <w:w w:val="94"/>
                </w:rPr>
                <w:t>Registrant</w:t>
              </w:r>
            </w:hyperlink>
          </w:p>
        </w:tc>
        <w:tc>
          <w:tcPr>
            <w:tcW w:w="14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3"/>
              </w:rPr>
            </w:pPr>
            <w:hyperlink r:id="rId765">
              <w:r>
                <w:rPr>
                  <w:rFonts w:ascii="Times New Roman" w:cs="Times New Roman" w:eastAsia="Times New Roman" w:hAnsi="Times New Roman"/>
                  <w:sz w:val="11"/>
                  <w:szCs w:val="11"/>
                  <w:color w:val="0000FF"/>
                  <w:w w:val="93"/>
                </w:rPr>
                <w:t>(9)</w:t>
              </w:r>
            </w:hyperlink>
          </w:p>
        </w:tc>
        <w:tc>
          <w:tcPr>
            <w:tcW w:w="3740" w:type="dxa"/>
            <w:vAlign w:val="bottom"/>
            <w:tcBorders>
              <w:top w:val="single" w:sz="8" w:color="0000FF"/>
              <w:bottom w:val="single" w:sz="8" w:color="0000FF"/>
            </w:tcBorders>
            <w:gridSpan w:val="31"/>
            <w:vMerge w:val="restart"/>
          </w:tcPr>
          <w:p>
            <w:pPr>
              <w:spacing w:after="0"/>
              <w:rPr>
                <w:sz w:val="10"/>
                <w:szCs w:val="10"/>
                <w:color w:val="auto"/>
              </w:rPr>
            </w:pPr>
          </w:p>
        </w:tc>
        <w:tc>
          <w:tcPr>
            <w:tcW w:w="1300" w:type="dxa"/>
            <w:vAlign w:val="bottom"/>
            <w:tcBorders>
              <w:top w:val="single" w:sz="8" w:color="0000FF"/>
              <w:bottom w:val="single" w:sz="8" w:color="0000FF"/>
            </w:tcBorders>
            <w:gridSpan w:val="6"/>
            <w:vMerge w:val="restart"/>
          </w:tcPr>
          <w:p>
            <w:pPr>
              <w:spacing w:after="0"/>
              <w:rPr>
                <w:sz w:val="10"/>
                <w:szCs w:val="10"/>
                <w:color w:val="auto"/>
              </w:rPr>
            </w:pPr>
          </w:p>
        </w:tc>
        <w:tc>
          <w:tcPr>
            <w:tcW w:w="3200" w:type="dxa"/>
            <w:vAlign w:val="bottom"/>
            <w:tcBorders>
              <w:top w:val="single" w:sz="8" w:color="0000FF"/>
              <w:bottom w:val="single" w:sz="8" w:color="0000FF"/>
            </w:tcBorders>
            <w:gridSpan w:val="17"/>
            <w:vMerge w:val="restart"/>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gridSpan w:val="31"/>
            <w:vMerge w:val="continue"/>
          </w:tcPr>
          <w:p>
            <w:pPr>
              <w:spacing w:after="0"/>
              <w:rPr>
                <w:sz w:val="5"/>
                <w:szCs w:val="5"/>
                <w:color w:val="auto"/>
              </w:rPr>
            </w:pPr>
          </w:p>
        </w:tc>
        <w:tc>
          <w:tcPr>
            <w:tcW w:w="1300" w:type="dxa"/>
            <w:vAlign w:val="bottom"/>
            <w:gridSpan w:val="6"/>
            <w:vMerge w:val="continue"/>
          </w:tcPr>
          <w:p>
            <w:pPr>
              <w:spacing w:after="0"/>
              <w:rPr>
                <w:sz w:val="5"/>
                <w:szCs w:val="5"/>
                <w:color w:val="auto"/>
              </w:rPr>
            </w:pPr>
          </w:p>
        </w:tc>
        <w:tc>
          <w:tcPr>
            <w:tcW w:w="3200" w:type="dxa"/>
            <w:vAlign w:val="bottom"/>
            <w:gridSpan w:val="17"/>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gridSpan w:val="58"/>
            <w:vMerge w:val="restart"/>
          </w:tcPr>
          <w:p>
            <w:pPr>
              <w:spacing w:after="0"/>
              <w:rPr>
                <w:rFonts w:ascii="Times New Roman" w:cs="Times New Roman" w:eastAsia="Times New Roman" w:hAnsi="Times New Roman"/>
                <w:sz w:val="18"/>
                <w:szCs w:val="18"/>
                <w:color w:val="0000FF"/>
                <w:w w:val="99"/>
              </w:rPr>
            </w:pPr>
            <w:hyperlink r:id="rId766">
              <w:r>
                <w:rPr>
                  <w:rFonts w:ascii="Times New Roman" w:cs="Times New Roman" w:eastAsia="Times New Roman" w:hAnsi="Times New Roman"/>
                  <w:sz w:val="18"/>
                  <w:szCs w:val="18"/>
                  <w:color w:val="0000FF"/>
                  <w:w w:val="99"/>
                </w:rPr>
                <w:t>Marketing and Consulting Agreement by and between Peak Capital Limited, Runway Growth Capital LLC and the Registrant</w:t>
              </w:r>
            </w:hyperlink>
          </w:p>
        </w:tc>
        <w:tc>
          <w:tcPr>
            <w:tcW w:w="140" w:type="dxa"/>
            <w:vAlign w:val="bottom"/>
            <w:tcBorders>
              <w:bottom w:val="single" w:sz="8" w:color="0000FF"/>
            </w:tcBorders>
            <w:gridSpan w:val="3"/>
          </w:tcPr>
          <w:p>
            <w:pPr>
              <w:jc w:val="right"/>
              <w:spacing w:after="0" w:line="136" w:lineRule="exact"/>
              <w:rPr>
                <w:rFonts w:ascii="Times New Roman" w:cs="Times New Roman" w:eastAsia="Times New Roman" w:hAnsi="Times New Roman"/>
                <w:sz w:val="12"/>
                <w:szCs w:val="12"/>
                <w:color w:val="0000FF"/>
                <w:w w:val="85"/>
              </w:rPr>
            </w:pPr>
            <w:hyperlink r:id="rId766">
              <w:r>
                <w:rPr>
                  <w:rFonts w:ascii="Times New Roman" w:cs="Times New Roman" w:eastAsia="Times New Roman" w:hAnsi="Times New Roman"/>
                  <w:sz w:val="12"/>
                  <w:szCs w:val="12"/>
                  <w:color w:val="0000FF"/>
                  <w:w w:val="85"/>
                </w:rPr>
                <w:t>(9)</w:t>
              </w:r>
            </w:hyperlink>
          </w:p>
        </w:tc>
        <w:tc>
          <w:tcPr>
            <w:tcW w:w="500" w:type="dxa"/>
            <w:vAlign w:val="bottom"/>
            <w:gridSpan w:val="6"/>
            <w:vMerge w:val="restart"/>
          </w:tcPr>
          <w:p>
            <w:pPr>
              <w:spacing w:after="0"/>
              <w:rPr>
                <w:sz w:val="13"/>
                <w:szCs w:val="13"/>
                <w:color w:val="auto"/>
              </w:rPr>
            </w:pPr>
          </w:p>
        </w:tc>
        <w:tc>
          <w:tcPr>
            <w:tcW w:w="280" w:type="dxa"/>
            <w:vAlign w:val="bottom"/>
            <w:gridSpan w:val="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9060" w:type="dxa"/>
            <w:vAlign w:val="bottom"/>
            <w:tcBorders>
              <w:bottom w:val="single" w:sz="8" w:color="0000FF"/>
            </w:tcBorders>
            <w:gridSpan w:val="5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gridSpan w:val="2"/>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2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Borders>
              <w:bottom w:val="single" w:sz="8" w:color="0000FF"/>
            </w:tcBorders>
            <w:gridSpan w:val="73"/>
          </w:tcPr>
          <w:p>
            <w:pPr>
              <w:spacing w:after="0"/>
              <w:rPr>
                <w:rFonts w:ascii="Times New Roman" w:cs="Times New Roman" w:eastAsia="Times New Roman" w:hAnsi="Times New Roman"/>
                <w:sz w:val="18"/>
                <w:szCs w:val="18"/>
                <w:color w:val="0000FF"/>
                <w:w w:val="99"/>
              </w:rPr>
            </w:pPr>
            <w:hyperlink r:id="rId767">
              <w:r>
                <w:rPr>
                  <w:rFonts w:ascii="Times New Roman" w:cs="Times New Roman" w:eastAsia="Times New Roman" w:hAnsi="Times New Roman"/>
                  <w:sz w:val="18"/>
                  <w:szCs w:val="18"/>
                  <w:color w:val="0000FF"/>
                  <w:w w:val="99"/>
                </w:rPr>
                <w:t>Credit Agreement, dated as of May 31, 2019, by and among the Company, as borrower, KeyBank National Association, as administrative</w:t>
              </w:r>
            </w:hyperlink>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75"/>
          </w:tcPr>
          <w:p>
            <w:pPr>
              <w:spacing w:after="0" w:line="196" w:lineRule="exact"/>
              <w:rPr>
                <w:rFonts w:ascii="Times New Roman" w:cs="Times New Roman" w:eastAsia="Times New Roman" w:hAnsi="Times New Roman"/>
                <w:sz w:val="18"/>
                <w:szCs w:val="18"/>
                <w:color w:val="0000FF"/>
              </w:rPr>
            </w:pPr>
            <w:hyperlink r:id="rId767">
              <w:r>
                <w:rPr>
                  <w:rFonts w:ascii="Times New Roman" w:cs="Times New Roman" w:eastAsia="Times New Roman" w:hAnsi="Times New Roman"/>
                  <w:sz w:val="18"/>
                  <w:szCs w:val="18"/>
                  <w:color w:val="0000FF"/>
                </w:rPr>
                <w:t>agent and syndication agent, CIBC Bank USA, as documentation agent, U.S. Bank National Association, as paying agent, the guarantors</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20" w:type="dxa"/>
            <w:vAlign w:val="bottom"/>
            <w:tcBorders>
              <w:top w:val="single" w:sz="8" w:color="0000FF"/>
              <w:bottom w:val="single" w:sz="8" w:color="0000FF"/>
            </w:tcBorders>
            <w:gridSpan w:val="41"/>
            <w:vMerge w:val="restart"/>
          </w:tcPr>
          <w:p>
            <w:pPr>
              <w:spacing w:after="0" w:line="196" w:lineRule="exact"/>
              <w:rPr>
                <w:rFonts w:ascii="Times New Roman" w:cs="Times New Roman" w:eastAsia="Times New Roman" w:hAnsi="Times New Roman"/>
                <w:sz w:val="18"/>
                <w:szCs w:val="18"/>
                <w:color w:val="0000FF"/>
                <w:w w:val="99"/>
              </w:rPr>
            </w:pPr>
            <w:hyperlink r:id="rId767">
              <w:r>
                <w:rPr>
                  <w:rFonts w:ascii="Times New Roman" w:cs="Times New Roman" w:eastAsia="Times New Roman" w:hAnsi="Times New Roman"/>
                  <w:sz w:val="18"/>
                  <w:szCs w:val="18"/>
                  <w:color w:val="0000FF"/>
                  <w:w w:val="99"/>
                </w:rPr>
                <w:t>from time to time party thereto, and the lenders from time to time party thereto.</w:t>
              </w:r>
            </w:hyperlink>
          </w:p>
        </w:tc>
        <w:tc>
          <w:tcPr>
            <w:tcW w:w="18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87"/>
              </w:rPr>
            </w:pPr>
            <w:hyperlink r:id="rId767">
              <w:r>
                <w:rPr>
                  <w:rFonts w:ascii="Times New Roman" w:cs="Times New Roman" w:eastAsia="Times New Roman" w:hAnsi="Times New Roman"/>
                  <w:sz w:val="11"/>
                  <w:szCs w:val="11"/>
                  <w:color w:val="0000FF"/>
                  <w:w w:val="87"/>
                </w:rPr>
                <w:t>(10)</w:t>
              </w:r>
            </w:hyperlink>
          </w:p>
        </w:tc>
        <w:tc>
          <w:tcPr>
            <w:tcW w:w="3800" w:type="dxa"/>
            <w:vAlign w:val="bottom"/>
            <w:tcBorders>
              <w:top w:val="single" w:sz="8" w:color="0000FF"/>
              <w:bottom w:val="single" w:sz="8" w:color="0000FF"/>
            </w:tcBorders>
            <w:gridSpan w:val="24"/>
            <w:vMerge w:val="restart"/>
          </w:tcPr>
          <w:p>
            <w:pPr>
              <w:spacing w:after="0"/>
              <w:rPr>
                <w:sz w:val="10"/>
                <w:szCs w:val="10"/>
                <w:color w:val="auto"/>
              </w:rPr>
            </w:pPr>
          </w:p>
        </w:tc>
        <w:tc>
          <w:tcPr>
            <w:tcW w:w="180" w:type="dxa"/>
            <w:vAlign w:val="bottom"/>
            <w:tcBorders>
              <w:top w:val="single" w:sz="8" w:color="0000FF"/>
              <w:bottom w:val="single" w:sz="8" w:color="0000FF"/>
            </w:tcBorders>
            <w:gridSpan w:val="3"/>
            <w:vMerge w:val="restart"/>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5720" w:type="dxa"/>
            <w:vAlign w:val="bottom"/>
            <w:tcBorders>
              <w:bottom w:val="single" w:sz="8" w:color="0000FF"/>
            </w:tcBorders>
            <w:gridSpan w:val="41"/>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800" w:type="dxa"/>
            <w:vAlign w:val="bottom"/>
            <w:gridSpan w:val="24"/>
            <w:vMerge w:val="continue"/>
          </w:tcPr>
          <w:p>
            <w:pPr>
              <w:spacing w:after="0"/>
              <w:rPr>
                <w:sz w:val="5"/>
                <w:szCs w:val="5"/>
                <w:color w:val="auto"/>
              </w:rPr>
            </w:pPr>
          </w:p>
        </w:tc>
        <w:tc>
          <w:tcPr>
            <w:tcW w:w="1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40" w:type="dxa"/>
            <w:vAlign w:val="bottom"/>
            <w:tcBorders>
              <w:bottom w:val="single" w:sz="8" w:color="0000FF"/>
            </w:tcBorders>
            <w:gridSpan w:val="73"/>
          </w:tcPr>
          <w:p>
            <w:pPr>
              <w:spacing w:after="0"/>
              <w:rPr>
                <w:rFonts w:ascii="Times New Roman" w:cs="Times New Roman" w:eastAsia="Times New Roman" w:hAnsi="Times New Roman"/>
                <w:sz w:val="18"/>
                <w:szCs w:val="18"/>
                <w:color w:val="0000FF"/>
                <w:w w:val="99"/>
              </w:rPr>
            </w:pPr>
            <w:hyperlink r:id="rId768">
              <w:r>
                <w:rPr>
                  <w:rFonts w:ascii="Times New Roman" w:cs="Times New Roman" w:eastAsia="Times New Roman" w:hAnsi="Times New Roman"/>
                  <w:sz w:val="18"/>
                  <w:szCs w:val="18"/>
                  <w:color w:val="0000FF"/>
                  <w:w w:val="99"/>
                </w:rPr>
                <w:t>First Amendment to Credit Agreement, dated as of November 10, 2020, among the Company, as borrower; the financial institutions party</w:t>
              </w:r>
            </w:hyperlink>
          </w:p>
        </w:tc>
        <w:tc>
          <w:tcPr>
            <w:tcW w:w="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75"/>
          </w:tcPr>
          <w:p>
            <w:pPr>
              <w:spacing w:after="0" w:line="196" w:lineRule="exact"/>
              <w:rPr>
                <w:rFonts w:ascii="Times New Roman" w:cs="Times New Roman" w:eastAsia="Times New Roman" w:hAnsi="Times New Roman"/>
                <w:sz w:val="18"/>
                <w:szCs w:val="18"/>
                <w:color w:val="0000FF"/>
              </w:rPr>
            </w:pPr>
            <w:hyperlink r:id="rId768">
              <w:r>
                <w:rPr>
                  <w:rFonts w:ascii="Times New Roman" w:cs="Times New Roman" w:eastAsia="Times New Roman" w:hAnsi="Times New Roman"/>
                  <w:sz w:val="18"/>
                  <w:szCs w:val="18"/>
                  <w:color w:val="0000FF"/>
                </w:rPr>
                <w:t>thereto as lenders; KeyBank National Association, as administrative agent and lender; CIBC Bank USA, as documentation agent and</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bottom w:val="single" w:sz="8" w:color="0000FF"/>
            </w:tcBorders>
            <w:gridSpan w:val="35"/>
            <w:vMerge w:val="restart"/>
          </w:tcPr>
          <w:p>
            <w:pPr>
              <w:spacing w:after="0" w:line="196" w:lineRule="exact"/>
              <w:rPr>
                <w:rFonts w:ascii="Times New Roman" w:cs="Times New Roman" w:eastAsia="Times New Roman" w:hAnsi="Times New Roman"/>
                <w:sz w:val="18"/>
                <w:szCs w:val="18"/>
                <w:color w:val="0000FF"/>
                <w:w w:val="99"/>
              </w:rPr>
            </w:pPr>
            <w:hyperlink r:id="rId768">
              <w:r>
                <w:rPr>
                  <w:rFonts w:ascii="Times New Roman" w:cs="Times New Roman" w:eastAsia="Times New Roman" w:hAnsi="Times New Roman"/>
                  <w:sz w:val="18"/>
                  <w:szCs w:val="18"/>
                  <w:color w:val="0000FF"/>
                  <w:w w:val="99"/>
                </w:rPr>
                <w:t>lender; and U.S. Bank National Association, as paying agent.</w:t>
              </w:r>
            </w:hyperlink>
          </w:p>
        </w:tc>
        <w:tc>
          <w:tcPr>
            <w:tcW w:w="20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7"/>
              </w:rPr>
            </w:pPr>
            <w:hyperlink r:id="rId768">
              <w:r>
                <w:rPr>
                  <w:rFonts w:ascii="Times New Roman" w:cs="Times New Roman" w:eastAsia="Times New Roman" w:hAnsi="Times New Roman"/>
                  <w:sz w:val="11"/>
                  <w:szCs w:val="11"/>
                  <w:color w:val="0000FF"/>
                  <w:w w:val="97"/>
                </w:rPr>
                <w:t>(12)</w:t>
              </w:r>
            </w:hyperlink>
          </w:p>
        </w:tc>
        <w:tc>
          <w:tcPr>
            <w:tcW w:w="5020" w:type="dxa"/>
            <w:vAlign w:val="bottom"/>
            <w:tcBorders>
              <w:top w:val="single" w:sz="8" w:color="0000FF"/>
              <w:bottom w:val="single" w:sz="8" w:color="0000FF"/>
            </w:tcBorders>
            <w:gridSpan w:val="28"/>
            <w:vMerge w:val="restart"/>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0" w:type="dxa"/>
            <w:vAlign w:val="bottom"/>
            <w:tcBorders>
              <w:bottom w:val="single" w:sz="8" w:color="0000FF"/>
            </w:tcBorders>
            <w:gridSpan w:val="35"/>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020" w:type="dxa"/>
            <w:vAlign w:val="bottom"/>
            <w:gridSpan w:val="28"/>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tcBorders>
              <w:bottom w:val="single" w:sz="8" w:color="0000FF"/>
            </w:tcBorders>
            <w:gridSpan w:val="66"/>
          </w:tcPr>
          <w:p>
            <w:pPr>
              <w:spacing w:after="0"/>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Second Amendment to Credit Agreement, dated as of December 2, 2020, among the Company, as borrower; the financial institutions</w:t>
              </w:r>
            </w:hyperlink>
          </w:p>
        </w:tc>
        <w:tc>
          <w:tcPr>
            <w:tcW w:w="3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75"/>
          </w:tcPr>
          <w:p>
            <w:pPr>
              <w:spacing w:after="0" w:line="196" w:lineRule="exact"/>
              <w:rPr>
                <w:rFonts w:ascii="Times New Roman" w:cs="Times New Roman" w:eastAsia="Times New Roman" w:hAnsi="Times New Roman"/>
                <w:sz w:val="18"/>
                <w:szCs w:val="18"/>
                <w:color w:val="0000FF"/>
              </w:rPr>
            </w:pPr>
            <w:hyperlink r:id="rId769">
              <w:r>
                <w:rPr>
                  <w:rFonts w:ascii="Times New Roman" w:cs="Times New Roman" w:eastAsia="Times New Roman" w:hAnsi="Times New Roman"/>
                  <w:sz w:val="18"/>
                  <w:szCs w:val="18"/>
                  <w:color w:val="0000FF"/>
                </w:rPr>
                <w:t>party thereto as lenders; KeyBank National Association, as administrative agent and lender; CIBC Bank USA, as documentation agent</w:t>
              </w:r>
            </w:hyperlink>
          </w:p>
        </w:tc>
        <w:tc>
          <w:tcPr>
            <w:tcW w:w="0" w:type="dxa"/>
            <w:vAlign w:val="bottom"/>
          </w:tcPr>
          <w:p>
            <w:pPr>
              <w:spacing w:after="0"/>
              <w:rPr>
                <w:sz w:val="1"/>
                <w:szCs w:val="1"/>
                <w:color w:val="auto"/>
              </w:rPr>
            </w:pPr>
          </w:p>
        </w:tc>
      </w:tr>
      <w:tr>
        <w:trPr>
          <w:trHeight w:val="115"/>
        </w:trPr>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tcBorders>
              <w:top w:val="single" w:sz="8" w:color="0000FF"/>
              <w:bottom w:val="single" w:sz="8" w:color="0000FF"/>
            </w:tcBorders>
            <w:gridSpan w:val="64"/>
            <w:vMerge w:val="restart"/>
          </w:tcPr>
          <w:p>
            <w:pPr>
              <w:spacing w:after="0" w:line="196" w:lineRule="exact"/>
              <w:rPr>
                <w:rFonts w:ascii="Times New Roman" w:cs="Times New Roman" w:eastAsia="Times New Roman" w:hAnsi="Times New Roman"/>
                <w:sz w:val="18"/>
                <w:szCs w:val="18"/>
                <w:color w:val="0000FF"/>
                <w:w w:val="99"/>
              </w:rPr>
            </w:pPr>
            <w:hyperlink r:id="rId769">
              <w:r>
                <w:rPr>
                  <w:rFonts w:ascii="Times New Roman" w:cs="Times New Roman" w:eastAsia="Times New Roman" w:hAnsi="Times New Roman"/>
                  <w:sz w:val="18"/>
                  <w:szCs w:val="18"/>
                  <w:color w:val="0000FF"/>
                  <w:w w:val="99"/>
                </w:rPr>
                <w:t>and lender; MUFG Union Bank, N.A., as co-documentation agent and lender; and U.S. Bank National Association, as paying agent.</w:t>
              </w:r>
            </w:hyperlink>
          </w:p>
        </w:tc>
        <w:tc>
          <w:tcPr>
            <w:tcW w:w="180" w:type="dxa"/>
            <w:vAlign w:val="bottom"/>
            <w:tcBorders>
              <w:top w:val="single" w:sz="8" w:color="0000FF"/>
              <w:bottom w:val="single" w:sz="8" w:color="0000FF"/>
            </w:tcBorders>
            <w:gridSpan w:val="3"/>
          </w:tcPr>
          <w:p>
            <w:pPr>
              <w:jc w:val="right"/>
              <w:spacing w:after="0" w:line="102" w:lineRule="exact"/>
              <w:rPr>
                <w:rFonts w:ascii="Times New Roman" w:cs="Times New Roman" w:eastAsia="Times New Roman" w:hAnsi="Times New Roman"/>
                <w:sz w:val="11"/>
                <w:szCs w:val="11"/>
                <w:color w:val="0000FF"/>
                <w:w w:val="87"/>
              </w:rPr>
            </w:pPr>
            <w:hyperlink r:id="rId769">
              <w:r>
                <w:rPr>
                  <w:rFonts w:ascii="Times New Roman" w:cs="Times New Roman" w:eastAsia="Times New Roman" w:hAnsi="Times New Roman"/>
                  <w:sz w:val="11"/>
                  <w:szCs w:val="11"/>
                  <w:color w:val="0000FF"/>
                  <w:w w:val="87"/>
                </w:rPr>
                <w:t>(13)</w:t>
              </w:r>
            </w:hyperlink>
          </w:p>
        </w:tc>
        <w:tc>
          <w:tcPr>
            <w:tcW w:w="20" w:type="dxa"/>
            <w:vAlign w:val="bottom"/>
            <w:tcBorders>
              <w:top w:val="single" w:sz="8" w:color="0000FF"/>
              <w:bottom w:val="single" w:sz="8" w:color="0000FF"/>
            </w:tcBorders>
            <w:vMerge w:val="restart"/>
          </w:tcPr>
          <w:p>
            <w:pPr>
              <w:spacing w:after="0"/>
              <w:rPr>
                <w:sz w:val="10"/>
                <w:szCs w:val="10"/>
                <w:color w:val="auto"/>
              </w:rPr>
            </w:pPr>
          </w:p>
        </w:tc>
        <w:tc>
          <w:tcPr>
            <w:tcW w:w="2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9520" w:type="dxa"/>
            <w:vAlign w:val="bottom"/>
            <w:tcBorders>
              <w:bottom w:val="single" w:sz="8" w:color="0000FF"/>
            </w:tcBorders>
            <w:gridSpan w:val="64"/>
            <w:vMerge w:val="continue"/>
          </w:tcPr>
          <w:p>
            <w:pPr>
              <w:spacing w:after="0"/>
              <w:rPr>
                <w:sz w:val="5"/>
                <w:szCs w:val="5"/>
                <w:color w:val="auto"/>
              </w:rPr>
            </w:pPr>
          </w:p>
        </w:tc>
        <w:tc>
          <w:tcPr>
            <w:tcW w:w="180" w:type="dxa"/>
            <w:vAlign w:val="bottom"/>
            <w:gridSpan w:val="3"/>
          </w:tcPr>
          <w:p>
            <w:pPr>
              <w:spacing w:after="0"/>
              <w:rPr>
                <w:sz w:val="5"/>
                <w:szCs w:val="5"/>
                <w:color w:val="auto"/>
              </w:rPr>
            </w:pPr>
          </w:p>
        </w:tc>
        <w:tc>
          <w:tcPr>
            <w:tcW w:w="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00" w:type="dxa"/>
            <w:vAlign w:val="bottom"/>
            <w:tcBorders>
              <w:bottom w:val="single" w:sz="8" w:color="0000FF"/>
            </w:tcBorders>
            <w:gridSpan w:val="63"/>
          </w:tcPr>
          <w:p>
            <w:pPr>
              <w:spacing w:after="0"/>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Third Amendment to Credit Agreement, dated as of June 1, 2021, among the Company, as borrower; the financial institutions party</w:t>
              </w:r>
            </w:hyperlink>
          </w:p>
        </w:tc>
        <w:tc>
          <w:tcPr>
            <w:tcW w:w="48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bottom w:val="single" w:sz="8" w:color="0000EE"/>
            </w:tcBorders>
            <w:gridSpan w:val="47"/>
          </w:tcPr>
          <w:p>
            <w:pPr>
              <w:spacing w:after="0" w:line="196" w:lineRule="exact"/>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thereto as lenders; KeyBank National Association, as administrative agent and lender; CIBC Bank</w:t>
              </w:r>
            </w:hyperlink>
          </w:p>
        </w:tc>
        <w:tc>
          <w:tcPr>
            <w:tcW w:w="28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920" w:type="dxa"/>
            <w:vAlign w:val="bottom"/>
          </w:tcPr>
          <w:p>
            <w:pPr>
              <w:spacing w:after="0"/>
              <w:rPr>
                <w:sz w:val="24"/>
                <w:szCs w:val="24"/>
                <w:color w:val="auto"/>
              </w:rPr>
            </w:pPr>
          </w:p>
        </w:tc>
        <w:tc>
          <w:tcPr>
            <w:tcW w:w="4940" w:type="dxa"/>
            <w:vAlign w:val="bottom"/>
            <w:gridSpan w:val="39"/>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40" w:type="dxa"/>
            <w:vAlign w:val="bottom"/>
            <w:tcBorders>
              <w:bottom w:val="single" w:sz="8" w:color="9A9A9A"/>
            </w:tcBorders>
            <w:gridSpan w:val="78"/>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-6548755</wp:posOffset>
            </wp:positionV>
            <wp:extent cx="2857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-6368415</wp:posOffset>
            </wp:positionV>
            <wp:extent cx="2857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-6179820</wp:posOffset>
            </wp:positionV>
            <wp:extent cx="2857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-5991225</wp:posOffset>
            </wp:positionV>
            <wp:extent cx="2857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-4259580</wp:posOffset>
            </wp:positionV>
            <wp:extent cx="2857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-3950970</wp:posOffset>
            </wp:positionV>
            <wp:extent cx="2857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5528310</wp:posOffset>
            </wp:positionH>
            <wp:positionV relativeFrom="paragraph">
              <wp:posOffset>-3488055</wp:posOffset>
            </wp:positionV>
            <wp:extent cx="2857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-3145155</wp:posOffset>
            </wp:positionV>
            <wp:extent cx="2857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-2956560</wp:posOffset>
            </wp:positionV>
            <wp:extent cx="2857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-2767965</wp:posOffset>
            </wp:positionV>
            <wp:extent cx="2857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-2605405</wp:posOffset>
            </wp:positionV>
            <wp:extent cx="2857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-2305050</wp:posOffset>
            </wp:positionV>
            <wp:extent cx="2857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6642100</wp:posOffset>
            </wp:positionH>
            <wp:positionV relativeFrom="paragraph">
              <wp:posOffset>-2142490</wp:posOffset>
            </wp:positionV>
            <wp:extent cx="2857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-1704975</wp:posOffset>
            </wp:positionV>
            <wp:extent cx="2857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9980" w:type="dxa"/>
            <w:vAlign w:val="bottom"/>
            <w:gridSpan w:val="30"/>
          </w:tcPr>
          <w:p>
            <w:pPr>
              <w:ind w:left="20"/>
              <w:spacing w:after="0"/>
              <w:rPr>
                <w:rFonts w:ascii="Times New Roman" w:cs="Times New Roman" w:eastAsia="Times New Roman" w:hAnsi="Times New Roman"/>
                <w:sz w:val="18"/>
                <w:szCs w:val="18"/>
                <w:color w:val="0000FF"/>
              </w:rPr>
            </w:pPr>
            <w:hyperlink r:id="rId770">
              <w:r>
                <w:rPr>
                  <w:rFonts w:ascii="Times New Roman" w:cs="Times New Roman" w:eastAsia="Times New Roman" w:hAnsi="Times New Roman"/>
                  <w:sz w:val="18"/>
                  <w:szCs w:val="18"/>
                  <w:color w:val="0000FF"/>
                </w:rPr>
                <w:t>USA, as documentation agent and lender; MUFG Union Bank, N.A., as co-documentation agent and lender; and U.S. Bank National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11"/>
            <w:vMerge w:val="restart"/>
          </w:tcPr>
          <w:p>
            <w:pPr>
              <w:ind w:left="20"/>
              <w:spacing w:after="0" w:line="196" w:lineRule="exact"/>
              <w:rPr>
                <w:rFonts w:ascii="Times New Roman" w:cs="Times New Roman" w:eastAsia="Times New Roman" w:hAnsi="Times New Roman"/>
                <w:sz w:val="18"/>
                <w:szCs w:val="18"/>
                <w:color w:val="0000FF"/>
                <w:w w:val="98"/>
              </w:rPr>
            </w:pPr>
            <w:hyperlink r:id="rId770">
              <w:r>
                <w:rPr>
                  <w:rFonts w:ascii="Times New Roman" w:cs="Times New Roman" w:eastAsia="Times New Roman" w:hAnsi="Times New Roman"/>
                  <w:sz w:val="18"/>
                  <w:szCs w:val="18"/>
                  <w:color w:val="0000FF"/>
                  <w:w w:val="98"/>
                </w:rPr>
                <w:t>Association, as paying agent</w:t>
              </w:r>
            </w:hyperlink>
          </w:p>
        </w:tc>
        <w:tc>
          <w:tcPr>
            <w:tcW w:w="20" w:type="dxa"/>
            <w:vAlign w:val="bottom"/>
            <w:tcBorders>
              <w:top w:val="single" w:sz="8" w:color="0000FF"/>
              <w:bottom w:val="single" w:sz="8" w:color="0000FF"/>
            </w:tcBorders>
            <w:vMerge w:val="restart"/>
          </w:tcPr>
          <w:p>
            <w:pPr>
              <w:spacing w:after="0"/>
              <w:rPr>
                <w:sz w:val="10"/>
                <w:szCs w:val="10"/>
                <w:color w:val="auto"/>
              </w:rPr>
            </w:pPr>
          </w:p>
        </w:tc>
        <w:tc>
          <w:tcPr>
            <w:tcW w:w="18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87"/>
              </w:rPr>
            </w:pPr>
            <w:hyperlink r:id="rId770">
              <w:r>
                <w:rPr>
                  <w:rFonts w:ascii="Times New Roman" w:cs="Times New Roman" w:eastAsia="Times New Roman" w:hAnsi="Times New Roman"/>
                  <w:sz w:val="11"/>
                  <w:szCs w:val="11"/>
                  <w:color w:val="0000FF"/>
                  <w:w w:val="87"/>
                </w:rPr>
                <w:t>(17)</w:t>
              </w:r>
            </w:hyperlink>
          </w:p>
        </w:tc>
        <w:tc>
          <w:tcPr>
            <w:tcW w:w="4560" w:type="dxa"/>
            <w:vAlign w:val="bottom"/>
            <w:tcBorders>
              <w:top w:val="single" w:sz="8" w:color="0000FF"/>
              <w:bottom w:val="single" w:sz="8" w:color="0000FF"/>
            </w:tcBorders>
            <w:gridSpan w:val="3"/>
            <w:vMerge w:val="restart"/>
          </w:tcPr>
          <w:p>
            <w:pPr>
              <w:spacing w:after="0"/>
              <w:rPr>
                <w:sz w:val="10"/>
                <w:szCs w:val="10"/>
                <w:color w:val="auto"/>
              </w:rPr>
            </w:pPr>
          </w:p>
        </w:tc>
        <w:tc>
          <w:tcPr>
            <w:tcW w:w="2780" w:type="dxa"/>
            <w:vAlign w:val="bottom"/>
            <w:tcBorders>
              <w:top w:val="single" w:sz="8" w:color="0000FF"/>
              <w:bottom w:val="single" w:sz="8" w:color="0000FF"/>
            </w:tcBorders>
            <w:gridSpan w:val="7"/>
            <w:vMerge w:val="restart"/>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2060" w:type="dxa"/>
            <w:vAlign w:val="bottom"/>
            <w:tcBorders>
              <w:bottom w:val="single" w:sz="8" w:color="0000FF"/>
            </w:tcBorders>
            <w:gridSpan w:val="11"/>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560" w:type="dxa"/>
            <w:vAlign w:val="bottom"/>
            <w:gridSpan w:val="3"/>
            <w:vMerge w:val="continue"/>
          </w:tcPr>
          <w:p>
            <w:pPr>
              <w:spacing w:after="0"/>
              <w:rPr>
                <w:sz w:val="5"/>
                <w:szCs w:val="5"/>
                <w:color w:val="auto"/>
              </w:rPr>
            </w:pPr>
          </w:p>
        </w:tc>
        <w:tc>
          <w:tcPr>
            <w:tcW w:w="2780" w:type="dxa"/>
            <w:vAlign w:val="bottom"/>
            <w:gridSpan w:val="7"/>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10.15</w:t>
            </w:r>
          </w:p>
        </w:tc>
        <w:tc>
          <w:tcPr>
            <w:tcW w:w="9980" w:type="dxa"/>
            <w:vAlign w:val="bottom"/>
            <w:tcBorders>
              <w:bottom w:val="single" w:sz="8" w:color="0000FF"/>
            </w:tcBorders>
            <w:gridSpan w:val="30"/>
          </w:tcPr>
          <w:p>
            <w:pPr>
              <w:ind w:left="20"/>
              <w:spacing w:after="0"/>
              <w:rPr>
                <w:rFonts w:ascii="Times New Roman" w:cs="Times New Roman" w:eastAsia="Times New Roman" w:hAnsi="Times New Roman"/>
                <w:sz w:val="18"/>
                <w:szCs w:val="18"/>
                <w:color w:val="0000FF"/>
                <w:w w:val="99"/>
              </w:rPr>
            </w:pPr>
            <w:hyperlink r:id="rId788">
              <w:r>
                <w:rPr>
                  <w:rFonts w:ascii="Times New Roman" w:cs="Times New Roman" w:eastAsia="Times New Roman" w:hAnsi="Times New Roman"/>
                  <w:sz w:val="18"/>
                  <w:szCs w:val="18"/>
                  <w:color w:val="0000FF"/>
                  <w:w w:val="99"/>
                </w:rPr>
                <w:t>Fourth Amendment to Credit Agreement, dated as of August 3, 2021, among Runway Growth Credit Fund Inc., as borrower; the financial</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04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rPr>
            </w:pPr>
            <w:hyperlink r:id="rId788">
              <w:r>
                <w:rPr>
                  <w:rFonts w:ascii="Times New Roman" w:cs="Times New Roman" w:eastAsia="Times New Roman" w:hAnsi="Times New Roman"/>
                  <w:sz w:val="18"/>
                  <w:szCs w:val="18"/>
                  <w:color w:val="0000FF"/>
                </w:rPr>
                <w:t>institutions party thereto as lenders; KeyBank National Association, as administrative agent and lender; CIBC Bank USA, as</w:t>
              </w:r>
            </w:hyperlink>
          </w:p>
        </w:tc>
        <w:tc>
          <w:tcPr>
            <w:tcW w:w="9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788">
              <w:r>
                <w:rPr>
                  <w:rFonts w:ascii="Times New Roman" w:cs="Times New Roman" w:eastAsia="Times New Roman" w:hAnsi="Times New Roman"/>
                  <w:sz w:val="18"/>
                  <w:szCs w:val="18"/>
                  <w:color w:val="0000FF"/>
                </w:rPr>
                <w:t>documentation agent and lender; MUFG Union Bank, N.A. as co-documentation agent and lender; and U.S. Bank National Association,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vMerge w:val="restart"/>
          </w:tcPr>
          <w:p>
            <w:pPr>
              <w:ind w:left="20"/>
              <w:spacing w:after="0" w:line="196" w:lineRule="exact"/>
              <w:rPr>
                <w:rFonts w:ascii="Times New Roman" w:cs="Times New Roman" w:eastAsia="Times New Roman" w:hAnsi="Times New Roman"/>
                <w:sz w:val="18"/>
                <w:szCs w:val="18"/>
                <w:color w:val="0000FF"/>
                <w:w w:val="96"/>
              </w:rPr>
            </w:pPr>
            <w:hyperlink r:id="rId788">
              <w:r>
                <w:rPr>
                  <w:rFonts w:ascii="Times New Roman" w:cs="Times New Roman" w:eastAsia="Times New Roman" w:hAnsi="Times New Roman"/>
                  <w:sz w:val="18"/>
                  <w:szCs w:val="18"/>
                  <w:color w:val="0000FF"/>
                  <w:w w:val="96"/>
                </w:rPr>
                <w:t>as paying agent</w:t>
              </w:r>
            </w:hyperlink>
          </w:p>
        </w:tc>
        <w:tc>
          <w:tcPr>
            <w:tcW w:w="20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7"/>
              </w:rPr>
            </w:pPr>
            <w:hyperlink r:id="rId788">
              <w:r>
                <w:rPr>
                  <w:rFonts w:ascii="Times New Roman" w:cs="Times New Roman" w:eastAsia="Times New Roman" w:hAnsi="Times New Roman"/>
                  <w:sz w:val="11"/>
                  <w:szCs w:val="11"/>
                  <w:color w:val="0000FF"/>
                  <w:w w:val="97"/>
                </w:rPr>
                <w:t>(14)</w:t>
              </w:r>
            </w:hyperlink>
          </w:p>
        </w:tc>
        <w:tc>
          <w:tcPr>
            <w:tcW w:w="40" w:type="dxa"/>
            <w:vAlign w:val="bottom"/>
            <w:tcBorders>
              <w:top w:val="single" w:sz="8" w:color="0000FF"/>
              <w:bottom w:val="single" w:sz="8" w:color="0000FF"/>
            </w:tcBorders>
            <w:vMerge w:val="restart"/>
          </w:tcPr>
          <w:p>
            <w:pPr>
              <w:spacing w:after="0"/>
              <w:rPr>
                <w:sz w:val="10"/>
                <w:szCs w:val="10"/>
                <w:color w:val="auto"/>
              </w:rPr>
            </w:pPr>
          </w:p>
        </w:tc>
        <w:tc>
          <w:tcPr>
            <w:tcW w:w="320" w:type="dxa"/>
            <w:vAlign w:val="bottom"/>
            <w:tcBorders>
              <w:top w:val="single" w:sz="8" w:color="0000FF"/>
              <w:bottom w:val="single" w:sz="8" w:color="0000FF"/>
            </w:tcBorders>
            <w:gridSpan w:val="2"/>
            <w:vMerge w:val="restart"/>
          </w:tcPr>
          <w:p>
            <w:pPr>
              <w:spacing w:after="0"/>
              <w:rPr>
                <w:sz w:val="10"/>
                <w:szCs w:val="10"/>
                <w:color w:val="auto"/>
              </w:rPr>
            </w:pPr>
          </w:p>
        </w:tc>
        <w:tc>
          <w:tcPr>
            <w:tcW w:w="5140" w:type="dxa"/>
            <w:vAlign w:val="bottom"/>
            <w:tcBorders>
              <w:top w:val="single" w:sz="8" w:color="0000FF"/>
              <w:bottom w:val="single" w:sz="8" w:color="0000FF"/>
            </w:tcBorders>
            <w:gridSpan w:val="8"/>
            <w:vMerge w:val="restart"/>
          </w:tcPr>
          <w:p>
            <w:pPr>
              <w:spacing w:after="0"/>
              <w:rPr>
                <w:sz w:val="10"/>
                <w:szCs w:val="10"/>
                <w:color w:val="auto"/>
              </w:rPr>
            </w:pPr>
          </w:p>
        </w:tc>
        <w:tc>
          <w:tcPr>
            <w:tcW w:w="3060" w:type="dxa"/>
            <w:vAlign w:val="bottom"/>
            <w:tcBorders>
              <w:top w:val="single" w:sz="8" w:color="0000FF"/>
              <w:bottom w:val="single" w:sz="8" w:color="0000FF"/>
            </w:tcBorders>
            <w:gridSpan w:val="11"/>
            <w:vMerge w:val="restart"/>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112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140" w:type="dxa"/>
            <w:vAlign w:val="bottom"/>
            <w:gridSpan w:val="8"/>
            <w:vMerge w:val="continue"/>
          </w:tcPr>
          <w:p>
            <w:pPr>
              <w:spacing w:after="0"/>
              <w:rPr>
                <w:sz w:val="5"/>
                <w:szCs w:val="5"/>
                <w:color w:val="auto"/>
              </w:rPr>
            </w:pPr>
          </w:p>
        </w:tc>
        <w:tc>
          <w:tcPr>
            <w:tcW w:w="3060" w:type="dxa"/>
            <w:vAlign w:val="bottom"/>
            <w:gridSpan w:val="11"/>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10.16</w:t>
            </w:r>
          </w:p>
        </w:tc>
        <w:tc>
          <w:tcPr>
            <w:tcW w:w="9980" w:type="dxa"/>
            <w:vAlign w:val="bottom"/>
            <w:gridSpan w:val="30"/>
          </w:tcPr>
          <w:p>
            <w:pPr>
              <w:ind w:left="20"/>
              <w:spacing w:after="0"/>
              <w:rPr>
                <w:rFonts w:ascii="Times New Roman" w:cs="Times New Roman" w:eastAsia="Times New Roman" w:hAnsi="Times New Roman"/>
                <w:sz w:val="18"/>
                <w:szCs w:val="18"/>
                <w:color w:val="0000FF"/>
              </w:rPr>
            </w:pPr>
            <w:hyperlink r:id="rId789">
              <w:r>
                <w:rPr>
                  <w:rFonts w:ascii="Times New Roman" w:cs="Times New Roman" w:eastAsia="Times New Roman" w:hAnsi="Times New Roman"/>
                  <w:sz w:val="18"/>
                  <w:szCs w:val="18"/>
                  <w:color w:val="0000FF"/>
                </w:rPr>
                <w:t>Master Note Purchase Agreement, dated December 10, 2021, by and among Runway Growth Finance Corp. and the Purchasers signatory</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500" w:type="dxa"/>
            <w:vAlign w:val="bottom"/>
            <w:tcBorders>
              <w:top w:val="single" w:sz="8" w:color="0000FF"/>
              <w:bottom w:val="single" w:sz="8" w:color="0000FF"/>
            </w:tcBorders>
            <w:vMerge w:val="restart"/>
          </w:tcPr>
          <w:p>
            <w:pPr>
              <w:ind w:left="20"/>
              <w:spacing w:after="0" w:line="196" w:lineRule="exact"/>
              <w:rPr>
                <w:rFonts w:ascii="Times New Roman" w:cs="Times New Roman" w:eastAsia="Times New Roman" w:hAnsi="Times New Roman"/>
                <w:sz w:val="18"/>
                <w:szCs w:val="18"/>
                <w:color w:val="0000FF"/>
                <w:w w:val="91"/>
              </w:rPr>
            </w:pPr>
            <w:hyperlink r:id="rId789">
              <w:r>
                <w:rPr>
                  <w:rFonts w:ascii="Times New Roman" w:cs="Times New Roman" w:eastAsia="Times New Roman" w:hAnsi="Times New Roman"/>
                  <w:sz w:val="18"/>
                  <w:szCs w:val="18"/>
                  <w:color w:val="0000FF"/>
                  <w:w w:val="91"/>
                </w:rPr>
                <w:t>thereto</w:t>
              </w:r>
            </w:hyperlink>
          </w:p>
        </w:tc>
        <w:tc>
          <w:tcPr>
            <w:tcW w:w="22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rPr>
            </w:pPr>
            <w:hyperlink r:id="rId789">
              <w:r>
                <w:rPr>
                  <w:rFonts w:ascii="Times New Roman" w:cs="Times New Roman" w:eastAsia="Times New Roman" w:hAnsi="Times New Roman"/>
                  <w:sz w:val="11"/>
                  <w:szCs w:val="11"/>
                  <w:color w:val="0000FF"/>
                </w:rPr>
                <w:t>(18)</w:t>
              </w:r>
            </w:hyperlink>
          </w:p>
        </w:tc>
        <w:tc>
          <w:tcPr>
            <w:tcW w:w="640" w:type="dxa"/>
            <w:vAlign w:val="bottom"/>
            <w:tcBorders>
              <w:top w:val="single" w:sz="8" w:color="0000FF"/>
              <w:bottom w:val="single" w:sz="8" w:color="0000FF"/>
            </w:tcBorders>
            <w:gridSpan w:val="4"/>
            <w:vMerge w:val="restart"/>
          </w:tcPr>
          <w:p>
            <w:pPr>
              <w:spacing w:after="0"/>
              <w:rPr>
                <w:sz w:val="10"/>
                <w:szCs w:val="10"/>
                <w:color w:val="auto"/>
              </w:rPr>
            </w:pPr>
          </w:p>
        </w:tc>
        <w:tc>
          <w:tcPr>
            <w:tcW w:w="320" w:type="dxa"/>
            <w:vAlign w:val="bottom"/>
            <w:tcBorders>
              <w:top w:val="single" w:sz="8" w:color="0000FF"/>
              <w:bottom w:val="single" w:sz="8" w:color="0000FF"/>
            </w:tcBorders>
            <w:gridSpan w:val="2"/>
            <w:vMerge w:val="restart"/>
          </w:tcPr>
          <w:p>
            <w:pPr>
              <w:spacing w:after="0"/>
              <w:rPr>
                <w:sz w:val="10"/>
                <w:szCs w:val="10"/>
                <w:color w:val="auto"/>
              </w:rPr>
            </w:pPr>
          </w:p>
        </w:tc>
        <w:tc>
          <w:tcPr>
            <w:tcW w:w="5140" w:type="dxa"/>
            <w:vAlign w:val="bottom"/>
            <w:tcBorders>
              <w:top w:val="single" w:sz="8" w:color="0000FF"/>
              <w:bottom w:val="single" w:sz="8" w:color="0000FF"/>
            </w:tcBorders>
            <w:gridSpan w:val="8"/>
            <w:vMerge w:val="restart"/>
          </w:tcPr>
          <w:p>
            <w:pPr>
              <w:spacing w:after="0"/>
              <w:rPr>
                <w:sz w:val="10"/>
                <w:szCs w:val="10"/>
                <w:color w:val="auto"/>
              </w:rPr>
            </w:pPr>
          </w:p>
        </w:tc>
        <w:tc>
          <w:tcPr>
            <w:tcW w:w="3120" w:type="dxa"/>
            <w:vAlign w:val="bottom"/>
            <w:tcBorders>
              <w:top w:val="single" w:sz="8" w:color="0000FF"/>
              <w:bottom w:val="single" w:sz="8" w:color="0000FF"/>
            </w:tcBorders>
            <w:gridSpan w:val="12"/>
            <w:vMerge w:val="restart"/>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50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140" w:type="dxa"/>
            <w:vAlign w:val="bottom"/>
            <w:gridSpan w:val="8"/>
            <w:vMerge w:val="continue"/>
          </w:tcPr>
          <w:p>
            <w:pPr>
              <w:spacing w:after="0"/>
              <w:rPr>
                <w:sz w:val="5"/>
                <w:szCs w:val="5"/>
                <w:color w:val="auto"/>
              </w:rPr>
            </w:pPr>
          </w:p>
        </w:tc>
        <w:tc>
          <w:tcPr>
            <w:tcW w:w="312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tcBorders>
              <w:bottom w:val="single" w:sz="8" w:color="0000FF"/>
            </w:tcBorders>
            <w:gridSpan w:val="27"/>
          </w:tcPr>
          <w:p>
            <w:pPr>
              <w:ind w:left="20"/>
              <w:spacing w:after="0"/>
              <w:rPr>
                <w:rFonts w:ascii="Times New Roman" w:cs="Times New Roman" w:eastAsia="Times New Roman" w:hAnsi="Times New Roman"/>
                <w:sz w:val="18"/>
                <w:szCs w:val="18"/>
                <w:color w:val="0000FF"/>
              </w:rPr>
            </w:pPr>
            <w:hyperlink r:id="rId790">
              <w:r>
                <w:rPr>
                  <w:rFonts w:ascii="Times New Roman" w:cs="Times New Roman" w:eastAsia="Times New Roman" w:hAnsi="Times New Roman"/>
                  <w:sz w:val="18"/>
                  <w:szCs w:val="18"/>
                  <w:color w:val="0000FF"/>
                </w:rPr>
                <w:t>Fifth Amendment to Credit Agreement, dated as of October 19, 2021, among Runway Growth Finance Corp., as borrower; the financial</w:t>
              </w:r>
            </w:hyperlink>
          </w:p>
        </w:tc>
        <w:tc>
          <w:tcPr>
            <w:tcW w:w="12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04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rPr>
            </w:pPr>
            <w:hyperlink r:id="rId790">
              <w:r>
                <w:rPr>
                  <w:rFonts w:ascii="Times New Roman" w:cs="Times New Roman" w:eastAsia="Times New Roman" w:hAnsi="Times New Roman"/>
                  <w:sz w:val="18"/>
                  <w:szCs w:val="18"/>
                  <w:color w:val="0000FF"/>
                </w:rPr>
                <w:t>institutions party thereto as lenders; KeyBank National Association, as administrative agent and lender; CIBC Bank USA, as</w:t>
              </w:r>
            </w:hyperlink>
          </w:p>
        </w:tc>
        <w:tc>
          <w:tcPr>
            <w:tcW w:w="9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790">
              <w:r>
                <w:rPr>
                  <w:rFonts w:ascii="Times New Roman" w:cs="Times New Roman" w:eastAsia="Times New Roman" w:hAnsi="Times New Roman"/>
                  <w:sz w:val="18"/>
                  <w:szCs w:val="18"/>
                  <w:color w:val="0000FF"/>
                </w:rPr>
                <w:t>documentation agent and lender; MUFG Union Bank, N.A. as co-documentation agent and lender; and U.S. Bank National Association,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vMerge w:val="restart"/>
          </w:tcPr>
          <w:p>
            <w:pPr>
              <w:ind w:left="20"/>
              <w:spacing w:after="0" w:line="196" w:lineRule="exact"/>
              <w:rPr>
                <w:rFonts w:ascii="Times New Roman" w:cs="Times New Roman" w:eastAsia="Times New Roman" w:hAnsi="Times New Roman"/>
                <w:sz w:val="18"/>
                <w:szCs w:val="18"/>
                <w:color w:val="0000FF"/>
                <w:w w:val="96"/>
              </w:rPr>
            </w:pPr>
            <w:hyperlink r:id="rId790">
              <w:r>
                <w:rPr>
                  <w:rFonts w:ascii="Times New Roman" w:cs="Times New Roman" w:eastAsia="Times New Roman" w:hAnsi="Times New Roman"/>
                  <w:sz w:val="18"/>
                  <w:szCs w:val="18"/>
                  <w:color w:val="0000FF"/>
                  <w:w w:val="96"/>
                </w:rPr>
                <w:t>as paying agent</w:t>
              </w:r>
            </w:hyperlink>
          </w:p>
        </w:tc>
        <w:tc>
          <w:tcPr>
            <w:tcW w:w="20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7"/>
              </w:rPr>
            </w:pPr>
            <w:hyperlink r:id="rId790">
              <w:r>
                <w:rPr>
                  <w:rFonts w:ascii="Times New Roman" w:cs="Times New Roman" w:eastAsia="Times New Roman" w:hAnsi="Times New Roman"/>
                  <w:sz w:val="11"/>
                  <w:szCs w:val="11"/>
                  <w:color w:val="0000FF"/>
                  <w:w w:val="97"/>
                </w:rPr>
                <w:t>(20)</w:t>
              </w:r>
            </w:hyperlink>
          </w:p>
        </w:tc>
        <w:tc>
          <w:tcPr>
            <w:tcW w:w="40" w:type="dxa"/>
            <w:vAlign w:val="bottom"/>
            <w:tcBorders>
              <w:top w:val="single" w:sz="8" w:color="0000FF"/>
              <w:bottom w:val="single" w:sz="8" w:color="0000FF"/>
            </w:tcBorders>
            <w:vMerge w:val="restart"/>
          </w:tcPr>
          <w:p>
            <w:pPr>
              <w:spacing w:after="0"/>
              <w:rPr>
                <w:sz w:val="10"/>
                <w:szCs w:val="10"/>
                <w:color w:val="auto"/>
              </w:rPr>
            </w:pPr>
          </w:p>
        </w:tc>
        <w:tc>
          <w:tcPr>
            <w:tcW w:w="320" w:type="dxa"/>
            <w:vAlign w:val="bottom"/>
            <w:tcBorders>
              <w:top w:val="single" w:sz="8" w:color="0000FF"/>
              <w:bottom w:val="single" w:sz="8" w:color="0000FF"/>
            </w:tcBorders>
            <w:gridSpan w:val="2"/>
            <w:vMerge w:val="restart"/>
          </w:tcPr>
          <w:p>
            <w:pPr>
              <w:spacing w:after="0"/>
              <w:rPr>
                <w:sz w:val="10"/>
                <w:szCs w:val="10"/>
                <w:color w:val="auto"/>
              </w:rPr>
            </w:pPr>
          </w:p>
        </w:tc>
        <w:tc>
          <w:tcPr>
            <w:tcW w:w="5140" w:type="dxa"/>
            <w:vAlign w:val="bottom"/>
            <w:tcBorders>
              <w:top w:val="single" w:sz="8" w:color="0000FF"/>
              <w:bottom w:val="single" w:sz="8" w:color="0000FF"/>
            </w:tcBorders>
            <w:gridSpan w:val="8"/>
            <w:vMerge w:val="restart"/>
          </w:tcPr>
          <w:p>
            <w:pPr>
              <w:spacing w:after="0"/>
              <w:rPr>
                <w:sz w:val="10"/>
                <w:szCs w:val="10"/>
                <w:color w:val="auto"/>
              </w:rPr>
            </w:pPr>
          </w:p>
        </w:tc>
        <w:tc>
          <w:tcPr>
            <w:tcW w:w="3060" w:type="dxa"/>
            <w:vAlign w:val="bottom"/>
            <w:tcBorders>
              <w:top w:val="single" w:sz="8" w:color="0000FF"/>
              <w:bottom w:val="single" w:sz="8" w:color="0000FF"/>
            </w:tcBorders>
            <w:gridSpan w:val="11"/>
            <w:vMerge w:val="restart"/>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112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140" w:type="dxa"/>
            <w:vAlign w:val="bottom"/>
            <w:gridSpan w:val="8"/>
            <w:vMerge w:val="continue"/>
          </w:tcPr>
          <w:p>
            <w:pPr>
              <w:spacing w:after="0"/>
              <w:rPr>
                <w:sz w:val="5"/>
                <w:szCs w:val="5"/>
                <w:color w:val="auto"/>
              </w:rPr>
            </w:pPr>
          </w:p>
        </w:tc>
        <w:tc>
          <w:tcPr>
            <w:tcW w:w="3060" w:type="dxa"/>
            <w:vAlign w:val="bottom"/>
            <w:gridSpan w:val="11"/>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10.18</w:t>
            </w:r>
          </w:p>
        </w:tc>
        <w:tc>
          <w:tcPr>
            <w:tcW w:w="9840" w:type="dxa"/>
            <w:vAlign w:val="bottom"/>
            <w:tcBorders>
              <w:bottom w:val="single" w:sz="8" w:color="0000FF"/>
            </w:tcBorders>
            <w:gridSpan w:val="26"/>
          </w:tcPr>
          <w:p>
            <w:pPr>
              <w:ind w:left="20"/>
              <w:spacing w:after="0"/>
              <w:rPr>
                <w:rFonts w:ascii="Times New Roman" w:cs="Times New Roman" w:eastAsia="Times New Roman" w:hAnsi="Times New Roman"/>
                <w:sz w:val="18"/>
                <w:szCs w:val="18"/>
                <w:color w:val="0000FF"/>
              </w:rPr>
            </w:pPr>
            <w:hyperlink r:id="rId791">
              <w:r>
                <w:rPr>
                  <w:rFonts w:ascii="Times New Roman" w:cs="Times New Roman" w:eastAsia="Times New Roman" w:hAnsi="Times New Roman"/>
                  <w:sz w:val="18"/>
                  <w:szCs w:val="18"/>
                  <w:color w:val="0000FF"/>
                </w:rPr>
                <w:t>Amended and Restated Credit Agreement, dated as of April 20, 2022, among Runway Growth Finance Corp., as borrower; the financial</w:t>
              </w:r>
            </w:hyperlink>
          </w:p>
        </w:tc>
        <w:tc>
          <w:tcPr>
            <w:tcW w:w="14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04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rPr>
            </w:pPr>
            <w:hyperlink r:id="rId791">
              <w:r>
                <w:rPr>
                  <w:rFonts w:ascii="Times New Roman" w:cs="Times New Roman" w:eastAsia="Times New Roman" w:hAnsi="Times New Roman"/>
                  <w:sz w:val="18"/>
                  <w:szCs w:val="18"/>
                  <w:color w:val="0000FF"/>
                </w:rPr>
                <w:t>institutions party thereto as lenders; KeyBank National Association, as administrative agent and lender; CIBC Bank USA, as</w:t>
              </w:r>
            </w:hyperlink>
          </w:p>
        </w:tc>
        <w:tc>
          <w:tcPr>
            <w:tcW w:w="9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791">
              <w:r>
                <w:rPr>
                  <w:rFonts w:ascii="Times New Roman" w:cs="Times New Roman" w:eastAsia="Times New Roman" w:hAnsi="Times New Roman"/>
                  <w:sz w:val="18"/>
                  <w:szCs w:val="18"/>
                  <w:color w:val="0000FF"/>
                </w:rPr>
                <w:t>documentation agent and lender; MUFG Union Bank, N.A. as co-documentation agent and lender; and U.S. Bank National Association,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vMerge w:val="restart"/>
          </w:tcPr>
          <w:p>
            <w:pPr>
              <w:ind w:left="20"/>
              <w:spacing w:after="0" w:line="196" w:lineRule="exact"/>
              <w:rPr>
                <w:rFonts w:ascii="Times New Roman" w:cs="Times New Roman" w:eastAsia="Times New Roman" w:hAnsi="Times New Roman"/>
                <w:sz w:val="18"/>
                <w:szCs w:val="18"/>
                <w:color w:val="0000FF"/>
                <w:w w:val="96"/>
              </w:rPr>
            </w:pPr>
            <w:hyperlink r:id="rId791">
              <w:r>
                <w:rPr>
                  <w:rFonts w:ascii="Times New Roman" w:cs="Times New Roman" w:eastAsia="Times New Roman" w:hAnsi="Times New Roman"/>
                  <w:sz w:val="18"/>
                  <w:szCs w:val="18"/>
                  <w:color w:val="0000FF"/>
                  <w:w w:val="96"/>
                </w:rPr>
                <w:t>as paying agent</w:t>
              </w:r>
            </w:hyperlink>
          </w:p>
        </w:tc>
        <w:tc>
          <w:tcPr>
            <w:tcW w:w="200" w:type="dxa"/>
            <w:vAlign w:val="bottom"/>
            <w:tcBorders>
              <w:top w:val="single" w:sz="8" w:color="0000FF"/>
              <w:bottom w:val="single" w:sz="8" w:color="0000EE"/>
            </w:tcBorders>
            <w:gridSpan w:val="2"/>
          </w:tcPr>
          <w:p>
            <w:pPr>
              <w:jc w:val="right"/>
              <w:spacing w:after="0" w:line="102" w:lineRule="exact"/>
              <w:rPr>
                <w:rFonts w:ascii="Times New Roman" w:cs="Times New Roman" w:eastAsia="Times New Roman" w:hAnsi="Times New Roman"/>
                <w:sz w:val="11"/>
                <w:szCs w:val="11"/>
                <w:color w:val="0000FF"/>
                <w:w w:val="97"/>
              </w:rPr>
            </w:pPr>
            <w:hyperlink r:id="rId791">
              <w:r>
                <w:rPr>
                  <w:rFonts w:ascii="Times New Roman" w:cs="Times New Roman" w:eastAsia="Times New Roman" w:hAnsi="Times New Roman"/>
                  <w:sz w:val="11"/>
                  <w:szCs w:val="11"/>
                  <w:color w:val="0000FF"/>
                  <w:w w:val="97"/>
                </w:rPr>
                <w:t>(21)</w:t>
              </w:r>
            </w:hyperlink>
          </w:p>
        </w:tc>
        <w:tc>
          <w:tcPr>
            <w:tcW w:w="40" w:type="dxa"/>
            <w:vAlign w:val="bottom"/>
            <w:tcBorders>
              <w:top w:val="single" w:sz="8" w:color="0000FF"/>
              <w:bottom w:val="single" w:sz="8" w:color="0000EE"/>
            </w:tcBorders>
          </w:tcPr>
          <w:p>
            <w:pPr>
              <w:spacing w:after="0"/>
              <w:rPr>
                <w:sz w:val="10"/>
                <w:szCs w:val="10"/>
                <w:color w:val="auto"/>
              </w:rPr>
            </w:pPr>
          </w:p>
        </w:tc>
        <w:tc>
          <w:tcPr>
            <w:tcW w:w="320" w:type="dxa"/>
            <w:vAlign w:val="bottom"/>
            <w:tcBorders>
              <w:top w:val="single" w:sz="8" w:color="0000FF"/>
              <w:bottom w:val="single" w:sz="8" w:color="0000FF"/>
            </w:tcBorders>
            <w:gridSpan w:val="2"/>
            <w:vMerge w:val="restart"/>
          </w:tcPr>
          <w:p>
            <w:pPr>
              <w:spacing w:after="0"/>
              <w:rPr>
                <w:sz w:val="10"/>
                <w:szCs w:val="10"/>
                <w:color w:val="auto"/>
              </w:rPr>
            </w:pPr>
          </w:p>
        </w:tc>
        <w:tc>
          <w:tcPr>
            <w:tcW w:w="5140" w:type="dxa"/>
            <w:vAlign w:val="bottom"/>
            <w:tcBorders>
              <w:top w:val="single" w:sz="8" w:color="0000FF"/>
              <w:bottom w:val="single" w:sz="8" w:color="0000FF"/>
            </w:tcBorders>
            <w:gridSpan w:val="8"/>
            <w:vMerge w:val="restart"/>
          </w:tcPr>
          <w:p>
            <w:pPr>
              <w:spacing w:after="0"/>
              <w:rPr>
                <w:sz w:val="10"/>
                <w:szCs w:val="10"/>
                <w:color w:val="auto"/>
              </w:rPr>
            </w:pPr>
          </w:p>
        </w:tc>
        <w:tc>
          <w:tcPr>
            <w:tcW w:w="3060" w:type="dxa"/>
            <w:vAlign w:val="bottom"/>
            <w:tcBorders>
              <w:top w:val="single" w:sz="8" w:color="0000FF"/>
              <w:bottom w:val="single" w:sz="8" w:color="0000FF"/>
            </w:tcBorders>
            <w:gridSpan w:val="11"/>
            <w:vMerge w:val="restart"/>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1120" w:type="dxa"/>
            <w:vAlign w:val="bottom"/>
            <w:tcBorders>
              <w:bottom w:val="single" w:sz="8" w:color="0000FF"/>
            </w:tcBorders>
            <w:gridSpan w:val="4"/>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140" w:type="dxa"/>
            <w:vAlign w:val="bottom"/>
            <w:gridSpan w:val="8"/>
            <w:vMerge w:val="continue"/>
          </w:tcPr>
          <w:p>
            <w:pPr>
              <w:spacing w:after="0"/>
              <w:rPr>
                <w:sz w:val="5"/>
                <w:szCs w:val="5"/>
                <w:color w:val="auto"/>
              </w:rPr>
            </w:pPr>
          </w:p>
        </w:tc>
        <w:tc>
          <w:tcPr>
            <w:tcW w:w="3060" w:type="dxa"/>
            <w:vAlign w:val="bottom"/>
            <w:gridSpan w:val="11"/>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10.19</w:t>
            </w:r>
          </w:p>
        </w:tc>
        <w:tc>
          <w:tcPr>
            <w:tcW w:w="9980" w:type="dxa"/>
            <w:vAlign w:val="bottom"/>
            <w:tcBorders>
              <w:bottom w:val="single" w:sz="8" w:color="0000FF"/>
            </w:tcBorders>
            <w:gridSpan w:val="30"/>
          </w:tcPr>
          <w:p>
            <w:pPr>
              <w:ind w:left="20"/>
              <w:spacing w:after="0"/>
              <w:rPr>
                <w:rFonts w:ascii="Times New Roman" w:cs="Times New Roman" w:eastAsia="Times New Roman" w:hAnsi="Times New Roman"/>
                <w:sz w:val="18"/>
                <w:szCs w:val="18"/>
                <w:color w:val="0000FF"/>
                <w:w w:val="99"/>
              </w:rPr>
            </w:pPr>
            <w:hyperlink r:id="rId792">
              <w:r>
                <w:rPr>
                  <w:rFonts w:ascii="Times New Roman" w:cs="Times New Roman" w:eastAsia="Times New Roman" w:hAnsi="Times New Roman"/>
                  <w:sz w:val="18"/>
                  <w:szCs w:val="18"/>
                  <w:color w:val="0000FF"/>
                  <w:w w:val="99"/>
                </w:rPr>
                <w:t>Second Amendment to the Amended and Restated Credit Agreement, dated as of January 4, 2023, among Runway Growth Finance Corp.,</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800" w:type="dxa"/>
            <w:vAlign w:val="bottom"/>
            <w:tcBorders>
              <w:bottom w:val="single" w:sz="8" w:color="0000FF"/>
            </w:tcBorders>
            <w:gridSpan w:val="25"/>
          </w:tcPr>
          <w:p>
            <w:pPr>
              <w:ind w:left="20"/>
              <w:spacing w:after="0" w:line="196" w:lineRule="exact"/>
              <w:rPr>
                <w:rFonts w:ascii="Times New Roman" w:cs="Times New Roman" w:eastAsia="Times New Roman" w:hAnsi="Times New Roman"/>
                <w:sz w:val="18"/>
                <w:szCs w:val="18"/>
                <w:color w:val="0000FF"/>
              </w:rPr>
            </w:pPr>
            <w:hyperlink r:id="rId792">
              <w:r>
                <w:rPr>
                  <w:rFonts w:ascii="Times New Roman" w:cs="Times New Roman" w:eastAsia="Times New Roman" w:hAnsi="Times New Roman"/>
                  <w:sz w:val="18"/>
                  <w:szCs w:val="18"/>
                  <w:color w:val="0000FF"/>
                </w:rPr>
                <w:t>as borrower; the financial institutions parties thereto as lenders; and KeyBank National Association, as administrative agent and lender;</w:t>
              </w:r>
            </w:hyperlink>
          </w:p>
        </w:tc>
        <w:tc>
          <w:tcPr>
            <w:tcW w:w="1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8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792">
              <w:r>
                <w:rPr>
                  <w:rFonts w:ascii="Times New Roman" w:cs="Times New Roman" w:eastAsia="Times New Roman" w:hAnsi="Times New Roman"/>
                  <w:sz w:val="18"/>
                  <w:szCs w:val="18"/>
                  <w:color w:val="0000FF"/>
                </w:rPr>
                <w:t>CIBC Bank USA, as documentation agent; MUFG Union Bank, Ltd (as successor-in-interest to MUFG Union Bank, N.A.), as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240" w:type="dxa"/>
            <w:vAlign w:val="bottom"/>
          </w:tcPr>
          <w:p>
            <w:pPr>
              <w:spacing w:after="0"/>
              <w:rPr>
                <w:sz w:val="10"/>
                <w:szCs w:val="10"/>
                <w:color w:val="auto"/>
              </w:rPr>
            </w:pPr>
          </w:p>
        </w:tc>
        <w:tc>
          <w:tcPr>
            <w:tcW w:w="6620" w:type="dxa"/>
            <w:vAlign w:val="bottom"/>
            <w:tcBorders>
              <w:top w:val="single" w:sz="8" w:color="0000FF"/>
              <w:bottom w:val="single" w:sz="8" w:color="0000FF"/>
            </w:tcBorders>
            <w:gridSpan w:val="15"/>
            <w:vMerge w:val="restart"/>
          </w:tcPr>
          <w:p>
            <w:pPr>
              <w:ind w:left="20"/>
              <w:spacing w:after="0" w:line="196" w:lineRule="exact"/>
              <w:rPr>
                <w:rFonts w:ascii="Times New Roman" w:cs="Times New Roman" w:eastAsia="Times New Roman" w:hAnsi="Times New Roman"/>
                <w:sz w:val="18"/>
                <w:szCs w:val="18"/>
                <w:color w:val="0000FF"/>
                <w:w w:val="99"/>
              </w:rPr>
            </w:pPr>
            <w:hyperlink r:id="rId792">
              <w:r>
                <w:rPr>
                  <w:rFonts w:ascii="Times New Roman" w:cs="Times New Roman" w:eastAsia="Times New Roman" w:hAnsi="Times New Roman"/>
                  <w:sz w:val="18"/>
                  <w:szCs w:val="18"/>
                  <w:color w:val="0000FF"/>
                  <w:w w:val="99"/>
                </w:rPr>
                <w:t>documentation agent; and U.S. Bank Trust Company, National Association, as paying agent</w:t>
              </w:r>
            </w:hyperlink>
          </w:p>
        </w:tc>
        <w:tc>
          <w:tcPr>
            <w:tcW w:w="200" w:type="dxa"/>
            <w:vAlign w:val="bottom"/>
            <w:tcBorders>
              <w:top w:val="single" w:sz="8" w:color="0000FF"/>
              <w:bottom w:val="single" w:sz="8" w:color="0000FF"/>
            </w:tcBorders>
            <w:gridSpan w:val="2"/>
          </w:tcPr>
          <w:p>
            <w:pPr>
              <w:jc w:val="right"/>
              <w:spacing w:after="0" w:line="102" w:lineRule="exact"/>
              <w:rPr>
                <w:rFonts w:ascii="Times New Roman" w:cs="Times New Roman" w:eastAsia="Times New Roman" w:hAnsi="Times New Roman"/>
                <w:sz w:val="11"/>
                <w:szCs w:val="11"/>
                <w:color w:val="0000FF"/>
                <w:w w:val="97"/>
              </w:rPr>
            </w:pPr>
            <w:hyperlink r:id="rId792">
              <w:r>
                <w:rPr>
                  <w:rFonts w:ascii="Times New Roman" w:cs="Times New Roman" w:eastAsia="Times New Roman" w:hAnsi="Times New Roman"/>
                  <w:sz w:val="11"/>
                  <w:szCs w:val="11"/>
                  <w:color w:val="0000FF"/>
                  <w:w w:val="97"/>
                </w:rPr>
                <w:t>(24)</w:t>
              </w:r>
            </w:hyperlink>
          </w:p>
        </w:tc>
        <w:tc>
          <w:tcPr>
            <w:tcW w:w="2340" w:type="dxa"/>
            <w:vAlign w:val="bottom"/>
            <w:tcBorders>
              <w:top w:val="single" w:sz="8" w:color="0000FF"/>
              <w:bottom w:val="single" w:sz="8" w:color="0000FF"/>
            </w:tcBorders>
            <w:gridSpan w:val="6"/>
            <w:vMerge w:val="restart"/>
          </w:tcPr>
          <w:p>
            <w:pPr>
              <w:spacing w:after="0"/>
              <w:rPr>
                <w:sz w:val="10"/>
                <w:szCs w:val="10"/>
                <w:color w:val="auto"/>
              </w:rPr>
            </w:pPr>
          </w:p>
        </w:tc>
        <w:tc>
          <w:tcPr>
            <w:tcW w:w="82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6620" w:type="dxa"/>
            <w:vAlign w:val="bottom"/>
            <w:tcBorders>
              <w:bottom w:val="single" w:sz="8" w:color="0000FF"/>
            </w:tcBorders>
            <w:gridSpan w:val="15"/>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340" w:type="dxa"/>
            <w:vAlign w:val="bottom"/>
            <w:gridSpan w:val="6"/>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w:t>
            </w:r>
          </w:p>
        </w:tc>
        <w:tc>
          <w:tcPr>
            <w:tcW w:w="99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Computation of Per Share Earnings (Included in the notes to the financial statements contained in this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14.1</w:t>
            </w:r>
          </w:p>
        </w:tc>
        <w:tc>
          <w:tcPr>
            <w:tcW w:w="1480" w:type="dxa"/>
            <w:vAlign w:val="bottom"/>
            <w:gridSpan w:val="8"/>
            <w:vMerge w:val="restart"/>
          </w:tcPr>
          <w:p>
            <w:pPr>
              <w:ind w:left="20"/>
              <w:spacing w:after="0"/>
              <w:rPr>
                <w:rFonts w:ascii="Times New Roman" w:cs="Times New Roman" w:eastAsia="Times New Roman" w:hAnsi="Times New Roman"/>
                <w:sz w:val="18"/>
                <w:szCs w:val="18"/>
                <w:color w:val="0000FF"/>
                <w:w w:val="98"/>
              </w:rPr>
            </w:pPr>
            <w:hyperlink r:id="rId793">
              <w:r>
                <w:rPr>
                  <w:rFonts w:ascii="Times New Roman" w:cs="Times New Roman" w:eastAsia="Times New Roman" w:hAnsi="Times New Roman"/>
                  <w:sz w:val="18"/>
                  <w:szCs w:val="18"/>
                  <w:color w:val="0000FF"/>
                  <w:w w:val="98"/>
                </w:rPr>
                <w:t>Joint Code of Ethics</w:t>
              </w:r>
            </w:hyperlink>
          </w:p>
        </w:tc>
        <w:tc>
          <w:tcPr>
            <w:tcW w:w="200" w:type="dxa"/>
            <w:vAlign w:val="bottom"/>
            <w:tcBorders>
              <w:bottom w:val="single" w:sz="8" w:color="0000FF"/>
            </w:tcBorders>
          </w:tcPr>
          <w:p>
            <w:pPr>
              <w:jc w:val="right"/>
              <w:spacing w:after="0" w:line="115" w:lineRule="exact"/>
              <w:rPr>
                <w:rFonts w:ascii="Times New Roman" w:cs="Times New Roman" w:eastAsia="Times New Roman" w:hAnsi="Times New Roman"/>
                <w:sz w:val="12"/>
                <w:szCs w:val="12"/>
                <w:color w:val="0000FF"/>
                <w:w w:val="89"/>
              </w:rPr>
            </w:pPr>
            <w:hyperlink r:id="rId793">
              <w:r>
                <w:rPr>
                  <w:rFonts w:ascii="Times New Roman" w:cs="Times New Roman" w:eastAsia="Times New Roman" w:hAnsi="Times New Roman"/>
                  <w:sz w:val="12"/>
                  <w:szCs w:val="12"/>
                  <w:color w:val="0000FF"/>
                  <w:w w:val="89"/>
                </w:rPr>
                <w:t>(14)</w:t>
              </w:r>
            </w:hyperlink>
          </w:p>
        </w:tc>
        <w:tc>
          <w:tcPr>
            <w:tcW w:w="8300" w:type="dxa"/>
            <w:vAlign w:val="bottom"/>
            <w:gridSpan w:val="21"/>
            <w:vMerge w:val="restart"/>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240" w:type="dxa"/>
            <w:vAlign w:val="bottom"/>
            <w:vMerge w:val="continue"/>
          </w:tcPr>
          <w:p>
            <w:pPr>
              <w:spacing w:after="0"/>
              <w:rPr>
                <w:sz w:val="5"/>
                <w:szCs w:val="5"/>
                <w:color w:val="auto"/>
              </w:rPr>
            </w:pPr>
          </w:p>
        </w:tc>
        <w:tc>
          <w:tcPr>
            <w:tcW w:w="1480" w:type="dxa"/>
            <w:vAlign w:val="bottom"/>
            <w:tcBorders>
              <w:bottom w:val="single" w:sz="8" w:color="0000FF"/>
            </w:tcBorders>
            <w:gridSpan w:val="8"/>
            <w:vMerge w:val="continue"/>
          </w:tcPr>
          <w:p>
            <w:pPr>
              <w:spacing w:after="0"/>
              <w:rPr>
                <w:sz w:val="5"/>
                <w:szCs w:val="5"/>
                <w:color w:val="auto"/>
              </w:rPr>
            </w:pPr>
          </w:p>
        </w:tc>
        <w:tc>
          <w:tcPr>
            <w:tcW w:w="200" w:type="dxa"/>
            <w:vAlign w:val="bottom"/>
          </w:tcPr>
          <w:p>
            <w:pPr>
              <w:spacing w:after="0"/>
              <w:rPr>
                <w:sz w:val="5"/>
                <w:szCs w:val="5"/>
                <w:color w:val="auto"/>
              </w:rPr>
            </w:pPr>
          </w:p>
        </w:tc>
        <w:tc>
          <w:tcPr>
            <w:tcW w:w="8300" w:type="dxa"/>
            <w:vAlign w:val="bottom"/>
            <w:gridSpan w:val="21"/>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w:t>
            </w:r>
          </w:p>
        </w:tc>
        <w:tc>
          <w:tcPr>
            <w:tcW w:w="99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List of Subsidiaries: RWAY IP Holdings LLC - 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23.1</w:t>
            </w:r>
          </w:p>
        </w:tc>
        <w:tc>
          <w:tcPr>
            <w:tcW w:w="99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Consent of RSM US LLP*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w:t>
            </w:r>
          </w:p>
        </w:tc>
        <w:tc>
          <w:tcPr>
            <w:tcW w:w="8580" w:type="dxa"/>
            <w:vAlign w:val="bottom"/>
            <w:tcBorders>
              <w:bottom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 of the Securities Exchange Act of 1934, as amended*</w:t>
            </w:r>
          </w:p>
        </w:tc>
        <w:tc>
          <w:tcPr>
            <w:tcW w:w="1400" w:type="dxa"/>
            <w:vAlign w:val="bottom"/>
            <w:gridSpan w:val="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w:t>
            </w:r>
          </w:p>
        </w:tc>
        <w:tc>
          <w:tcPr>
            <w:tcW w:w="8560" w:type="dxa"/>
            <w:vAlign w:val="bottom"/>
            <w:tcBorders>
              <w:bottom w:val="single" w:sz="8" w:color="0000EE"/>
            </w:tcBorders>
            <w:gridSpan w:val="20"/>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 of the Securities Exchange Act of 1934, as amended*</w:t>
            </w:r>
          </w:p>
        </w:tc>
        <w:tc>
          <w:tcPr>
            <w:tcW w:w="1420" w:type="dxa"/>
            <w:vAlign w:val="bottom"/>
            <w:gridSpan w:val="1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32.1</w:t>
            </w:r>
          </w:p>
        </w:tc>
        <w:tc>
          <w:tcPr>
            <w:tcW w:w="7320" w:type="dxa"/>
            <w:vAlign w:val="bottom"/>
            <w:tcBorders>
              <w:bottom w:val="single" w:sz="8" w:color="0000EE"/>
            </w:tcBorders>
            <w:gridSpan w:val="19"/>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2660" w:type="dxa"/>
            <w:vAlign w:val="bottom"/>
            <w:gridSpan w:val="1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40" w:type="dxa"/>
            <w:vAlign w:val="bottom"/>
            <w:tcBorders>
              <w:bottom w:val="single" w:sz="8" w:color="auto"/>
            </w:tcBorders>
          </w:tcPr>
          <w:p>
            <w:pPr>
              <w:spacing w:after="0"/>
              <w:rPr>
                <w:sz w:val="21"/>
                <w:szCs w:val="21"/>
                <w:color w:val="auto"/>
              </w:rPr>
            </w:pPr>
          </w:p>
        </w:tc>
        <w:tc>
          <w:tcPr>
            <w:tcW w:w="50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40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28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436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460" w:type="dxa"/>
            <w:vAlign w:val="bottom"/>
            <w:tcBorders>
              <w:top w:val="single" w:sz="8" w:color="0000EE"/>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6" w:lineRule="exact"/>
        <w:rPr>
          <w:sz w:val="20"/>
          <w:szCs w:val="20"/>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December 19, 2016.</w:t>
      </w:r>
    </w:p>
    <w:p>
      <w:pPr>
        <w:spacing w:after="0" w:line="198"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June 14, 2017.</w:t>
      </w:r>
    </w:p>
    <w:p>
      <w:pPr>
        <w:spacing w:after="0" w:line="184"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with the SEC on August 10, 2017.</w:t>
      </w:r>
    </w:p>
    <w:p>
      <w:pPr>
        <w:spacing w:after="0" w:line="184"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March 29, 2017.</w:t>
      </w:r>
    </w:p>
    <w:p>
      <w:pPr>
        <w:spacing w:after="0" w:line="22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May 28, 2021.</w:t>
      </w:r>
    </w:p>
    <w:p>
      <w:pPr>
        <w:spacing w:after="0" w:line="155"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10 (File No. 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55544) filed with the SEC on February 12, 2016.</w:t>
      </w:r>
    </w:p>
    <w:p>
      <w:pPr>
        <w:spacing w:after="0" w:line="184"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with the SEC on November 9, 2017.</w:t>
      </w:r>
    </w:p>
    <w:p>
      <w:pPr>
        <w:spacing w:after="0" w:line="198"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December 28, 2018.</w:t>
      </w:r>
    </w:p>
    <w:p>
      <w:pPr>
        <w:spacing w:after="0" w:line="184"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March 28, 2019.</w:t>
      </w:r>
    </w:p>
    <w:p>
      <w:pPr>
        <w:spacing w:after="0" w:line="184"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June 6, 2019.</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with the SEC on March 20, 2020.</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with the SEC on November 12, 2020.</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December 4, 2020.</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with the SEC on August 5, 2021.</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August 19, 2021.</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October 27, 2021.</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N-2 (File No. 333-259824) filed with the SEC on September 27, 2021.</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December 13, 2021.</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September 23, 2021.</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with the SEC on March 14, 2022.</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April 20, 2022.</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July 22, 2022.</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December 7, 2022.</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with the SEC on January 9,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 2023</w:t>
      </w:r>
    </w:p>
    <w:p>
      <w:pPr>
        <w:spacing w:after="0" w:line="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26035</wp:posOffset>
            </wp:positionV>
            <wp:extent cx="328295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 David Spreng</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3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By: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 David Spreng</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By: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 Chief Operating Officer, Treasurer and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w:t>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7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By: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Gary Kovacs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Gary Kovacs</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By: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Brian Laibow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Laibow</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By: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Julie Persily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Julie Persily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2, 2023</w:t>
      </w:r>
      <w:r>
        <w:rPr>
          <w:sz w:val="20"/>
          <w:szCs w:val="20"/>
          <w:color w:val="auto"/>
        </w:rPr>
        <w:tab/>
      </w:r>
      <w:r>
        <w:rPr>
          <w:rFonts w:ascii="Times New Roman" w:cs="Times New Roman" w:eastAsia="Times New Roman" w:hAnsi="Times New Roman"/>
          <w:sz w:val="17"/>
          <w:szCs w:val="17"/>
          <w:color w:val="auto"/>
        </w:rPr>
        <w:t>By:</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John F.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F. Engel</w:t>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231F20"/>
        </w:rPr>
        <w:t>Exhibit 23.1</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CERTIFICATION OF CHIEF EXECUTIVE OFFICER</w:t>
      </w:r>
    </w:p>
    <w:p>
      <w:pPr>
        <w:jc w:val="center"/>
        <w:ind w:right="40"/>
        <w:spacing w:after="0" w:line="229" w:lineRule="auto"/>
        <w:rPr>
          <w:sz w:val="20"/>
          <w:szCs w:val="20"/>
          <w:color w:val="auto"/>
        </w:rPr>
      </w:pPr>
      <w:r>
        <w:rPr>
          <w:rFonts w:ascii="Times New Roman" w:cs="Times New Roman" w:eastAsia="Times New Roman" w:hAnsi="Times New Roman"/>
          <w:sz w:val="14"/>
          <w:szCs w:val="14"/>
          <w:b w:val="1"/>
          <w:bCs w:val="1"/>
          <w:color w:val="231F20"/>
        </w:rPr>
        <w:t>PURSUANT TO RULE 13A-14 UNDER THE EXCHANGE ACT OF 1934, AS ADOPTED</w:t>
      </w: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302 OF THE SARBANES-OXLEY ACT OF 2002</w:t>
      </w:r>
    </w:p>
    <w:p>
      <w:pPr>
        <w:spacing w:after="0" w:line="174"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4"/>
          <w:szCs w:val="14"/>
          <w:color w:val="231F20"/>
        </w:rPr>
        <w:t>We consent to the incorporation by reference in the Registration Statement on Form N-2 of Runway Growth Finance Corp. of our report dated March 2, 2023, relating to the consolidated financial statements, including the senior securities table, of Runway Growth Finance Corp., appearing in the Annual Report on Form 10-K of Runway Growth Finance Corp. for the year ended December 31, 2022.</w:t>
      </w: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231F20"/>
        </w:rPr>
        <w:t>/s/ RSM US LLP</w:t>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Chicago, Illinois</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231F20"/>
        </w:rPr>
        <w:t>Exhibit 31.1</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CERTIFICATION OF CHIEF EXECUTIVE OFFICER</w:t>
      </w:r>
    </w:p>
    <w:p>
      <w:pPr>
        <w:jc w:val="center"/>
        <w:ind w:right="40"/>
        <w:spacing w:after="0" w:line="229" w:lineRule="auto"/>
        <w:rPr>
          <w:sz w:val="20"/>
          <w:szCs w:val="20"/>
          <w:color w:val="auto"/>
        </w:rPr>
      </w:pPr>
      <w:r>
        <w:rPr>
          <w:rFonts w:ascii="Times New Roman" w:cs="Times New Roman" w:eastAsia="Times New Roman" w:hAnsi="Times New Roman"/>
          <w:sz w:val="14"/>
          <w:szCs w:val="14"/>
          <w:b w:val="1"/>
          <w:bCs w:val="1"/>
          <w:color w:val="231F20"/>
        </w:rPr>
        <w:t>PURSUANT TO RULE 13A-14 UNDER THE EXCHANGE ACT OF 1934, AS ADOPTED</w:t>
      </w: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302 OF THE SARBANES-OXLEY ACT OF 2002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I, R. David Spreng, as Chief Executive Officer, certify that:</w:t>
      </w:r>
    </w:p>
    <w:p>
      <w:pPr>
        <w:spacing w:after="0" w:line="163" w:lineRule="exact"/>
        <w:rPr>
          <w:sz w:val="20"/>
          <w:szCs w:val="20"/>
          <w:color w:val="auto"/>
        </w:rPr>
      </w:pPr>
    </w:p>
    <w:p>
      <w:pPr>
        <w:ind w:left="680" w:hanging="285"/>
        <w:spacing w:after="0"/>
        <w:tabs>
          <w:tab w:leader="none" w:pos="680" w:val="left"/>
        </w:tabs>
        <w:numPr>
          <w:ilvl w:val="0"/>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have reviewed this annual report on Form 10-K of Runway Growth Finance Corp.;</w:t>
      </w:r>
    </w:p>
    <w:p>
      <w:pPr>
        <w:spacing w:after="0" w:line="176" w:lineRule="exact"/>
        <w:rPr>
          <w:rFonts w:ascii="Times New Roman" w:cs="Times New Roman" w:eastAsia="Times New Roman" w:hAnsi="Times New Roman"/>
          <w:sz w:val="14"/>
          <w:szCs w:val="14"/>
          <w:color w:val="231F20"/>
        </w:rPr>
      </w:pPr>
    </w:p>
    <w:p>
      <w:pPr>
        <w:ind w:left="760" w:right="20" w:hanging="365"/>
        <w:spacing w:after="0" w:line="261" w:lineRule="auto"/>
        <w:tabs>
          <w:tab w:leader="none" w:pos="686" w:val="left"/>
        </w:tabs>
        <w:numPr>
          <w:ilvl w:val="0"/>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231F20"/>
        </w:rPr>
      </w:pPr>
    </w:p>
    <w:p>
      <w:pPr>
        <w:ind w:left="760" w:right="20" w:hanging="365"/>
        <w:spacing w:after="0" w:line="261" w:lineRule="auto"/>
        <w:tabs>
          <w:tab w:leader="none" w:pos="686" w:val="left"/>
        </w:tabs>
        <w:numPr>
          <w:ilvl w:val="0"/>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231F20"/>
        </w:rPr>
      </w:pPr>
    </w:p>
    <w:p>
      <w:pPr>
        <w:ind w:left="760" w:hanging="365"/>
        <w:spacing w:after="0" w:line="241" w:lineRule="auto"/>
        <w:tabs>
          <w:tab w:leader="none" w:pos="686" w:val="left"/>
        </w:tabs>
        <w:numPr>
          <w:ilvl w:val="0"/>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4"/>
          <w:szCs w:val="14"/>
          <w:color w:val="231F20"/>
        </w:rPr>
      </w:pPr>
    </w:p>
    <w:p>
      <w:pPr>
        <w:ind w:left="1140" w:hanging="383"/>
        <w:spacing w:after="0" w:line="241" w:lineRule="auto"/>
        <w:tabs>
          <w:tab w:leader="none" w:pos="1053" w:val="left"/>
        </w:tabs>
        <w:numPr>
          <w:ilvl w:val="1"/>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4"/>
          <w:szCs w:val="14"/>
          <w:color w:val="231F20"/>
        </w:rPr>
      </w:pPr>
    </w:p>
    <w:p>
      <w:pPr>
        <w:ind w:left="1140" w:hanging="383"/>
        <w:spacing w:after="0" w:line="242" w:lineRule="auto"/>
        <w:tabs>
          <w:tab w:leader="none" w:pos="1053" w:val="left"/>
        </w:tabs>
        <w:numPr>
          <w:ilvl w:val="1"/>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6" w:lineRule="exact"/>
        <w:rPr>
          <w:rFonts w:ascii="Times New Roman" w:cs="Times New Roman" w:eastAsia="Times New Roman" w:hAnsi="Times New Roman"/>
          <w:sz w:val="14"/>
          <w:szCs w:val="14"/>
          <w:color w:val="231F20"/>
        </w:rPr>
      </w:pPr>
    </w:p>
    <w:p>
      <w:pPr>
        <w:ind w:left="1140" w:right="20" w:hanging="383"/>
        <w:spacing w:after="0" w:line="261" w:lineRule="auto"/>
        <w:tabs>
          <w:tab w:leader="none" w:pos="1053" w:val="left"/>
        </w:tabs>
        <w:numPr>
          <w:ilvl w:val="1"/>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5" w:lineRule="exact"/>
        <w:rPr>
          <w:rFonts w:ascii="Times New Roman" w:cs="Times New Roman" w:eastAsia="Times New Roman" w:hAnsi="Times New Roman"/>
          <w:sz w:val="14"/>
          <w:szCs w:val="14"/>
          <w:color w:val="231F20"/>
        </w:rPr>
      </w:pPr>
    </w:p>
    <w:p>
      <w:pPr>
        <w:ind w:left="1140" w:hanging="383"/>
        <w:spacing w:after="0" w:line="242" w:lineRule="auto"/>
        <w:tabs>
          <w:tab w:leader="none" w:pos="1053" w:val="left"/>
        </w:tabs>
        <w:numPr>
          <w:ilvl w:val="1"/>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6" w:lineRule="exact"/>
        <w:rPr>
          <w:rFonts w:ascii="Times New Roman" w:cs="Times New Roman" w:eastAsia="Times New Roman" w:hAnsi="Times New Roman"/>
          <w:sz w:val="14"/>
          <w:szCs w:val="14"/>
          <w:color w:val="231F20"/>
        </w:rPr>
      </w:pPr>
    </w:p>
    <w:p>
      <w:pPr>
        <w:ind w:left="760" w:right="20" w:hanging="365"/>
        <w:spacing w:after="0" w:line="261" w:lineRule="auto"/>
        <w:tabs>
          <w:tab w:leader="none" w:pos="686" w:val="left"/>
        </w:tabs>
        <w:numPr>
          <w:ilvl w:val="0"/>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231F20"/>
        </w:rPr>
      </w:pPr>
    </w:p>
    <w:p>
      <w:pPr>
        <w:ind w:left="1140" w:right="20" w:hanging="383"/>
        <w:spacing w:after="0" w:line="261" w:lineRule="auto"/>
        <w:tabs>
          <w:tab w:leader="none" w:pos="1053" w:val="left"/>
        </w:tabs>
        <w:numPr>
          <w:ilvl w:val="1"/>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231F20"/>
        </w:rPr>
      </w:pPr>
    </w:p>
    <w:p>
      <w:pPr>
        <w:ind w:left="1040" w:hanging="283"/>
        <w:spacing w:after="0"/>
        <w:tabs>
          <w:tab w:leader="none" w:pos="1040" w:val="left"/>
        </w:tabs>
        <w:numPr>
          <w:ilvl w:val="1"/>
          <w:numId w:val="8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2023</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15240</wp:posOffset>
            </wp:positionV>
            <wp:extent cx="356616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R. David Spreng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Chief Executive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231F20"/>
        </w:rPr>
        <w:t>(Principal Executive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231F20"/>
        </w:rPr>
        <w:t>Exhibit 31.2</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CERTIFICATION OF CHIEF FINANCIAL OFFICER</w:t>
      </w:r>
    </w:p>
    <w:p>
      <w:pPr>
        <w:jc w:val="center"/>
        <w:ind w:right="40"/>
        <w:spacing w:after="0" w:line="229" w:lineRule="auto"/>
        <w:rPr>
          <w:sz w:val="20"/>
          <w:szCs w:val="20"/>
          <w:color w:val="auto"/>
        </w:rPr>
      </w:pPr>
      <w:r>
        <w:rPr>
          <w:rFonts w:ascii="Times New Roman" w:cs="Times New Roman" w:eastAsia="Times New Roman" w:hAnsi="Times New Roman"/>
          <w:sz w:val="14"/>
          <w:szCs w:val="14"/>
          <w:b w:val="1"/>
          <w:bCs w:val="1"/>
          <w:color w:val="231F20"/>
        </w:rPr>
        <w:t>PURSUANT TO RULE 13A-14 UNDER THE EXCHANGE ACT OF 1934, AS ADOPTED</w:t>
      </w: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302 OF THE SARBANES-OXLEY ACT OF 2002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I, Thomas B. Raterman, as Chief Financial Officer, certify that:</w:t>
      </w:r>
    </w:p>
    <w:p>
      <w:pPr>
        <w:spacing w:after="0" w:line="163" w:lineRule="exact"/>
        <w:rPr>
          <w:sz w:val="20"/>
          <w:szCs w:val="20"/>
          <w:color w:val="auto"/>
        </w:rPr>
      </w:pPr>
    </w:p>
    <w:p>
      <w:pPr>
        <w:ind w:left="680" w:hanging="285"/>
        <w:spacing w:after="0"/>
        <w:tabs>
          <w:tab w:leader="none" w:pos="680" w:val="left"/>
        </w:tabs>
        <w:numPr>
          <w:ilvl w:val="0"/>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have reviewed this annual report on Form 10-K of Runway Growth Finance Corp.;</w:t>
      </w:r>
    </w:p>
    <w:p>
      <w:pPr>
        <w:spacing w:after="0" w:line="176" w:lineRule="exact"/>
        <w:rPr>
          <w:rFonts w:ascii="Times New Roman" w:cs="Times New Roman" w:eastAsia="Times New Roman" w:hAnsi="Times New Roman"/>
          <w:sz w:val="14"/>
          <w:szCs w:val="14"/>
          <w:color w:val="231F20"/>
        </w:rPr>
      </w:pPr>
    </w:p>
    <w:p>
      <w:pPr>
        <w:ind w:left="760" w:right="20" w:hanging="365"/>
        <w:spacing w:after="0" w:line="261" w:lineRule="auto"/>
        <w:tabs>
          <w:tab w:leader="none" w:pos="686" w:val="left"/>
        </w:tabs>
        <w:numPr>
          <w:ilvl w:val="0"/>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231F20"/>
        </w:rPr>
      </w:pPr>
    </w:p>
    <w:p>
      <w:pPr>
        <w:ind w:left="760" w:right="20" w:hanging="365"/>
        <w:spacing w:after="0" w:line="261" w:lineRule="auto"/>
        <w:tabs>
          <w:tab w:leader="none" w:pos="686" w:val="left"/>
        </w:tabs>
        <w:numPr>
          <w:ilvl w:val="0"/>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231F20"/>
        </w:rPr>
      </w:pPr>
    </w:p>
    <w:p>
      <w:pPr>
        <w:ind w:left="760" w:hanging="365"/>
        <w:spacing w:after="0" w:line="241" w:lineRule="auto"/>
        <w:tabs>
          <w:tab w:leader="none" w:pos="686" w:val="left"/>
        </w:tabs>
        <w:numPr>
          <w:ilvl w:val="0"/>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4"/>
          <w:szCs w:val="14"/>
          <w:color w:val="231F20"/>
        </w:rPr>
      </w:pPr>
    </w:p>
    <w:p>
      <w:pPr>
        <w:ind w:left="1140" w:hanging="383"/>
        <w:spacing w:after="0" w:line="241" w:lineRule="auto"/>
        <w:tabs>
          <w:tab w:leader="none" w:pos="1053" w:val="left"/>
        </w:tabs>
        <w:numPr>
          <w:ilvl w:val="1"/>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4"/>
          <w:szCs w:val="14"/>
          <w:color w:val="231F20"/>
        </w:rPr>
      </w:pPr>
    </w:p>
    <w:p>
      <w:pPr>
        <w:ind w:left="1140" w:hanging="383"/>
        <w:spacing w:after="0" w:line="242" w:lineRule="auto"/>
        <w:tabs>
          <w:tab w:leader="none" w:pos="1053" w:val="left"/>
        </w:tabs>
        <w:numPr>
          <w:ilvl w:val="1"/>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6" w:lineRule="exact"/>
        <w:rPr>
          <w:rFonts w:ascii="Times New Roman" w:cs="Times New Roman" w:eastAsia="Times New Roman" w:hAnsi="Times New Roman"/>
          <w:sz w:val="14"/>
          <w:szCs w:val="14"/>
          <w:color w:val="231F20"/>
        </w:rPr>
      </w:pPr>
    </w:p>
    <w:p>
      <w:pPr>
        <w:ind w:left="1140" w:right="20" w:hanging="383"/>
        <w:spacing w:after="0" w:line="261" w:lineRule="auto"/>
        <w:tabs>
          <w:tab w:leader="none" w:pos="1053" w:val="left"/>
        </w:tabs>
        <w:numPr>
          <w:ilvl w:val="1"/>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5" w:lineRule="exact"/>
        <w:rPr>
          <w:rFonts w:ascii="Times New Roman" w:cs="Times New Roman" w:eastAsia="Times New Roman" w:hAnsi="Times New Roman"/>
          <w:sz w:val="14"/>
          <w:szCs w:val="14"/>
          <w:color w:val="231F20"/>
        </w:rPr>
      </w:pPr>
    </w:p>
    <w:p>
      <w:pPr>
        <w:ind w:left="1140" w:hanging="383"/>
        <w:spacing w:after="0" w:line="242" w:lineRule="auto"/>
        <w:tabs>
          <w:tab w:leader="none" w:pos="1053" w:val="left"/>
        </w:tabs>
        <w:numPr>
          <w:ilvl w:val="1"/>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6" w:lineRule="exact"/>
        <w:rPr>
          <w:rFonts w:ascii="Times New Roman" w:cs="Times New Roman" w:eastAsia="Times New Roman" w:hAnsi="Times New Roman"/>
          <w:sz w:val="14"/>
          <w:szCs w:val="14"/>
          <w:color w:val="231F20"/>
        </w:rPr>
      </w:pPr>
    </w:p>
    <w:p>
      <w:pPr>
        <w:ind w:left="760" w:right="20" w:hanging="365"/>
        <w:spacing w:after="0" w:line="261" w:lineRule="auto"/>
        <w:tabs>
          <w:tab w:leader="none" w:pos="686" w:val="left"/>
        </w:tabs>
        <w:numPr>
          <w:ilvl w:val="0"/>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231F20"/>
        </w:rPr>
      </w:pPr>
    </w:p>
    <w:p>
      <w:pPr>
        <w:ind w:left="1140" w:right="20" w:hanging="383"/>
        <w:spacing w:after="0" w:line="261" w:lineRule="auto"/>
        <w:tabs>
          <w:tab w:leader="none" w:pos="1053" w:val="left"/>
        </w:tabs>
        <w:numPr>
          <w:ilvl w:val="1"/>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231F20"/>
        </w:rPr>
      </w:pPr>
    </w:p>
    <w:p>
      <w:pPr>
        <w:ind w:left="1040" w:hanging="283"/>
        <w:spacing w:after="0"/>
        <w:tabs>
          <w:tab w:leader="none" w:pos="1040" w:val="left"/>
        </w:tabs>
        <w:numPr>
          <w:ilvl w:val="1"/>
          <w:numId w:val="9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Date: March 2, 2023</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15240</wp:posOffset>
            </wp:positionV>
            <wp:extent cx="356616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Thomas B. Raterman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Chief Financial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231F20"/>
        </w:rPr>
        <w:t>(Principal Financial Officer)</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231F20"/>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231F20"/>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231F20"/>
        </w:rPr>
        <w:t>PURSUANT TO 18 U.S.C. SECTION 1350, AS ADOPTED</w:t>
      </w: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906 OF THE SARBANES-OXLEY ACT OF 2002</w:t>
      </w:r>
    </w:p>
    <w:p>
      <w:pPr>
        <w:spacing w:after="0" w:line="14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4"/>
          <w:szCs w:val="14"/>
          <w:color w:val="231F20"/>
        </w:rPr>
        <w:t>I, R. David Spreng, the Chief Executive Officer, in connection with the Annual Report of Runway Growth Finance Corp. (the “Company”), on Form 10-K for the year ended December 31, 2022, as filed with the U.S. Securities and Exchange Commission on the date hereof (the “Annual Report”), certify, pursuant to Section 906 of the Sarbanes-Oxley Act of 2002, that:</w:t>
      </w:r>
    </w:p>
    <w:p>
      <w:pPr>
        <w:spacing w:after="0" w:line="136" w:lineRule="exact"/>
        <w:rPr>
          <w:sz w:val="20"/>
          <w:szCs w:val="20"/>
          <w:color w:val="auto"/>
        </w:rPr>
      </w:pPr>
    </w:p>
    <w:p>
      <w:pPr>
        <w:ind w:left="680" w:hanging="285"/>
        <w:spacing w:after="0"/>
        <w:tabs>
          <w:tab w:leader="none" w:pos="680" w:val="left"/>
        </w:tabs>
        <w:numPr>
          <w:ilvl w:val="0"/>
          <w:numId w:val="9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Annual Report fully complies with the requirements of Section 13(a) or 15(d) of the Securities Exchange Act of 1934, as amended; and</w:t>
      </w:r>
    </w:p>
    <w:p>
      <w:pPr>
        <w:spacing w:after="0" w:line="163" w:lineRule="exact"/>
        <w:rPr>
          <w:rFonts w:ascii="Times New Roman" w:cs="Times New Roman" w:eastAsia="Times New Roman" w:hAnsi="Times New Roman"/>
          <w:sz w:val="14"/>
          <w:szCs w:val="14"/>
          <w:color w:val="231F20"/>
        </w:rPr>
      </w:pPr>
    </w:p>
    <w:p>
      <w:pPr>
        <w:ind w:right="1800" w:firstLine="395"/>
        <w:spacing w:after="0" w:line="483" w:lineRule="auto"/>
        <w:tabs>
          <w:tab w:leader="none" w:pos="675" w:val="left"/>
        </w:tabs>
        <w:numPr>
          <w:ilvl w:val="0"/>
          <w:numId w:val="9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the information contained in the Annual Report fairly presents, in all material respects, the financial condition and results of operations of the Company. </w:t>
      </w:r>
      <w:r>
        <w:rPr>
          <w:rFonts w:ascii="Times New Roman" w:cs="Times New Roman" w:eastAsia="Times New Roman" w:hAnsi="Times New Roman"/>
          <w:sz w:val="14"/>
          <w:szCs w:val="14"/>
          <w:color w:val="000000"/>
        </w:rPr>
        <w:t>Date: March 2, 2023</w:t>
      </w:r>
    </w:p>
    <w:p>
      <w:pPr>
        <w:spacing w:after="0" w:line="13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color w:val="231F20"/>
        </w:rPr>
        <w:t>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15240</wp:posOffset>
            </wp:positionV>
            <wp:extent cx="377190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231F20"/>
        </w:rPr>
        <w:t>R. David Spreng</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231F20"/>
        </w:rPr>
        <w:t>Exhibit 32.2</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231F20"/>
        </w:rPr>
        <w:t>PURSUANT TO 18 U.S.C. SECTION 1350, AS ADOPTED</w:t>
      </w: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906 OF THE SARBANES-OXLEY ACT OF 2002</w:t>
      </w:r>
    </w:p>
    <w:p>
      <w:pPr>
        <w:spacing w:after="0" w:line="14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231F20"/>
        </w:rPr>
        <w:t>I, Thomas B. Raterman, the Chief Financial Officer, in connection with the Annual Report of Runway Growth Finance Corp. (the “Company”), on Form 10-K for the year ended December 31, 2022, as filed with the U.S. Securities and Exchange Commission on the date hereof (the “Annual Report”), certify, pursuant to Section 906 of the Sarbanes-Oxley Act of 2002, that:</w:t>
      </w:r>
    </w:p>
    <w:p>
      <w:pPr>
        <w:ind w:left="280" w:hanging="272"/>
        <w:spacing w:after="0" w:line="222" w:lineRule="auto"/>
        <w:tabs>
          <w:tab w:leader="none" w:pos="280" w:val="left"/>
        </w:tabs>
        <w:numPr>
          <w:ilvl w:val="0"/>
          <w:numId w:val="9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Annual Report fully complies with the requirements of Section 13(a) or 15(d) of the Securities Exchange Act of 1934, as amended; and</w:t>
      </w:r>
    </w:p>
    <w:p>
      <w:pPr>
        <w:ind w:left="280" w:hanging="272"/>
        <w:spacing w:after="0"/>
        <w:tabs>
          <w:tab w:leader="none" w:pos="280" w:val="left"/>
        </w:tabs>
        <w:numPr>
          <w:ilvl w:val="0"/>
          <w:numId w:val="92"/>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information contained in the Annual Report fairly presents, in all material respects, the financial condition and results of operations of the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 2023</w:t>
      </w:r>
    </w:p>
    <w:p>
      <w:pPr>
        <w:spacing w:after="0" w:line="3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color w:val="231F20"/>
        </w:rPr>
        <w:t>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15240</wp:posOffset>
            </wp:positionV>
            <wp:extent cx="377190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231F20"/>
        </w:rPr>
        <w:t>Thomas B. Raterman</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1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1)"/>
      <w:numFmt w:val="lowerRoman"/>
      <w:start w:val="6"/>
    </w:lvl>
  </w:abstractNum>
  <w:abstractNum w:abstractNumId="15">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1)"/>
      <w:numFmt w:val="lowerRoman"/>
      <w:start w:val="3"/>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bullet"/>
      <w:start w:val="1"/>
    </w:lvl>
  </w:abstractNum>
  <w:abstractNum w:abstractNumId="37">
    <w:nsid w:val="2F305DEF"/>
    <w:multiLevelType w:val="hybridMultilevel"/>
    <w:lvl w:ilvl="0">
      <w:lvlJc w:val="left"/>
      <w:lvlText w:val="2"/>
      <w:numFmt w:val="bullet"/>
      <w:start w:val="1"/>
    </w:lvl>
  </w:abstractNum>
  <w:abstractNum w:abstractNumId="38">
    <w:nsid w:val="25A70BF7"/>
    <w:multiLevelType w:val="hybridMultilevel"/>
    <w:lvl w:ilvl="0">
      <w:lvlJc w:val="left"/>
      <w:lvlText w:val="3"/>
      <w:numFmt w:val="bullet"/>
      <w:start w:val="1"/>
    </w:lvl>
  </w:abstractNum>
  <w:abstractNum w:abstractNumId="39">
    <w:nsid w:val="1DBABF00"/>
    <w:multiLevelType w:val="hybridMultilevel"/>
    <w:lvl w:ilvl="0">
      <w:lvlJc w:val="left"/>
      <w:lvlText w:val="4"/>
      <w:numFmt w:val="bullet"/>
      <w:start w:val="1"/>
    </w:lvl>
  </w:abstractNum>
  <w:abstractNum w:abstractNumId="40">
    <w:nsid w:val="4AD084E9"/>
    <w:multiLevelType w:val="hybridMultilevel"/>
    <w:lvl w:ilvl="0">
      <w:lvlJc w:val="left"/>
      <w:lvlText w:val="5"/>
      <w:numFmt w:val="bullet"/>
      <w:start w:val="1"/>
    </w:lvl>
  </w:abstractNum>
  <w:abstractNum w:abstractNumId="41">
    <w:nsid w:val="1F48EAA1"/>
    <w:multiLevelType w:val="hybridMultilevel"/>
    <w:lvl w:ilvl="0">
      <w:lvlJc w:val="left"/>
      <w:lvlText w:val="(%1)"/>
      <w:numFmt w:val="decimal"/>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 "/>
      <w:numFmt w:val="bullet"/>
      <w:start w:val="1"/>
    </w:lvl>
  </w:abstractNum>
  <w:abstractNum w:abstractNumId="48">
    <w:nsid w:val="98A3148"/>
    <w:multiLevelType w:val="hybridMultilevel"/>
    <w:lvl w:ilvl="0">
      <w:lvlJc w:val="left"/>
      <w:lvlText w:val=" "/>
      <w:numFmt w:val="bullet"/>
      <w:start w:val="1"/>
    </w:lvl>
  </w:abstractNum>
  <w:abstractNum w:abstractNumId="49">
    <w:nsid w:val="799D0247"/>
    <w:multiLevelType w:val="hybridMultilevel"/>
    <w:lvl w:ilvl="0">
      <w:lvlJc w:val="left"/>
      <w:lvlText w:val=" "/>
      <w:numFmt w:val="bullet"/>
      <w:start w:val="1"/>
    </w:lvl>
  </w:abstractNum>
  <w:abstractNum w:abstractNumId="50">
    <w:nsid w:val="6B94764"/>
    <w:multiLevelType w:val="hybridMultilevel"/>
    <w:lvl w:ilvl="0">
      <w:lvlJc w:val="left"/>
      <w:lvlText w:val=" "/>
      <w:numFmt w:val="bullet"/>
      <w:start w:val="1"/>
    </w:lvl>
  </w:abstractNum>
  <w:abstractNum w:abstractNumId="51">
    <w:nsid w:val="42C296BD"/>
    <w:multiLevelType w:val="hybridMultilevel"/>
    <w:lvl w:ilvl="0">
      <w:lvlJc w:val="left"/>
      <w:lvlText w:val=" "/>
      <w:numFmt w:val="bullet"/>
      <w:start w:val="1"/>
    </w:lvl>
  </w:abstractNum>
  <w:abstractNum w:abstractNumId="52">
    <w:nsid w:val="168E121F"/>
    <w:multiLevelType w:val="hybridMultilevel"/>
    <w:lvl w:ilvl="0">
      <w:lvlJc w:val="left"/>
      <w:lvlText w:val=" "/>
      <w:numFmt w:val="bullet"/>
      <w:start w:val="1"/>
    </w:lvl>
  </w:abstractNum>
  <w:abstractNum w:abstractNumId="53">
    <w:nsid w:val="1EBA5D23"/>
    <w:multiLevelType w:val="hybridMultilevel"/>
    <w:lvl w:ilvl="0">
      <w:lvlJc w:val="left"/>
      <w:lvlText w:val=" "/>
      <w:numFmt w:val="bullet"/>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
      <w:numFmt w:val="bullet"/>
      <w:start w:val="1"/>
    </w:lvl>
    <w:lvl w:ilvl="1">
      <w:lvlJc w:val="left"/>
      <w:lvlText w:val="(%2)"/>
      <w:numFmt w:val="decimal"/>
      <w:start w:val="8"/>
    </w:lvl>
    <w:lvl w:ilvl="2">
      <w:lvlJc w:val="left"/>
      <w:lvlText w:val=" "/>
      <w:numFmt w:val="bullet"/>
      <w:start w:val="1"/>
    </w:lvl>
  </w:abstractNum>
  <w:abstractNum w:abstractNumId="56">
    <w:nsid w:val="540A471C"/>
    <w:multiLevelType w:val="hybridMultilevel"/>
    <w:lvl w:ilvl="0">
      <w:lvlJc w:val="left"/>
      <w:lvlText w:val=" "/>
      <w:numFmt w:val="bullet"/>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 "/>
      <w:numFmt w:val="bullet"/>
      <w:start w:val="1"/>
    </w:lvl>
  </w:abstractNum>
  <w:abstractNum w:abstractNumId="59">
    <w:nsid w:val="613EFDC5"/>
    <w:multiLevelType w:val="hybridMultilevel"/>
    <w:lvl w:ilvl="0">
      <w:lvlJc w:val="left"/>
      <w:lvlText w:val=" "/>
      <w:numFmt w:val="bullet"/>
      <w:start w:val="1"/>
    </w:lvl>
  </w:abstractNum>
  <w:abstractNum w:abstractNumId="60">
    <w:nsid w:val="BF72B14"/>
    <w:multiLevelType w:val="hybridMultilevel"/>
    <w:lvl w:ilvl="0">
      <w:lvlJc w:val="left"/>
      <w:lvlText w:val=" "/>
      <w:numFmt w:val="bullet"/>
      <w:start w:val="1"/>
    </w:lvl>
  </w:abstractNum>
  <w:abstractNum w:abstractNumId="61">
    <w:nsid w:val="11447B73"/>
    <w:multiLevelType w:val="hybridMultilevel"/>
    <w:lvl w:ilvl="0">
      <w:lvlJc w:val="left"/>
      <w:lvlText w:val=" "/>
      <w:numFmt w:val="bullet"/>
      <w:start w:val="1"/>
    </w:lvl>
  </w:abstractNum>
  <w:abstractNum w:abstractNumId="62">
    <w:nsid w:val="42963E5A"/>
    <w:multiLevelType w:val="hybridMultilevel"/>
    <w:lvl w:ilvl="0">
      <w:lvlJc w:val="left"/>
      <w:lvlText w:val=" "/>
      <w:numFmt w:val="bullet"/>
      <w:start w:val="1"/>
    </w:lvl>
  </w:abstractNum>
  <w:abstractNum w:abstractNumId="63">
    <w:nsid w:val="A0382C5"/>
    <w:multiLevelType w:val="hybridMultilevel"/>
    <w:lvl w:ilvl="0">
      <w:lvlJc w:val="left"/>
      <w:lvlText w:val=" "/>
      <w:numFmt w:val="bullet"/>
      <w:start w:val="1"/>
    </w:lvl>
  </w:abstractNum>
  <w:abstractNum w:abstractNumId="64">
    <w:nsid w:val="8F2B15E"/>
    <w:multiLevelType w:val="hybridMultilevel"/>
    <w:lvl w:ilvl="0">
      <w:lvlJc w:val="left"/>
      <w:lvlText w:val=" "/>
      <w:numFmt w:val="bullet"/>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 "/>
      <w:numFmt w:val="bullet"/>
      <w:start w:val="1"/>
    </w:lvl>
  </w:abstractNum>
  <w:abstractNum w:abstractNumId="67">
    <w:nsid w:val="68EB2F63"/>
    <w:multiLevelType w:val="hybridMultilevel"/>
    <w:lvl w:ilvl="0">
      <w:lvlJc w:val="left"/>
      <w:lvlText w:val="(%1)"/>
      <w:numFmt w:val="decimal"/>
      <w:start w:val="16"/>
    </w:lvl>
    <w:lvl w:ilvl="1">
      <w:lvlJc w:val="left"/>
      <w:lvlText w:val="*"/>
      <w:numFmt w:val="bullet"/>
      <w:start w:val="1"/>
    </w:lvl>
  </w:abstractNum>
  <w:abstractNum w:abstractNumId="68">
    <w:nsid w:val="4962813B"/>
    <w:multiLevelType w:val="hybridMultilevel"/>
    <w:lvl w:ilvl="0">
      <w:lvlJc w:val="left"/>
      <w:lvlText w:val=" "/>
      <w:numFmt w:val="bullet"/>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 "/>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1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71" Type="http://schemas.openxmlformats.org/officeDocument/2006/relationships/image" Target="media/image741.png"/><Relationship Id="rId772" Type="http://schemas.openxmlformats.org/officeDocument/2006/relationships/image" Target="media/image742.png"/><Relationship Id="rId773" Type="http://schemas.openxmlformats.org/officeDocument/2006/relationships/image" Target="media/image743.png"/><Relationship Id="rId774" Type="http://schemas.openxmlformats.org/officeDocument/2006/relationships/image" Target="media/image744.png"/><Relationship Id="rId775" Type="http://schemas.openxmlformats.org/officeDocument/2006/relationships/image" Target="media/image745.png"/><Relationship Id="rId776" Type="http://schemas.openxmlformats.org/officeDocument/2006/relationships/image" Target="media/image746.png"/><Relationship Id="rId777" Type="http://schemas.openxmlformats.org/officeDocument/2006/relationships/image" Target="media/image747.png"/><Relationship Id="rId778" Type="http://schemas.openxmlformats.org/officeDocument/2006/relationships/image" Target="media/image748.png"/><Relationship Id="rId779" Type="http://schemas.openxmlformats.org/officeDocument/2006/relationships/image" Target="media/image749.png"/><Relationship Id="rId780" Type="http://schemas.openxmlformats.org/officeDocument/2006/relationships/image" Target="media/image750.png"/><Relationship Id="rId781" Type="http://schemas.openxmlformats.org/officeDocument/2006/relationships/image" Target="media/image751.png"/><Relationship Id="rId782" Type="http://schemas.openxmlformats.org/officeDocument/2006/relationships/image" Target="media/image752.png"/><Relationship Id="rId783" Type="http://schemas.openxmlformats.org/officeDocument/2006/relationships/image" Target="media/image753.png"/><Relationship Id="rId784" Type="http://schemas.openxmlformats.org/officeDocument/2006/relationships/image" Target="media/image754.png"/><Relationship Id="rId785" Type="http://schemas.openxmlformats.org/officeDocument/2006/relationships/image" Target="media/image755.png"/><Relationship Id="rId786" Type="http://schemas.openxmlformats.org/officeDocument/2006/relationships/image" Target="media/image756.png"/><Relationship Id="rId787" Type="http://schemas.openxmlformats.org/officeDocument/2006/relationships/image" Target="media/image757.png"/><Relationship Id="rId794" Type="http://schemas.openxmlformats.org/officeDocument/2006/relationships/image" Target="media/image758.png"/><Relationship Id="rId795" Type="http://schemas.openxmlformats.org/officeDocument/2006/relationships/image" Target="media/image759.png"/><Relationship Id="rId796" Type="http://schemas.openxmlformats.org/officeDocument/2006/relationships/image" Target="media/image760.png"/><Relationship Id="rId797" Type="http://schemas.openxmlformats.org/officeDocument/2006/relationships/image" Target="media/image761.png"/><Relationship Id="rId798" Type="http://schemas.openxmlformats.org/officeDocument/2006/relationships/image" Target="media/image762.png"/><Relationship Id="rId799" Type="http://schemas.openxmlformats.org/officeDocument/2006/relationships/image" Target="media/image763.png"/><Relationship Id="rId800" Type="http://schemas.openxmlformats.org/officeDocument/2006/relationships/image" Target="media/image764.png"/><Relationship Id="rId801" Type="http://schemas.openxmlformats.org/officeDocument/2006/relationships/image" Target="media/image765.png"/><Relationship Id="rId802" Type="http://schemas.openxmlformats.org/officeDocument/2006/relationships/image" Target="media/image766.png"/><Relationship Id="rId803" Type="http://schemas.openxmlformats.org/officeDocument/2006/relationships/image" Target="media/image767.png"/><Relationship Id="rId804" Type="http://schemas.openxmlformats.org/officeDocument/2006/relationships/image" Target="media/image768.png"/><Relationship Id="rId805" Type="http://schemas.openxmlformats.org/officeDocument/2006/relationships/image" Target="media/image769.png"/><Relationship Id="rId806" Type="http://schemas.openxmlformats.org/officeDocument/2006/relationships/image" Target="media/image770.png"/><Relationship Id="rId807" Type="http://schemas.openxmlformats.org/officeDocument/2006/relationships/image" Target="media/image771.png"/><Relationship Id="rId808" Type="http://schemas.openxmlformats.org/officeDocument/2006/relationships/image" Target="media/image772.png"/><Relationship Id="rId809" Type="http://schemas.openxmlformats.org/officeDocument/2006/relationships/image" Target="media/image773.png"/><Relationship Id="rId810" Type="http://schemas.openxmlformats.org/officeDocument/2006/relationships/image" Target="media/image774.png"/><Relationship Id="rId811" Type="http://schemas.openxmlformats.org/officeDocument/2006/relationships/image" Target="media/image775.png"/><Relationship Id="rId812" Type="http://schemas.openxmlformats.org/officeDocument/2006/relationships/image" Target="media/image776.png"/><Relationship Id="rId813" Type="http://schemas.openxmlformats.org/officeDocument/2006/relationships/image" Target="media/image777.png"/><Relationship Id="rId814" Type="http://schemas.openxmlformats.org/officeDocument/2006/relationships/image" Target="media/image778.png"/><Relationship Id="rId748" Type="http://schemas.openxmlformats.org/officeDocument/2006/relationships/hyperlink" Target="https://www.sec.gov/Archives/edgar/data/1653384/000114420416140270/v454968_ex3-1.htm" TargetMode="External"/><Relationship Id="rId749" Type="http://schemas.openxmlformats.org/officeDocument/2006/relationships/hyperlink" Target="https://www.sec.gov/Archives/edgar/data/1653384/000165338421000016/rgc-20210819ex31cb84ffa.htm" TargetMode="External"/><Relationship Id="rId750" Type="http://schemas.openxmlformats.org/officeDocument/2006/relationships/hyperlink" Target="https://www.sec.gov/Archives/edgar/data/1653384/000165338421000016/rgc-20210819ex32804659c.htm" TargetMode="External"/><Relationship Id="rId751" Type="http://schemas.openxmlformats.org/officeDocument/2006/relationships/hyperlink" Target="https://www.sec.gov/Archives/edgar/data/1653384/000114420417042059/v472784_ex4-1.htm" TargetMode="External"/><Relationship Id="rId752" Type="http://schemas.openxmlformats.org/officeDocument/2006/relationships/hyperlink" Target="https://www.sec.gov/Archives/edgar/data/1653384/000110465920036153/tm2013025-2_ex4x2.htm" TargetMode="External"/><Relationship Id="rId753" Type="http://schemas.openxmlformats.org/officeDocument/2006/relationships/hyperlink" Target="https://www.sec.gov/Archives/edgar/data/1653384/000110465922083650/tm2222036d1_ex4-1.htm" TargetMode="External"/><Relationship Id="rId754" Type="http://schemas.openxmlformats.org/officeDocument/2006/relationships/hyperlink" Target="https://www.sec.gov/Archives/edgar/data/1653384/000110465922083650/tm2222036d1_ex4-2.htm" TargetMode="External"/><Relationship Id="rId755" Type="http://schemas.openxmlformats.org/officeDocument/2006/relationships/hyperlink" Target="https://www.sec.gov/Archives/edgar/data/1653384/000110465922125137/tm2232170d1_ex4-1.htm" TargetMode="External"/><Relationship Id="rId756" Type="http://schemas.openxmlformats.org/officeDocument/2006/relationships/hyperlink" Target="https://www.sec.gov/Archives/edgar/data/1653384/000114420417017282/v462699_ex9-1.htm" TargetMode="External"/><Relationship Id="rId757" Type="http://schemas.openxmlformats.org/officeDocument/2006/relationships/hyperlink" Target="https://www.sec.gov/Archives/edgar/data/1653384/000110465921074326/tm2118010_ex10-1.htm" TargetMode="External"/><Relationship Id="rId758" Type="http://schemas.openxmlformats.org/officeDocument/2006/relationships/hyperlink" Target="https://www.sec.gov/Archives/edgar/data/1653384/000155837021010525/rgc-20210630ex1036bb6e0.htm" TargetMode="External"/><Relationship Id="rId759" Type="http://schemas.openxmlformats.org/officeDocument/2006/relationships/hyperlink" Target="https://www.sec.gov/Archives/edgar/data/1653384/000114420416140270/v454968_ex10-3.htm" TargetMode="External"/><Relationship Id="rId760" Type="http://schemas.openxmlformats.org/officeDocument/2006/relationships/hyperlink" Target="https://www.sec.gov/Archives/edgar/data/1653384/000114420416140270/v454968_ex10-4.htm" TargetMode="External"/><Relationship Id="rId761" Type="http://schemas.openxmlformats.org/officeDocument/2006/relationships/hyperlink" Target="https://www.sec.gov/Archives/edgar/data/1653384/000165338421000025/rgc-20211027xex10.htm" TargetMode="External"/><Relationship Id="rId762" Type="http://schemas.openxmlformats.org/officeDocument/2006/relationships/hyperlink" Target="https://www.sec.gov/Archives/edgar/data/1653384/000114420416081404/v428811_ex10-5.htm" TargetMode="External"/><Relationship Id="rId763" Type="http://schemas.openxmlformats.org/officeDocument/2006/relationships/hyperlink" Target="https://www.sec.gov/Archives/edgar/data/1653384/000165338421000019/rgc-20210923xex10.htm" TargetMode="External"/><Relationship Id="rId764" Type="http://schemas.openxmlformats.org/officeDocument/2006/relationships/hyperlink" Target="https://www.sec.gov/Archives/edgar/data/1653384/000114420418066500/tv509942_ex10-1.htm" TargetMode="External"/><Relationship Id="rId765" Type="http://schemas.openxmlformats.org/officeDocument/2006/relationships/hyperlink" Target="https://www.sec.gov/Archives/edgar/data/1653384/000114420419016757/tv517233_ex10x9.htm" TargetMode="External"/><Relationship Id="rId766" Type="http://schemas.openxmlformats.org/officeDocument/2006/relationships/hyperlink" Target="https://www.sec.gov/Archives/edgar/data/1653384/000114420419016757/tv517233_ex10x10.htm" TargetMode="External"/><Relationship Id="rId767" Type="http://schemas.openxmlformats.org/officeDocument/2006/relationships/hyperlink" Target="https://www.sec.gov/Archives/edgar/data/1653384/000114420419030106/tv523088_ex10-1.htm" TargetMode="External"/><Relationship Id="rId768" Type="http://schemas.openxmlformats.org/officeDocument/2006/relationships/hyperlink" Target="https://www.sec.gov/Archives/edgar/data/1653384/000155837020013679/rgc-20200930xex10d1.htm" TargetMode="External"/><Relationship Id="rId769" Type="http://schemas.openxmlformats.org/officeDocument/2006/relationships/hyperlink" Target="https://www.sec.gov/Archives/edgar/data/1653384/000165338420000004/rgc-20201202ex1019c880b.htm" TargetMode="External"/><Relationship Id="rId770" Type="http://schemas.openxmlformats.org/officeDocument/2006/relationships/hyperlink" Target="https://www.sec.gov/Archives/edgar/data/1653384/000110465921119827/tm2120547d5_ex99-k11.htm" TargetMode="External"/><Relationship Id="rId788" Type="http://schemas.openxmlformats.org/officeDocument/2006/relationships/hyperlink" Target="https://www.sec.gov/Archives/edgar/data/1653384/000155837021010525/rgc-20210630ex102799fdc.htm" TargetMode="External"/><Relationship Id="rId789" Type="http://schemas.openxmlformats.org/officeDocument/2006/relationships/hyperlink" Target="https://www.sec.gov/Archives/edgar/data/1653384/000165338421000028/rgc-20211213xex10.htm" TargetMode="External"/><Relationship Id="rId790" Type="http://schemas.openxmlformats.org/officeDocument/2006/relationships/hyperlink" Target="https://www.sec.gov/Archives/edgar/data/1653384/000155837022002804/rgc-20211231xex10d17.htm" TargetMode="External"/><Relationship Id="rId791" Type="http://schemas.openxmlformats.org/officeDocument/2006/relationships/hyperlink" Target="https://www.sec.gov/Archives/edgar/data/1653384/000110465922048941/tm2213243d1_ex10-1.htm" TargetMode="External"/><Relationship Id="rId792" Type="http://schemas.openxmlformats.org/officeDocument/2006/relationships/hyperlink" Target="https://www.sec.gov/Archives/edgar/data/1653384/000110465923002333/tm232751d1_ex10-1.htm" TargetMode="External"/><Relationship Id="rId793" Type="http://schemas.openxmlformats.org/officeDocument/2006/relationships/hyperlink" Target="https://www.sec.gov/Archives/edgar/data/1653384/000155837021010525/rgc-20210630ex14128472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2023-03-02T18:31:27Z</dcterms:created>
  <dcterms:modified xsi:type="dcterms:W3CDTF">2023-03-02T18:31:27Z</dcterms:modified>
</cp:coreProperties>
</file>