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2280" w:right="220" w:hanging="1226"/>
        <w:spacing w:after="0" w:line="286" w:lineRule="auto"/>
        <w:tabs>
          <w:tab w:leader="none" w:pos="2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71" w:lineRule="exact"/>
        <w:rPr>
          <w:sz w:val="24"/>
          <w:szCs w:val="24"/>
          <w:color w:val="auto"/>
        </w:rPr>
      </w:pPr>
    </w:p>
    <w:p>
      <w:pPr>
        <w:ind w:left="2280" w:right="220" w:hanging="1226"/>
        <w:spacing w:after="0" w:line="286" w:lineRule="auto"/>
        <w:tabs>
          <w:tab w:leader="none" w:pos="22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814-01180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Runway Growth Finance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47-5049745</w:t>
            </w:r>
          </w:p>
        </w:tc>
      </w:tr>
      <w:tr>
        <w:trPr>
          <w:trHeight w:val="243"/>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(State of incorporation)</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205 N. Michigan Ave., Suite 4200</w:t>
            </w:r>
          </w:p>
        </w:tc>
        <w:tc>
          <w:tcPr>
            <w:tcW w:w="4060" w:type="dxa"/>
            <w:vAlign w:val="bottom"/>
          </w:tcPr>
          <w:p>
            <w:pPr>
              <w:spacing w:after="0"/>
              <w:rPr>
                <w:sz w:val="24"/>
                <w:szCs w:val="24"/>
                <w:color w:val="auto"/>
              </w:rPr>
            </w:pPr>
          </w:p>
        </w:tc>
      </w:tr>
      <w:tr>
        <w:trPr>
          <w:trHeight w:val="243"/>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Chicago, IL</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60601</w:t>
            </w:r>
          </w:p>
        </w:tc>
      </w:tr>
      <w:tr>
        <w:trPr>
          <w:trHeight w:val="243"/>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698-6902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10"/>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0"/>
              </w:rPr>
              <w:t>RWAY</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34"/>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7.50% Notes due 2027</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RWAYL</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r>
        <w:trPr>
          <w:trHeight w:val="243"/>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8.00% Notes due 2027</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RWAYZ</w:t>
            </w:r>
          </w:p>
        </w:tc>
        <w:tc>
          <w:tcPr>
            <w:tcW w:w="3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 LLC</w:t>
            </w:r>
          </w:p>
        </w:tc>
      </w:tr>
    </w:tbl>
    <w:p>
      <w:pPr>
        <w:spacing w:after="0" w:line="14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877" w:right="339" w:bottom="1440" w:gutter="0" w:footer="0" w:header="0"/>
        </w:sectPr>
      </w:pPr>
    </w:p>
    <w:p>
      <w:pPr>
        <w:spacing w:after="0" w:line="76"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jc w:val="center"/>
        <w:ind w:right="42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4920" w:space="720"/>
            <w:col w:w="5600"/>
          </w:cols>
          <w:pgMar w:left="320" w:top="877"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ectPr>
          <w:pgSz w:w="11900" w:h="16838" w:orient="portrait"/>
          <w:cols w:equalWidth="0" w:num="2">
            <w:col w:w="4920" w:space="720"/>
            <w:col w:w="5600"/>
          </w:cols>
          <w:pgMar w:left="320" w:top="877"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877" w:right="339" w:bottom="1440" w:gutter="0" w:footer="0" w:header="0"/>
          <w:type w:val="continuous"/>
        </w:sectPr>
      </w:pPr>
    </w:p>
    <w:p>
      <w:pPr>
        <w:spacing w:after="0" w:line="163" w:lineRule="exact"/>
        <w:rPr>
          <w:sz w:val="24"/>
          <w:szCs w:val="24"/>
          <w:color w:val="auto"/>
        </w:rPr>
      </w:pPr>
    </w:p>
    <w:p>
      <w:pPr>
        <w:ind w:right="140" w:firstLine="37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380" w:right="1700"/>
        <w:spacing w:after="0" w:line="300"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issuer had 39,438,460 shares of common stock, $0.01 par value per share, outstanding as of May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Q FOR THE QUARTER ENDED March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1.</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Assets and Liabilities as of March 31, 2024 (unaudited) and December 31, 2023</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240" w:type="dxa"/>
            <w:vAlign w:val="bottom"/>
            <w:tcBorders>
              <w:top w:val="single" w:sz="8" w:color="0000FF"/>
            </w:tcBorders>
          </w:tcPr>
          <w:p>
            <w:pPr>
              <w:spacing w:after="0"/>
              <w:rPr>
                <w:sz w:val="21"/>
                <w:szCs w:val="21"/>
                <w:color w:val="auto"/>
              </w:rPr>
            </w:pPr>
          </w:p>
        </w:tc>
        <w:tc>
          <w:tcPr>
            <w:tcW w:w="1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2024 and 2023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240" w:type="dxa"/>
            <w:vAlign w:val="bottom"/>
            <w:tcBorders>
              <w:top w:val="single" w:sz="8" w:color="0000FF"/>
            </w:tcBorders>
          </w:tcPr>
          <w:p>
            <w:pPr>
              <w:spacing w:after="0"/>
              <w:rPr>
                <w:sz w:val="21"/>
                <w:szCs w:val="21"/>
                <w:color w:val="auto"/>
              </w:rPr>
            </w:pPr>
          </w:p>
        </w:tc>
        <w:tc>
          <w:tcPr>
            <w:tcW w:w="110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Net Assets for the three months ended March 31, 2024 and 2023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Schedule of Investments as of March 31, 2024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Schedule of Investments as of December 31, 2023</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5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2.</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240" w:type="dxa"/>
            <w:vAlign w:val="bottom"/>
            <w:tcBorders>
              <w:top w:val="single" w:sz="8" w:color="0000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3.</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4.</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1.</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60" w:type="dxa"/>
            <w:vAlign w:val="bottom"/>
            <w:gridSpan w:val="7"/>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2.</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5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3.</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4.</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5.</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w w:val="97"/>
              </w:rPr>
              <w:t>Item 6.</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5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8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SIGNATURES</w:t>
            </w: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424"/>
        </w:trPr>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5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9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Non-control/non-affiliate investments at fair value (cost of $1,002,897 and $1,005,024, respectively)</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965,397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972,604</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Affiliate investments at fair value (cost of $58,942 and $58,861, respectively)</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51,456</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Control investments at fair value (cost of $950 and $950, respectively)</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in U.S. Treasury Bills at fair value (cost of $0 and $42,014, respectively)</w:t>
            </w:r>
          </w:p>
        </w:tc>
        <w:tc>
          <w:tcPr>
            <w:tcW w:w="22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100" w:type="dxa"/>
            <w:vAlign w:val="bottom"/>
          </w:tcPr>
          <w:p>
            <w:pPr>
              <w:spacing w:after="0"/>
              <w:rPr>
                <w:sz w:val="15"/>
                <w:szCs w:val="15"/>
                <w:color w:val="auto"/>
              </w:rPr>
            </w:pPr>
          </w:p>
        </w:tc>
      </w:tr>
      <w:tr>
        <w:trPr>
          <w:trHeight w:val="16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investments at fair value (cost of $1,062,789 and $1,106,849, respectively)</w:t>
            </w:r>
          </w:p>
        </w:tc>
        <w:tc>
          <w:tcPr>
            <w:tcW w:w="22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1,016,332</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1,067,009</w:t>
            </w:r>
          </w:p>
        </w:tc>
        <w:tc>
          <w:tcPr>
            <w:tcW w:w="100" w:type="dxa"/>
            <w:vAlign w:val="bottom"/>
            <w:shd w:val="clear" w:color="auto" w:fill="CFF0FC"/>
          </w:tcPr>
          <w:p>
            <w:pPr>
              <w:spacing w:after="0"/>
              <w:rPr>
                <w:sz w:val="14"/>
                <w:szCs w:val="14"/>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fees receivable</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5"/>
                <w:szCs w:val="15"/>
                <w:color w:val="auto"/>
              </w:rPr>
            </w:pPr>
          </w:p>
        </w:tc>
      </w:tr>
      <w:tr>
        <w:trPr>
          <w:trHeight w:val="209"/>
        </w:trPr>
        <w:tc>
          <w:tcPr>
            <w:tcW w:w="760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1,030,938</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1,079,153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237,000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shd w:val="clear" w:color="auto" w:fill="CFF0FC"/>
          </w:tcPr>
          <w:p>
            <w:pPr>
              <w:spacing w:after="0"/>
              <w:rPr>
                <w:sz w:val="15"/>
                <w:szCs w:val="15"/>
                <w:color w:val="auto"/>
              </w:rPr>
            </w:pPr>
          </w:p>
        </w:tc>
      </w:tr>
      <w:tr>
        <w:trPr>
          <w:trHeight w:val="176"/>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Unamortized deferred debt costs</w:t>
            </w: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(8,336 )</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(9,172 )</w:t>
            </w:r>
          </w:p>
        </w:tc>
      </w:tr>
      <w:tr>
        <w:trPr>
          <w:trHeight w:val="169"/>
        </w:trPr>
        <w:tc>
          <w:tcPr>
            <w:tcW w:w="7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debt, less unamortized deferred debt costs</w:t>
            </w: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475,914</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510,078</w:t>
            </w:r>
          </w:p>
        </w:tc>
        <w:tc>
          <w:tcPr>
            <w:tcW w:w="100" w:type="dxa"/>
            <w:vAlign w:val="bottom"/>
            <w:tcBorders>
              <w:top w:val="single" w:sz="8" w:color="CFF0FC"/>
            </w:tcBorders>
          </w:tcPr>
          <w:p>
            <w:pPr>
              <w:spacing w:after="0"/>
              <w:rPr>
                <w:sz w:val="14"/>
                <w:szCs w:val="14"/>
                <w:color w:val="auto"/>
              </w:rPr>
            </w:pPr>
          </w:p>
        </w:tc>
      </w:tr>
      <w:tr>
        <w:trPr>
          <w:trHeight w:val="17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payable</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100" w:type="dxa"/>
            <w:vAlign w:val="bottom"/>
          </w:tcPr>
          <w:p>
            <w:pPr>
              <w:spacing w:after="0"/>
              <w:rPr>
                <w:sz w:val="15"/>
                <w:szCs w:val="15"/>
                <w:color w:val="auto"/>
              </w:rPr>
            </w:pPr>
          </w:p>
        </w:tc>
      </w:tr>
      <w:tr>
        <w:trPr>
          <w:trHeight w:val="175"/>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0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501,469</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532,082</w:t>
            </w:r>
          </w:p>
        </w:tc>
        <w:tc>
          <w:tcPr>
            <w:tcW w:w="100" w:type="dxa"/>
            <w:vAlign w:val="bottom"/>
          </w:tcPr>
          <w:p>
            <w:pPr>
              <w:spacing w:after="0"/>
              <w:rPr>
                <w:sz w:val="14"/>
                <w:szCs w:val="14"/>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2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par value</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FF0FC"/>
          </w:tcPr>
          <w:p>
            <w:pPr>
              <w:spacing w:after="0"/>
              <w:rPr>
                <w:sz w:val="15"/>
                <w:szCs w:val="15"/>
                <w:color w:val="auto"/>
              </w:rPr>
            </w:pPr>
          </w:p>
        </w:tc>
      </w:tr>
      <w:tr>
        <w:trPr>
          <w:trHeight w:val="175"/>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605,108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605,110</w:t>
            </w:r>
          </w:p>
        </w:tc>
        <w:tc>
          <w:tcPr>
            <w:tcW w:w="100" w:type="dxa"/>
            <w:vAlign w:val="bottom"/>
          </w:tcPr>
          <w:p>
            <w:pPr>
              <w:spacing w:after="0"/>
              <w:rPr>
                <w:sz w:val="15"/>
                <w:szCs w:val="15"/>
                <w:color w:val="auto"/>
              </w:rPr>
            </w:pPr>
          </w:p>
        </w:tc>
      </w:tr>
      <w:tr>
        <w:trPr>
          <w:trHeight w:val="17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Distributable earnings (losses)</w:t>
            </w:r>
          </w:p>
        </w:tc>
        <w:tc>
          <w:tcPr>
            <w:tcW w:w="2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(54,628 )</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(47,637 )</w:t>
            </w:r>
          </w:p>
        </w:tc>
      </w:tr>
      <w:tr>
        <w:trPr>
          <w:trHeight w:val="175"/>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(21,425 )</w:t>
            </w:r>
          </w:p>
        </w:tc>
        <w:tc>
          <w:tcPr>
            <w:tcW w:w="16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(10,816 )</w:t>
            </w:r>
          </w:p>
        </w:tc>
      </w:tr>
      <w:tr>
        <w:trPr>
          <w:trHeight w:val="209"/>
        </w:trPr>
        <w:tc>
          <w:tcPr>
            <w:tcW w:w="760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529,469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547,071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of common stock outstanding ($0.01 par value, 100,000,000 shares authorized)</w:t>
            </w: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39,622,162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00" w:type="dxa"/>
            <w:vAlign w:val="bottom"/>
            <w:shd w:val="clear" w:color="auto" w:fill="CFF0FC"/>
          </w:tcPr>
          <w:p>
            <w:pPr>
              <w:spacing w:after="0"/>
              <w:rPr>
                <w:sz w:val="15"/>
                <w:szCs w:val="15"/>
                <w:color w:val="auto"/>
              </w:rPr>
            </w:pPr>
          </w:p>
        </w:tc>
      </w:tr>
      <w:tr>
        <w:trPr>
          <w:trHeight w:val="18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per share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2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-2450465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-2433320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-2450465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-2433320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-1756410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-1301750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-1301750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-367665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non-control/non-affiliate investments:</w:t>
            </w: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360" w:type="dxa"/>
            <w:vAlign w:val="bottom"/>
            <w:shd w:val="clear" w:color="auto" w:fill="CFF0FC"/>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34,455</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 interest income</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3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affiliate investments:</w:t>
            </w:r>
          </w:p>
        </w:tc>
        <w:tc>
          <w:tcPr>
            <w:tcW w:w="13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1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2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4"/>
                <w:szCs w:val="14"/>
                <w:color w:val="auto"/>
              </w:rPr>
              <w:t>Total investment income</w:t>
            </w:r>
          </w:p>
        </w:tc>
        <w:tc>
          <w:tcPr>
            <w:tcW w:w="1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40,009</w:t>
            </w:r>
          </w:p>
        </w:tc>
        <w:tc>
          <w:tcPr>
            <w:tcW w:w="340" w:type="dxa"/>
            <w:vAlign w:val="bottom"/>
            <w:tcBorders>
              <w:top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39,310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1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other debt financing expenses</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10,860</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1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Administration agreement expenses</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1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1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1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3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21,345</w:t>
            </w:r>
          </w:p>
        </w:tc>
        <w:tc>
          <w:tcPr>
            <w:tcW w:w="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3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18,664</w:t>
            </w: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net change in unrealized gain (loss) on investments</w:t>
            </w: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realized gain (loss) on non-control/non-affiliate investments, including U.S. Treasury Bills</w:t>
            </w:r>
          </w:p>
        </w:tc>
        <w:tc>
          <w:tcPr>
            <w:tcW w:w="13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(1,178 )</w:t>
            </w:r>
          </w:p>
        </w:tc>
        <w:tc>
          <w:tcPr>
            <w:tcW w:w="0" w:type="dxa"/>
            <w:vAlign w:val="bottom"/>
          </w:tcPr>
          <w:p>
            <w:pPr>
              <w:spacing w:after="0"/>
              <w:rPr>
                <w:sz w:val="1"/>
                <w:szCs w:val="1"/>
                <w:color w:val="auto"/>
              </w:rPr>
            </w:pPr>
          </w:p>
        </w:tc>
      </w:tr>
      <w:tr>
        <w:trPr>
          <w:trHeight w:val="169"/>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 including U.S. Treasury Bills</w:t>
            </w:r>
          </w:p>
        </w:tc>
        <w:tc>
          <w:tcPr>
            <w:tcW w:w="1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3"/>
        </w:trPr>
        <w:tc>
          <w:tcPr>
            <w:tcW w:w="628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4"/>
                <w:szCs w:val="14"/>
                <w:color w:val="auto"/>
              </w:rPr>
              <w:t>Net change in unrealized gain (loss) on non-control/non-affiliate investments, including U.S. Treasury</w:t>
            </w:r>
          </w:p>
        </w:tc>
        <w:tc>
          <w:tcPr>
            <w:tcW w:w="136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(5,065 )</w:t>
            </w:r>
          </w:p>
        </w:tc>
        <w:tc>
          <w:tcPr>
            <w:tcW w:w="880" w:type="dxa"/>
            <w:vAlign w:val="bottom"/>
            <w:shd w:val="clear" w:color="auto" w:fill="CFF0FC"/>
          </w:tcPr>
          <w:p>
            <w:pPr>
              <w:spacing w:after="0"/>
              <w:rPr>
                <w:sz w:val="11"/>
                <w:szCs w:val="11"/>
                <w:color w:val="auto"/>
              </w:rPr>
            </w:pP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(1,421 )</w:t>
            </w:r>
          </w:p>
        </w:tc>
        <w:tc>
          <w:tcPr>
            <w:tcW w:w="0" w:type="dxa"/>
            <w:vAlign w:val="bottom"/>
          </w:tcPr>
          <w:p>
            <w:pPr>
              <w:spacing w:after="0"/>
              <w:rPr>
                <w:sz w:val="1"/>
                <w:szCs w:val="1"/>
                <w:color w:val="auto"/>
              </w:rPr>
            </w:pPr>
          </w:p>
        </w:tc>
      </w:tr>
      <w:tr>
        <w:trPr>
          <w:trHeight w:val="185"/>
        </w:trPr>
        <w:tc>
          <w:tcPr>
            <w:tcW w:w="6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Bills</w:t>
            </w:r>
          </w:p>
        </w:tc>
        <w:tc>
          <w:tcPr>
            <w:tcW w:w="136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unrealized gain (loss) on affiliate investments</w:t>
            </w:r>
          </w:p>
        </w:tc>
        <w:tc>
          <w:tcPr>
            <w:tcW w:w="13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(1,552 )</w:t>
            </w:r>
          </w:p>
        </w:tc>
        <w:tc>
          <w:tcPr>
            <w:tcW w:w="8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(5,986 )</w:t>
            </w:r>
          </w:p>
        </w:tc>
        <w:tc>
          <w:tcPr>
            <w:tcW w:w="0" w:type="dxa"/>
            <w:vAlign w:val="bottom"/>
          </w:tcPr>
          <w:p>
            <w:pPr>
              <w:spacing w:after="0"/>
              <w:rPr>
                <w:sz w:val="1"/>
                <w:szCs w:val="1"/>
                <w:color w:val="auto"/>
              </w:rPr>
            </w:pPr>
          </w:p>
        </w:tc>
      </w:tr>
      <w:tr>
        <w:trPr>
          <w:trHeight w:val="175"/>
        </w:trPr>
        <w:tc>
          <w:tcPr>
            <w:tcW w:w="6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change in unrealized gain (loss) on control investments</w:t>
            </w:r>
          </w:p>
        </w:tc>
        <w:tc>
          <w:tcPr>
            <w:tcW w:w="1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gain (loss) on investments, including U.S. Treasury Bills</w:t>
            </w:r>
          </w:p>
        </w:tc>
        <w:tc>
          <w:tcPr>
            <w:tcW w:w="13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(6,617 )</w:t>
            </w:r>
          </w:p>
        </w:tc>
        <w:tc>
          <w:tcPr>
            <w:tcW w:w="8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(5,084 )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on investments</w:t>
            </w:r>
          </w:p>
        </w:tc>
        <w:tc>
          <w:tcPr>
            <w:tcW w:w="13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(6,617 )</w:t>
            </w:r>
          </w:p>
        </w:tc>
        <w:tc>
          <w:tcPr>
            <w:tcW w:w="8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(6,262 )</w:t>
            </w:r>
          </w:p>
        </w:tc>
        <w:tc>
          <w:tcPr>
            <w:tcW w:w="0" w:type="dxa"/>
            <w:vAlign w:val="bottom"/>
          </w:tcPr>
          <w:p>
            <w:pPr>
              <w:spacing w:after="0"/>
              <w:rPr>
                <w:sz w:val="1"/>
                <w:szCs w:val="1"/>
                <w:color w:val="auto"/>
              </w:rPr>
            </w:pPr>
          </w:p>
        </w:tc>
      </w:tr>
      <w:tr>
        <w:trPr>
          <w:trHeight w:val="169"/>
        </w:trPr>
        <w:tc>
          <w:tcPr>
            <w:tcW w:w="628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360" w:type="dxa"/>
            <w:vAlign w:val="bottom"/>
            <w:tcBorders>
              <w:top w:val="single" w:sz="8" w:color="auto"/>
              <w:bottom w:val="single" w:sz="8" w:color="auto"/>
            </w:tcBorders>
          </w:tcPr>
          <w:p>
            <w:pPr>
              <w:jc w:val="right"/>
              <w:ind w:right="1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12,047</w:t>
            </w:r>
          </w:p>
        </w:tc>
        <w:tc>
          <w:tcPr>
            <w:tcW w:w="340" w:type="dxa"/>
            <w:vAlign w:val="bottom"/>
            <w:tcBorders>
              <w:top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 per common share (basic and diluted)</w:t>
            </w:r>
          </w:p>
        </w:tc>
        <w:tc>
          <w:tcPr>
            <w:tcW w:w="1360" w:type="dxa"/>
            <w:vAlign w:val="bottom"/>
            <w:shd w:val="clear" w:color="auto" w:fill="CFF0FC"/>
          </w:tcPr>
          <w:p>
            <w:pPr>
              <w:jc w:val="right"/>
              <w:ind w:right="12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0.46</w:t>
            </w: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 (basic and diluted)</w:t>
            </w:r>
          </w:p>
        </w:tc>
        <w:tc>
          <w:tcPr>
            <w:tcW w:w="136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340" w:type="dxa"/>
            <w:vAlign w:val="bottom"/>
          </w:tcPr>
          <w:p>
            <w:pPr>
              <w:spacing w:after="0"/>
              <w:rPr>
                <w:sz w:val="15"/>
                <w:szCs w:val="15"/>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(basic and diluted)</w:t>
            </w:r>
          </w:p>
        </w:tc>
        <w:tc>
          <w:tcPr>
            <w:tcW w:w="1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40,392,255</w:t>
            </w: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-2871470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-1739900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-1289685</wp:posOffset>
            </wp:positionV>
            <wp:extent cx="1022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-1289685</wp:posOffset>
            </wp:positionV>
            <wp:extent cx="939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-719455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-479425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24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Excess of Par</w:t>
            </w:r>
          </w:p>
        </w:tc>
        <w:tc>
          <w:tcPr>
            <w:tcW w:w="100" w:type="dxa"/>
            <w:vAlign w:val="bottom"/>
          </w:tcPr>
          <w:p>
            <w:pPr>
              <w:spacing w:after="0"/>
              <w:rPr>
                <w:sz w:val="11"/>
                <w:szCs w:val="11"/>
                <w:color w:val="auto"/>
              </w:rPr>
            </w:pPr>
          </w:p>
        </w:tc>
        <w:tc>
          <w:tcPr>
            <w:tcW w:w="1240" w:type="dxa"/>
            <w:vAlign w:val="bottom"/>
            <w:gridSpan w:val="2"/>
          </w:tcPr>
          <w:p>
            <w:pPr>
              <w:jc w:val="center"/>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20" w:type="dxa"/>
            <w:vAlign w:val="bottom"/>
            <w:vMerge w:val="restart"/>
          </w:tcPr>
          <w:p>
            <w:pPr>
              <w:spacing w:after="0"/>
              <w:rPr>
                <w:sz w:val="12"/>
                <w:szCs w:val="12"/>
                <w:color w:val="auto"/>
              </w:rPr>
            </w:pP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9"/>
                <w:szCs w:val="19"/>
                <w:b w:val="1"/>
                <w:bCs w:val="1"/>
                <w:color w:val="auto"/>
                <w:vertAlign w:val="superscript"/>
              </w:rPr>
              <w:t>(1)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20" w:type="dxa"/>
            <w:vAlign w:val="bottom"/>
          </w:tcPr>
          <w:p>
            <w:pPr>
              <w:spacing w:after="0"/>
              <w:rPr>
                <w:sz w:val="24"/>
                <w:szCs w:val="24"/>
                <w:color w:val="auto"/>
              </w:rPr>
            </w:pPr>
          </w:p>
        </w:tc>
        <w:tc>
          <w:tcPr>
            <w:tcW w:w="100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6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(10,816 )</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605,110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(47,637 )</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4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increase (decrease) in net assets resulting from</w:t>
            </w: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12,047</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11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(887,096 )</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(10,609 )</w:t>
            </w:r>
          </w:p>
        </w:tc>
        <w:tc>
          <w:tcPr>
            <w:tcW w:w="2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(10,609 )</w:t>
            </w:r>
          </w:p>
        </w:tc>
        <w:tc>
          <w:tcPr>
            <w:tcW w:w="0" w:type="dxa"/>
            <w:vAlign w:val="bottom"/>
          </w:tcPr>
          <w:p>
            <w:pPr>
              <w:spacing w:after="0"/>
              <w:rPr>
                <w:sz w:val="1"/>
                <w:szCs w:val="1"/>
                <w:color w:val="auto"/>
              </w:rPr>
            </w:pPr>
          </w:p>
        </w:tc>
      </w:tr>
      <w:tr>
        <w:trPr>
          <w:trHeight w:val="176"/>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Refunds (payments) of offering costs</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(19,040 )</w:t>
            </w:r>
          </w:p>
        </w:tc>
        <w:tc>
          <w:tcPr>
            <w:tcW w:w="3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(19,040 )</w:t>
            </w:r>
          </w:p>
        </w:tc>
        <w:tc>
          <w:tcPr>
            <w:tcW w:w="0" w:type="dxa"/>
            <w:vAlign w:val="bottom"/>
          </w:tcPr>
          <w:p>
            <w:pPr>
              <w:spacing w:after="0"/>
              <w:rPr>
                <w:sz w:val="1"/>
                <w:szCs w:val="1"/>
                <w:color w:val="auto"/>
              </w:rPr>
            </w:pPr>
          </w:p>
        </w:tc>
      </w:tr>
      <w:tr>
        <w:trPr>
          <w:trHeight w:val="176"/>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retired</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Tax reclassification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400" w:type="dxa"/>
            <w:vAlign w:val="bottom"/>
            <w:tcBorders>
              <w:top w:val="single" w:sz="8" w:color="CFF0FC"/>
              <w:bottom w:val="single" w:sz="8" w:color="CFF0FC"/>
            </w:tcBorders>
            <w:gridSpan w:val="3"/>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39,622,162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(21,425</w:t>
            </w:r>
          </w:p>
        </w:tc>
        <w:tc>
          <w:tcPr>
            <w:tcW w:w="220" w:type="dxa"/>
            <w:vAlign w:val="bottom"/>
            <w:tcBorders>
              <w:top w:val="single" w:sz="8" w:color="CFF0FC"/>
              <w:bottom w:val="single" w:sz="8" w:color="CFF0FC"/>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605,108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(54,628</w:t>
            </w:r>
          </w:p>
        </w:tc>
        <w:tc>
          <w:tcPr>
            <w:tcW w:w="220" w:type="dxa"/>
            <w:vAlign w:val="bottom"/>
            <w:tcBorders>
              <w:top w:val="single" w:sz="8" w:color="CFF0FC"/>
              <w:bottom w:val="single" w:sz="8" w:color="CFF0FC"/>
            </w:tcBorders>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529,469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-67945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-50800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-67945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-50800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-67945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-50800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-67945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-50800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-67945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-50800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9" w:lineRule="exact"/>
        <w:rPr>
          <w:sz w:val="20"/>
          <w:szCs w:val="20"/>
          <w:color w:val="auto"/>
        </w:rPr>
      </w:pPr>
    </w:p>
    <w:p>
      <w:pPr>
        <w:ind w:left="340" w:hanging="319"/>
        <w:spacing w:after="0"/>
        <w:tabs>
          <w:tab w:leader="none" w:pos="34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Number of shares is shown net of cumulative treasury stock repurchases of 1,758,441 shares as of March 31, 2024.</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Excess of Par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68"/>
              <w:spacing w:after="0" w:line="131"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10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0" w:type="dxa"/>
            <w:vAlign w:val="bottom"/>
          </w:tcPr>
          <w:p>
            <w:pPr>
              <w:spacing w:after="0"/>
              <w:rPr>
                <w:sz w:val="1"/>
                <w:szCs w:val="1"/>
                <w:color w:val="auto"/>
              </w:rPr>
            </w:pPr>
          </w:p>
        </w:tc>
      </w:tr>
      <w:tr>
        <w:trPr>
          <w:trHeight w:val="187"/>
        </w:trPr>
        <w:tc>
          <w:tcPr>
            <w:tcW w:w="3400" w:type="dxa"/>
            <w:vAlign w:val="bottom"/>
            <w:gridSpan w:val="3"/>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12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2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20" w:type="dxa"/>
            <w:vAlign w:val="bottom"/>
          </w:tcPr>
          <w:p>
            <w:pPr>
              <w:spacing w:after="0"/>
              <w:rPr>
                <w:sz w:val="14"/>
                <w:szCs w:val="14"/>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(10,816</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605,774</w:t>
            </w:r>
          </w:p>
        </w:tc>
        <w:tc>
          <w:tcPr>
            <w:tcW w:w="2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(19,320</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576,052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00" w:type="dxa"/>
            <w:vAlign w:val="bottom"/>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increase (decrease) in net assets resulting from</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10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Refunds (payments) of offering costs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(18,229 )</w:t>
            </w:r>
          </w:p>
        </w:tc>
        <w:tc>
          <w:tcPr>
            <w:tcW w:w="3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(18,229 )</w:t>
            </w:r>
          </w:p>
        </w:tc>
        <w:tc>
          <w:tcPr>
            <w:tcW w:w="0" w:type="dxa"/>
            <w:vAlign w:val="bottom"/>
          </w:tcPr>
          <w:p>
            <w:pPr>
              <w:spacing w:after="0"/>
              <w:rPr>
                <w:sz w:val="1"/>
                <w:szCs w:val="1"/>
                <w:color w:val="auto"/>
              </w:rPr>
            </w:pPr>
          </w:p>
        </w:tc>
      </w:tr>
      <w:tr>
        <w:trPr>
          <w:trHeight w:val="176"/>
        </w:trPr>
        <w:tc>
          <w:tcPr>
            <w:tcW w:w="3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reclassification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4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40,509,269</w:t>
            </w:r>
          </w:p>
        </w:tc>
        <w:tc>
          <w:tcPr>
            <w:tcW w:w="240" w:type="dxa"/>
            <w:vAlign w:val="bottom"/>
            <w:gridSpan w:val="2"/>
          </w:tcPr>
          <w:p>
            <w:pPr>
              <w:spacing w:after="0"/>
              <w:rPr>
                <w:sz w:val="14"/>
                <w:szCs w:val="14"/>
                <w:color w:val="auto"/>
              </w:rPr>
            </w:pPr>
          </w:p>
        </w:tc>
        <w:tc>
          <w:tcPr>
            <w:tcW w:w="88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(10,816</w:t>
            </w: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605,774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(25,565</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569,807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0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19"/>
        <w:spacing w:after="0"/>
        <w:tabs>
          <w:tab w:leader="none" w:pos="3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Number of shares is shown net of cumulative treasury stock repurchases of 871,345 shares as of March 31,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31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50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12,047</w:t>
            </w:r>
          </w:p>
        </w:tc>
        <w:tc>
          <w:tcPr>
            <w:tcW w:w="240" w:type="dxa"/>
            <w:vAlign w:val="bottom"/>
          </w:tcPr>
          <w:p>
            <w:pPr>
              <w:spacing w:after="0"/>
              <w:rPr>
                <w:sz w:val="15"/>
                <w:szCs w:val="15"/>
                <w:color w:val="auto"/>
              </w:rPr>
            </w:pP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100" w:type="dxa"/>
            <w:vAlign w:val="bottom"/>
          </w:tcPr>
          <w:p>
            <w:pPr>
              <w:spacing w:after="0"/>
              <w:rPr>
                <w:sz w:val="15"/>
                <w:szCs w:val="15"/>
                <w:color w:val="auto"/>
              </w:rPr>
            </w:pPr>
          </w:p>
        </w:tc>
      </w:tr>
      <w:tr>
        <w:trPr>
          <w:trHeight w:val="139"/>
        </w:trPr>
        <w:tc>
          <w:tcPr>
            <w:tcW w:w="750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 operations to net cash provided by (used in) operating</w:t>
            </w:r>
          </w:p>
        </w:tc>
        <w:tc>
          <w:tcPr>
            <w:tcW w:w="1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1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(24,642 )</w:t>
            </w:r>
          </w:p>
        </w:tc>
        <w:tc>
          <w:tcPr>
            <w:tcW w:w="11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(12,871 )</w:t>
            </w: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1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(34,974 )</w:t>
            </w: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 interest</w:t>
            </w:r>
          </w:p>
        </w:tc>
        <w:tc>
          <w:tcPr>
            <w:tcW w:w="1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(4,176 )</w:t>
            </w:r>
          </w:p>
        </w:tc>
        <w:tc>
          <w:tcPr>
            <w:tcW w:w="11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(3,755 )</w:t>
            </w: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 or repayments of investments</w:t>
            </w:r>
          </w:p>
        </w:tc>
        <w:tc>
          <w:tcPr>
            <w:tcW w:w="1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34,862</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14,199</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or maturities of U.S. Treasury Bills</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42,029</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w:t>
            </w:r>
          </w:p>
        </w:tc>
        <w:tc>
          <w:tcPr>
            <w:tcW w:w="1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(4,013 )</w:t>
            </w:r>
          </w:p>
        </w:tc>
        <w:tc>
          <w:tcPr>
            <w:tcW w:w="1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(2,868 )</w:t>
            </w:r>
          </w:p>
        </w:tc>
      </w:tr>
      <w:tr>
        <w:trPr>
          <w:trHeight w:val="175"/>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deferred debt costs</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 interest and fees receivable</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(406 )</w:t>
            </w:r>
          </w:p>
        </w:tc>
      </w:tr>
      <w:tr>
        <w:trPr>
          <w:trHeight w:val="17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1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 incentive fees payable</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5"/>
                <w:szCs w:val="15"/>
                <w:color w:val="auto"/>
              </w:rPr>
            </w:pPr>
          </w:p>
        </w:tc>
      </w:tr>
      <w:tr>
        <w:trPr>
          <w:trHeight w:val="175"/>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Increase (decrease) in interest payable</w:t>
            </w:r>
          </w:p>
        </w:tc>
        <w:tc>
          <w:tcPr>
            <w:tcW w:w="1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100" w:type="dxa"/>
            <w:vAlign w:val="bottom"/>
            <w:shd w:val="clear" w:color="auto" w:fill="CFF0FC"/>
          </w:tcPr>
          <w:p>
            <w:pPr>
              <w:spacing w:after="0"/>
              <w:rPr>
                <w:sz w:val="15"/>
                <w:szCs w:val="15"/>
                <w:color w:val="auto"/>
              </w:rPr>
            </w:pPr>
          </w:p>
        </w:tc>
      </w:tr>
      <w:tr>
        <w:trPr>
          <w:trHeight w:val="176"/>
        </w:trPr>
        <w:tc>
          <w:tcPr>
            <w:tcW w:w="7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(decrease) in accrued expenses and other liabilities</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r>
      <w:tr>
        <w:trPr>
          <w:trHeight w:val="169"/>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68,598</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(18,526 )</w:t>
            </w:r>
          </w:p>
        </w:tc>
      </w:tr>
      <w:tr>
        <w:trPr>
          <w:trHeight w:val="169"/>
        </w:trPr>
        <w:tc>
          <w:tcPr>
            <w:tcW w:w="7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Payments of deferred debt costs</w:t>
            </w:r>
          </w:p>
        </w:tc>
        <w:tc>
          <w:tcPr>
            <w:tcW w:w="1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(4 )</w:t>
            </w:r>
          </w:p>
        </w:tc>
        <w:tc>
          <w:tcPr>
            <w:tcW w:w="1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(735 )</w:t>
            </w: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5"/>
                <w:szCs w:val="15"/>
                <w:color w:val="auto"/>
              </w:rPr>
            </w:pPr>
          </w:p>
        </w:tc>
      </w:tr>
      <w:tr>
        <w:trPr>
          <w:trHeight w:val="1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Repayments under credit facility</w:t>
            </w:r>
          </w:p>
        </w:tc>
        <w:tc>
          <w:tcPr>
            <w:tcW w:w="1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(45,000 )</w:t>
            </w:r>
          </w:p>
        </w:tc>
        <w:tc>
          <w:tcPr>
            <w:tcW w:w="1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(20,000 )</w:t>
            </w: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treasury shares</w:t>
            </w:r>
          </w:p>
        </w:tc>
        <w:tc>
          <w:tcPr>
            <w:tcW w:w="1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(10,609 )</w:t>
            </w:r>
          </w:p>
        </w:tc>
        <w:tc>
          <w:tcPr>
            <w:tcW w:w="118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(19,040 )</w:t>
            </w:r>
          </w:p>
        </w:tc>
        <w:tc>
          <w:tcPr>
            <w:tcW w:w="1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(18,229 )</w:t>
            </w:r>
          </w:p>
        </w:tc>
      </w:tr>
      <w:tr>
        <w:trPr>
          <w:trHeight w:val="169"/>
        </w:trPr>
        <w:tc>
          <w:tcPr>
            <w:tcW w:w="75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(64,653</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16,036</w:t>
            </w:r>
          </w:p>
        </w:tc>
        <w:tc>
          <w:tcPr>
            <w:tcW w:w="100" w:type="dxa"/>
            <w:vAlign w:val="bottom"/>
          </w:tcPr>
          <w:p>
            <w:pPr>
              <w:spacing w:after="0"/>
              <w:rPr>
                <w:sz w:val="14"/>
                <w:szCs w:val="14"/>
                <w:color w:val="auto"/>
              </w:rPr>
            </w:pPr>
          </w:p>
        </w:tc>
      </w:tr>
      <w:tr>
        <w:trPr>
          <w:trHeight w:val="169"/>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(2,490 )</w:t>
            </w:r>
          </w:p>
        </w:tc>
      </w:tr>
      <w:tr>
        <w:trPr>
          <w:trHeight w:val="175"/>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00" w:type="dxa"/>
            <w:vAlign w:val="bottom"/>
          </w:tcPr>
          <w:p>
            <w:pPr>
              <w:spacing w:after="0"/>
              <w:rPr>
                <w:sz w:val="15"/>
                <w:szCs w:val="15"/>
                <w:color w:val="auto"/>
              </w:rPr>
            </w:pPr>
          </w:p>
        </w:tc>
      </w:tr>
      <w:tr>
        <w:trPr>
          <w:trHeight w:val="209"/>
        </w:trPr>
        <w:tc>
          <w:tcPr>
            <w:tcW w:w="7500" w:type="dxa"/>
            <w:vAlign w:val="bottom"/>
            <w:tcBorders>
              <w:bottom w:val="single" w:sz="8" w:color="CFF0FC"/>
            </w:tcBorders>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120" w:type="dxa"/>
            <w:vAlign w:val="bottom"/>
            <w:tcBorders>
              <w:bottom w:val="single" w:sz="8" w:color="auto"/>
            </w:tcBorders>
            <w:shd w:val="clear" w:color="auto" w:fill="CFF0FC"/>
          </w:tcPr>
          <w:p>
            <w:pPr>
              <w:jc w:val="right"/>
              <w:ind w:right="9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6,915</w:t>
            </w:r>
          </w:p>
        </w:tc>
        <w:tc>
          <w:tcPr>
            <w:tcW w:w="2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5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and non-cash financing cash flow information:</w:t>
            </w: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1120" w:type="dxa"/>
            <w:vAlign w:val="bottom"/>
            <w:shd w:val="clear" w:color="auto" w:fill="CFF0FC"/>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FF0FC"/>
          </w:tcPr>
          <w:p>
            <w:pPr>
              <w:spacing w:after="0"/>
              <w:rPr>
                <w:sz w:val="15"/>
                <w:szCs w:val="15"/>
                <w:color w:val="auto"/>
              </w:rPr>
            </w:pPr>
          </w:p>
        </w:tc>
      </w:tr>
      <w:tr>
        <w:trPr>
          <w:trHeight w:val="188"/>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paid</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w:t>
            </w:r>
          </w:p>
        </w:tc>
        <w:tc>
          <w:tcPr>
            <w:tcW w:w="24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-1516380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-851535</wp:posOffset>
            </wp:positionV>
            <wp:extent cx="939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-851535</wp:posOffset>
            </wp:positionV>
            <wp:extent cx="939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-367665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-350520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9"/>
                <w:szCs w:val="19"/>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w w:val="94"/>
              </w:rPr>
              <w:t>(1),(2),(4)</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9"/>
                <w:szCs w:val="19"/>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9"/>
                <w:szCs w:val="19"/>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w:t>
            </w:r>
          </w:p>
        </w:tc>
        <w:tc>
          <w:tcPr>
            <w:tcW w:w="220" w:type="dxa"/>
            <w:vAlign w:val="bottom"/>
          </w:tcPr>
          <w:p>
            <w:pPr>
              <w:spacing w:after="0"/>
              <w:rPr>
                <w:sz w:val="19"/>
                <w:szCs w:val="1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92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Type</w:t>
            </w:r>
          </w:p>
        </w:tc>
        <w:tc>
          <w:tcPr>
            <w:tcW w:w="120" w:type="dxa"/>
            <w:vAlign w:val="bottom"/>
          </w:tcPr>
          <w:p>
            <w:pPr>
              <w:spacing w:after="0"/>
              <w:rPr>
                <w:sz w:val="9"/>
                <w:szCs w:val="9"/>
                <w:color w:val="auto"/>
              </w:rPr>
            </w:pPr>
          </w:p>
        </w:tc>
        <w:tc>
          <w:tcPr>
            <w:tcW w:w="1860" w:type="dxa"/>
            <w:vAlign w:val="bottom"/>
            <w:tcBorders>
              <w:bottom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Investment Description</w:t>
            </w:r>
          </w:p>
        </w:tc>
        <w:tc>
          <w:tcPr>
            <w:tcW w:w="120" w:type="dxa"/>
            <w:vAlign w:val="bottom"/>
          </w:tcPr>
          <w:p>
            <w:pPr>
              <w:spacing w:after="0"/>
              <w:rPr>
                <w:sz w:val="9"/>
                <w:szCs w:val="9"/>
                <w:color w:val="auto"/>
              </w:rPr>
            </w:pPr>
          </w:p>
        </w:tc>
        <w:tc>
          <w:tcPr>
            <w:tcW w:w="90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82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 / Shares</w:t>
            </w:r>
          </w:p>
        </w:tc>
        <w:tc>
          <w:tcPr>
            <w:tcW w:w="220" w:type="dxa"/>
            <w:vAlign w:val="bottom"/>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auto"/>
            </w:tcBorders>
            <w:gridSpan w:val="2"/>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Value ($)</w:t>
            </w:r>
          </w:p>
        </w:tc>
        <w:tc>
          <w:tcPr>
            <w:tcW w:w="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Blueshift Labs,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SOFR+6.25%, 11.25%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12/19/2023</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12/15/2028</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25,623</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25,240</w:t>
            </w:r>
          </w:p>
        </w:tc>
        <w:tc>
          <w:tcPr>
            <w:tcW w:w="104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4"/>
                <w:szCs w:val="14"/>
                <w:color w:val="auto"/>
              </w:rPr>
              <w:t>24,824</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2.00% PIK, 1.50%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SOFR+9.50%, 12.26%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12/15/2025</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23,446</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24,796</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19,213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10.00% cash cap, 7.50%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PRIME+5.00%, 9.00%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7/15/2027</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38,698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40,363</w:t>
            </w:r>
          </w:p>
        </w:tc>
        <w:tc>
          <w:tcPr>
            <w:tcW w:w="104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4"/>
                <w:szCs w:val="14"/>
                <w:color w:val="auto"/>
              </w:rPr>
              <w:t>38,426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1.00% PIK, 5.75%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VTX Intermediate Holdings,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SOFR+9.00%, 9.50%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12/28/2021</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12/28/2026</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88,997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89,976</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88,494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(dba VertexOne)</w:t>
            </w: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10.00% cash cap, 4.50%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- 32.29%*</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180,375</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170,957</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Betterment Holdings, Inc.</w:t>
            </w:r>
          </w:p>
        </w:tc>
        <w:tc>
          <w:tcPr>
            <w:tcW w:w="104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PRIME+4.50%, 8.50% floor</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10/6/2027</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- 1.50%*</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Elevate Services, Inc.</w:t>
            </w:r>
          </w:p>
        </w:tc>
        <w:tc>
          <w:tcPr>
            <w:tcW w:w="10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SOFR+7.50%, 12.78% floor</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7/10/2023</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19,463</w:t>
            </w: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19,706</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SOFR+9.26%, 9.76%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40,013</w:t>
            </w:r>
          </w:p>
        </w:tc>
        <w:tc>
          <w:tcPr>
            <w:tcW w:w="104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4"/>
                <w:szCs w:val="14"/>
                <w:color w:val="auto"/>
              </w:rPr>
              <w:t>39,806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3.4375%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SOFR+9.25%, 11.86%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19,556</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20,134</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19,587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SOFR+8.25%, 10.86%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8/18/2020</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931</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960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933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Vesta Payment Solutions,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SOFR+7.00%, 9.00% floor,</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11/29/2022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11/15/2026</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24,889</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24,083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5.00%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- 19.66%*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105,459</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104,115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Education Services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Turning Tech Intermediate,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SOFR+8.50%,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6/22/2021</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12/14/2025</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25,288</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25,809</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25,798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(dba Echo 360, Inc.)</w:t>
            </w: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13.00% cash cap, 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Education Services - 4.87%*</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25,809</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25,798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SOFR+6.85%, 10.89%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26,293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26,372</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26,753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- 5.05%*</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26,372</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26,753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Equipment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PRIME+5.25%, 8.75%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4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7/1/2027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14,957</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15,412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Equipment - 2.91%*</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14,957</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15,412</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-3514725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-3514725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-3051810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-3051810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-1774825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-1774825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-1226185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-1226185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-677545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-677545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-128905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-128905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-8890</wp:posOffset>
            </wp:positionV>
            <wp:extent cx="11315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w w:val="94"/>
              </w:rPr>
              <w:t>(1),(2),(4)</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9"/>
                <w:szCs w:val="19"/>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9"/>
                <w:szCs w:val="19"/>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w:t>
            </w:r>
          </w:p>
        </w:tc>
        <w:tc>
          <w:tcPr>
            <w:tcW w:w="220" w:type="dxa"/>
            <w:vAlign w:val="bottom"/>
          </w:tcPr>
          <w:p>
            <w:pPr>
              <w:spacing w:after="0"/>
              <w:rPr>
                <w:sz w:val="19"/>
                <w:szCs w:val="1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08"/>
        </w:trPr>
        <w:tc>
          <w:tcPr>
            <w:tcW w:w="2540" w:type="dxa"/>
            <w:vAlign w:val="bottom"/>
            <w:gridSpan w:val="4"/>
            <w:vMerge w:val="continue"/>
          </w:tcPr>
          <w:p>
            <w:pPr>
              <w:spacing w:after="0"/>
              <w:rPr>
                <w:sz w:val="9"/>
                <w:szCs w:val="9"/>
                <w:color w:val="auto"/>
              </w:rPr>
            </w:pPr>
          </w:p>
        </w:tc>
        <w:tc>
          <w:tcPr>
            <w:tcW w:w="104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2"/>
                <w:szCs w:val="12"/>
                <w:b w:val="1"/>
                <w:bCs w:val="1"/>
                <w:color w:val="auto"/>
              </w:rPr>
              <w:t>Type</w:t>
            </w:r>
          </w:p>
        </w:tc>
        <w:tc>
          <w:tcPr>
            <w:tcW w:w="18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Investment Description</w:t>
            </w:r>
          </w:p>
        </w:tc>
        <w:tc>
          <w:tcPr>
            <w:tcW w:w="12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 / Shares</w:t>
            </w:r>
          </w:p>
        </w:tc>
        <w:tc>
          <w:tcPr>
            <w:tcW w:w="2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Value ($)</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auto"/>
            </w:tcBorders>
          </w:tcPr>
          <w:p>
            <w:pPr>
              <w:spacing w:after="0"/>
              <w:rPr>
                <w:sz w:val="12"/>
                <w:szCs w:val="12"/>
                <w:color w:val="auto"/>
              </w:rPr>
            </w:pPr>
          </w:p>
        </w:tc>
        <w:tc>
          <w:tcPr>
            <w:tcW w:w="24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PRIME+4.90%, 8.90%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39,625</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40,385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4.50%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SOFR+9.75%, 12.26%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12/15/2026</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4,322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4,952</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3,202</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Nalu Medical,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PRIME+2.70%, 6.70%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20,586</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20,554</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21,381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PIK, 4.50%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Route 92 Medical,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SOFR+8.48%, 8.98%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8/17/2021</w:t>
            </w:r>
          </w:p>
        </w:tc>
        <w:tc>
          <w:tcPr>
            <w:tcW w:w="94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7/1/2026</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34,414</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35,396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3.95%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SOFR+5.75%,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25,069</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25,702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4.00%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- 23.81%*</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124,614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126,066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CloudPay,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PRIME+6.25%, 10.25%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75,028</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75,761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(5) (8) (10)</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SOFR+8.50% PIK, 9.00%</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4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9/1/2025</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42,297</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42,739</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35,539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floor, 2.75%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42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- 21.02%*</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117,767</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111,300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Madison Reed,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PRIME+4.75%, 11.00%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12/16/2022</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12/16/2026</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15,975</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15,779</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15,934</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11.00% cash cap, 3.00%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Marley Spoon SE</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SOFR+7.50%, 8.26%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6/30/2021</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38,051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37,939</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37,850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(6) (8) (9)</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1.25% PIK, 1.00%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- 10.16%*</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53,718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53,784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SOFR+4.75%, 6.75%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12/26/2023</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1/15/2028</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28,203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28,104</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28,104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3.25% PIK, 0.96%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CarNow,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SOFR+7.25%, 11.75%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3/22/2024</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3/22/2029</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17,297</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17,297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Skillshare,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SOFR+6.50%, 10.72%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11/8/2022</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11/8/2026</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29,887</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29,580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Synack,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SOFR+7.00%, 11.07%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12/29/2023</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12/29/2028</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39,786</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39,786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- 21.68%*</w:t>
            </w: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115,074</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114,767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Kin Insurance,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PRIME+6.25%, 12.50%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9/15/2026</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75,144</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75,437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- 14.25%*</w:t>
            </w: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75,144</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75,437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3PL Central LLC (dba Extensiv)</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SOFR+4.50%, 6.50%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11/9/2022</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11/9/2027</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70,841</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70,614</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69,633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2.50% PIK, 2.34%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Linxup, LLC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PRIME+3.25%, 11.75%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11/3/2023</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11/15/2027</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29,558</w:t>
            </w:r>
          </w:p>
        </w:tc>
        <w:tc>
          <w:tcPr>
            <w:tcW w:w="1040" w:type="dxa"/>
            <w:vAlign w:val="bottom"/>
            <w:gridSpan w:val="3"/>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29,558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2.25%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3"/>
          </w:tcPr>
          <w:p>
            <w:pPr>
              <w:ind w:left="30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Second Lien</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SOFR+5.00%, 5.50%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12/22/2021</w:t>
            </w:r>
          </w:p>
        </w:tc>
        <w:tc>
          <w:tcPr>
            <w:tcW w:w="94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12/22/2025</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14,244</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14,380</w:t>
            </w:r>
          </w:p>
        </w:tc>
        <w:tc>
          <w:tcPr>
            <w:tcW w:w="104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14,388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(7) (8) (9)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5.00% PIK, 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System Software - 21.45%*</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114,552</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113,579</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Debt Investments - 178.65%*</w:t>
            </w: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961,734</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945,909</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-4542790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-4542790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-3668395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-3668395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-3034030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-3034030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-1748155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-1748155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-1199515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-1199515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-239395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Minute Media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 (12)</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Advertising - 0.03%*</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289,41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230,88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438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307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- 0.08%*</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CareCloud,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11% Series A Cumulative</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1/8/2020</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462,06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12,132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2,777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Perpetual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- 0.52%*</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Convertible Note</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10/26/2023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12/31/2026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1,357</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1,357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1,023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44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- 0.19%*</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Marley Spoon SE</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7/7/2023</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46,004</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410</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170</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(6) (12) (16)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- 0.03%*</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Quantum Corporation</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8/13/2021</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459,72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2,607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274</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 (12) (14)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zSpace,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12/31/2020</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6,078,4</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1,119</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- 0.91%*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3DNA Corp. (dba NationBuilder)</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C-1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273,16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2,387,7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1,048</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1,049</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Blueshift Labs,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12/19/2023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1,538,4</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3,630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384,61</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846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12/21/2023</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Dtex Systems,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6/1/2018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6/1/2025</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325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7/11/2019</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7/11/2026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833,33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541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7/29/2022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7/29/2027</w:t>
            </w:r>
          </w:p>
        </w:tc>
        <w:tc>
          <w:tcPr>
            <w:tcW w:w="1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20</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- 0.46%*</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Betterment Holdings,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- 0.03%*</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-6309360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-6309360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-5434965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-5434965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-4792345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-4792345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-4243705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-4243705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-3695065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-3695065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-3060700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-3060700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-2820670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-2820670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-582930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-582930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-128905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-128905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-8890</wp:posOffset>
            </wp:positionV>
            <wp:extent cx="11315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Biotechnology</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Mustang Bio,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3/4/2022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3/4/2032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TRACON Pharmaceuticals,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9/2/2022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150,75</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Biotechnology - 0.01%*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Computer &amp; Electronics Retail</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Massdrop,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7/22/2019</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7/22/2029</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848,09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183</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Computer &amp; Electronics Retail - 0.00%*</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Elevate Services,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7/10/2023</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7/10/2033</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248,99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447</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379</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189,40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647,61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2,162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471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- 0.16%*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201,00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98</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Epic IO Technologies,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12/17/2028</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8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- 0.13%*</w:t>
            </w: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Equipment</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214,28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Revelle Aesthetics,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115,59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Equipment - 0.03%*</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Allurion Technologies,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132,97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282</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46,256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9/15/2022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46,256</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8/2/2023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8/1/2028</w:t>
            </w:r>
          </w:p>
        </w:tc>
        <w:tc>
          <w:tcPr>
            <w:tcW w:w="1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 (25)</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6/30/2032</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707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(15)</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CC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1,770,9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492</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Nalu Medical, Inc.</w:t>
            </w: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D-2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10/12/2022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10/12/2032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91,717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Route 92 Medical,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6/29/2031</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318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VERO Biotech LLC</w:t>
            </w:r>
          </w:p>
        </w:tc>
        <w:tc>
          <w:tcPr>
            <w:tcW w:w="10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12/29/2020</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12/29/2025</w:t>
            </w: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- 0.49%*</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CloudPay, Inc.</w:t>
            </w: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6/30/2020</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6/30/2030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Warrant for Series B-1</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9/29/2031</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763,26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5440" w:type="dxa"/>
            <w:vAlign w:val="bottom"/>
            <w:tcBorders>
              <w:bottom w:val="single" w:sz="8" w:color="CFF0FC"/>
            </w:tcBorders>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- 0.28%*</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-6274435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-6274435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-5725795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-5725795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-4765675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-4765675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-3977005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-3977005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-3342640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-3342640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-1010920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-1010920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9"/>
                <w:szCs w:val="19"/>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w w:val="94"/>
              </w:rPr>
              <w:t>(1),(2),(4)</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9"/>
                <w:szCs w:val="19"/>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9"/>
                <w:szCs w:val="19"/>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220" w:type="dxa"/>
            <w:vAlign w:val="bottom"/>
          </w:tcPr>
          <w:p>
            <w:pPr>
              <w:spacing w:after="0"/>
              <w:rPr>
                <w:sz w:val="19"/>
                <w:szCs w:val="1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920" w:type="dxa"/>
            <w:vAlign w:val="bottom"/>
            <w:tcBorders>
              <w:bottom w:val="single" w:sz="8" w:color="auto"/>
            </w:tcBorders>
          </w:tcPr>
          <w:p>
            <w:pPr>
              <w:ind w:left="300"/>
              <w:spacing w:after="0" w:line="108" w:lineRule="exact"/>
              <w:rPr>
                <w:sz w:val="20"/>
                <w:szCs w:val="20"/>
                <w:color w:val="auto"/>
              </w:rPr>
            </w:pPr>
            <w:r>
              <w:rPr>
                <w:rFonts w:ascii="Times New Roman" w:cs="Times New Roman" w:eastAsia="Times New Roman" w:hAnsi="Times New Roman"/>
                <w:sz w:val="12"/>
                <w:szCs w:val="12"/>
                <w:b w:val="1"/>
                <w:bCs w:val="1"/>
                <w:color w:val="auto"/>
              </w:rPr>
              <w:t>Type</w:t>
            </w:r>
          </w:p>
        </w:tc>
        <w:tc>
          <w:tcPr>
            <w:tcW w:w="120" w:type="dxa"/>
            <w:vAlign w:val="bottom"/>
            <w:gridSpan w:val="2"/>
          </w:tcPr>
          <w:p>
            <w:pPr>
              <w:spacing w:after="0"/>
              <w:rPr>
                <w:sz w:val="9"/>
                <w:szCs w:val="9"/>
                <w:color w:val="auto"/>
              </w:rPr>
            </w:pPr>
          </w:p>
        </w:tc>
        <w:tc>
          <w:tcPr>
            <w:tcW w:w="1860" w:type="dxa"/>
            <w:vAlign w:val="bottom"/>
            <w:tcBorders>
              <w:bottom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Investment Description</w:t>
            </w:r>
          </w:p>
        </w:tc>
        <w:tc>
          <w:tcPr>
            <w:tcW w:w="120" w:type="dxa"/>
            <w:vAlign w:val="bottom"/>
          </w:tcPr>
          <w:p>
            <w:pPr>
              <w:spacing w:after="0"/>
              <w:rPr>
                <w:sz w:val="9"/>
                <w:szCs w:val="9"/>
                <w:color w:val="auto"/>
              </w:rPr>
            </w:pPr>
          </w:p>
        </w:tc>
        <w:tc>
          <w:tcPr>
            <w:tcW w:w="90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82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7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 / Shares</w:t>
            </w:r>
          </w:p>
        </w:tc>
        <w:tc>
          <w:tcPr>
            <w:tcW w:w="220" w:type="dxa"/>
            <w:vAlign w:val="bottom"/>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auto"/>
            </w:tcBorders>
            <w:gridSpan w:val="2"/>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Value ($)</w:t>
            </w:r>
          </w:p>
        </w:tc>
        <w:tc>
          <w:tcPr>
            <w:tcW w:w="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Madison Reed,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12/16/2022</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- 0.04%*</w:t>
            </w: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Bombora,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3/31/2021</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3/31/2031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121,581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12/26/2023</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12/26/2033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48,632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CarNow,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3/22/2024</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3/22/2034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Fidelis Cybersecurity,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3/25/2022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3/25/2032</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INRIX,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7/26/2019</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7/26/2029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150,804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Longtail Ad Solutions, Inc. (dba</w:t>
            </w:r>
          </w:p>
        </w:tc>
        <w:tc>
          <w:tcPr>
            <w:tcW w:w="10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12/12/2019</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12/12/2029</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387,596</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JW Player)</w:t>
            </w:r>
          </w:p>
        </w:tc>
        <w:tc>
          <w:tcPr>
            <w:tcW w:w="9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Skillshare,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11/8/2022</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Synack, Inc.</w:t>
            </w:r>
          </w:p>
        </w:tc>
        <w:tc>
          <w:tcPr>
            <w:tcW w:w="1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12/29/2023</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6/30/2032</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116,908</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- 0.79%*</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Kin Insurance,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41,576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5/5/2023</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8/25/2023</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- 0.11%*</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Specialized Consumer Services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AllClear ID,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8/31/2017</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8/31/2027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523,893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10/17/2018</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8/31/2027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346,621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Credit Sesame, Inc.</w:t>
            </w:r>
          </w:p>
        </w:tc>
        <w:tc>
          <w:tcPr>
            <w:tcW w:w="1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1/7/2020</w:t>
            </w:r>
          </w:p>
        </w:tc>
        <w:tc>
          <w:tcPr>
            <w:tcW w:w="940" w:type="dxa"/>
            <w:vAlign w:val="bottom"/>
            <w:tcBorders>
              <w:bottom w:val="single" w:sz="8" w:color="CFF0FC"/>
            </w:tcBorders>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1/7/2030</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191,601</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Specialized Consumer Services - 0.07%*</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Dejero Labs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5/31/2019</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5/31/2029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333,621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 (8) (12)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Linxup, LLC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11/3/2023</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11/3/2033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Scale Computing, Inc.</w:t>
            </w:r>
          </w:p>
        </w:tc>
        <w:tc>
          <w:tcPr>
            <w:tcW w:w="10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3/29/2019</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3/29/2029</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9,665,6</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346</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System Software - 0.11%*</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RealWear,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10/5/2018</w:t>
            </w:r>
          </w:p>
        </w:tc>
        <w:tc>
          <w:tcPr>
            <w:tcW w:w="9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10/5/2028</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112,451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12/28/2018</w:t>
            </w:r>
          </w:p>
        </w:tc>
        <w:tc>
          <w:tcPr>
            <w:tcW w:w="9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12/28/2028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6/27/2019</w:t>
            </w:r>
          </w:p>
        </w:tc>
        <w:tc>
          <w:tcPr>
            <w:tcW w:w="9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6/27/2029</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123,894</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gridSpan w:val="3"/>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Warrants - 2.78%*</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22,714</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14,674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gridSpan w:val="3"/>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6"/>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 Investments - 182.34%*</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1,002,8</w:t>
            </w:r>
          </w:p>
        </w:tc>
        <w:tc>
          <w:tcPr>
            <w:tcW w:w="10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965,397</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-4747895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-4747895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-3530600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-3530600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-2844800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-2844800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-2159000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-2159000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-1387475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-1387475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-701675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-701675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-461645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-461645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-221615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-221615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11315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42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9"/>
                <w:szCs w:val="19"/>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(1),(2),(4)</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9"/>
                <w:szCs w:val="19"/>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9"/>
                <w:szCs w:val="19"/>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220" w:type="dxa"/>
            <w:vAlign w:val="bottom"/>
          </w:tcPr>
          <w:p>
            <w:pPr>
              <w:spacing w:after="0"/>
              <w:rPr>
                <w:sz w:val="19"/>
                <w:szCs w:val="19"/>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08"/>
        </w:trPr>
        <w:tc>
          <w:tcPr>
            <w:tcW w:w="2420" w:type="dxa"/>
            <w:vAlign w:val="bottom"/>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ind w:left="300"/>
              <w:spacing w:after="0" w:line="108" w:lineRule="exact"/>
              <w:rPr>
                <w:sz w:val="20"/>
                <w:szCs w:val="20"/>
                <w:color w:val="auto"/>
              </w:rPr>
            </w:pPr>
            <w:r>
              <w:rPr>
                <w:rFonts w:ascii="Times New Roman" w:cs="Times New Roman" w:eastAsia="Times New Roman" w:hAnsi="Times New Roman"/>
                <w:sz w:val="12"/>
                <w:szCs w:val="12"/>
                <w:b w:val="1"/>
                <w:bCs w:val="1"/>
                <w:color w:val="auto"/>
              </w:rPr>
              <w:t>Type</w:t>
            </w:r>
          </w:p>
        </w:tc>
        <w:tc>
          <w:tcPr>
            <w:tcW w:w="120" w:type="dxa"/>
            <w:vAlign w:val="bottom"/>
          </w:tcPr>
          <w:p>
            <w:pPr>
              <w:spacing w:after="0"/>
              <w:rPr>
                <w:sz w:val="9"/>
                <w:szCs w:val="9"/>
                <w:color w:val="auto"/>
              </w:rPr>
            </w:pPr>
          </w:p>
        </w:tc>
        <w:tc>
          <w:tcPr>
            <w:tcW w:w="186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Investment Description</w:t>
            </w:r>
          </w:p>
        </w:tc>
        <w:tc>
          <w:tcPr>
            <w:tcW w:w="12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Date</w:t>
            </w:r>
          </w:p>
        </w:tc>
        <w:tc>
          <w:tcPr>
            <w:tcW w:w="120" w:type="dxa"/>
            <w:vAlign w:val="bottom"/>
          </w:tcPr>
          <w:p>
            <w:pPr>
              <w:spacing w:after="0"/>
              <w:rPr>
                <w:sz w:val="9"/>
                <w:szCs w:val="9"/>
                <w:color w:val="auto"/>
              </w:rPr>
            </w:pPr>
          </w:p>
        </w:tc>
        <w:tc>
          <w:tcPr>
            <w:tcW w:w="1060" w:type="dxa"/>
            <w:vAlign w:val="bottom"/>
            <w:gridSpan w:val="3"/>
          </w:tcPr>
          <w:p>
            <w:pPr>
              <w:jc w:val="center"/>
              <w:ind w:right="320"/>
              <w:spacing w:after="0" w:line="108" w:lineRule="exact"/>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 / Shares</w:t>
            </w: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Value ($)</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280" w:type="dxa"/>
            <w:vAlign w:val="bottom"/>
            <w:tcBorders>
              <w:top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120" w:type="dxa"/>
            <w:vAlign w:val="bottom"/>
            <w:gridSpan w:val="4"/>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gridSpan w:val="6"/>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SOFR+8.75%, 8.00% ceiling,</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94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11/30/2026</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25,595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25,978</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23,656</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5.00%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- 4.47%*</w:t>
            </w: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23,656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gridSpan w:val="3"/>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Total Debt Investments - 4.47%*</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23,656</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40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6"/>
          </w:tcPr>
          <w:p>
            <w:pPr>
              <w:ind w:left="300"/>
              <w:spacing w:after="0" w:line="139" w:lineRule="exact"/>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tcPr>
          <w:p>
            <w:pPr>
              <w:spacing w:after="0"/>
              <w:rPr>
                <w:sz w:val="12"/>
                <w:szCs w:val="12"/>
                <w:color w:val="auto"/>
              </w:rPr>
            </w:pPr>
          </w:p>
        </w:tc>
        <w:tc>
          <w:tcPr>
            <w:tcW w:w="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3/9/2020</w:t>
            </w:r>
          </w:p>
        </w:tc>
        <w:tc>
          <w:tcPr>
            <w:tcW w:w="12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4,551</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124</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440" w:type="dxa"/>
            <w:vAlign w:val="bottom"/>
            <w:tcBorders>
              <w:bottom w:val="single" w:sz="8" w:color="CFF0FC"/>
            </w:tcBorders>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- 0.02%*</w:t>
            </w: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40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6"/>
          </w:tcPr>
          <w:p>
            <w:pPr>
              <w:ind w:left="30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tcPr>
          <w:p>
            <w:pPr>
              <w:spacing w:after="0"/>
              <w:rPr>
                <w:sz w:val="12"/>
                <w:szCs w:val="12"/>
                <w:color w:val="auto"/>
              </w:rPr>
            </w:pPr>
          </w:p>
        </w:tc>
        <w:tc>
          <w:tcPr>
            <w:tcW w:w="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120" w:type="dxa"/>
            <w:vAlign w:val="bottom"/>
          </w:tcPr>
          <w:p>
            <w:pPr>
              <w:spacing w:after="0"/>
              <w:rPr>
                <w:sz w:val="12"/>
                <w:szCs w:val="12"/>
                <w:color w:val="auto"/>
              </w:rPr>
            </w:pPr>
          </w:p>
        </w:tc>
        <w:tc>
          <w:tcPr>
            <w:tcW w:w="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3,266,6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104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4"/>
                <w:szCs w:val="14"/>
                <w:color w:val="auto"/>
              </w:rPr>
              <w:t>21,246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A-1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10/24/2023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w:t>
            </w:r>
          </w:p>
        </w:tc>
        <w:tc>
          <w:tcPr>
            <w:tcW w:w="1040" w:type="dxa"/>
            <w:vAlign w:val="bottom"/>
            <w:gridSpan w:val="4"/>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4,540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(26)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- 4.87%*</w:t>
            </w: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28,100</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25,786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gridSpan w:val="3"/>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- 4.89%*</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25,910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3/9/2020</w:t>
            </w:r>
          </w:p>
        </w:tc>
        <w:tc>
          <w:tcPr>
            <w:tcW w:w="9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3/9/2030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811,770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440" w:type="dxa"/>
            <w:vAlign w:val="bottom"/>
            <w:tcBorders>
              <w:bottom w:val="single" w:sz="8" w:color="CFF0FC"/>
            </w:tcBorders>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- 0.02%*</w:t>
            </w: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3/1/2023</w:t>
            </w:r>
          </w:p>
        </w:tc>
        <w:tc>
          <w:tcPr>
            <w:tcW w:w="9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3/1/2030</w:t>
            </w:r>
          </w:p>
        </w:tc>
        <w:tc>
          <w:tcPr>
            <w:tcW w:w="120" w:type="dxa"/>
            <w:vAlign w:val="bottom"/>
          </w:tcPr>
          <w:p>
            <w:pPr>
              <w:spacing w:after="0"/>
              <w:rPr>
                <w:sz w:val="15"/>
                <w:szCs w:val="15"/>
                <w:color w:val="auto"/>
              </w:rPr>
            </w:pPr>
          </w:p>
        </w:tc>
        <w:tc>
          <w:tcPr>
            <w:tcW w:w="10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440" w:type="dxa"/>
            <w:vAlign w:val="bottom"/>
            <w:tcBorders>
              <w:bottom w:val="single" w:sz="8" w:color="CFF0FC"/>
            </w:tcBorders>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- 0.06%*</w:t>
            </w: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gridSpan w:val="6"/>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Warrants - 0.08%*</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gridSpan w:val="7"/>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Affiliate Investments - 9.44%*</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58,942</w:t>
            </w:r>
          </w:p>
        </w:tc>
        <w:tc>
          <w:tcPr>
            <w:tcW w:w="1040" w:type="dxa"/>
            <w:vAlign w:val="bottom"/>
            <w:gridSpan w:val="4"/>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49,985</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8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140" w:type="dxa"/>
            <w:vAlign w:val="bottom"/>
            <w:tcBorders>
              <w:bottom w:val="single" w:sz="8" w:color="CFF0FC"/>
            </w:tcBorders>
            <w:gridSpan w:val="5"/>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440" w:type="dxa"/>
            <w:vAlign w:val="bottom"/>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Pivot3, Inc.</w:t>
            </w:r>
          </w:p>
        </w:tc>
        <w:tc>
          <w:tcPr>
            <w:tcW w:w="1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Equity Interest</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12/31/2023</w:t>
            </w: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106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(21)</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5420" w:type="dxa"/>
            <w:vAlign w:val="bottom"/>
            <w:tcBorders>
              <w:bottom w:val="single" w:sz="8" w:color="CFF0FC"/>
            </w:tcBorders>
            <w:gridSpan w:val="10"/>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- 0.18%*</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gridSpan w:val="6"/>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- 0.18%*</w:t>
            </w: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gridSpan w:val="7"/>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Control Investments - 0.18%*</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bottom w:val="single" w:sz="8" w:color="CFF0FC"/>
            </w:tcBorders>
          </w:tcPr>
          <w:p>
            <w:pPr>
              <w:spacing w:after="0"/>
              <w:rPr>
                <w:sz w:val="13"/>
                <w:szCs w:val="13"/>
                <w:color w:val="auto"/>
              </w:rPr>
            </w:pPr>
          </w:p>
        </w:tc>
        <w:tc>
          <w:tcPr>
            <w:tcW w:w="1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CFF0FC"/>
              <w:bottom w:val="single" w:sz="8" w:color="CFF0FC"/>
            </w:tcBorders>
          </w:tcPr>
          <w:p>
            <w:pPr>
              <w:spacing w:after="0"/>
              <w:rPr>
                <w:sz w:val="13"/>
                <w:szCs w:val="13"/>
                <w:color w:val="auto"/>
              </w:rPr>
            </w:pPr>
          </w:p>
        </w:tc>
        <w:tc>
          <w:tcPr>
            <w:tcW w:w="18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9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86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90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8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74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CFF0FC"/>
              <w:bottom w:val="single" w:sz="8" w:color="CFF0FC"/>
            </w:tcBorders>
          </w:tcPr>
          <w:p>
            <w:pPr>
              <w:spacing w:after="0"/>
              <w:rPr>
                <w:sz w:val="13"/>
                <w:szCs w:val="13"/>
                <w:color w:val="auto"/>
              </w:rPr>
            </w:pPr>
          </w:p>
        </w:tc>
        <w:tc>
          <w:tcPr>
            <w:tcW w:w="760" w:type="dxa"/>
            <w:vAlign w:val="bottom"/>
            <w:tcBorders>
              <w:top w:val="single" w:sz="8" w:color="CFF0FC"/>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1,062,7</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24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Investments - 191.96%*</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1,016,332</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-5039995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-5039995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-4028440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-4028440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-3394075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-3394075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-3154045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-3154045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-2459990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-2459990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-1996440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-1996440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-1765300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-1765300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-1525270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-1525270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-839470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-839470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-599440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-599440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-359410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-359410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-239395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interest</w:t>
            </w:r>
          </w:p>
        </w:tc>
        <w:tc>
          <w:tcPr>
            <w:tcW w:w="0" w:type="dxa"/>
            <w:vAlign w:val="bottom"/>
          </w:tcPr>
          <w:p>
            <w:pPr>
              <w:spacing w:after="0"/>
              <w:rPr>
                <w:sz w:val="1"/>
                <w:szCs w:val="1"/>
                <w:color w:val="auto"/>
              </w:rPr>
            </w:pPr>
          </w:p>
        </w:tc>
      </w:tr>
      <w:tr>
        <w:trPr>
          <w:trHeight w:val="84"/>
        </w:trPr>
        <w:tc>
          <w:tcPr>
            <w:tcW w:w="240" w:type="dxa"/>
            <w:vAlign w:val="bottom"/>
          </w:tcPr>
          <w:p>
            <w:pPr>
              <w:spacing w:after="0"/>
              <w:rPr>
                <w:sz w:val="7"/>
                <w:szCs w:val="7"/>
                <w:color w:val="auto"/>
              </w:rPr>
            </w:pPr>
          </w:p>
        </w:tc>
        <w:tc>
          <w:tcPr>
            <w:tcW w:w="10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0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rate debt instruments bear interest at a rate that is determined by reference to the U.S. Prime Rate, the 1-month Secured Overnight Financing Rate ("SOFR"), or the 3-month Secured</w:t>
            </w:r>
          </w:p>
        </w:tc>
        <w:tc>
          <w:tcPr>
            <w:tcW w:w="0" w:type="dxa"/>
            <w:vAlign w:val="bottom"/>
          </w:tcPr>
          <w:p>
            <w:pPr>
              <w:spacing w:after="0"/>
              <w:rPr>
                <w:sz w:val="1"/>
                <w:szCs w:val="1"/>
                <w:color w:val="auto"/>
              </w:rPr>
            </w:pPr>
          </w:p>
        </w:tc>
      </w:tr>
      <w:tr>
        <w:trPr>
          <w:trHeight w:val="176"/>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(2)</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Overnight Financing Rate ("SOFR"). At March 31, 2024, the U.S. Prime Rate was 8.50%, the 1-Month SOFR was 5.33%, and the 3-Month SOFR was 5.30%.</w:t>
            </w: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w:t>
            </w:r>
          </w:p>
        </w:tc>
        <w:tc>
          <w:tcPr>
            <w:tcW w:w="0" w:type="dxa"/>
            <w:vAlign w:val="bottom"/>
          </w:tcPr>
          <w:p>
            <w:pPr>
              <w:spacing w:after="0"/>
              <w:rPr>
                <w:sz w:val="1"/>
                <w:szCs w:val="1"/>
                <w:color w:val="auto"/>
              </w:rPr>
            </w:pPr>
          </w:p>
        </w:tc>
      </w:tr>
      <w:tr>
        <w:trPr>
          <w:trHeight w:val="84"/>
        </w:trPr>
        <w:tc>
          <w:tcPr>
            <w:tcW w:w="240" w:type="dxa"/>
            <w:vAlign w:val="bottom"/>
          </w:tcPr>
          <w:p>
            <w:pPr>
              <w:spacing w:after="0"/>
              <w:rPr>
                <w:sz w:val="7"/>
                <w:szCs w:val="7"/>
                <w:color w:val="auto"/>
              </w:rPr>
            </w:pPr>
          </w:p>
        </w:tc>
        <w:tc>
          <w:tcPr>
            <w:tcW w:w="10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0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except as otherwise noted, are subject to limitation on resale, may be deemed to be “restricted securities” under the Securities Act, and were valued at fair value as determined in good faith</w:t>
            </w:r>
          </w:p>
        </w:tc>
        <w:tc>
          <w:tcPr>
            <w:tcW w:w="0" w:type="dxa"/>
            <w:vAlign w:val="bottom"/>
          </w:tcPr>
          <w:p>
            <w:pPr>
              <w:spacing w:after="0"/>
              <w:rPr>
                <w:sz w:val="1"/>
                <w:szCs w:val="1"/>
                <w:color w:val="auto"/>
              </w:rPr>
            </w:pPr>
          </w:p>
        </w:tc>
      </w:tr>
      <w:tr>
        <w:trPr>
          <w:trHeight w:val="176"/>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(3)</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by the Board of Directors.</w:t>
            </w: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Investments are held at Fair Value net of the Fair Value of Unfunded Commitments. Refer to "Note 8 – Commitments and Contingencies" for additional detail.</w:t>
            </w:r>
          </w:p>
        </w:tc>
        <w:tc>
          <w:tcPr>
            <w:tcW w:w="0" w:type="dxa"/>
            <w:vAlign w:val="bottom"/>
          </w:tcPr>
          <w:p>
            <w:pPr>
              <w:spacing w:after="0"/>
              <w:rPr>
                <w:sz w:val="1"/>
                <w:szCs w:val="1"/>
                <w:color w:val="auto"/>
              </w:rPr>
            </w:pPr>
          </w:p>
        </w:tc>
      </w:tr>
      <w:tr>
        <w:trPr>
          <w:trHeight w:val="111"/>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(4)</w:t>
            </w:r>
          </w:p>
        </w:tc>
        <w:tc>
          <w:tcPr>
            <w:tcW w:w="10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All portfolio companies are domiciled in the United States, unless otherwise noted.</w:t>
            </w:r>
          </w:p>
        </w:tc>
        <w:tc>
          <w:tcPr>
            <w:tcW w:w="0" w:type="dxa"/>
            <w:vAlign w:val="bottom"/>
          </w:tcPr>
          <w:p>
            <w:pPr>
              <w:spacing w:after="0"/>
              <w:rPr>
                <w:sz w:val="1"/>
                <w:szCs w:val="1"/>
                <w:color w:val="auto"/>
              </w:rPr>
            </w:pPr>
          </w:p>
        </w:tc>
      </w:tr>
      <w:tr>
        <w:trPr>
          <w:trHeight w:val="111"/>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(5)</w:t>
            </w:r>
          </w:p>
        </w:tc>
        <w:tc>
          <w:tcPr>
            <w:tcW w:w="10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Portfolio company is domiciled in the United Kingdom. Fair value of United-Kingdom-domiciled investments represents 14.61% of net assets.</w:t>
            </w:r>
          </w:p>
        </w:tc>
        <w:tc>
          <w:tcPr>
            <w:tcW w:w="0" w:type="dxa"/>
            <w:vAlign w:val="bottom"/>
          </w:tcPr>
          <w:p>
            <w:pPr>
              <w:spacing w:after="0"/>
              <w:rPr>
                <w:sz w:val="1"/>
                <w:szCs w:val="1"/>
                <w:color w:val="auto"/>
              </w:rPr>
            </w:pPr>
          </w:p>
        </w:tc>
      </w:tr>
      <w:tr>
        <w:trPr>
          <w:trHeight w:val="111"/>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(6)</w:t>
            </w:r>
          </w:p>
        </w:tc>
        <w:tc>
          <w:tcPr>
            <w:tcW w:w="10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Portfolio company is domiciled in Germany. Fair value of Germany-domiciled investments represents 7.18% of net assets.</w:t>
            </w:r>
          </w:p>
        </w:tc>
        <w:tc>
          <w:tcPr>
            <w:tcW w:w="0" w:type="dxa"/>
            <w:vAlign w:val="bottom"/>
          </w:tcPr>
          <w:p>
            <w:pPr>
              <w:spacing w:after="0"/>
              <w:rPr>
                <w:sz w:val="1"/>
                <w:szCs w:val="1"/>
                <w:color w:val="auto"/>
              </w:rPr>
            </w:pPr>
          </w:p>
        </w:tc>
      </w:tr>
      <w:tr>
        <w:trPr>
          <w:trHeight w:val="111"/>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(7)</w:t>
            </w:r>
          </w:p>
        </w:tc>
        <w:tc>
          <w:tcPr>
            <w:tcW w:w="10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Portfolio company is domiciled in Canada. Fair value of Canadian-domiciled investments represents 2.76% of net assets.</w:t>
            </w:r>
          </w:p>
        </w:tc>
        <w:tc>
          <w:tcPr>
            <w:tcW w:w="0" w:type="dxa"/>
            <w:vAlign w:val="bottom"/>
          </w:tcPr>
          <w:p>
            <w:pPr>
              <w:spacing w:after="0"/>
              <w:rPr>
                <w:sz w:val="1"/>
                <w:szCs w:val="1"/>
                <w:color w:val="auto"/>
              </w:rPr>
            </w:pPr>
          </w:p>
        </w:tc>
      </w:tr>
      <w:tr>
        <w:trPr>
          <w:trHeight w:val="111"/>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(8)</w:t>
            </w:r>
          </w:p>
        </w:tc>
        <w:tc>
          <w:tcPr>
            <w:tcW w:w="10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Investment is not a qualifying investment as defined under Section 55(a) of the Investment Company Act of 1940, as amended. The fair value of non-qualifying assets represent 12.64% of</w:t>
            </w:r>
          </w:p>
        </w:tc>
        <w:tc>
          <w:tcPr>
            <w:tcW w:w="0" w:type="dxa"/>
            <w:vAlign w:val="bottom"/>
          </w:tcPr>
          <w:p>
            <w:pPr>
              <w:spacing w:after="0"/>
              <w:rPr>
                <w:sz w:val="1"/>
                <w:szCs w:val="1"/>
                <w:color w:val="auto"/>
              </w:rPr>
            </w:pPr>
          </w:p>
        </w:tc>
      </w:tr>
      <w:tr>
        <w:trPr>
          <w:trHeight w:val="84"/>
        </w:trPr>
        <w:tc>
          <w:tcPr>
            <w:tcW w:w="240" w:type="dxa"/>
            <w:vAlign w:val="bottom"/>
          </w:tcPr>
          <w:p>
            <w:pPr>
              <w:spacing w:after="0"/>
              <w:rPr>
                <w:sz w:val="7"/>
                <w:szCs w:val="7"/>
                <w:color w:val="auto"/>
              </w:rPr>
            </w:pPr>
          </w:p>
        </w:tc>
        <w:tc>
          <w:tcPr>
            <w:tcW w:w="10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0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total assets as of March 31, 2024. Qualifying assets must represent at least 70% of total assets at the time of acquisition of any additional non-qualifying assets. If at any time qualifying</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0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assets do not represent at least 70% of the Company's total assets, the Company will be precluded from acquiring any additional non-qualifying assets until such time as it complies with the</w:t>
            </w:r>
          </w:p>
        </w:tc>
        <w:tc>
          <w:tcPr>
            <w:tcW w:w="0" w:type="dxa"/>
            <w:vAlign w:val="bottom"/>
          </w:tcPr>
          <w:p>
            <w:pPr>
              <w:spacing w:after="0"/>
              <w:rPr>
                <w:sz w:val="1"/>
                <w:szCs w:val="1"/>
                <w:color w:val="auto"/>
              </w:rPr>
            </w:pPr>
          </w:p>
        </w:tc>
      </w:tr>
      <w:tr>
        <w:trPr>
          <w:trHeight w:val="176"/>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(9)</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requirements of Section 55(a).</w:t>
            </w: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Represents a PIK security. PIK interest will be accrued and paid at maturity.</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(10)</w:t>
            </w:r>
          </w:p>
        </w:tc>
        <w:tc>
          <w:tcPr>
            <w:tcW w:w="10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(11)</w:t>
            </w:r>
          </w:p>
        </w:tc>
        <w:tc>
          <w:tcPr>
            <w:tcW w:w="1096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Disclosures of end-of-term payments ("ETP") are one-time payments stated as a percentage of original principal amount.</w:t>
            </w:r>
          </w:p>
        </w:tc>
        <w:tc>
          <w:tcPr>
            <w:tcW w:w="0" w:type="dxa"/>
            <w:vAlign w:val="bottom"/>
          </w:tcPr>
          <w:p>
            <w:pPr>
              <w:spacing w:after="0"/>
              <w:rPr>
                <w:sz w:val="1"/>
                <w:szCs w:val="1"/>
                <w:color w:val="auto"/>
              </w:rPr>
            </w:pPr>
          </w:p>
        </w:tc>
      </w:tr>
      <w:tr>
        <w:trPr>
          <w:trHeight w:val="64"/>
        </w:trPr>
        <w:tc>
          <w:tcPr>
            <w:tcW w:w="240" w:type="dxa"/>
            <w:vAlign w:val="bottom"/>
            <w:vMerge w:val="continue"/>
          </w:tcPr>
          <w:p>
            <w:pPr>
              <w:spacing w:after="0"/>
              <w:rPr>
                <w:sz w:val="5"/>
                <w:szCs w:val="5"/>
                <w:color w:val="auto"/>
              </w:rPr>
            </w:pPr>
          </w:p>
        </w:tc>
        <w:tc>
          <w:tcPr>
            <w:tcW w:w="10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The investment is an eligible loan investment in the collateral under the Credit Facility (as defined in "Note 7 – Borrowings").</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(12)</w:t>
            </w:r>
          </w:p>
        </w:tc>
        <w:tc>
          <w:tcPr>
            <w:tcW w:w="10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(13)</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Investments are non-income producing.</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(14)</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Portfolio company is publicly traded and listed on NYSE.</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(15)</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Portfolio company is publicly traded and listed on NASDAQ.</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(16)</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Portfolio company is publicly traded and listed on ASX.</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(17)</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is not a "restricted security" under the Securities Act.</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(18)</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warrant count is based upon a percentage of ownership of Fidelis Cybersecurity, Inc.</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(19)</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is either a cash success fee payable or earnout of shares based on the consummation of certain trigger events.</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096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Investment is denominated in a foreign currency and is publicly traded on ETR. At each balance sheet date, portfolio company investments denominated in foreign currencies are translated</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0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into U.S. dollars using the spot exchange rate on the last business day of the period. Transactions of foreign portfolio company investments, and income related from such investments, are</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(20)</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translated into U.S. dollars using relevant rates of exchange on the respective dates of such transactions.</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(21)</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Convertible notes represent investments that are redeemable by the Company upon occurrence of contingent events. There are no principal or interest payments to be made against the note.</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096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The assets recovered on the senior secured term loan to Pivot 3, Inc. was contributed to P3 Holdco LLC by the Company, a wholly owned subsidiary of the Company. For more information,</w:t>
            </w:r>
          </w:p>
        </w:tc>
        <w:tc>
          <w:tcPr>
            <w:tcW w:w="0" w:type="dxa"/>
            <w:vAlign w:val="bottom"/>
          </w:tcPr>
          <w:p>
            <w:pPr>
              <w:spacing w:after="0"/>
              <w:rPr>
                <w:sz w:val="1"/>
                <w:szCs w:val="1"/>
                <w:color w:val="auto"/>
              </w:rPr>
            </w:pPr>
          </w:p>
        </w:tc>
      </w:tr>
      <w:tr>
        <w:trPr>
          <w:trHeight w:val="192"/>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(22)</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refer to "Note 2 — Summary of Significant Accounting Policies, Principles of Consolidation"</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096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Affiliate portfolio company as defined under the 1940 Act in which the Company owns between 5% and 25% (inclusive) of the investment's voting securities and does not have rights to</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(23)</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maintain greater than 50% representation on the board.</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10960" w:type="dxa"/>
            <w:vAlign w:val="bottom"/>
          </w:tcPr>
          <w:p>
            <w:pPr>
              <w:ind w:left="80"/>
              <w:spacing w:after="0" w:line="133" w:lineRule="exact"/>
              <w:rPr>
                <w:sz w:val="20"/>
                <w:szCs w:val="20"/>
                <w:color w:val="auto"/>
              </w:rPr>
            </w:pPr>
            <w:r>
              <w:rPr>
                <w:rFonts w:ascii="Times New Roman" w:cs="Times New Roman" w:eastAsia="Times New Roman" w:hAnsi="Times New Roman"/>
                <w:sz w:val="14"/>
                <w:szCs w:val="14"/>
                <w:color w:val="auto"/>
              </w:rPr>
              <w:t>Control portfolio company, as defined under the 1940 Act, in which the Company owns more than 25% of the investment’s voting securities or has greater than 50% representation on its</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(24)</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board.</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(25)</w:t>
            </w:r>
          </w:p>
        </w:tc>
        <w:tc>
          <w:tcPr>
            <w:tcW w:w="109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Investment is on non-accrual status as of March 31, 2024 and is therefore considered non-income producing.</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20"/>
                <w:szCs w:val="20"/>
                <w:color w:val="auto"/>
              </w:rPr>
            </w:pPr>
            <w:r>
              <w:rPr>
                <w:rFonts w:ascii="Times New Roman" w:cs="Times New Roman" w:eastAsia="Times New Roman" w:hAnsi="Times New Roman"/>
                <w:sz w:val="10"/>
                <w:szCs w:val="10"/>
                <w:color w:val="auto"/>
              </w:rPr>
              <w:t>(26)</w:t>
            </w:r>
          </w:p>
        </w:tc>
        <w:tc>
          <w:tcPr>
            <w:tcW w:w="10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Sale of equity security is subject to a lock-up period until January 22, 2025</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0960" w:type="dxa"/>
            <w:vAlign w:val="bottom"/>
          </w:tcPr>
          <w:p>
            <w:pPr>
              <w:ind w:left="80"/>
              <w:spacing w:after="0" w:line="90" w:lineRule="exact"/>
              <w:rPr>
                <w:sz w:val="20"/>
                <w:szCs w:val="20"/>
                <w:color w:val="auto"/>
              </w:rPr>
            </w:pPr>
            <w:r>
              <w:rPr>
                <w:rFonts w:ascii="Times New Roman" w:cs="Times New Roman" w:eastAsia="Times New Roman" w:hAnsi="Times New Roman"/>
                <w:sz w:val="10"/>
                <w:szCs w:val="10"/>
                <w:color w:val="auto"/>
              </w:rPr>
              <w:t>Gynesonics, Inc. has the right of first refusal on sale of preferred stock.</w:t>
            </w:r>
          </w:p>
        </w:tc>
        <w:tc>
          <w:tcPr>
            <w:tcW w:w="0" w:type="dxa"/>
            <w:vAlign w:val="bottom"/>
          </w:tcPr>
          <w:p>
            <w:pPr>
              <w:spacing w:after="0"/>
              <w:rPr>
                <w:sz w:val="1"/>
                <w:szCs w:val="1"/>
                <w:color w:val="auto"/>
              </w:rPr>
            </w:pPr>
          </w:p>
        </w:tc>
      </w:tr>
    </w:tbl>
    <w:p>
      <w:pPr>
        <w:ind w:left="20"/>
        <w:spacing w:after="0" w:line="237" w:lineRule="auto"/>
        <w:rPr>
          <w:sz w:val="20"/>
          <w:szCs w:val="20"/>
          <w:color w:val="auto"/>
        </w:rPr>
      </w:pPr>
      <w:r>
        <w:rPr>
          <w:rFonts w:ascii="Times New Roman" w:cs="Times New Roman" w:eastAsia="Times New Roman" w:hAnsi="Times New Roman"/>
          <w:sz w:val="10"/>
          <w:szCs w:val="10"/>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Blueshift Labs,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SOFR+6.25%, 11.25%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12/19/2023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25,500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25,083</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25,083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2.00% PIK, 1.50%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SOFR+9.50%, 12.26%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3/15/2024</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23,147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24,281</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19,028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10.00% cash cap, 7.50%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PRIME+5.00%, 9.00%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7/15/2027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65,916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65,868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64,615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1.00% PIK, 5.75%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VTX Intermediate Holdings,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SOFR+9.00%, 9.50%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87,971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88,747</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87,814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(dba VertexOne)</w:t>
            </w: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10.00% cash cap, 4.50%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- 35.92%*</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203,979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196,540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Betterment Holdings, Inc.</w:t>
            </w:r>
          </w:p>
        </w:tc>
        <w:tc>
          <w:tcPr>
            <w:tcW w:w="1060" w:type="dxa"/>
            <w:vAlign w:val="bottom"/>
            <w:tcBorders>
              <w:bottom w:val="single" w:sz="8" w:color="CFF0FC"/>
            </w:tcBorders>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PRIME+4.50%, 8.50% floor</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10/6/2027</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- 1.44%*</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Elevate Services, Inc.</w:t>
            </w:r>
          </w:p>
        </w:tc>
        <w:tc>
          <w:tcPr>
            <w:tcW w:w="106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SOFR+7.50%, 12.78% floor</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7/10/2027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SOFR+9.26%, 9.76%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39,907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39,945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3.4375%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SOFR+9.25%, 11.86%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19,950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20,503</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19,895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SOFR+8.25%, 10.86%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8/18/2020</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9/30/2024</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950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978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947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Vesta Payment Solutions,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SOFR+7.00%, 9.00% floor,</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11/29/2022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24,769</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24,370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- 19.12%*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104,581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Education Services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Turning Tech Intermediate,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SOFR+8.50%,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6/22/2021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12/14/2025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25,218</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25,702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25,796</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(dba Echo 360, Inc.)</w:t>
            </w: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13.00% cash cap, 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Education Services - 4.72%*</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25,796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SOFR+6.85%, 10.89%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26,293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26,323</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26,790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- 4.90%*</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26,790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Equipment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PRIME+5.25%, 8.75%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14,919</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15,284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3.50%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Equipment - 2.79%*</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15,284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PRIME+4.90%, 8.90%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39,496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40,337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4.50%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SOFR+9.75%, 12.26%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12/15/2026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4,322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4,952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3,791</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10.50%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Nalu Medical, Inc.</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PRIME+2.70%, 6.70%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10/12/2027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20,482</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20,395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21,191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PIK, 4.50%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Route 92 Medical, Inc.</w:t>
            </w:r>
          </w:p>
        </w:tc>
        <w:tc>
          <w:tcPr>
            <w:tcW w:w="106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SOFR+8.48%, 8.98%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34,239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35,435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3.95%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060" w:type="dxa"/>
            <w:vAlign w:val="bottom"/>
            <w:gridSpan w:val="3"/>
            <w:shd w:val="clear" w:color="auto" w:fill="CFF0FC"/>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SOFR+5.75%, 9.00%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25,014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25,450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4.00%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- 23.06%*</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126,204</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-4886325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-4886325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-4423410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-4423410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-3146425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-3146425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-2597785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-2597785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-2049145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-2049145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-1500505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-1500505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-128905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-128905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-8890</wp:posOffset>
            </wp:positionV>
            <wp:extent cx="11315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CloudPay,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10.25%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8/17/2027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74,939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75,465</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(5) (8) (10)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SOFR+8.50% PIK, 9.00%</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40,825</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41,170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36,541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floor, 2.75% ETP</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- 20.47%*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116,109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Madison Reed,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PRIME+4.75%, 11.00%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12/16/2026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10,913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10,784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10,847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11.00% cash cap, 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Marley Spoon SE</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SOFR+7.50%, 8.26%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6/15/2026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44,983</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44,836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44,462</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(6) (8) (9)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1.25% PIK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- 10.11%*</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55,620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55,309</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SOFR+4.75%, 6.75%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12/26/2023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28,000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27,879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27,879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3.25% PIK, 0.96%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Skillshare, Inc.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SOFR+6.50%, 10.72% floor,</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11/8/2022</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11/8/2026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29,765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29,183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Synack,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SOFR+7.00%, 11.07%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39,758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39,758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- 17.70%*</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97,402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96,820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Kin Insurance, Inc.</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12.50%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9/15/2026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75,000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74,877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74,767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- 13.67%*</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74,877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74,767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3PL Central LLC (dba Extensiv)</w:t>
            </w:r>
          </w:p>
        </w:tc>
        <w:tc>
          <w:tcPr>
            <w:tcW w:w="104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SOFR+4.50%, 6.50%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11/9/2022</w:t>
            </w:r>
          </w:p>
        </w:tc>
        <w:tc>
          <w:tcPr>
            <w:tcW w:w="96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11/9/2027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70,395</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70,064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69,066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(9) (10) (11)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2.50% PIK, 2.00% ETP</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Linxup, LLC</w:t>
            </w:r>
          </w:p>
        </w:tc>
        <w:tc>
          <w:tcPr>
            <w:tcW w:w="1040" w:type="dxa"/>
            <w:vAlign w:val="bottom"/>
            <w:gridSpan w:val="2"/>
            <w:shd w:val="clear" w:color="auto" w:fill="CFF0FC"/>
          </w:tcPr>
          <w:p>
            <w:pPr>
              <w:jc w:val="center"/>
              <w:ind w:right="16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PRIME+3.25%, 11.75% floor,</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11/03/2023</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11/15/2027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29,490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29,490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2.25% ETP</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Second Lien</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SOFR+8.00%, 8.50% floor,</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12/22/2025</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14,172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14,278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14,399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(7) (8) (9)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 PIK, 3.00%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System Software - 20.64%*</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112,955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Debt Investments - 174.54%*</w:t>
            </w: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966,328</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954,912</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-3582670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-3582670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-2708275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-2708275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-1748155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-1748155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-1199515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-1199515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-239395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Minute Media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 (12)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Advertising - 0.03%*</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7/10/2018</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289,41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127</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10/19/2020</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230,88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438</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- 0.07%*</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CareCloud,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11% Series A Cumulative</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1/8/2020</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462,06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12,132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3,553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(14) (16)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Redeemable Perpetual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- 0.65%*</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Snagajob.com,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10/26/2023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12/31/2026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44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- 0.25%*</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Marley Spoon SE</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7/7/2023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46,004</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(6) (12) (19)</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- 0.02%*</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Quantum Corporation</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8/13/2021</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459,72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2,607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160</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 (12) (14)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zSpace,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12/31/2020</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6,078,4</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1,119</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- 1.05%*</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3DNA Corp. (dba NationBuilder)</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C-1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12/28/2028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273,16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Aria Systems, Inc.</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G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2,387,7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1,048</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Blueshift Labs,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12/19/2023</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12/20/2028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1,538,4</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3,630</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48</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A-6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10/31/2029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384,61</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846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12/21/2023</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Dtex Systems,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6/1/2018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6/1/2025</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233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C-Prime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7/11/2019</w:t>
            </w:r>
          </w:p>
        </w:tc>
        <w:tc>
          <w:tcPr>
            <w:tcW w:w="96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7/11/2026</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833,33</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389</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0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7/29/2022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7/29/2027</w:t>
            </w:r>
          </w:p>
        </w:tc>
        <w:tc>
          <w:tcPr>
            <w:tcW w:w="1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- 0.40%*</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56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Asset Management &amp; Custody Banks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Betterment Holdings, Inc.</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10/6/2023</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10/6/2033</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9,818</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Total Asset Management &amp; Custody Banks - 0.03%*</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-6137910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-6137910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-5263515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-5263515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-4620895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-4620895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-4157980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-4157980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-3695065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-3695065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-3060700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-3060700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-2820670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-2820670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-582930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-582930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-128905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-128905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-8890</wp:posOffset>
            </wp:positionV>
            <wp:extent cx="11315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Biotechnology</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Mustang Bio,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748,03</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315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TRACON Pharmaceuticals,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9/2/2022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150,75</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226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(14)</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 Biotechnology - 0.01%*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Computer &amp; Electronics Retail</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Massdrop,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7/22/2019</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7/22/2029</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848,09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183</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Computer &amp; Electronics Retail - 0.00%*</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Elevate Services,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7/10/2023</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7/10/2033</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248,99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447</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384</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189,40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219</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12/3/2028</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647,61</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2,162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803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Electronic Equipment &amp; Instruments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Brivo,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10/20/2032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201,00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98</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Epic IO Technologies,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12/17/2028</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8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Electronic Equipment &amp; Instruments - 0.14%*</w:t>
            </w: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Equipment</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C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6/24/2032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214,28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Revelle Aesthetics,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3/30/2032</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115,59</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126</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102</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Equipment - 0.04%*</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Allurion Technologies,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3/30/2021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132,97</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282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6/14/2022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46,256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9/15/2022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1/22/2025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46,256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Earnout</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8/2/2023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8/1/2028</w:t>
            </w:r>
          </w:p>
        </w:tc>
        <w:tc>
          <w:tcPr>
            <w:tcW w:w="1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6/30/2022</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6/30/2032</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605</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690</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 (15)</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CC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8/15/2028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1,770,9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492</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Nalu Medical, Inc.</w:t>
            </w: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D-2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10/12/2022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10/12/2032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91,717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Route 92 Medical, Inc.</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06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6/29/2021</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6/29/2031</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400,00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133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12/29/2022</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600,00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199</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52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VERO Biotech LLC</w:t>
            </w:r>
          </w:p>
        </w:tc>
        <w:tc>
          <w:tcPr>
            <w:tcW w:w="10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12/29/2020</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12/29/2025</w:t>
            </w: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- 0.46%*</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Human Resource &amp; Employment Services</w:t>
            </w: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CloudPay, Inc.</w:t>
            </w: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6/30/2020</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6/30/2030</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8/17/2021</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8/17/2031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(5) (8) (12)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06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Warrant for Series B-1</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9/29/2031</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763,26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343</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5440" w:type="dxa"/>
            <w:vAlign w:val="bottom"/>
            <w:tcBorders>
              <w:bottom w:val="single" w:sz="8" w:color="CFF0FC"/>
            </w:tcBorders>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Human Resource &amp; Employment Services - 0.23%*</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-6085840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-6085840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-5537200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-5537200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-4577080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-4577080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-3788410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-3788410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-3154045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-3154045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-1010920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-1010920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Consolidated Schedule of Investments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gridSpan w:val="2"/>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 Investments</w:t>
            </w:r>
          </w:p>
        </w:tc>
        <w:tc>
          <w:tcPr>
            <w:tcW w:w="9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&amp; Direct Marketing Retail</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Madison Reed,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12/16/2022</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&amp; Direct Marketing Retail - 0.03%*</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3/31/2021</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3/31/2031</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121,58</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174</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104</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12/26/2033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48,632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Fidelis Cybersecurity,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3/25/2022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3/25/2032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 (17)</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520" w:type="dxa"/>
            <w:vAlign w:val="bottom"/>
            <w:gridSpan w:val="2"/>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INRIX, Inc.</w:t>
            </w:r>
          </w:p>
        </w:tc>
        <w:tc>
          <w:tcPr>
            <w:tcW w:w="10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7/26/2019</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7/26/2029</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150,80</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522</w:t>
            </w:r>
          </w:p>
        </w:tc>
        <w:tc>
          <w:tcPr>
            <w:tcW w:w="104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735</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Longtail Ad Solutions, Inc. (dba</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12/12/2029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387,59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321</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JW Player)</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Skillshare, Inc.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11/8/2022</w:t>
            </w:r>
          </w:p>
        </w:tc>
        <w:tc>
          <w:tcPr>
            <w:tcW w:w="9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11/8/2026</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Synack,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12/29/2023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6/30/2032</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116,90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147</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147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Internet Software and Services - 0.30%*</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Kin Insurance, Inc.</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9/26/2022</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5/5/2023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8/25/2023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Property &amp; Casualty Insurance - 0.08%*</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Specialized Consumer Services</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AllClear ID,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8/31/2017</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8/31/2027</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523,89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1,053</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10/17/2018</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8/31/2027</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346,62</w:t>
            </w:r>
          </w:p>
        </w:tc>
        <w:tc>
          <w:tcPr>
            <w:tcW w:w="9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697</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Credit Sesame,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1/7/2020</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1/7/2030</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191,60</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425</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373</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Specialized Consumer Services - 0.07%*</w:t>
            </w: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9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5/31/2019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5/31/2029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333,62</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192</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268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(7) (8) (12)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Linxup, LLC</w:t>
            </w: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11/3/2023</w:t>
            </w:r>
          </w:p>
        </w:tc>
        <w:tc>
          <w:tcPr>
            <w:tcW w:w="9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11/3/2033</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Scale Computing,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3/29/2029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9,665,6</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346</w:t>
            </w: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System Software - 0.10%*</w:t>
            </w: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560" w:type="dxa"/>
            <w:vAlign w:val="bottom"/>
            <w:gridSpan w:val="5"/>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Technology Hardware, Storage &amp; Peripherals</w:t>
            </w: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4"/>
                <w:szCs w:val="14"/>
                <w:color w:val="auto"/>
              </w:rPr>
              <w:t>RealWear, Inc.</w:t>
            </w: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10/5/2018</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10/5/2028</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112,45</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136</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178</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12/28/2018</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12/28/2028</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22,491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6/27/2019</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6/27/2029</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123,89</w:t>
            </w:r>
          </w:p>
        </w:tc>
        <w:tc>
          <w:tcPr>
            <w:tcW w:w="96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381</w:t>
            </w:r>
          </w:p>
        </w:tc>
        <w:tc>
          <w:tcPr>
            <w:tcW w:w="10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196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440" w:type="dxa"/>
            <w:vAlign w:val="bottom"/>
            <w:gridSpan w:val="6"/>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Technology Hardware, Storage &amp; Peripherals - 0.07%*</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Warrants - 2.19%*</w:t>
            </w:r>
          </w:p>
        </w:tc>
        <w:tc>
          <w:tcPr>
            <w:tcW w:w="9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20,247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11,971</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gridSpan w:val="2"/>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6"/>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 Investments - 177.78%*</w:t>
            </w:r>
          </w:p>
        </w:tc>
        <w:tc>
          <w:tcPr>
            <w:tcW w:w="1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1,005,0</w:t>
            </w:r>
          </w:p>
        </w:tc>
        <w:tc>
          <w:tcPr>
            <w:tcW w:w="10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972,604</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400" w:type="dxa"/>
            <w:vAlign w:val="bottom"/>
            <w:tcBorders>
              <w:top w:val="single" w:sz="8" w:color="auto"/>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CFF0FC"/>
            </w:tcBorders>
            <w:shd w:val="clear" w:color="auto" w:fill="CFF0FC"/>
          </w:tcPr>
          <w:p>
            <w:pPr>
              <w:spacing w:after="0"/>
              <w:rPr>
                <w:sz w:val="13"/>
                <w:szCs w:val="13"/>
                <w:color w:val="auto"/>
              </w:rPr>
            </w:pPr>
          </w:p>
        </w:tc>
        <w:tc>
          <w:tcPr>
            <w:tcW w:w="40" w:type="dxa"/>
            <w:vAlign w:val="bottom"/>
            <w:tcBorders>
              <w:top w:val="single" w:sz="8" w:color="auto"/>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CFF0FC"/>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20" w:type="dxa"/>
            <w:vAlign w:val="bottom"/>
            <w:tcBorders>
              <w:top w:val="single" w:sz="8" w:color="CFF0FC"/>
              <w:bottom w:val="single" w:sz="8" w:color="auto"/>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-5459730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-5459730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-3959860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-3959860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-3274060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-3274060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-2313940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-2313940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-1447800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-1447800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-582295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-582295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-342265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-342265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left="4900" w:right="3580" w:hanging="1308"/>
        <w:spacing w:after="0" w:line="250" w:lineRule="auto"/>
        <w:tabs>
          <w:tab w:leader="none" w:pos="36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Schedule of Investments – (continued)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2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Investment Description</w:t>
            </w:r>
            <w:r>
              <w:rPr>
                <w:rFonts w:ascii="Times New Roman" w:cs="Times New Roman" w:eastAsia="Times New Roman" w:hAnsi="Times New Roman"/>
                <w:sz w:val="19"/>
                <w:szCs w:val="19"/>
                <w:b w:val="1"/>
                <w:bCs w:val="1"/>
                <w:color w:val="auto"/>
                <w:w w:val="95"/>
                <w:vertAlign w:val="superscript"/>
              </w:rPr>
              <w:t>(1),(2),(4)</w:t>
            </w:r>
          </w:p>
        </w:tc>
        <w:tc>
          <w:tcPr>
            <w:tcW w:w="1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9"/>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Value ($) </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400" w:type="dxa"/>
            <w:vAlign w:val="bottom"/>
            <w:gridSpan w:val="8"/>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120" w:type="dxa"/>
            <w:vAlign w:val="bottom"/>
            <w:tcBorders>
              <w:top w:val="single" w:sz="8" w:color="CFF0FC"/>
            </w:tcBorders>
            <w:gridSpan w:val="5"/>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7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8"/>
          </w:tcPr>
          <w:p>
            <w:pPr>
              <w:ind w:left="30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tcPr>
          <w:p>
            <w:pPr>
              <w:spacing w:after="0"/>
              <w:rPr>
                <w:sz w:val="12"/>
                <w:szCs w:val="12"/>
                <w:color w:val="auto"/>
              </w:rPr>
            </w:pPr>
          </w:p>
        </w:tc>
        <w:tc>
          <w:tcPr>
            <w:tcW w:w="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2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SOFR+8.75%, 8.00% ceiling,</w:t>
            </w:r>
          </w:p>
        </w:tc>
        <w:tc>
          <w:tcPr>
            <w:tcW w:w="1020" w:type="dxa"/>
            <w:vAlign w:val="bottom"/>
            <w:gridSpan w:val="2"/>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96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11/30/2026</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25,595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25,897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23,586</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(10) (11)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5.00% ETP</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440" w:type="dxa"/>
            <w:vAlign w:val="bottom"/>
            <w:tcBorders>
              <w:bottom w:val="single" w:sz="8" w:color="CFF0FC"/>
            </w:tcBorders>
            <w:gridSpan w:val="10"/>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- 4.31%*</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25,897</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gridSpan w:val="8"/>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Debt Investments - 4.31%*</w:t>
            </w: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25,897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8"/>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gridSpan w:val="8"/>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3/9/2020</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1,040,1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856</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gridSpan w:val="8"/>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A-2 Preferred Stock</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3/1/2023</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3,266,6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21,461</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18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A-1 Preferred Stock</w:t>
            </w:r>
          </w:p>
        </w:tc>
        <w:tc>
          <w:tcPr>
            <w:tcW w:w="10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10/24/2023</w:t>
            </w:r>
          </w:p>
        </w:tc>
        <w:tc>
          <w:tcPr>
            <w:tcW w:w="1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8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4,577</w:t>
            </w:r>
          </w:p>
        </w:tc>
        <w:tc>
          <w:tcPr>
            <w:tcW w:w="98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440" w:type="dxa"/>
            <w:vAlign w:val="bottom"/>
            <w:tcBorders>
              <w:bottom w:val="single" w:sz="8" w:color="CFF0FC"/>
            </w:tcBorders>
            <w:gridSpan w:val="10"/>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- 4.76%*</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28,100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26,038</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gridSpan w:val="8"/>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- 4.92%*</w:t>
            </w: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32,651</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26,894</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8"/>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400" w:type="dxa"/>
            <w:vAlign w:val="bottom"/>
            <w:gridSpan w:val="8"/>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Warrants</w:t>
            </w:r>
          </w:p>
        </w:tc>
        <w:tc>
          <w:tcPr>
            <w:tcW w:w="12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20" w:type="dxa"/>
            <w:vAlign w:val="bottom"/>
            <w:gridSpan w:val="2"/>
            <w:shd w:val="clear" w:color="auto" w:fill="CFF0FC"/>
          </w:tcPr>
          <w:p>
            <w:pPr>
              <w:jc w:val="center"/>
              <w:ind w:left="68"/>
              <w:spacing w:after="0" w:line="139" w:lineRule="exact"/>
              <w:rPr>
                <w:sz w:val="20"/>
                <w:szCs w:val="20"/>
                <w:color w:val="auto"/>
              </w:rPr>
            </w:pPr>
            <w:r>
              <w:rPr>
                <w:rFonts w:ascii="Times New Roman" w:cs="Times New Roman" w:eastAsia="Times New Roman" w:hAnsi="Times New Roman"/>
                <w:sz w:val="14"/>
                <w:szCs w:val="14"/>
                <w:color w:val="auto"/>
              </w:rPr>
              <w:t>3/9/2020</w:t>
            </w:r>
          </w:p>
        </w:tc>
        <w:tc>
          <w:tcPr>
            <w:tcW w:w="960" w:type="dxa"/>
            <w:vAlign w:val="bottom"/>
            <w:gridSpan w:val="2"/>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3/9/2030</w:t>
            </w:r>
          </w:p>
        </w:tc>
        <w:tc>
          <w:tcPr>
            <w:tcW w:w="82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811,77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663</w:t>
            </w:r>
          </w:p>
        </w:tc>
        <w:tc>
          <w:tcPr>
            <w:tcW w:w="98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Total Application Software - 0.12%*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2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3/1/2023</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3/1/2030</w:t>
            </w:r>
          </w:p>
        </w:tc>
        <w:tc>
          <w:tcPr>
            <w:tcW w:w="12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(18)</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3440" w:type="dxa"/>
            <w:vAlign w:val="bottom"/>
            <w:tcBorders>
              <w:top w:val="single" w:sz="8" w:color="CFF0FC"/>
            </w:tcBorders>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Total Health Care Technology - 0.06%*</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7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Total Warrants - 0.18%*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Affiliate Investments - 9.41%*</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58,861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51,456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140" w:type="dxa"/>
            <w:vAlign w:val="bottom"/>
            <w:gridSpan w:val="6"/>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400" w:type="dxa"/>
            <w:vAlign w:val="bottom"/>
            <w:gridSpan w:val="8"/>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Data Processing &amp; Outsourced Services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400" w:type="dxa"/>
            <w:vAlign w:val="bottom"/>
            <w:gridSpan w:val="8"/>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Pivot3, Inc.</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0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12/31/2023</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N/A</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(12) (21)</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5440" w:type="dxa"/>
            <w:vAlign w:val="bottom"/>
            <w:tcBorders>
              <w:top w:val="single" w:sz="8" w:color="CFF0FC"/>
            </w:tcBorders>
            <w:gridSpan w:val="13"/>
          </w:tcPr>
          <w:p>
            <w:pPr>
              <w:ind w:left="300"/>
              <w:spacing w:after="0"/>
              <w:rPr>
                <w:sz w:val="20"/>
                <w:szCs w:val="20"/>
                <w:color w:val="auto"/>
              </w:rPr>
            </w:pPr>
            <w:r>
              <w:rPr>
                <w:rFonts w:ascii="Times New Roman" w:cs="Times New Roman" w:eastAsia="Times New Roman" w:hAnsi="Times New Roman"/>
                <w:sz w:val="14"/>
                <w:szCs w:val="14"/>
                <w:b w:val="1"/>
                <w:bCs w:val="1"/>
                <w:color w:val="auto"/>
              </w:rPr>
              <w:t>Total Data Processing &amp; Outsourced Services - 0.17%*</w:t>
            </w:r>
          </w:p>
        </w:tc>
        <w:tc>
          <w:tcPr>
            <w:tcW w:w="12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Total Equity Investments - 0.17%*</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Control Investments - 0.17%*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7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1,064,8</w:t>
            </w:r>
          </w:p>
        </w:tc>
        <w:tc>
          <w:tcPr>
            <w:tcW w:w="380" w:type="dxa"/>
            <w:vAlign w:val="bottom"/>
            <w:gridSpan w:val="2"/>
          </w:tcPr>
          <w:p>
            <w:pPr>
              <w:jc w:val="right"/>
              <w:ind w:right="8"/>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1,025,010</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6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 excluding U.S. Treasury Bills - 187.36%*</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2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 Treasury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 4.324%</w:t>
            </w:r>
          </w:p>
        </w:tc>
        <w:tc>
          <w:tcPr>
            <w:tcW w:w="10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12/29/2023</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1/4/2024</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42,029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42,014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U.S. Treasury - 7.68%*</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42,014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41,999</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7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1,106,8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Total Investments - 195.04%*</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1,067,009</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-5802630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-5802630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-5571490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-5571490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-5031105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-5031105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-4156710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-4156710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-3916680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-3916680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-3376930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-3376930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-2914015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-2914015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-2442210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-2442210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-1756410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-1756410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-1516380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-1516380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-1276350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-1276350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-1036320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-1036320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-479425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-479425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-239395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-239395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left="4900" w:right="3560" w:hanging="1308"/>
        <w:spacing w:after="0" w:line="260" w:lineRule="auto"/>
        <w:tabs>
          <w:tab w:leader="none" w:pos="36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Schedule of Investments – (continued) December 31, 2023</w:t>
      </w:r>
    </w:p>
    <w:p>
      <w:pPr>
        <w:ind w:left="20"/>
        <w:spacing w:after="0" w:line="205" w:lineRule="auto"/>
        <w:rPr>
          <w:sz w:val="20"/>
          <w:szCs w:val="20"/>
          <w:color w:val="auto"/>
        </w:rPr>
      </w:pPr>
      <w:r>
        <w:rPr>
          <w:rFonts w:ascii="Times New Roman" w:cs="Times New Roman" w:eastAsia="Times New Roman" w:hAnsi="Times New Roman"/>
          <w:sz w:val="10"/>
          <w:szCs w:val="10"/>
          <w:color w:val="auto"/>
        </w:rPr>
        <w:t>(1)</w:t>
      </w:r>
    </w:p>
    <w:p>
      <w:pPr>
        <w:ind w:left="360" w:right="80"/>
        <w:spacing w:after="0" w:line="202" w:lineRule="auto"/>
        <w:rPr>
          <w:sz w:val="20"/>
          <w:szCs w:val="20"/>
          <w:color w:val="auto"/>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interest rate debt instruments bear interest at a rate that is determined by reference to the U.S. Prime Rate, the 1-month Secured Overnight Financing Rate ("SOFR"), or the 3-month Secured Overnight Financing Rate ("SOFR"). At December 31, 2023, the U.S. Prime Rate was 8.50% the 1-Month SOFR was 5.35%. and the 3-Month SOFR was 5.35%.</w:t>
      </w:r>
    </w:p>
    <w:p>
      <w:pPr>
        <w:ind w:left="20"/>
        <w:spacing w:after="0" w:line="196" w:lineRule="auto"/>
        <w:rPr>
          <w:sz w:val="20"/>
          <w:szCs w:val="20"/>
          <w:color w:val="auto"/>
        </w:rPr>
      </w:pPr>
      <w:r>
        <w:rPr>
          <w:rFonts w:ascii="Times New Roman" w:cs="Times New Roman" w:eastAsia="Times New Roman" w:hAnsi="Times New Roman"/>
          <w:sz w:val="7"/>
          <w:szCs w:val="7"/>
          <w:color w:val="auto"/>
        </w:rPr>
        <w:t>(2)</w:t>
      </w:r>
    </w:p>
    <w:p>
      <w:pPr>
        <w:ind w:left="360" w:right="60"/>
        <w:spacing w:after="0" w:line="202" w:lineRule="auto"/>
        <w:rPr>
          <w:sz w:val="20"/>
          <w:szCs w:val="20"/>
          <w:color w:val="auto"/>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w:t>
      </w:r>
    </w:p>
    <w:p>
      <w:pPr>
        <w:ind w:left="20"/>
        <w:spacing w:after="0" w:line="196" w:lineRule="auto"/>
        <w:rPr>
          <w:sz w:val="20"/>
          <w:szCs w:val="20"/>
          <w:color w:val="auto"/>
        </w:rPr>
      </w:pPr>
      <w:r>
        <w:rPr>
          <w:rFonts w:ascii="Times New Roman" w:cs="Times New Roman" w:eastAsia="Times New Roman" w:hAnsi="Times New Roman"/>
          <w:sz w:val="7"/>
          <w:szCs w:val="7"/>
          <w:color w:val="auto"/>
        </w:rPr>
        <w:t>(3)</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Investments are held at Fair Value net of the Fair Value of Unfunded Commitments. Refer to "Note 8 – Commitments and Contingencies" for additional detail.</w:t>
      </w:r>
    </w:p>
    <w:p>
      <w:pPr>
        <w:ind w:left="20"/>
        <w:spacing w:after="0" w:line="196" w:lineRule="auto"/>
        <w:rPr>
          <w:sz w:val="20"/>
          <w:szCs w:val="20"/>
          <w:color w:val="auto"/>
        </w:rPr>
      </w:pPr>
      <w:r>
        <w:rPr>
          <w:rFonts w:ascii="Times New Roman" w:cs="Times New Roman" w:eastAsia="Times New Roman" w:hAnsi="Times New Roman"/>
          <w:sz w:val="7"/>
          <w:szCs w:val="7"/>
          <w:color w:val="auto"/>
        </w:rPr>
        <w:t>(4)</w:t>
      </w:r>
    </w:p>
    <w:p>
      <w:pPr>
        <w:ind w:left="360"/>
        <w:spacing w:after="0" w:line="191" w:lineRule="auto"/>
        <w:rPr>
          <w:sz w:val="20"/>
          <w:szCs w:val="20"/>
          <w:color w:val="auto"/>
        </w:rPr>
      </w:pPr>
      <w:r>
        <w:rPr>
          <w:rFonts w:ascii="Times New Roman" w:cs="Times New Roman" w:eastAsia="Times New Roman" w:hAnsi="Times New Roman"/>
          <w:sz w:val="12"/>
          <w:szCs w:val="12"/>
          <w:color w:val="auto"/>
        </w:rPr>
        <w:t>All portfolio companies are domiciled in the United States, unless otherwise noted.</w:t>
      </w:r>
    </w:p>
    <w:p>
      <w:pPr>
        <w:ind w:left="20"/>
        <w:spacing w:after="0" w:line="196" w:lineRule="auto"/>
        <w:rPr>
          <w:sz w:val="20"/>
          <w:szCs w:val="20"/>
          <w:color w:val="auto"/>
        </w:rPr>
      </w:pPr>
      <w:r>
        <w:rPr>
          <w:rFonts w:ascii="Times New Roman" w:cs="Times New Roman" w:eastAsia="Times New Roman" w:hAnsi="Times New Roman"/>
          <w:sz w:val="7"/>
          <w:szCs w:val="7"/>
          <w:color w:val="auto"/>
        </w:rPr>
        <w:t>(5)</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the United Kingdom. Fair value of United-Kingdom-domiciled investments represents 14.05%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(6)</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Germany. Fair value of Germany-domiciled investments represents 8.15%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(7)</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domiciled in Canada. Fair value of Canadian-domiciled investments represents 2.68% of net assets.</w:t>
      </w:r>
    </w:p>
    <w:p>
      <w:pPr>
        <w:ind w:left="20"/>
        <w:spacing w:after="0" w:line="196" w:lineRule="auto"/>
        <w:rPr>
          <w:sz w:val="20"/>
          <w:szCs w:val="20"/>
          <w:color w:val="auto"/>
        </w:rPr>
      </w:pPr>
      <w:r>
        <w:rPr>
          <w:rFonts w:ascii="Times New Roman" w:cs="Times New Roman" w:eastAsia="Times New Roman" w:hAnsi="Times New Roman"/>
          <w:sz w:val="7"/>
          <w:szCs w:val="7"/>
          <w:color w:val="auto"/>
        </w:rPr>
        <w:t>(8)</w:t>
      </w:r>
    </w:p>
    <w:p>
      <w:pPr>
        <w:jc w:val="both"/>
        <w:ind w:left="360"/>
        <w:spacing w:after="0" w:line="206" w:lineRule="auto"/>
        <w:rPr>
          <w:sz w:val="20"/>
          <w:szCs w:val="20"/>
          <w:color w:val="auto"/>
        </w:rPr>
      </w:pPr>
      <w:r>
        <w:rPr>
          <w:rFonts w:ascii="Times New Roman" w:cs="Times New Roman" w:eastAsia="Times New Roman" w:hAnsi="Times New Roman"/>
          <w:sz w:val="14"/>
          <w:szCs w:val="14"/>
          <w:color w:val="auto"/>
        </w:rPr>
        <w:t>Investment is not a qualifying investment as defined under Section 55(a) of the Investment Company Act of 1940, as amended. The fair value of non-qualifying assets represent 12.63% of total assets as of December 31,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ind w:left="20"/>
        <w:spacing w:after="0" w:line="203" w:lineRule="auto"/>
        <w:rPr>
          <w:sz w:val="20"/>
          <w:szCs w:val="20"/>
          <w:color w:val="auto"/>
        </w:rPr>
      </w:pPr>
      <w:r>
        <w:rPr>
          <w:rFonts w:ascii="Times New Roman" w:cs="Times New Roman" w:eastAsia="Times New Roman" w:hAnsi="Times New Roman"/>
          <w:sz w:val="7"/>
          <w:szCs w:val="7"/>
          <w:color w:val="auto"/>
        </w:rPr>
        <w:t>(9)</w:t>
      </w:r>
    </w:p>
    <w:p>
      <w:pPr>
        <w:ind w:left="360"/>
        <w:spacing w:after="0" w:line="191" w:lineRule="auto"/>
        <w:rPr>
          <w:sz w:val="20"/>
          <w:szCs w:val="20"/>
          <w:color w:val="auto"/>
        </w:rPr>
      </w:pPr>
      <w:r>
        <w:rPr>
          <w:rFonts w:ascii="Times New Roman" w:cs="Times New Roman" w:eastAsia="Times New Roman" w:hAnsi="Times New Roman"/>
          <w:sz w:val="12"/>
          <w:szCs w:val="12"/>
          <w:color w:val="auto"/>
        </w:rPr>
        <w:t>Represents a PIK security. PIK interest will be accrued and paid at maturity.</w:t>
      </w:r>
    </w:p>
    <w:p>
      <w:pPr>
        <w:ind w:left="20"/>
        <w:spacing w:after="0" w:line="196" w:lineRule="auto"/>
        <w:rPr>
          <w:sz w:val="20"/>
          <w:szCs w:val="20"/>
          <w:color w:val="auto"/>
        </w:rPr>
      </w:pPr>
      <w:r>
        <w:rPr>
          <w:rFonts w:ascii="Times New Roman" w:cs="Times New Roman" w:eastAsia="Times New Roman" w:hAnsi="Times New Roman"/>
          <w:sz w:val="7"/>
          <w:szCs w:val="7"/>
          <w:color w:val="auto"/>
        </w:rPr>
        <w:t>(10)</w:t>
      </w:r>
    </w:p>
    <w:p>
      <w:pPr>
        <w:ind w:left="360"/>
        <w:spacing w:after="0" w:line="191" w:lineRule="auto"/>
        <w:rPr>
          <w:sz w:val="20"/>
          <w:szCs w:val="20"/>
          <w:color w:val="auto"/>
        </w:rPr>
      </w:pPr>
      <w:r>
        <w:rPr>
          <w:rFonts w:ascii="Times New Roman" w:cs="Times New Roman" w:eastAsia="Times New Roman" w:hAnsi="Times New Roman"/>
          <w:sz w:val="12"/>
          <w:szCs w:val="12"/>
          <w:color w:val="auto"/>
        </w:rPr>
        <w:t>Disclosures of end-of-term payments ("ETP") are one-time payments stated as a percentage of original principal amount.</w:t>
      </w:r>
    </w:p>
    <w:p>
      <w:pPr>
        <w:ind w:left="20"/>
        <w:spacing w:after="0" w:line="196" w:lineRule="auto"/>
        <w:rPr>
          <w:sz w:val="20"/>
          <w:szCs w:val="20"/>
          <w:color w:val="auto"/>
        </w:rPr>
      </w:pPr>
      <w:r>
        <w:rPr>
          <w:rFonts w:ascii="Times New Roman" w:cs="Times New Roman" w:eastAsia="Times New Roman" w:hAnsi="Times New Roman"/>
          <w:sz w:val="7"/>
          <w:szCs w:val="7"/>
          <w:color w:val="auto"/>
        </w:rPr>
        <w:t>(11)</w:t>
      </w:r>
    </w:p>
    <w:p>
      <w:pPr>
        <w:ind w:left="360"/>
        <w:spacing w:after="0" w:line="191" w:lineRule="auto"/>
        <w:rPr>
          <w:sz w:val="20"/>
          <w:szCs w:val="20"/>
          <w:color w:val="auto"/>
        </w:rPr>
      </w:pPr>
      <w:r>
        <w:rPr>
          <w:rFonts w:ascii="Times New Roman" w:cs="Times New Roman" w:eastAsia="Times New Roman" w:hAnsi="Times New Roman"/>
          <w:sz w:val="12"/>
          <w:szCs w:val="12"/>
          <w:color w:val="auto"/>
        </w:rPr>
        <w:t>The investment is an eligible loan investment in the collateral under the Credit Facility (as defined in "Note 7 – Borrowings").</w:t>
      </w:r>
    </w:p>
    <w:p>
      <w:pPr>
        <w:ind w:left="20"/>
        <w:spacing w:after="0" w:line="196" w:lineRule="auto"/>
        <w:rPr>
          <w:sz w:val="20"/>
          <w:szCs w:val="20"/>
          <w:color w:val="auto"/>
        </w:rPr>
      </w:pPr>
      <w:r>
        <w:rPr>
          <w:rFonts w:ascii="Times New Roman" w:cs="Times New Roman" w:eastAsia="Times New Roman" w:hAnsi="Times New Roman"/>
          <w:sz w:val="7"/>
          <w:szCs w:val="7"/>
          <w:color w:val="auto"/>
        </w:rPr>
        <w:t>(12)</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Investments are non-income producing.</w:t>
      </w:r>
    </w:p>
    <w:p>
      <w:pPr>
        <w:ind w:left="20"/>
        <w:spacing w:after="0" w:line="195" w:lineRule="auto"/>
        <w:rPr>
          <w:sz w:val="20"/>
          <w:szCs w:val="20"/>
          <w:color w:val="auto"/>
        </w:rPr>
      </w:pPr>
      <w:r>
        <w:rPr>
          <w:rFonts w:ascii="Times New Roman" w:cs="Times New Roman" w:eastAsia="Times New Roman" w:hAnsi="Times New Roman"/>
          <w:sz w:val="7"/>
          <w:szCs w:val="7"/>
          <w:color w:val="auto"/>
        </w:rPr>
        <w:t>(13)</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NYSE.</w:t>
      </w:r>
    </w:p>
    <w:p>
      <w:pPr>
        <w:ind w:left="20"/>
        <w:spacing w:after="0" w:line="196" w:lineRule="auto"/>
        <w:rPr>
          <w:sz w:val="20"/>
          <w:szCs w:val="20"/>
          <w:color w:val="auto"/>
        </w:rPr>
      </w:pPr>
      <w:r>
        <w:rPr>
          <w:rFonts w:ascii="Times New Roman" w:cs="Times New Roman" w:eastAsia="Times New Roman" w:hAnsi="Times New Roman"/>
          <w:sz w:val="7"/>
          <w:szCs w:val="7"/>
          <w:color w:val="auto"/>
        </w:rPr>
        <w:t>(14)</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NASDAQ.</w:t>
      </w:r>
    </w:p>
    <w:p>
      <w:pPr>
        <w:ind w:left="20"/>
        <w:spacing w:after="0" w:line="196" w:lineRule="auto"/>
        <w:rPr>
          <w:sz w:val="20"/>
          <w:szCs w:val="20"/>
          <w:color w:val="auto"/>
        </w:rPr>
      </w:pPr>
      <w:r>
        <w:rPr>
          <w:rFonts w:ascii="Times New Roman" w:cs="Times New Roman" w:eastAsia="Times New Roman" w:hAnsi="Times New Roman"/>
          <w:sz w:val="7"/>
          <w:szCs w:val="7"/>
          <w:color w:val="auto"/>
        </w:rPr>
        <w:t>(15)</w:t>
      </w:r>
    </w:p>
    <w:p>
      <w:pPr>
        <w:ind w:left="360"/>
        <w:spacing w:after="0" w:line="191" w:lineRule="auto"/>
        <w:rPr>
          <w:sz w:val="20"/>
          <w:szCs w:val="20"/>
          <w:color w:val="auto"/>
        </w:rPr>
      </w:pPr>
      <w:r>
        <w:rPr>
          <w:rFonts w:ascii="Times New Roman" w:cs="Times New Roman" w:eastAsia="Times New Roman" w:hAnsi="Times New Roman"/>
          <w:sz w:val="12"/>
          <w:szCs w:val="12"/>
          <w:color w:val="auto"/>
        </w:rPr>
        <w:t>Portfolio company is publicly traded and listed on ASX.</w:t>
      </w:r>
    </w:p>
    <w:p>
      <w:pPr>
        <w:ind w:left="20"/>
        <w:spacing w:after="0" w:line="196" w:lineRule="auto"/>
        <w:rPr>
          <w:sz w:val="20"/>
          <w:szCs w:val="20"/>
          <w:color w:val="auto"/>
        </w:rPr>
      </w:pPr>
      <w:r>
        <w:rPr>
          <w:rFonts w:ascii="Times New Roman" w:cs="Times New Roman" w:eastAsia="Times New Roman" w:hAnsi="Times New Roman"/>
          <w:sz w:val="7"/>
          <w:szCs w:val="7"/>
          <w:color w:val="auto"/>
        </w:rPr>
        <w:t>(16)</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 is not a "restricted security" under the Securities Act.</w:t>
      </w:r>
    </w:p>
    <w:p>
      <w:pPr>
        <w:ind w:left="20"/>
        <w:spacing w:after="0" w:line="196" w:lineRule="auto"/>
        <w:rPr>
          <w:sz w:val="20"/>
          <w:szCs w:val="20"/>
          <w:color w:val="auto"/>
        </w:rPr>
      </w:pPr>
      <w:r>
        <w:rPr>
          <w:rFonts w:ascii="Times New Roman" w:cs="Times New Roman" w:eastAsia="Times New Roman" w:hAnsi="Times New Roman"/>
          <w:sz w:val="7"/>
          <w:szCs w:val="7"/>
          <w:color w:val="auto"/>
        </w:rPr>
        <w:t>(17)</w:t>
      </w:r>
    </w:p>
    <w:p>
      <w:pPr>
        <w:ind w:left="360"/>
        <w:spacing w:after="0" w:line="191" w:lineRule="auto"/>
        <w:rPr>
          <w:sz w:val="20"/>
          <w:szCs w:val="20"/>
          <w:color w:val="auto"/>
        </w:rPr>
      </w:pPr>
      <w:r>
        <w:rPr>
          <w:rFonts w:ascii="Times New Roman" w:cs="Times New Roman" w:eastAsia="Times New Roman" w:hAnsi="Times New Roman"/>
          <w:sz w:val="12"/>
          <w:szCs w:val="12"/>
          <w:color w:val="auto"/>
        </w:rPr>
        <w:t>The warrant count is based upon a percentage of ownership of Fidelis Cybersecurity, Inc.</w:t>
      </w:r>
    </w:p>
    <w:p>
      <w:pPr>
        <w:ind w:left="20"/>
        <w:spacing w:after="0" w:line="196" w:lineRule="auto"/>
        <w:rPr>
          <w:sz w:val="20"/>
          <w:szCs w:val="20"/>
          <w:color w:val="auto"/>
        </w:rPr>
      </w:pPr>
      <w:r>
        <w:rPr>
          <w:rFonts w:ascii="Times New Roman" w:cs="Times New Roman" w:eastAsia="Times New Roman" w:hAnsi="Times New Roman"/>
          <w:sz w:val="7"/>
          <w:szCs w:val="7"/>
          <w:color w:val="auto"/>
        </w:rPr>
        <w:t>(18)</w:t>
      </w:r>
    </w:p>
    <w:p>
      <w:pPr>
        <w:ind w:left="360"/>
        <w:spacing w:after="0" w:line="191" w:lineRule="auto"/>
        <w:rPr>
          <w:sz w:val="20"/>
          <w:szCs w:val="20"/>
          <w:color w:val="auto"/>
        </w:rPr>
      </w:pPr>
      <w:r>
        <w:rPr>
          <w:rFonts w:ascii="Times New Roman" w:cs="Times New Roman" w:eastAsia="Times New Roman" w:hAnsi="Times New Roman"/>
          <w:sz w:val="12"/>
          <w:szCs w:val="12"/>
          <w:color w:val="auto"/>
        </w:rPr>
        <w:t>Investment is either a cash success fee payable or earnout of shares based on the consummation of certain trigger events.</w:t>
      </w:r>
    </w:p>
    <w:p>
      <w:pPr>
        <w:ind w:left="20"/>
        <w:spacing w:after="0" w:line="195" w:lineRule="auto"/>
        <w:rPr>
          <w:sz w:val="20"/>
          <w:szCs w:val="20"/>
          <w:color w:val="auto"/>
        </w:rPr>
      </w:pPr>
      <w:r>
        <w:rPr>
          <w:rFonts w:ascii="Times New Roman" w:cs="Times New Roman" w:eastAsia="Times New Roman" w:hAnsi="Times New Roman"/>
          <w:sz w:val="7"/>
          <w:szCs w:val="7"/>
          <w:color w:val="auto"/>
        </w:rPr>
        <w:t>(19)</w:t>
      </w:r>
    </w:p>
    <w:p>
      <w:pPr>
        <w:ind w:left="360" w:right="40"/>
        <w:spacing w:after="0" w:line="202" w:lineRule="auto"/>
        <w:rPr>
          <w:sz w:val="20"/>
          <w:szCs w:val="20"/>
          <w:color w:val="auto"/>
        </w:rPr>
      </w:pPr>
      <w:r>
        <w:rPr>
          <w:rFonts w:ascii="Times New Roman" w:cs="Times New Roman" w:eastAsia="Times New Roman" w:hAnsi="Times New Roman"/>
          <w:sz w:val="14"/>
          <w:szCs w:val="14"/>
          <w:color w:val="auto"/>
        </w:rPr>
        <w:t>Investment is denominated in a foreign currency and is publicly traded on ETR.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ind w:left="20"/>
        <w:spacing w:after="0" w:line="196" w:lineRule="auto"/>
        <w:rPr>
          <w:sz w:val="20"/>
          <w:szCs w:val="20"/>
          <w:color w:val="auto"/>
        </w:rPr>
      </w:pPr>
      <w:r>
        <w:rPr>
          <w:rFonts w:ascii="Times New Roman" w:cs="Times New Roman" w:eastAsia="Times New Roman" w:hAnsi="Times New Roman"/>
          <w:sz w:val="7"/>
          <w:szCs w:val="7"/>
          <w:color w:val="auto"/>
        </w:rPr>
        <w:t>(20)</w:t>
      </w:r>
    </w:p>
    <w:p>
      <w:pPr>
        <w:ind w:left="360"/>
        <w:spacing w:after="0" w:line="191" w:lineRule="auto"/>
        <w:rPr>
          <w:sz w:val="20"/>
          <w:szCs w:val="20"/>
          <w:color w:val="auto"/>
        </w:rPr>
      </w:pPr>
      <w:r>
        <w:rPr>
          <w:rFonts w:ascii="Times New Roman" w:cs="Times New Roman" w:eastAsia="Times New Roman" w:hAnsi="Times New Roman"/>
          <w:sz w:val="12"/>
          <w:szCs w:val="12"/>
          <w:color w:val="auto"/>
        </w:rPr>
        <w:t>Convertible notes represent investments that are redeemable by the Company upon occurrence of contingent events. There are no principal or interest payments to be made against the note.</w:t>
      </w:r>
    </w:p>
    <w:p>
      <w:pPr>
        <w:ind w:left="20"/>
        <w:spacing w:after="0" w:line="196" w:lineRule="auto"/>
        <w:rPr>
          <w:sz w:val="20"/>
          <w:szCs w:val="20"/>
          <w:color w:val="auto"/>
        </w:rPr>
      </w:pPr>
      <w:r>
        <w:rPr>
          <w:rFonts w:ascii="Times New Roman" w:cs="Times New Roman" w:eastAsia="Times New Roman" w:hAnsi="Times New Roman"/>
          <w:sz w:val="7"/>
          <w:szCs w:val="7"/>
          <w:color w:val="auto"/>
        </w:rPr>
        <w:t>(21)</w:t>
      </w:r>
    </w:p>
    <w:p>
      <w:pPr>
        <w:ind w:left="360" w:right="240"/>
        <w:spacing w:after="0" w:line="192" w:lineRule="auto"/>
        <w:rPr>
          <w:sz w:val="20"/>
          <w:szCs w:val="20"/>
          <w:color w:val="auto"/>
        </w:rPr>
      </w:pPr>
      <w:r>
        <w:rPr>
          <w:rFonts w:ascii="Times New Roman" w:cs="Times New Roman" w:eastAsia="Times New Roman" w:hAnsi="Times New Roman"/>
          <w:sz w:val="14"/>
          <w:szCs w:val="14"/>
          <w:color w:val="auto"/>
        </w:rPr>
        <w:t>The assets recovered on the senior secured term loan to Pivot 3, Inc. was contributed to P3 Holdco LLC by the Company, a wholly owned subsidiary of the BDC. For more information, refer to "Note 2 — Summary of Significant Accounting Policies, Principles of Consolidation"</w:t>
      </w:r>
    </w:p>
    <w:p>
      <w:pPr>
        <w:ind w:left="20"/>
        <w:spacing w:after="0" w:line="198" w:lineRule="auto"/>
        <w:rPr>
          <w:sz w:val="20"/>
          <w:szCs w:val="20"/>
          <w:color w:val="auto"/>
        </w:rPr>
      </w:pPr>
      <w:r>
        <w:rPr>
          <w:rFonts w:ascii="Times New Roman" w:cs="Times New Roman" w:eastAsia="Times New Roman" w:hAnsi="Times New Roman"/>
          <w:sz w:val="7"/>
          <w:szCs w:val="7"/>
          <w:color w:val="auto"/>
        </w:rPr>
        <w:t>(22)</w:t>
      </w:r>
    </w:p>
    <w:p>
      <w:pPr>
        <w:ind w:left="360" w:right="200"/>
        <w:spacing w:after="0" w:line="192" w:lineRule="auto"/>
        <w:rPr>
          <w:sz w:val="20"/>
          <w:szCs w:val="20"/>
          <w:color w:val="auto"/>
        </w:rPr>
      </w:pPr>
      <w:r>
        <w:rPr>
          <w:rFonts w:ascii="Times New Roman" w:cs="Times New Roman" w:eastAsia="Times New Roman" w:hAnsi="Times New Roman"/>
          <w:sz w:val="14"/>
          <w:szCs w:val="14"/>
          <w:color w:val="auto"/>
        </w:rPr>
        <w:t>Affiliate portfolio company as defined under the 1940 Act in which the Company owns between 5% and 25% (inclusive) of the investment's voting securities and does not have rights to maintain greater than 50% representation on the board.</w:t>
      </w:r>
    </w:p>
    <w:p>
      <w:pPr>
        <w:ind w:left="20"/>
        <w:spacing w:after="0" w:line="198" w:lineRule="auto"/>
        <w:rPr>
          <w:sz w:val="20"/>
          <w:szCs w:val="20"/>
          <w:color w:val="auto"/>
        </w:rPr>
      </w:pPr>
      <w:r>
        <w:rPr>
          <w:rFonts w:ascii="Times New Roman" w:cs="Times New Roman" w:eastAsia="Times New Roman" w:hAnsi="Times New Roman"/>
          <w:sz w:val="7"/>
          <w:szCs w:val="7"/>
          <w:color w:val="auto"/>
        </w:rPr>
        <w:t>(23)</w:t>
      </w:r>
    </w:p>
    <w:p>
      <w:pPr>
        <w:ind w:left="360" w:right="180"/>
        <w:spacing w:after="0" w:line="192" w:lineRule="auto"/>
        <w:rPr>
          <w:sz w:val="20"/>
          <w:szCs w:val="20"/>
          <w:color w:val="auto"/>
        </w:rPr>
      </w:pPr>
      <w:r>
        <w:rPr>
          <w:rFonts w:ascii="Times New Roman" w:cs="Times New Roman" w:eastAsia="Times New Roman" w:hAnsi="Times New Roman"/>
          <w:sz w:val="14"/>
          <w:szCs w:val="14"/>
          <w:color w:val="auto"/>
        </w:rPr>
        <w:t>Control portfolio company, as defined under the 1940 Act, in which the Company owns more than 25% of the investment’s voting securities or has greater than 50% representation on its board.</w:t>
      </w:r>
    </w:p>
    <w:p>
      <w:pPr>
        <w:ind w:left="20"/>
        <w:spacing w:after="0" w:line="198" w:lineRule="auto"/>
        <w:rPr>
          <w:sz w:val="20"/>
          <w:szCs w:val="20"/>
          <w:color w:val="auto"/>
        </w:rPr>
      </w:pPr>
      <w:r>
        <w:rPr>
          <w:rFonts w:ascii="Times New Roman" w:cs="Times New Roman" w:eastAsia="Times New Roman" w:hAnsi="Times New Roman"/>
          <w:sz w:val="7"/>
          <w:szCs w:val="7"/>
          <w:color w:val="auto"/>
        </w:rPr>
        <w:t>*</w:t>
      </w:r>
    </w:p>
    <w:p>
      <w:pPr>
        <w:ind w:left="360"/>
        <w:spacing w:after="0"/>
        <w:rPr>
          <w:sz w:val="20"/>
          <w:szCs w:val="20"/>
          <w:color w:val="auto"/>
        </w:rPr>
      </w:pPr>
      <w:r>
        <w:rPr>
          <w:rFonts w:ascii="Times New Roman" w:cs="Times New Roman" w:eastAsia="Times New Roman" w:hAnsi="Times New Roman"/>
          <w:sz w:val="14"/>
          <w:szCs w:val="14"/>
          <w:color w:val="auto"/>
        </w:rPr>
        <w:t>Fair value as a percentage of net assets.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formed primarily to lend to, and selectively invest in, high growth-potential companies in technology, life sciences, healthcare information and services, business services, financial services, select consumer services and products in other high-growth industries in the United States. The Company’s investment objective is to maximize its total return to its stockholders primarily through current income on its loan portfolio, and secondarily through capital gain (loss)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on October 21, 2021 under the symbol “RWAY”.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accompanying interim unaudited consolidated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2024. The interim unaudited consolidated financial statements and notes hereto should be read in conjunction with the audited consolidated financial statements and notes thereto contained in the Company’s annual report on Form 10-K for the year ended December 31, 2023, filed with the Securities and Exchange Commission (the "SEC") on March 7,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items in the March 31, 2023 and December 31, 2023 consolidated financial statements have been reclassified to conform to the March 31, 2024 presentation with no effect on the "Total net assets" on the Consolidated Statements of Assets and Liabilities, no effect on the "Net increase (decrease) in net assets resulting from operations" on the Consolidated Statements of Operations, and no effect to the "Net increase (decrease) in cash and cash equivalents"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ASC 946, the Company is precluded from consolidating portfolio company investments, including those in which it has a controlling interest, unless the portfolio company is another investment company.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operations include the activities of its wholly owned subsidiary, P3 Holdco LLC ("P3 Holdco") and P3 Holdco’s wholly owned subsidiary Pivot3, Inc. The subsidiaries are consolidated and included in the Company’s consolidated financial statements and the assets of Pivot3, Inc. are recorded at fair value. All intercompany balances and transactions have been eliminated. Refer to the Schedule of Investments for the Company’s equity interest in Pivot3, Inc. as of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Runway-Cadma I LLC</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announced on March 7, 2024, effective March 6, 2024, the Company entered into a joint venture agreement with Cadma Capital Partners LLC ("Cadma") to create and co-manage Runway-Cadma I LLC (“Runway-Cadma LLC” or the “JV”). The JV may invest in secured loans to growth-stage companies that have been originated by the Company. The Company and Cadma committed to initially provide $35.0 million and $35.0 million, respectively, of equity capital to the JV. The JV is capitalized as investment transactions are completed.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 As of March 31, 2024, the Company's and Cadma's ownership of the JV was 50% and 50%, respectively.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permitted under Regulation S-X and consistent with the guidance in ASC 946-810-45-3, the Company will generally not consolidate its investment in a company other than an investment company subsidiary or a controlled operating company whose business consists of providing services to the Company. As the Company’s representatives do not comprise the majority of the board of managers of the JV and the Company does not hold a majority of the economic interests in the JV, the Company does not consolidate the JV in its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our portfolio companies, and any other parameters used in determining these estimates and assumptions could cause actual results to differ from these estimates and assumptions.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consists solely of funds deposited with financial institutions, while cash equivalents consist of short-term liquid investments in money market funds. Cash and cash equivalents are carried at cost, which approximates fair value. As of March 31, 2024, the Company had $6.2 million invested in money market funds. As of December 31, 2023, the Company did not have any cash invested in money market funds. Interest earned in money market funds are recorded in "Other income" on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Deferred Debt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debt of the Company is carried at amortized cost, which is comprised of the principal amount borrowed, net of unamortized debt issuance costs on the Consolidated Statements of Assets and Liabilities. Debt issuance costs are fees and other direct incremental costs incurred by the Company in relation to debt financing and are recognized as "Unamortized deferred debt costs" on the Consolidated Statements of Assets and Liabilities and amortized over the life of the related debt instrument, or the life of the cost respective service if shorter, using the straight-line method, which closely approximates the effective yield method. To the extent there are no outstanding borrowings, the deferred debt costs are presented as an asset on the Consolidated Statements of Assets and Liabilities.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debt costs and interest expense on the outstanding principal balance are recorded in "Interest and other debt financing expenses" on the Consolidated Statements of Operations. Accrued but unpaid interest is included within "Interest payable" on the Consolidated Statements of Assets and Liabilities. For more information, refer to “Note 7 – Borrowings.”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lends to and invests in customers in various industries. The Company separately evaluates the performance of each of its lending and investment relationships. However, because each of these loan and investment relationships has similar business and economic characteristics, they have been aggregated into a single lending and investment segment. All applicable segment disclosures are included in or can be derived from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gain (loss) on investments" on the Consolidated Statements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Dividend income is recorded on an accrual basis to the extent that such amounts are payable and expected to be collected. Dividend income is recorded on the record date for private portfolio companies or on the ex-dividend date for publicly traded portfolio companies.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debt investment, any unamortized loan origination fees, end-of-term payments, and unamortized market discounts are recorded as interest income and any prepayment penalties are recorded as fee income. Upon amending terms of an existing investment, any amendment fees charged are recorded as fee income.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months ended March 31, 2024, approximately 10.5% of the Company’s total investment income was attributable to non-cash PIK interest. For the three months ended March 31, 2023, approximately 9.7% of the Company’s total investment income was attributable to non-cash PIK interest.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Denominated in Foreign Currency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balance sheet date, portfolio company investments denominated in foreign currencies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March 31, 2024, and December 31, 2023, the Company held one investment denominated in a foreign currency.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fair values of foreign portfolio company investments and the fluctuation in such fair values are translated into U.S. dollars using the applicable foreign exchange rates described above, the Company does not isolate the portion of the change in fair value resulting from foreign currency exchange rates fluctuations from the change in fair value of the underlying investment. All fluctuations in fair value are included in "Net change in unrealized gain (loss) on investments" on the Company’s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of 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 Company has not written off any accrued and uncollected PIK interest. As of March 31, 2024, the Company has two loans on non-accrual status; one loan to Mingle Healthcare Solutions, Inc. with a cost basis of $5.0 million and a fair value of $3.2 million, and one loan to Snagajob, Inc, with a cost basis of $42.7 million and a fair value of $35.5 million representing 3.8% of the Company’s total investment portfolio. From being placed on non-accrual status through March 31, 2024, cumulative interest of $0.2 million would be receivable from Mingle Healthcare Solutions and not recorded in "Interest income" on the Consolidated Statements of Operations. As of December 31, 2023, the Company did not have any loans on non-accrual status.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the value of its financial instruments at fair value in accordance with ASC Topic 820, Fair Value Measurements and Disclosure (“ASC Topic 820”), issued by the FASB. Fair value is the price that would be received to sell an asset or paid to transfer a liability in an orderly transaction between market participants at the measurement date. The investment portfolio of the Company is reported at fair value on the Consolidated Statements of Assets and Liabilities. With the exception of the Company’s borrowings, which are reported at amortized cost, all assets and liabilities approximate fair value on the Statements of Assets and Liabilities. For more information on financial instruments reported at cost, refer to "Note 5 – Fair Value of Financial Instruments."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0" w:lineRule="exact"/>
        <w:rPr>
          <w:sz w:val="20"/>
          <w:szCs w:val="20"/>
          <w:color w:val="auto"/>
        </w:rPr>
      </w:pPr>
    </w:p>
    <w:p>
      <w:pPr>
        <w:ind w:left="680" w:hanging="37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quoted prices in active markets for identical assets or liabilities that are accessible at the measurement date.</w:t>
      </w:r>
    </w:p>
    <w:p>
      <w:pPr>
        <w:spacing w:after="0" w:line="117" w:lineRule="exact"/>
        <w:rPr>
          <w:rFonts w:ascii="Times New Roman" w:cs="Times New Roman" w:eastAsia="Times New Roman" w:hAnsi="Times New Roman"/>
          <w:sz w:val="18"/>
          <w:szCs w:val="18"/>
          <w:color w:val="auto"/>
        </w:rPr>
      </w:pPr>
    </w:p>
    <w:p>
      <w:pPr>
        <w:ind w:left="680" w:hanging="372"/>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61" w:lineRule="exact"/>
        <w:rPr>
          <w:rFonts w:ascii="Times New Roman" w:cs="Times New Roman" w:eastAsia="Times New Roman" w:hAnsi="Times New Roman"/>
          <w:sz w:val="18"/>
          <w:szCs w:val="18"/>
          <w:color w:val="auto"/>
        </w:rPr>
      </w:pPr>
    </w:p>
    <w:p>
      <w:pPr>
        <w:jc w:val="both"/>
        <w:ind w:left="680" w:hanging="372"/>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ectPr>
          <w:pgSz w:w="11900" w:h="16838" w:orient="portrait"/>
          <w:cols w:equalWidth="0" w:num="1">
            <w:col w:w="11240"/>
          </w:cols>
          <w:pgMar w:left="320" w:top="769"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 financial instrument’s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instrument.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Rule 2a-5 under the 1940 Act established additional requirements for determining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Valuation Techniques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Company undertakes a multi-step valuation process each quarter, as described below:</w:t>
      </w:r>
    </w:p>
    <w:p>
      <w:pPr>
        <w:spacing w:after="0" w:line="121" w:lineRule="exact"/>
        <w:rPr>
          <w:sz w:val="20"/>
          <w:szCs w:val="20"/>
          <w:color w:val="auto"/>
        </w:rPr>
      </w:pPr>
    </w:p>
    <w:p>
      <w:pPr>
        <w:ind w:left="680" w:hanging="3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investment being initially valued by RGC’s investment professionals that are responsible for the portfolio investment;</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17" w:lineRule="exact"/>
        <w:rPr>
          <w:rFonts w:ascii="Times New Roman" w:cs="Times New Roman" w:eastAsia="Times New Roman" w:hAnsi="Times New Roman"/>
          <w:sz w:val="18"/>
          <w:szCs w:val="18"/>
          <w:color w:val="auto"/>
        </w:rPr>
      </w:pPr>
    </w:p>
    <w:p>
      <w:pPr>
        <w:jc w:val="both"/>
        <w:ind w:left="680" w:hanging="372"/>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spacing w:after="0" w:line="67" w:lineRule="exact"/>
        <w:rPr>
          <w:rFonts w:ascii="Times New Roman" w:cs="Times New Roman" w:eastAsia="Times New Roman" w:hAnsi="Times New Roman"/>
          <w:sz w:val="18"/>
          <w:szCs w:val="18"/>
          <w:color w:val="auto"/>
        </w:rPr>
      </w:pPr>
    </w:p>
    <w:p>
      <w:pPr>
        <w:ind w:left="680" w:hanging="3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of Directors (the "Audit Committee") then reviews these preliminary valuations from RGC and the independent valuation firm, if any, and makes a recommendation to the Board of Directors regarding such valuations; and</w:t>
      </w:r>
    </w:p>
    <w:p>
      <w:pPr>
        <w:spacing w:after="0" w:line="53" w:lineRule="exact"/>
        <w:rPr>
          <w:rFonts w:ascii="Times New Roman" w:cs="Times New Roman" w:eastAsia="Times New Roman" w:hAnsi="Times New Roman"/>
          <w:sz w:val="18"/>
          <w:szCs w:val="18"/>
          <w:color w:val="auto"/>
        </w:rPr>
      </w:pPr>
    </w:p>
    <w:p>
      <w:pPr>
        <w:ind w:left="680" w:right="20" w:hanging="3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reviews the recommended preliminary valuations and determines the fair value of each investment in the Company’s portfolio, in good faith, based on the input of RGC, the independent valuation firm(s) and the Audit Committee.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Investments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determine the fair value of the Company’s debt investments, the Company compares the cost basis of the debt investment, which includes OID,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135" w:lineRule="exact"/>
        <w:rPr>
          <w:sz w:val="20"/>
          <w:szCs w:val="20"/>
          <w:color w:val="auto"/>
        </w:rPr>
      </w:pPr>
    </w:p>
    <w:p>
      <w:pPr>
        <w:jc w:val="both"/>
        <w:ind w:left="680" w:hanging="372"/>
        <w:spacing w:after="0" w:line="254"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83" w:lineRule="exact"/>
        <w:rPr>
          <w:rFonts w:ascii="Times New Roman" w:cs="Times New Roman" w:eastAsia="Times New Roman" w:hAnsi="Times New Roman"/>
          <w:sz w:val="18"/>
          <w:szCs w:val="18"/>
          <w:color w:val="auto"/>
        </w:rPr>
      </w:pPr>
    </w:p>
    <w:p>
      <w:pPr>
        <w:jc w:val="both"/>
        <w:ind w:left="680" w:hanging="372"/>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rFonts w:ascii="Times New Roman" w:cs="Times New Roman" w:eastAsia="Times New Roman" w:hAnsi="Times New Roman"/>
          <w:sz w:val="18"/>
          <w:szCs w:val="18"/>
          <w:color w:val="auto"/>
        </w:rPr>
      </w:pPr>
    </w:p>
    <w:p>
      <w:pPr>
        <w:jc w:val="both"/>
        <w:ind w:left="680" w:hanging="372"/>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rFonts w:ascii="Times New Roman" w:cs="Times New Roman" w:eastAsia="Times New Roman" w:hAnsi="Times New Roman"/>
          <w:sz w:val="18"/>
          <w:szCs w:val="18"/>
          <w:color w:val="auto"/>
        </w:rPr>
      </w:pPr>
    </w:p>
    <w:p>
      <w:pPr>
        <w:jc w:val="both"/>
        <w:ind w:left="680" w:hanging="372"/>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rFonts w:ascii="Times New Roman" w:cs="Times New Roman" w:eastAsia="Times New Roman" w:hAnsi="Times New Roman"/>
          <w:sz w:val="18"/>
          <w:szCs w:val="18"/>
          <w:color w:val="auto"/>
        </w:rPr>
      </w:pPr>
    </w:p>
    <w:p>
      <w:pPr>
        <w:jc w:val="both"/>
        <w:ind w:left="680" w:hanging="372"/>
        <w:spacing w:after="0" w:line="25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Success fees are valued utilizing scenario analysis. Fair value is determined based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Investments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are recorded at fair value on a recurring basis. Money market funds are valued based on the published net asset value per share on the day of valuation and are included in "Cash and cash equivalents" on the Consolidated Statements of Assets and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Classification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946-205-45-3 of the ASC, permanent tax differences are reclassified from accumulated undistributed earnings to paid-in-capital at the end of each year and have no impact on total net assets. For more information, refer to "Note 10 – Income Taxes."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earnings (loss) per common share is calculated using the weighted-average number of common shares outstanding for the period presented. For the three months ended March 31, 2024 and 2023, basic and diluted earnings (loss) per share of common stock were the same because there were no potentially dilutive securities outstanding. Per share data is based on the weighted-average shares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all changes in comprehensive income in the Consolidated Statements of Operations. The Company did not have any other comprehensive income in 2024 or 2023. The Company’s comprehensive income is equal to its "Net increase (decrease) in net assets resulting from operations" on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Offering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in "Note 3 – Related Party Agreements and Transactions"), the Company and RGC agreed that organization and offering costs incurred in connection with the Initial Private Offering (as defined in "Note 9 – Net Assets") would be borne by the Company up to a maximum amount of $1.0 million, provided that the amount of such costs in excess of $1.0 million would be paid by RGC. As of December 31, 2016, the Company had already incurred the maximum amount of $1.0 million in organization and offering costs incurred in connection with the Initial Private Offering.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Offering costs related to the Second Private Offering (as defined in "Note 9 – Net Assets") were accumulated and charged to additional paid in capital at the time of each closing beginning in 2019. These offering costs related to the Second Private Offering were subject to a cap of $0.6 million, excluding placement agent fees which had no cap, of which the Company will bear the cost. At the completion of the Second Private Offering, the Company had accumulated and recorded $0.7 million in offering costs and $0.2 million in placement agent fees related to the Second Private Offering. Under the terms of the Second Private Offering, offering costs in excess of $0.6 million, excluding placement agent fees, were reimbursed by RGC.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costs related to the IPO were accumulated and charged to additional paid in capital at the time of closing in October 2021. The Company had accumulated and recorded $7.0 million of offering costs related to the Company’s IPO. The offering costs were fully born by the Company and included underwriting fees, legal fees, and other costs pertaining to the preparation of the Company’s offering materials as well as travel-related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measures current expected credit losses (“CECL”) for financial instruments held at amortized cost based on ASC No. 326, Financial Instruments – Credit Losses (“ASC 326”). The Company adopted ASC 326 on January 1, 2020. ASC 326 introduces a new allowance for credit losses methodology and requires earlier recognition of credit losses, while also providing additional transparency about credit risk. The CECL methodology utilizes a lifetime “expected credit loss” methodology for the recognition of credit losses for receivables and loans subject to CECL at the time the financial asset is originated or based on historical experience and current conditions, as well as reasonable and supportable forecasts incorporating forward-looking information. The allowance for credit losses (the “CECL Reserve”) required under ASC 326 is deducted from the respective financial asset's amortized cost basis on the Company’s Consolidated Statements of Assets and Liabilities. The expected credit losses are adjusted each period for changes in expected lifetime credit losses through a provision for current expected credit losses recognized on the Consolidated Statements of Operations. As permitted by ASC 326, the Company has elected not to measure an allowance for credit losses on accrued interest receivable, but rather write-off in a timely manner by reversing interest income that would likely be uncollectible.</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amortized cost basis of financial assets subject to CECL recorded within "Interest and fees receivable" on the Consolidated Statements of Assets and Liabilities was $0.4 million and $2.3 million, respectively. As of March 31, 2024, and December 31, 2023, the Company's interest receivable excluded from the amortized cost basis of financial assets subject to CECL was $6.7 million and $6.0 million, respectively. As of March 31, 2024, and December 31, 2023, the Company had recorded a CECL reserve within "Interest and fees receivable" on the Consolidated Statements of Assets and Liabilities of $0.2 million, and $0,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adopted the guidance on January 1, 2024, and its adoption did not have a material impact on the Company’s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This change is intended to improve reportable segment disclosure requirements, primarily through enhanced disclosures about significant segment expenses, allowing financial statement users to better understand the components of a segment's profit or loss and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and providing new disclosure requirements for entities with a single reportable segment, among other new disclosure requirements. The amendments are effective for fiscal years beginning after December 15, 2023, and interim periods within fiscal years beginning after December 15, 2024, and early adoption is permitted. Although the ASU only requires additional disclosure about the Company's operating segment, the Company is currently evaluating the impact of adopting this guidance with respect to the consolidated financial statements.</w:t>
      </w:r>
    </w:p>
    <w:p>
      <w:pPr>
        <w:spacing w:after="0" w:line="194"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Agreements and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29, 2016, the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First Amended and Restated Advisory Agreement to include certain revisions to the management and incentive fee calculation mechanisms and clarify language relating to liquidity events. On April 30, 2024, the Board of Directors renewed the Advisory Agreement for a period of twelve months commencing May 27, 2024. Under the terms of the Advisory Agreement, RGC:</w:t>
      </w:r>
    </w:p>
    <w:p>
      <w:pPr>
        <w:spacing w:after="0" w:line="147" w:lineRule="exact"/>
        <w:rPr>
          <w:sz w:val="20"/>
          <w:szCs w:val="20"/>
          <w:color w:val="auto"/>
        </w:rPr>
      </w:pPr>
    </w:p>
    <w:p>
      <w:pPr>
        <w:ind w:left="660" w:right="20" w:hanging="371"/>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Company’s portfolio, the nature and timing of the changes to the portfolio and the manner of implementing such changes;</w:t>
      </w:r>
    </w:p>
    <w:p>
      <w:pPr>
        <w:spacing w:after="0" w:line="53"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the Company makes;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and monitors the investments the Company makes;</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Company will purchase, retain or sell;</w:t>
      </w:r>
    </w:p>
    <w:p>
      <w:pPr>
        <w:spacing w:after="0" w:line="117"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investments; and</w:t>
      </w:r>
    </w:p>
    <w:p>
      <w:pPr>
        <w:spacing w:after="0" w:line="117" w:lineRule="exact"/>
        <w:rPr>
          <w:rFonts w:ascii="Times New Roman" w:cs="Times New Roman" w:eastAsia="Times New Roman" w:hAnsi="Times New Roman"/>
          <w:sz w:val="18"/>
          <w:szCs w:val="18"/>
          <w:color w:val="auto"/>
        </w:rPr>
      </w:pPr>
    </w:p>
    <w:p>
      <w:pPr>
        <w:ind w:left="680" w:right="20" w:hanging="372"/>
        <w:spacing w:after="0" w:line="282" w:lineRule="auto"/>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Company with other such investment advisory, research and related services as the Company may, from time to time, reasonably require for the investment of its funds.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base management fee is payable on the first day of each calendar quarter and is calculated on the Company's "Gross Assets" which, for purposes of the Advisory Agreement, is defined as the Company’s gross assets, including assets purchased with borrowed funds or other forms of leverage, as well as any PIK interest,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RGC earned base management fees at a rate of 1.50% per annum, amounting to $4.0 million. For the three months ended March 31, 2023, RGC earned base management fees at a rate of 1.50% per annum, amounting to $4.0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were deferred incentive fees payable, both of which are included in "incentive fees payable" on the Consolidated Statements of Assets and Liabilities agreement with the Administrator (the “Administration Agreement”), and any dividends paid on any issued and outstanding preferred stock, but excluding the incentive fee). Pre-Incentive Fee NII includes, in the case of investments with a deferred interest feature (such as OID accretion,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Until the consummation of a Spin-Off transaction (defined below),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NII adjusted to include any realized capital gains and losses (“Adjusted Pre-Incentive Fee NII”),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NII,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 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RGC earned incentive fees of $4.7 million; $3.6 million of which were payable in cash, and $1.1 million were accrued and generated from deferred interest. For the three months ended March 31, 2023, RGC earned incentive fees of $4.6 million; of which $3.5 million were payable in cash, and $1.1 million were accrued and generated from deferred interest. All incentive fees accrued and generated from deferred interest (i.e., PIK and certain discount accretion) are not payable until receipt of respective cash by the Company. As of March 31, 2024, $3.6 million were payable in cash, and $10.2 million were deferred incentive fees payable, both of which are included in incentive fees payable on the Statements of Assets and Liabilities. As of December 31, 2023, $3.3 million of incentive fees payable were payable in cash, and $9.2 million were deferred incentive fees payable, both of which are included in "Incentive fees payable" on the Consolidated Statements of Assets and Liabilities.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capital gains incentive fee consists of fees related to realized gains and losses and unrealized capital losses. With respect to the incentive fee expense accrual related to the capital gains incentive fee, U.S. GAAP requires that the capital gains incentive fee accrual consider the cumulative aggregate unrealized gains in the calculation, as a capital gains incentive fee would be payable if such unrealized gains were realized even though such unrealized gains are not permitted to be considered in calculating the fee actually payable under the Advisory Agreement. As of each of March 31, 2024 and December 31, 2023, there was no capital gains incentive fee accrued, earned or payable to RGC under the Advisory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Spin-Off Incentive Fee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NII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Income Incentive Fee or Capital Gains Fee will be payable in connection with the Public Fund Spin-Off unless, on the date of the completion of the Public Fund Spin-Off, the sum of the Company’s (i) Pre-Incentive Fee NII and (ii) realized capital gains less realized capital losses and unrealized capital losses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reimburses the Administrator for the allocable portion of overhead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the Company incurred $0.6 million of Administration Agreement expenses, of which $0.2 million was payable to a third-party service provider and $0.4 million was overhead allocation expense, which are included in "Administration agreement expenses" on the Consolidated Statements of Operations. As of March 31, 2024, the Company had accrued a net payable to the Administrator of $0.5 million and a payable to the third-party service provider of $0.3 million, which are included in "Accrued expenses and other liabilities" on the Consolidated Statements of Assets and Liabilities. For the three months ended March 31, 2023, the Company incurred $0.6 million of Administration Agreement expenses, of which $0.3 million was payable to a third-party service provider and $0.3 million was overhead allocation expense, which are included in "Administration agreement expenses" on the Consolidated Statements of Operations. As of March 31, 2023, the Company had accrued a net payable to the Administrator of $0.7 million and a payable to the third-party service provider of $0.4 million, which are included in "Accrued expenses and other liabilities" on the Consolidated Statements of Assets and Liabilities.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Runway-Cadma I LLC</w:t>
      </w:r>
    </w:p>
    <w:p>
      <w:pPr>
        <w:spacing w:after="0" w:line="22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2024, the Company and Cadma had no contributions to the JV. As of March 31, 2024, the JV had no debt or equity investments. As of March 31, 2024 and December 31, 2023, the Company's unfunded commitment to the JV was $35 million and $0 million, respectively. The JV's loan and security agreement with Apollo Capital Management, L.P, which is non-recourse to the Company, had $40 million in availability as of March 31, 2024. There were $0.2 million, and $0, respectively, due from the JV as of March 31,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16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contributed capital by Runway Growth Finance Corp.</w:t>
            </w: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2320" w:type="dxa"/>
            <w:vAlign w:val="bottom"/>
            <w:gridSpan w:val="2"/>
            <w:shd w:val="clear" w:color="auto" w:fill="CFF0FC"/>
          </w:tcPr>
          <w:p>
            <w:pPr>
              <w:ind w:left="20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contributed capital by all members</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unfunded commitments by Runway Growth Finance Corp.</w:t>
            </w:r>
          </w:p>
        </w:tc>
        <w:tc>
          <w:tcPr>
            <w:tcW w:w="136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80" w:type="dxa"/>
            <w:vAlign w:val="bottom"/>
            <w:shd w:val="clear" w:color="auto" w:fill="CFF0FC"/>
          </w:tcPr>
          <w:p>
            <w:pPr>
              <w:spacing w:after="0"/>
              <w:rPr>
                <w:sz w:val="15"/>
                <w:szCs w:val="15"/>
                <w:color w:val="auto"/>
              </w:rPr>
            </w:pPr>
          </w:p>
        </w:tc>
        <w:tc>
          <w:tcPr>
            <w:tcW w:w="2320" w:type="dxa"/>
            <w:vAlign w:val="bottom"/>
            <w:gridSpan w:val="2"/>
            <w:shd w:val="clear" w:color="auto" w:fill="CFF0FC"/>
          </w:tcPr>
          <w:p>
            <w:pPr>
              <w:ind w:left="206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unfunded commitments by all members</w:t>
            </w:r>
          </w:p>
        </w:tc>
        <w:tc>
          <w:tcPr>
            <w:tcW w:w="1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80" w:type="dxa"/>
            <w:vAlign w:val="bottom"/>
          </w:tcPr>
          <w:p>
            <w:pPr>
              <w:spacing w:after="0"/>
              <w:rPr>
                <w:sz w:val="16"/>
                <w:szCs w:val="16"/>
                <w:color w:val="auto"/>
              </w:rPr>
            </w:pPr>
          </w:p>
        </w:tc>
        <w:tc>
          <w:tcPr>
            <w:tcW w:w="232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Relationship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the Company and RGC entered into a strategic relationship with Oaktree Capital Management, L.P (“Oaktree”). In connection with the strategic relationship, OCM Growth Holdings ("OCM Growth") purchased an aggregate of 14,571,334 shares of the Company's common stock for an aggregate purchase price of $219.3 million in the Company's Initial Private Offering and Second Private Offering. As of March 31, 2024, OCM Growth (the “OCM Holder”), an affiliate of Oaktree, owned 15,492,168 shares, or approximately 39.1% of the Company's outstanding shares. Pursuant to an irrevocable proxy, certain shares held by OCM Growth must be voted in the same proportion that the Company's other stockholders vote their shares. Of the 15,492,168 shares of Company’s common stock owned by OCM Growth, 14,607,426 shares, or approximately 36.9% of the Company’s outstanding shares, are subject to this proxy voting arrangement.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Gregory M. Share, Managing Director of Oaktree's Global Opportunities Group in Los Angeles, serves on the Board of Directors as OCM Growth’s director nominee and is considered an interested director. OCM Growth also holds a minority interest in RGC and has the right to appoint a member of RGC’s board of managers and a member of RGC’s investment committee. Mr. Share is OCM Growth’s appointee to RGC’s board of managers and investment committee.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and Affiliate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affiliate and control investments as of March 31, 2024, along with the transactions during the three months ended March 31, 2024,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96"/>
              </w:rPr>
              <w:t>nt</w:t>
            </w:r>
          </w:p>
        </w:tc>
        <w:tc>
          <w:tcPr>
            <w:tcW w:w="24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as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240" w:type="dxa"/>
            <w:vAlign w:val="bottom"/>
          </w:tcPr>
          <w:p>
            <w:pPr>
              <w:spacing w:after="0"/>
              <w:rPr>
                <w:sz w:val="12"/>
                <w:szCs w:val="12"/>
                <w:color w:val="auto"/>
              </w:rPr>
            </w:pPr>
          </w:p>
        </w:tc>
        <w:tc>
          <w:tcPr>
            <w:tcW w:w="6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Decembe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Reductio</w:t>
            </w: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ed Gain</w:t>
            </w: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of March 31,</w:t>
            </w:r>
          </w:p>
        </w:tc>
        <w:tc>
          <w:tcPr>
            <w:tcW w:w="0" w:type="dxa"/>
            <w:vAlign w:val="bottom"/>
          </w:tcPr>
          <w:p>
            <w:pPr>
              <w:spacing w:after="0"/>
              <w:rPr>
                <w:sz w:val="1"/>
                <w:szCs w:val="1"/>
                <w:color w:val="auto"/>
              </w:rPr>
            </w:pPr>
          </w:p>
        </w:tc>
      </w:tr>
      <w:tr>
        <w:trPr>
          <w:trHeight w:val="325"/>
        </w:trPr>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 31, 2023</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28"/>
                <w:szCs w:val="28"/>
                <w:b w:val="1"/>
                <w:bCs w:val="1"/>
                <w:color w:val="auto"/>
                <w:vertAlign w:val="subscript"/>
              </w:rPr>
              <w:t>ns</w:t>
            </w: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24"/>
                <w:szCs w:val="24"/>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24"/>
                <w:szCs w:val="24"/>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9"/>
                <w:szCs w:val="19"/>
                <w:b w:val="1"/>
                <w:bCs w:val="1"/>
                <w:color w:val="auto"/>
                <w:vertAlign w:val="superscript"/>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4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Investments</w:t>
            </w:r>
          </w:p>
        </w:tc>
        <w:tc>
          <w:tcPr>
            <w:tcW w:w="16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0" w:type="dxa"/>
            <w:vAlign w:val="bottom"/>
            <w:shd w:val="clear" w:color="auto" w:fill="CFF0FC"/>
          </w:tcPr>
          <w:p>
            <w:pPr>
              <w:spacing w:after="0"/>
              <w:rPr>
                <w:sz w:val="12"/>
                <w:szCs w:val="12"/>
                <w:color w:val="auto"/>
              </w:rPr>
            </w:pPr>
          </w:p>
        </w:tc>
        <w:tc>
          <w:tcPr>
            <w:tcW w:w="16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SOFR+8.75%, 8.00%</w:t>
            </w:r>
          </w:p>
        </w:tc>
        <w:tc>
          <w:tcPr>
            <w:tcW w:w="1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599</w:t>
            </w:r>
          </w:p>
        </w:tc>
        <w:tc>
          <w:tcPr>
            <w:tcW w:w="380" w:type="dxa"/>
            <w:vAlign w:val="bottom"/>
            <w:gridSpan w:val="2"/>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23,58</w:t>
            </w:r>
          </w:p>
        </w:tc>
        <w:tc>
          <w:tcPr>
            <w:tcW w:w="38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81</w:t>
            </w:r>
          </w:p>
        </w:tc>
        <w:tc>
          <w:tcPr>
            <w:tcW w:w="32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ind w:left="34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(11 )</w:t>
            </w:r>
          </w:p>
        </w:tc>
        <w:tc>
          <w:tcPr>
            <w:tcW w:w="1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23,656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ceiling, 5.00% ETP, due</w:t>
            </w: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11/30/2026</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16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599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23,58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34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2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23,656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FF0FC"/>
          </w:tcPr>
          <w:p>
            <w:pPr>
              <w:spacing w:after="0"/>
              <w:rPr>
                <w:sz w:val="15"/>
                <w:szCs w:val="15"/>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Coginiti Corp</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(732 )</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60" w:type="dxa"/>
            <w:vAlign w:val="bottom"/>
          </w:tcPr>
          <w:p>
            <w:pPr>
              <w:spacing w:after="0"/>
              <w:rPr>
                <w:sz w:val="12"/>
                <w:szCs w:val="12"/>
                <w:color w:val="auto"/>
              </w:rPr>
            </w:pPr>
          </w:p>
        </w:tc>
        <w:tc>
          <w:tcPr>
            <w:tcW w:w="1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2"/>
                <w:szCs w:val="12"/>
                <w:color w:val="auto"/>
              </w:rPr>
            </w:pPr>
          </w:p>
        </w:tc>
        <w:tc>
          <w:tcPr>
            <w:tcW w:w="16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A-2 Preferred</w:t>
            </w:r>
          </w:p>
        </w:tc>
        <w:tc>
          <w:tcPr>
            <w:tcW w:w="14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21,46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34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(215 )</w:t>
            </w:r>
          </w:p>
        </w:tc>
        <w:tc>
          <w:tcPr>
            <w:tcW w:w="16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A-1 Preferred</w:t>
            </w: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4,577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ind w:left="340"/>
              <w:spacing w:after="0" w:line="13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(37 )</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16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26,89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34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2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(984 )</w:t>
            </w:r>
          </w:p>
        </w:tc>
        <w:tc>
          <w:tcPr>
            <w:tcW w:w="16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25,910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Coginiti Corp</w:t>
            </w:r>
          </w:p>
        </w:tc>
        <w:tc>
          <w:tcPr>
            <w:tcW w:w="16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(568 )</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Gynesonics, Inc.</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Borders>
              <w:bottom w:val="single" w:sz="8" w:color="CFF0FC"/>
            </w:tcBorders>
            <w:shd w:val="clear" w:color="auto" w:fill="CFF0FC"/>
          </w:tcPr>
          <w:p>
            <w:pPr>
              <w:spacing w:after="0"/>
              <w:rPr>
                <w:sz w:val="15"/>
                <w:szCs w:val="15"/>
                <w:color w:val="auto"/>
              </w:rPr>
            </w:pPr>
          </w:p>
        </w:tc>
        <w:tc>
          <w:tcPr>
            <w:tcW w:w="1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(557 )</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4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599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51,45</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ind w:left="34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ind w:left="280"/>
              <w:spacing w:after="0" w:line="13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(1,55 )</w:t>
            </w:r>
          </w:p>
        </w:tc>
        <w:tc>
          <w:tcPr>
            <w:tcW w:w="1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49,985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Pivot3, Inc.</w:t>
            </w:r>
          </w:p>
        </w:tc>
        <w:tc>
          <w:tcPr>
            <w:tcW w:w="16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auto"/>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Control Investments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-2476500</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-2476500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-2476500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-2476500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-2476500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-1517015</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-1517015</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-1517015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-1517015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-1517015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-1517015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-959485</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-959485</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-959485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-959485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-959485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-959485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-624840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-608330</wp:posOffset>
            </wp:positionV>
            <wp:extent cx="774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-624840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-608330</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-624840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-608330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-624840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-608330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-624840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-608330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-624840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-608330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-145415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-145415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-145415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-145415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-145415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-145415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760" w:hanging="374"/>
        <w:spacing w:after="0" w:line="197" w:lineRule="auto"/>
        <w:tabs>
          <w:tab w:leader="none" w:pos="7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additions include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hanging="374"/>
        <w:spacing w:after="0" w:line="202" w:lineRule="auto"/>
        <w:tabs>
          <w:tab w:leader="none" w:pos="7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in the portfolio companies, which as of March 31, 2024, represented 9.62% of the Company’s net assets, may be deemed to be restricted securities under the Securities Act, and were valued at fair value as determined in good faith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14230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affiliate and control investments as of December 31, 2023, along with the transactions during the year ended December 31, 2023,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96"/>
              </w:rPr>
              <w:t>nt</w:t>
            </w:r>
          </w:p>
        </w:tc>
        <w:tc>
          <w:tcPr>
            <w:tcW w:w="24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as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8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240" w:type="dxa"/>
            <w:vAlign w:val="bottom"/>
          </w:tcPr>
          <w:p>
            <w:pPr>
              <w:spacing w:after="0"/>
              <w:rPr>
                <w:sz w:val="12"/>
                <w:szCs w:val="12"/>
                <w:color w:val="auto"/>
              </w:rPr>
            </w:pPr>
          </w:p>
        </w:tc>
        <w:tc>
          <w:tcPr>
            <w:tcW w:w="6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Decembe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Reductio</w:t>
            </w:r>
          </w:p>
        </w:tc>
        <w:tc>
          <w:tcPr>
            <w:tcW w:w="1040" w:type="dxa"/>
            <w:vAlign w:val="bottom"/>
            <w:gridSpan w:val="3"/>
            <w:vMerge w:val="continue"/>
          </w:tcPr>
          <w:p>
            <w:pPr>
              <w:spacing w:after="0"/>
              <w:rPr>
                <w:sz w:val="12"/>
                <w:szCs w:val="12"/>
                <w:color w:val="auto"/>
              </w:rPr>
            </w:pPr>
          </w:p>
        </w:tc>
        <w:tc>
          <w:tcPr>
            <w:tcW w:w="80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ed Gain</w:t>
            </w: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of December</w:t>
            </w:r>
          </w:p>
        </w:tc>
        <w:tc>
          <w:tcPr>
            <w:tcW w:w="0" w:type="dxa"/>
            <w:vAlign w:val="bottom"/>
          </w:tcPr>
          <w:p>
            <w:pPr>
              <w:spacing w:after="0"/>
              <w:rPr>
                <w:sz w:val="1"/>
                <w:szCs w:val="1"/>
                <w:color w:val="auto"/>
              </w:rPr>
            </w:pPr>
          </w:p>
        </w:tc>
      </w:tr>
      <w:tr>
        <w:trPr>
          <w:trHeight w:val="325"/>
        </w:trPr>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 31, 2022</w:t>
            </w: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28"/>
                <w:szCs w:val="28"/>
                <w:b w:val="1"/>
                <w:bCs w:val="1"/>
                <w:color w:val="auto"/>
                <w:vertAlign w:val="subscript"/>
              </w:rPr>
              <w:t>ns</w:t>
            </w:r>
            <w:r>
              <w:rPr>
                <w:rFonts w:ascii="Times New Roman" w:cs="Times New Roman" w:eastAsia="Times New Roman" w:hAnsi="Times New Roman"/>
                <w:sz w:val="10"/>
                <w:szCs w:val="10"/>
                <w:b w:val="1"/>
                <w:bCs w:val="1"/>
                <w:color w:val="auto"/>
              </w:rPr>
              <w:t>(2)</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24"/>
                <w:szCs w:val="24"/>
                <w:color w:val="auto"/>
              </w:rPr>
            </w:pPr>
          </w:p>
        </w:tc>
        <w:tc>
          <w:tcPr>
            <w:tcW w:w="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31, 2023</w:t>
            </w:r>
            <w:r>
              <w:rPr>
                <w:rFonts w:ascii="Times New Roman" w:cs="Times New Roman" w:eastAsia="Times New Roman" w:hAnsi="Times New Roman"/>
                <w:sz w:val="19"/>
                <w:szCs w:val="19"/>
                <w:b w:val="1"/>
                <w:bCs w:val="1"/>
                <w:color w:val="auto"/>
                <w:w w:val="97"/>
                <w:vertAlign w:val="superscript"/>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4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Affiliate Investments</w:t>
            </w:r>
          </w:p>
        </w:tc>
        <w:tc>
          <w:tcPr>
            <w:tcW w:w="16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0" w:type="dxa"/>
            <w:vAlign w:val="bottom"/>
            <w:shd w:val="clear" w:color="auto" w:fill="CFF0FC"/>
          </w:tcPr>
          <w:p>
            <w:pPr>
              <w:spacing w:after="0"/>
              <w:rPr>
                <w:sz w:val="12"/>
                <w:szCs w:val="12"/>
                <w:color w:val="auto"/>
              </w:rPr>
            </w:pPr>
          </w:p>
        </w:tc>
        <w:tc>
          <w:tcPr>
            <w:tcW w:w="16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SOFR+8.75%, 8.00%</w:t>
            </w:r>
          </w:p>
        </w:tc>
        <w:tc>
          <w:tcPr>
            <w:tcW w:w="1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2,105</w:t>
            </w:r>
          </w:p>
        </w:tc>
        <w:tc>
          <w:tcPr>
            <w:tcW w:w="380" w:type="dxa"/>
            <w:vAlign w:val="bottom"/>
            <w:gridSpan w:val="2"/>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25,897</w:t>
            </w:r>
          </w:p>
        </w:tc>
        <w:tc>
          <w:tcPr>
            <w:tcW w:w="32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(2,31 )</w:t>
            </w:r>
          </w:p>
        </w:tc>
        <w:tc>
          <w:tcPr>
            <w:tcW w:w="1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23,586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ceiling, 5.00% ETP, due</w:t>
            </w: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11/30/2026</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16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2,105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25,897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(2,31 )</w:t>
            </w: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23,586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CFF0FC"/>
          </w:tcPr>
          <w:p>
            <w:pPr>
              <w:spacing w:after="0"/>
              <w:rPr>
                <w:sz w:val="15"/>
                <w:szCs w:val="15"/>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Coginiti Corp</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(318 )</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60" w:type="dxa"/>
            <w:vAlign w:val="bottom"/>
          </w:tcPr>
          <w:p>
            <w:pPr>
              <w:spacing w:after="0"/>
              <w:rPr>
                <w:sz w:val="12"/>
                <w:szCs w:val="12"/>
                <w:color w:val="auto"/>
              </w:rPr>
            </w:pPr>
          </w:p>
        </w:tc>
        <w:tc>
          <w:tcPr>
            <w:tcW w:w="1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2"/>
                <w:szCs w:val="12"/>
                <w:color w:val="auto"/>
              </w:rPr>
            </w:pPr>
          </w:p>
        </w:tc>
        <w:tc>
          <w:tcPr>
            <w:tcW w:w="16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A-2 Preferred</w:t>
            </w:r>
          </w:p>
        </w:tc>
        <w:tc>
          <w:tcPr>
            <w:tcW w:w="14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(3,53 )</w:t>
            </w:r>
          </w:p>
        </w:tc>
        <w:tc>
          <w:tcPr>
            <w:tcW w:w="1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4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w:t>
            </w:r>
          </w:p>
        </w:tc>
        <w:tc>
          <w:tcPr>
            <w:tcW w:w="14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A-1 Preferred</w:t>
            </w: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3,100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1,477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4,577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16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28,100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(2,38 )</w:t>
            </w: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26,894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Coginiti Corp</w:t>
            </w:r>
          </w:p>
        </w:tc>
        <w:tc>
          <w:tcPr>
            <w:tcW w:w="16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(247 )</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Borders>
              <w:bottom w:val="single" w:sz="8" w:color="CFF0FC"/>
            </w:tcBorders>
            <w:shd w:val="clear" w:color="auto" w:fill="CFF0FC"/>
          </w:tcPr>
          <w:p>
            <w:pPr>
              <w:spacing w:after="0"/>
              <w:rPr>
                <w:sz w:val="15"/>
                <w:szCs w:val="15"/>
                <w:color w:val="auto"/>
              </w:rPr>
            </w:pPr>
          </w:p>
        </w:tc>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Gynesonics, Inc.</w:t>
            </w:r>
          </w:p>
        </w:tc>
        <w:tc>
          <w:tcPr>
            <w:tcW w:w="1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tcBorders>
              <w:bottom w:val="single" w:sz="8" w:color="CFF0FC"/>
            </w:tcBorders>
            <w:shd w:val="clear" w:color="auto" w:fill="CFF0FC"/>
          </w:tcPr>
          <w:p>
            <w:pPr>
              <w:spacing w:after="0"/>
              <w:rPr>
                <w:sz w:val="15"/>
                <w:szCs w:val="15"/>
                <w:color w:val="auto"/>
              </w:rPr>
            </w:pPr>
          </w:p>
        </w:tc>
        <w:tc>
          <w:tcPr>
            <w:tcW w:w="1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(247 )</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74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2,105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2,084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54,310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(4,93 )</w:t>
            </w:r>
          </w:p>
        </w:tc>
        <w:tc>
          <w:tcPr>
            <w:tcW w:w="1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51,456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Control Investments</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CFF0FC"/>
          </w:tcPr>
          <w:p>
            <w:pPr>
              <w:spacing w:after="0"/>
              <w:rPr>
                <w:sz w:val="15"/>
                <w:szCs w:val="15"/>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rPr>
                <w:sz w:val="12"/>
                <w:szCs w:val="12"/>
                <w:color w:val="auto"/>
              </w:rPr>
            </w:pPr>
          </w:p>
        </w:tc>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Pivot3, Inc.</w:t>
            </w:r>
          </w:p>
        </w:tc>
        <w:tc>
          <w:tcPr>
            <w:tcW w:w="160" w:type="dxa"/>
            <w:vAlign w:val="bottom"/>
          </w:tcPr>
          <w:p>
            <w:pPr>
              <w:spacing w:after="0"/>
              <w:rPr>
                <w:sz w:val="12"/>
                <w:szCs w:val="12"/>
                <w:color w:val="auto"/>
              </w:rPr>
            </w:pPr>
          </w:p>
        </w:tc>
        <w:tc>
          <w:tcPr>
            <w:tcW w:w="1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Senior Secured</w:t>
            </w:r>
          </w:p>
        </w:tc>
        <w:tc>
          <w:tcPr>
            <w:tcW w:w="140" w:type="dxa"/>
            <w:vAlign w:val="bottom"/>
          </w:tcPr>
          <w:p>
            <w:pPr>
              <w:spacing w:after="0"/>
              <w:rPr>
                <w:sz w:val="12"/>
                <w:szCs w:val="12"/>
                <w:color w:val="auto"/>
              </w:rPr>
            </w:pPr>
          </w:p>
        </w:tc>
        <w:tc>
          <w:tcPr>
            <w:tcW w:w="16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PIK,</w:t>
            </w:r>
          </w:p>
        </w:tc>
        <w:tc>
          <w:tcPr>
            <w:tcW w:w="14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9,290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(2,15 )</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(17,014 )</w:t>
            </w:r>
          </w:p>
        </w:tc>
        <w:tc>
          <w:tcPr>
            <w:tcW w:w="100" w:type="dxa"/>
            <w:vAlign w:val="bottom"/>
          </w:tcPr>
          <w:p>
            <w:pPr>
              <w:spacing w:after="0"/>
              <w:rPr>
                <w:sz w:val="12"/>
                <w:szCs w:val="12"/>
                <w:color w:val="auto"/>
              </w:rPr>
            </w:pPr>
          </w:p>
        </w:tc>
        <w:tc>
          <w:tcPr>
            <w:tcW w:w="4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9,882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11.00% floor, 4.00% ETP,</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10/15/2023</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shd w:val="clear" w:color="auto" w:fill="CFF0FC"/>
          </w:tcPr>
          <w:p>
            <w:pPr>
              <w:spacing w:after="0"/>
              <w:rPr>
                <w:sz w:val="11"/>
                <w:szCs w:val="11"/>
                <w:color w:val="auto"/>
              </w:rPr>
            </w:pPr>
          </w:p>
        </w:tc>
        <w:tc>
          <w:tcPr>
            <w:tcW w:w="16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9,290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(2,15 )</w:t>
            </w:r>
          </w:p>
        </w:tc>
        <w:tc>
          <w:tcPr>
            <w:tcW w:w="2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(17,014 )</w:t>
            </w: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9,882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40" w:type="dxa"/>
            <w:vAlign w:val="bottom"/>
            <w:tcBorders>
              <w:bottom w:val="single" w:sz="8" w:color="CFF0FC"/>
            </w:tcBorders>
            <w:shd w:val="clear" w:color="auto" w:fill="CFF0FC"/>
          </w:tcPr>
          <w:p>
            <w:pPr>
              <w:spacing w:after="0"/>
              <w:rPr>
                <w:sz w:val="16"/>
                <w:szCs w:val="16"/>
                <w:color w:val="auto"/>
              </w:rPr>
            </w:pPr>
          </w:p>
        </w:tc>
        <w:tc>
          <w:tcPr>
            <w:tcW w:w="16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Pivot3, Inc.</w:t>
            </w:r>
          </w:p>
        </w:tc>
        <w:tc>
          <w:tcPr>
            <w:tcW w:w="16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 Investments</w:t>
            </w:r>
          </w:p>
        </w:tc>
        <w:tc>
          <w:tcPr>
            <w:tcW w:w="1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 Control Investments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2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9,290</w:t>
            </w:r>
          </w:p>
        </w:tc>
        <w:tc>
          <w:tcPr>
            <w:tcW w:w="3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950</w:t>
            </w:r>
          </w:p>
        </w:tc>
        <w:tc>
          <w:tcPr>
            <w:tcW w:w="32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(2,15 )</w:t>
            </w:r>
          </w:p>
        </w:tc>
        <w:tc>
          <w:tcPr>
            <w:tcW w:w="22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4"/>
                <w:szCs w:val="14"/>
                <w:color w:val="auto"/>
              </w:rPr>
              <w:t>(17,014 )</w:t>
            </w:r>
          </w:p>
        </w:tc>
        <w:tc>
          <w:tcPr>
            <w:tcW w:w="1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9,882</w:t>
            </w:r>
          </w:p>
        </w:tc>
        <w:tc>
          <w:tcPr>
            <w:tcW w:w="220" w:type="dxa"/>
            <w:vAlign w:val="bottom"/>
          </w:tcPr>
          <w:p>
            <w:pPr>
              <w:spacing w:after="0"/>
              <w:rPr>
                <w:sz w:val="11"/>
                <w:szCs w:val="11"/>
                <w:color w:val="auto"/>
              </w:rPr>
            </w:pPr>
          </w:p>
        </w:tc>
        <w:tc>
          <w:tcPr>
            <w:tcW w:w="1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-3308350</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-3308350</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-3308350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-3308350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-3308350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-3308350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-2348230</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-2348230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-2348230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-2348230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-2348230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-2348230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-1790700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-1790700</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-1790700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-1790700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-1790700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-1790700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-1456690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-1439545</wp:posOffset>
            </wp:positionV>
            <wp:extent cx="774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-1456690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-1439545</wp:posOffset>
            </wp:positionV>
            <wp:extent cx="774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-1456690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-1439545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-1456690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-1439545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-1456690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-1439545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-1456690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-1439545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-702310</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-702310</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-702310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-702310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-702310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-702310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-239395</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-239395</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-239395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-239395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-239395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-239395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760" w:hanging="374"/>
        <w:spacing w:after="0" w:line="197"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additions include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 w:lineRule="exact"/>
        <w:rPr>
          <w:rFonts w:ascii="Times New Roman" w:cs="Times New Roman" w:eastAsia="Times New Roman" w:hAnsi="Times New Roman"/>
          <w:sz w:val="19"/>
          <w:szCs w:val="19"/>
          <w:color w:val="auto"/>
          <w:vertAlign w:val="superscript"/>
        </w:rPr>
      </w:pPr>
    </w:p>
    <w:p>
      <w:pPr>
        <w:ind w:left="760" w:right="20" w:hanging="374"/>
        <w:spacing w:after="0" w:line="202"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in the portfolio company, which as of December 31, 2023, represented 9.58% of the Company’s net assets, may be deemed to be restricted securities under the Securities Act, and were valued at fair value as determined in good faith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14230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of the Company's portfolio of investments by geographic region and industry as of March 31, 2024 and December 31,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00" w:type="dxa"/>
            <w:vAlign w:val="bottom"/>
          </w:tcPr>
          <w:p>
            <w:pPr>
              <w:spacing w:after="0"/>
              <w:rPr>
                <w:sz w:val="11"/>
                <w:szCs w:val="11"/>
                <w:color w:val="auto"/>
              </w:rPr>
            </w:pPr>
          </w:p>
        </w:tc>
        <w:tc>
          <w:tcPr>
            <w:tcW w:w="148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120" w:type="dxa"/>
            <w:vAlign w:val="bottom"/>
          </w:tcPr>
          <w:p>
            <w:pPr>
              <w:spacing w:after="0"/>
              <w:rPr>
                <w:sz w:val="11"/>
                <w:szCs w:val="11"/>
                <w:color w:val="auto"/>
              </w:rPr>
            </w:pPr>
          </w:p>
        </w:tc>
        <w:tc>
          <w:tcPr>
            <w:tcW w:w="1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220" w:type="dxa"/>
            <w:vAlign w:val="bottom"/>
          </w:tcPr>
          <w:p>
            <w:pPr>
              <w:spacing w:after="0"/>
              <w:rPr>
                <w:sz w:val="11"/>
                <w:szCs w:val="11"/>
                <w:color w:val="auto"/>
              </w:rPr>
            </w:pPr>
          </w:p>
        </w:tc>
        <w:tc>
          <w:tcPr>
            <w:tcW w:w="17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0" w:type="dxa"/>
            <w:vAlign w:val="bottom"/>
          </w:tcPr>
          <w:p>
            <w:pPr>
              <w:spacing w:after="0"/>
              <w:rPr>
                <w:sz w:val="1"/>
                <w:szCs w:val="1"/>
                <w:color w:val="auto"/>
              </w:rPr>
            </w:pPr>
          </w:p>
        </w:tc>
      </w:tr>
      <w:tr>
        <w:trPr>
          <w:trHeight w:val="187"/>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Western United States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408,853</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77.22</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404,541</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73.94</w:t>
            </w: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Northeastern United States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211,643</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39.97</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239,444</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43.77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Midwestern United States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131,701</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24.87</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130,784</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23.91</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South Central United States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88,494</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16.72</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87,814</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16.05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Northwestern United States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25,131</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4.75</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25,514</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4.66</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Southeastern United States</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20,504</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3.88</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820</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United States</w:t>
            </w: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886,326</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167.41</w:t>
            </w:r>
          </w:p>
        </w:tc>
        <w:tc>
          <w:tcPr>
            <w:tcW w:w="3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888,917</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162.48</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77,364</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14.61</w:t>
            </w: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76,839</w:t>
            </w:r>
          </w:p>
        </w:tc>
        <w:tc>
          <w:tcPr>
            <w:tcW w:w="1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14.05</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38,020</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7.18</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44,587</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8.15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14,622</w:t>
            </w:r>
          </w:p>
        </w:tc>
        <w:tc>
          <w:tcPr>
            <w:tcW w:w="1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2.76</w:t>
            </w:r>
          </w:p>
        </w:tc>
        <w:tc>
          <w:tcPr>
            <w:tcW w:w="3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14,667</w:t>
            </w:r>
          </w:p>
        </w:tc>
        <w:tc>
          <w:tcPr>
            <w:tcW w:w="2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28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1,016,332</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191.96</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1,025,010</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187.36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-599440</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-599440</wp:posOffset>
            </wp:positionV>
            <wp:extent cx="1885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-599440</wp:posOffset>
            </wp:positionV>
            <wp:extent cx="137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-599440</wp:posOffset>
            </wp:positionV>
            <wp:extent cx="17970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-144780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-144780</wp:posOffset>
            </wp:positionV>
            <wp:extent cx="1885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-144780</wp:posOffset>
            </wp:positionV>
            <wp:extent cx="137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120" w:type="dxa"/>
            <w:vAlign w:val="bottom"/>
          </w:tcPr>
          <w:p>
            <w:pPr>
              <w:spacing w:after="0"/>
              <w:rPr>
                <w:sz w:val="11"/>
                <w:szCs w:val="11"/>
                <w:color w:val="auto"/>
              </w:rPr>
            </w:pPr>
          </w:p>
        </w:tc>
        <w:tc>
          <w:tcPr>
            <w:tcW w:w="1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220" w:type="dxa"/>
            <w:vAlign w:val="bottom"/>
          </w:tcPr>
          <w:p>
            <w:pPr>
              <w:spacing w:after="0"/>
              <w:rPr>
                <w:sz w:val="11"/>
                <w:szCs w:val="11"/>
                <w:color w:val="auto"/>
              </w:rPr>
            </w:pPr>
          </w:p>
        </w:tc>
        <w:tc>
          <w:tcPr>
            <w:tcW w:w="17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 Care Technology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181,200</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34.22</w:t>
            </w:r>
          </w:p>
        </w:tc>
        <w:tc>
          <w:tcPr>
            <w:tcW w:w="3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182,200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174,042</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32.87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200,645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Internet Software and Services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118,927</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22.47</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98,462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System Software</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114,142</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21.56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113,517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Human Resource &amp; Employment Services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113,791</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21.49</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114,602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Data Processing &amp; Outsourced Services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105,932</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106,785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&amp; Casualty Insurance</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76,015</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14.36</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75,205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Internet &amp; Direct Marketing Retail</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54,168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10.23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55,588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Electronic Equipment &amp; Instruments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27,439</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27,535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Education Services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25,798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4.87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 Care Equipment</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15,587</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2.94</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15,524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Asset Management &amp; Custody Banks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8,085</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Technology Hardware, Storage &amp; Peripherals</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637</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0.13</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Specialized Consumer Services</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365</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0.07</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15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0.03</w:t>
            </w:r>
          </w:p>
        </w:tc>
        <w:tc>
          <w:tcPr>
            <w:tcW w:w="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Biotechnology</w:t>
            </w:r>
          </w:p>
        </w:tc>
        <w:tc>
          <w:tcPr>
            <w:tcW w:w="100" w:type="dxa"/>
            <w:vAlign w:val="bottom"/>
          </w:tcPr>
          <w:p>
            <w:pPr>
              <w:spacing w:after="0"/>
              <w:rPr>
                <w:sz w:val="15"/>
                <w:szCs w:val="15"/>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68</w:t>
            </w:r>
          </w:p>
        </w:tc>
        <w:tc>
          <w:tcPr>
            <w:tcW w:w="1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1,016,332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191.96</w:t>
            </w:r>
          </w:p>
        </w:tc>
        <w:tc>
          <w:tcPr>
            <w:tcW w:w="36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1,025,010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187.36</w:t>
            </w:r>
          </w:p>
        </w:tc>
        <w:tc>
          <w:tcPr>
            <w:tcW w:w="3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768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-144780</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18859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18859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-144780</wp:posOffset>
            </wp:positionV>
            <wp:extent cx="18859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371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-144780</wp:posOffset>
            </wp:positionV>
            <wp:extent cx="137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Warrants provide exposure and potential gains upon equity gains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months ended March 31, 2024, the Company had no realized gains or losses on investments and a net unrealized loss of $0.3 million from its investments in warrants. For the three months ended March 31, 2023, the Company had a net realized loss of $1.2 million and a net unrealized loss of $1.7 million from its investments in warrants. Realized gains and losses from warrants are included in the respective control, affiliate, or non-control/non-affiliate "Net realized gain (loss) on investments" on the Consolidated Statements of Operations. Unrealized gains and losses from investments in warrants is included in the respective control, affiliate, or non-control/non-affiliate "Net change in unrealized gain (loss) on investments" on the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assets recorded at fair value have been categorized based upon a fair value hierarchy in accordance with ASC Topic 820. Refer to "Note 2  –  Summary of Significant Accounting Policies" for a discussion of the Company’s policies.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Investments measured at fair value on a recurring basis are categorized in the tables below based upon the lowest level of significant input to the valuations as of March 31, 2024 and December 31,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60" w:type="dxa"/>
            <w:vAlign w:val="bottom"/>
          </w:tcPr>
          <w:p>
            <w:pPr>
              <w:spacing w:after="0"/>
              <w:rPr>
                <w:sz w:val="14"/>
                <w:szCs w:val="14"/>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955,177</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955,177</w:t>
            </w:r>
          </w:p>
        </w:tc>
        <w:tc>
          <w:tcPr>
            <w:tcW w:w="100" w:type="dxa"/>
            <w:vAlign w:val="bottom"/>
          </w:tcPr>
          <w:p>
            <w:pPr>
              <w:spacing w:after="0"/>
              <w:rPr>
                <w:sz w:val="15"/>
                <w:szCs w:val="15"/>
                <w:color w:val="auto"/>
              </w:rPr>
            </w:pPr>
          </w:p>
        </w:tc>
      </w:tr>
      <w:tr>
        <w:trPr>
          <w:trHeight w:val="17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100" w:type="dxa"/>
            <w:vAlign w:val="bottom"/>
            <w:shd w:val="clear" w:color="auto" w:fill="CFF0FC"/>
          </w:tcPr>
          <w:p>
            <w:pPr>
              <w:spacing w:after="0"/>
              <w:rPr>
                <w:sz w:val="15"/>
                <w:szCs w:val="15"/>
                <w:color w:val="auto"/>
              </w:rPr>
            </w:pPr>
          </w:p>
        </w:tc>
      </w:tr>
      <w:tr>
        <w:trPr>
          <w:trHeight w:val="17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5"/>
                <w:szCs w:val="15"/>
                <w:color w:val="auto"/>
              </w:rPr>
            </w:pPr>
          </w:p>
        </w:tc>
      </w:tr>
      <w:tr>
        <w:trPr>
          <w:trHeight w:val="17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26,034</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100" w:type="dxa"/>
            <w:vAlign w:val="bottom"/>
            <w:shd w:val="clear" w:color="auto" w:fill="CFF0FC"/>
          </w:tcPr>
          <w:p>
            <w:pPr>
              <w:spacing w:after="0"/>
              <w:rPr>
                <w:sz w:val="15"/>
                <w:szCs w:val="15"/>
                <w:color w:val="auto"/>
              </w:rPr>
            </w:pPr>
          </w:p>
        </w:tc>
      </w:tr>
      <w:tr>
        <w:trPr>
          <w:trHeight w:val="17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5"/>
                <w:szCs w:val="15"/>
                <w:color w:val="auto"/>
              </w:rPr>
            </w:pPr>
          </w:p>
        </w:tc>
      </w:tr>
      <w:tr>
        <w:trPr>
          <w:trHeight w:val="17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Equity Interest</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r>
      <w:tr>
        <w:trPr>
          <w:trHeight w:val="17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9"/>
              </w:rPr>
              <w:t>30</w:t>
            </w: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00" w:type="dxa"/>
            <w:vAlign w:val="bottom"/>
          </w:tcPr>
          <w:p>
            <w:pPr>
              <w:spacing w:after="0"/>
              <w:rPr>
                <w:sz w:val="15"/>
                <w:szCs w:val="15"/>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2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30</w:t>
            </w:r>
          </w:p>
        </w:tc>
        <w:tc>
          <w:tcPr>
            <w:tcW w:w="3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1,012,774</w:t>
            </w: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1,016,332</w:t>
            </w:r>
          </w:p>
        </w:tc>
        <w:tc>
          <w:tcPr>
            <w:tcW w:w="100" w:type="dxa"/>
            <w:vAlign w:val="bottom"/>
            <w:shd w:val="clear" w:color="auto" w:fill="CFF0FC"/>
          </w:tcPr>
          <w:p>
            <w:pPr>
              <w:spacing w:after="0"/>
              <w:rPr>
                <w:sz w:val="14"/>
                <w:szCs w:val="14"/>
                <w:color w:val="auto"/>
              </w:rPr>
            </w:pPr>
          </w:p>
        </w:tc>
      </w:tr>
      <w:tr>
        <w:trPr>
          <w:trHeight w:val="17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3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100" w:type="dxa"/>
            <w:vAlign w:val="bottom"/>
          </w:tcPr>
          <w:p>
            <w:pPr>
              <w:spacing w:after="0"/>
              <w:rPr>
                <w:sz w:val="15"/>
                <w:szCs w:val="15"/>
                <w:color w:val="auto"/>
              </w:rPr>
            </w:pPr>
          </w:p>
        </w:tc>
      </w:tr>
      <w:tr>
        <w:trPr>
          <w:trHeight w:val="209"/>
        </w:trPr>
        <w:tc>
          <w:tcPr>
            <w:tcW w:w="32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shd w:val="clear" w:color="auto" w:fill="CFF0FC"/>
          </w:tcPr>
          <w:p>
            <w:pPr>
              <w:jc w:val="right"/>
              <w:ind w:right="1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9,737</w:t>
            </w: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ind w:left="420"/>
              <w:spacing w:after="0" w:line="155" w:lineRule="exact"/>
              <w:rPr>
                <w:sz w:val="20"/>
                <w:szCs w:val="20"/>
                <w:color w:val="auto"/>
              </w:rPr>
            </w:pPr>
            <w:r>
              <w:rPr>
                <w:rFonts w:ascii="Times New Roman" w:cs="Times New Roman" w:eastAsia="Times New Roman" w:hAnsi="Times New Roman"/>
                <w:sz w:val="14"/>
                <w:szCs w:val="14"/>
                <w:color w:val="auto"/>
                <w:w w:val="99"/>
              </w:rPr>
              <w:t>30</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1,012,774</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1,022,541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60" w:type="dxa"/>
            <w:vAlign w:val="bottom"/>
          </w:tcPr>
          <w:p>
            <w:pPr>
              <w:spacing w:after="0"/>
              <w:rPr>
                <w:sz w:val="14"/>
                <w:szCs w:val="14"/>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964,099</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964,099</w:t>
            </w:r>
          </w:p>
        </w:tc>
        <w:tc>
          <w:tcPr>
            <w:tcW w:w="100" w:type="dxa"/>
            <w:vAlign w:val="bottom"/>
          </w:tcPr>
          <w:p>
            <w:pPr>
              <w:spacing w:after="0"/>
              <w:rPr>
                <w:sz w:val="15"/>
                <w:szCs w:val="15"/>
                <w:color w:val="auto"/>
              </w:rPr>
            </w:pPr>
          </w:p>
        </w:tc>
      </w:tr>
      <w:tr>
        <w:trPr>
          <w:trHeight w:val="175"/>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100" w:type="dxa"/>
            <w:vAlign w:val="bottom"/>
            <w:shd w:val="clear" w:color="auto" w:fill="CFF0FC"/>
          </w:tcPr>
          <w:p>
            <w:pPr>
              <w:spacing w:after="0"/>
              <w:rPr>
                <w:sz w:val="15"/>
                <w:szCs w:val="15"/>
                <w:color w:val="auto"/>
              </w:rPr>
            </w:pPr>
          </w:p>
        </w:tc>
      </w:tr>
      <w:tr>
        <w:trPr>
          <w:trHeight w:val="17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r>
      <w:tr>
        <w:trPr>
          <w:trHeight w:val="175"/>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29,838</w:t>
            </w:r>
          </w:p>
        </w:tc>
        <w:tc>
          <w:tcPr>
            <w:tcW w:w="100" w:type="dxa"/>
            <w:vAlign w:val="bottom"/>
            <w:shd w:val="clear" w:color="auto" w:fill="CFF0FC"/>
          </w:tcPr>
          <w:p>
            <w:pPr>
              <w:spacing w:after="0"/>
              <w:rPr>
                <w:sz w:val="15"/>
                <w:szCs w:val="15"/>
                <w:color w:val="auto"/>
              </w:rPr>
            </w:pPr>
          </w:p>
        </w:tc>
      </w:tr>
      <w:tr>
        <w:trPr>
          <w:trHeight w:val="17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r>
      <w:tr>
        <w:trPr>
          <w:trHeight w:val="175"/>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Equity Interest</w:t>
            </w:r>
          </w:p>
        </w:tc>
        <w:tc>
          <w:tcPr>
            <w:tcW w:w="1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r>
      <w:tr>
        <w:trPr>
          <w:trHeight w:val="17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12,947</w:t>
            </w:r>
          </w:p>
        </w:tc>
        <w:tc>
          <w:tcPr>
            <w:tcW w:w="100" w:type="dxa"/>
            <w:vAlign w:val="bottom"/>
          </w:tcPr>
          <w:p>
            <w:pPr>
              <w:spacing w:after="0"/>
              <w:rPr>
                <w:sz w:val="15"/>
                <w:szCs w:val="15"/>
                <w:color w:val="auto"/>
              </w:rPr>
            </w:pPr>
          </w:p>
        </w:tc>
      </w:tr>
      <w:tr>
        <w:trPr>
          <w:trHeight w:val="16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2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1,020,800</w:t>
            </w: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1,025,010</w:t>
            </w:r>
          </w:p>
        </w:tc>
        <w:tc>
          <w:tcPr>
            <w:tcW w:w="100" w:type="dxa"/>
            <w:vAlign w:val="bottom"/>
            <w:shd w:val="clear" w:color="auto" w:fill="CFF0FC"/>
          </w:tcPr>
          <w:p>
            <w:pPr>
              <w:spacing w:after="0"/>
              <w:rPr>
                <w:sz w:val="14"/>
                <w:szCs w:val="14"/>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41,999</w:t>
            </w:r>
          </w:p>
        </w:tc>
        <w:tc>
          <w:tcPr>
            <w:tcW w:w="100" w:type="dxa"/>
            <w:vAlign w:val="bottom"/>
          </w:tcPr>
          <w:p>
            <w:pPr>
              <w:spacing w:after="0"/>
              <w:rPr>
                <w:sz w:val="15"/>
                <w:szCs w:val="15"/>
                <w:color w:val="auto"/>
              </w:rPr>
            </w:pPr>
          </w:p>
        </w:tc>
      </w:tr>
      <w:tr>
        <w:trPr>
          <w:trHeight w:val="209"/>
        </w:trPr>
        <w:tc>
          <w:tcPr>
            <w:tcW w:w="32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tcBorders>
              <w:bottom w:val="single" w:sz="8" w:color="auto"/>
            </w:tcBorders>
            <w:shd w:val="clear" w:color="auto" w:fill="CFF0FC"/>
          </w:tcPr>
          <w:p>
            <w:pPr>
              <w:jc w:val="right"/>
              <w:ind w:right="1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4,101</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42,108</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1,020,800</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1,067,009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transfers investments in and out of Levels 1, 2 and 3 as of the beginning balance sheet date, based on changes in the use of observable and unobservable inputs utilized to perform the valuation for the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March 31,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w:t>
            </w:r>
          </w:p>
        </w:tc>
        <w:tc>
          <w:tcPr>
            <w:tcW w:w="140" w:type="dxa"/>
            <w:vAlign w:val="bottom"/>
          </w:tcPr>
          <w:p>
            <w:pPr>
              <w:spacing w:after="0"/>
              <w:rPr>
                <w:sz w:val="13"/>
                <w:szCs w:val="13"/>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3"/>
                <w:szCs w:val="13"/>
                <w:color w:val="auto"/>
              </w:rPr>
            </w:pP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Secured</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0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 Notes</w:t>
            </w:r>
          </w:p>
        </w:tc>
        <w:tc>
          <w:tcPr>
            <w:tcW w:w="14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964,099</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2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1,020,800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in (out) of Level 3</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22,175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Sales or prepayments of investments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(34,449 )</w:t>
            </w: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(34,449 )</w:t>
            </w:r>
          </w:p>
        </w:tc>
        <w:tc>
          <w:tcPr>
            <w:tcW w:w="0" w:type="dxa"/>
            <w:vAlign w:val="bottom"/>
          </w:tcPr>
          <w:p>
            <w:pPr>
              <w:spacing w:after="0"/>
              <w:rPr>
                <w:sz w:val="1"/>
                <w:szCs w:val="1"/>
                <w:color w:val="auto"/>
              </w:rPr>
            </w:pPr>
          </w:p>
        </w:tc>
      </w:tr>
      <w:tr>
        <w:trPr>
          <w:trHeight w:val="139"/>
        </w:trPr>
        <w:tc>
          <w:tcPr>
            <w:tcW w:w="2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Scheduled principal repayments of</w:t>
            </w:r>
          </w:p>
        </w:tc>
        <w:tc>
          <w:tcPr>
            <w:tcW w:w="100" w:type="dxa"/>
            <w:vAlign w:val="bottom"/>
            <w:shd w:val="clear" w:color="auto" w:fill="CFF0FC"/>
          </w:tcPr>
          <w:p>
            <w:pPr>
              <w:spacing w:after="0"/>
              <w:rPr>
                <w:sz w:val="12"/>
                <w:szCs w:val="12"/>
                <w:color w:val="auto"/>
              </w:rPr>
            </w:pPr>
          </w:p>
        </w:tc>
        <w:tc>
          <w:tcPr>
            <w:tcW w:w="106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(413 )</w:t>
            </w:r>
          </w:p>
        </w:tc>
        <w:tc>
          <w:tcPr>
            <w:tcW w:w="0" w:type="dxa"/>
            <w:vAlign w:val="bottom"/>
          </w:tcPr>
          <w:p>
            <w:pPr>
              <w:spacing w:after="0"/>
              <w:rPr>
                <w:sz w:val="1"/>
                <w:szCs w:val="1"/>
                <w:color w:val="auto"/>
              </w:rPr>
            </w:pPr>
          </w:p>
        </w:tc>
      </w:tr>
      <w:tr>
        <w:trPr>
          <w:trHeight w:val="185"/>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00" w:type="dxa"/>
            <w:vAlign w:val="bottom"/>
            <w:shd w:val="clear" w:color="auto" w:fill="CFF0FC"/>
          </w:tcPr>
          <w:p>
            <w:pPr>
              <w:spacing w:after="0"/>
              <w:rPr>
                <w:sz w:val="16"/>
                <w:szCs w:val="16"/>
                <w:color w:val="auto"/>
              </w:rPr>
            </w:pPr>
          </w:p>
        </w:tc>
        <w:tc>
          <w:tcPr>
            <w:tcW w:w="106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 premiums</w:t>
            </w:r>
          </w:p>
        </w:tc>
        <w:tc>
          <w:tcPr>
            <w:tcW w:w="1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 accretion of discounts</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w:t>
            </w:r>
          </w:p>
        </w:tc>
        <w:tc>
          <w:tcPr>
            <w:tcW w:w="100" w:type="dxa"/>
            <w:vAlign w:val="bottom"/>
          </w:tcPr>
          <w:p>
            <w:pPr>
              <w:spacing w:after="0"/>
              <w:rPr>
                <w:sz w:val="15"/>
                <w:szCs w:val="15"/>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(4,307 )</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(334 )</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(251 )</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(733 )</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(242 )</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(5,980 )</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March 31, 2024</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955,177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14,388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26,034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950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15,063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1,012,774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4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Level 3 investments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(4,306 )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(334 )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(251 )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(733 )</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(242 )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(5,979 )</w:t>
            </w:r>
          </w:p>
        </w:tc>
        <w:tc>
          <w:tcPr>
            <w:tcW w:w="0" w:type="dxa"/>
            <w:vAlign w:val="bottom"/>
          </w:tcPr>
          <w:p>
            <w:pPr>
              <w:spacing w:after="0"/>
              <w:rPr>
                <w:sz w:val="1"/>
                <w:szCs w:val="1"/>
                <w:color w:val="auto"/>
              </w:rPr>
            </w:pPr>
          </w:p>
        </w:tc>
      </w:tr>
      <w:tr>
        <w:trPr>
          <w:trHeight w:val="144"/>
        </w:trPr>
        <w:tc>
          <w:tcPr>
            <w:tcW w:w="246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March 31, 2024</w:t>
            </w:r>
          </w:p>
        </w:tc>
        <w:tc>
          <w:tcPr>
            <w:tcW w:w="10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-368300</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-350520</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-368300</wp:posOffset>
            </wp:positionV>
            <wp:extent cx="768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-350520</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-368300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-350520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-368300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-350520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-368300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-350520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-368300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-350520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-368300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-350520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4"/>
        <w:spacing w:after="0" w:line="186" w:lineRule="auto"/>
        <w:tabs>
          <w:tab w:leader="none" w:pos="7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Net of reorganization and restructuring of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March 31,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60" w:type="dxa"/>
            <w:vAlign w:val="bottom"/>
          </w:tcPr>
          <w:p>
            <w:pPr>
              <w:spacing w:after="0"/>
              <w:rPr>
                <w:sz w:val="13"/>
                <w:szCs w:val="13"/>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Second Lien</w:t>
            </w:r>
          </w:p>
        </w:tc>
        <w:tc>
          <w:tcPr>
            <w:tcW w:w="20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3"/>
                <w:szCs w:val="13"/>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6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6"/>
                <w:szCs w:val="16"/>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24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220" w:type="dxa"/>
            <w:vAlign w:val="bottom"/>
          </w:tcPr>
          <w:p>
            <w:pPr>
              <w:spacing w:after="0"/>
              <w:rPr>
                <w:sz w:val="14"/>
                <w:szCs w:val="14"/>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1,111,946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in (out) of Level 3</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(12,505 )</w:t>
            </w:r>
          </w:p>
        </w:tc>
        <w:tc>
          <w:tcPr>
            <w:tcW w:w="16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or prepayments of investments</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(10,192 )</w:t>
            </w:r>
          </w:p>
        </w:tc>
        <w:tc>
          <w:tcPr>
            <w:tcW w:w="16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(10,192 )</w:t>
            </w: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Scheduled repayments of investments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(4,007 )</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(4,007 )</w:t>
            </w:r>
          </w:p>
        </w:tc>
        <w:tc>
          <w:tcPr>
            <w:tcW w:w="0" w:type="dxa"/>
            <w:vAlign w:val="bottom"/>
          </w:tcPr>
          <w:p>
            <w:pPr>
              <w:spacing w:after="0"/>
              <w:rPr>
                <w:sz w:val="1"/>
                <w:szCs w:val="1"/>
                <w:color w:val="auto"/>
              </w:rPr>
            </w:pPr>
          </w:p>
        </w:tc>
      </w:tr>
      <w:tr>
        <w:trPr>
          <w:trHeight w:val="139"/>
        </w:trPr>
        <w:tc>
          <w:tcPr>
            <w:tcW w:w="30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 premiums or</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discounts</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gain (loss)</w:t>
            </w:r>
          </w:p>
        </w:tc>
        <w:tc>
          <w:tcPr>
            <w:tcW w:w="1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(1,178 )</w:t>
            </w: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(146 )</w:t>
            </w: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(3,248 )</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(253 )</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(1,636 )</w:t>
            </w:r>
          </w:p>
        </w:tc>
        <w:tc>
          <w:tcPr>
            <w:tcW w:w="2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(4,625 )</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March 31, 2023</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1,060,495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13,707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22,099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921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14,212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1,111,434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gain (loss) on Level 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24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(146 )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(3,248 )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(253 )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(2,930 )</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(5,712 )</w:t>
            </w:r>
          </w:p>
        </w:tc>
        <w:tc>
          <w:tcPr>
            <w:tcW w:w="0" w:type="dxa"/>
            <w:vAlign w:val="bottom"/>
          </w:tcPr>
          <w:p>
            <w:pPr>
              <w:spacing w:after="0"/>
              <w:rPr>
                <w:sz w:val="1"/>
                <w:szCs w:val="1"/>
                <w:color w:val="auto"/>
              </w:rPr>
            </w:pPr>
          </w:p>
        </w:tc>
      </w:tr>
      <w:tr>
        <w:trPr>
          <w:trHeight w:val="144"/>
        </w:trPr>
        <w:tc>
          <w:tcPr>
            <w:tcW w:w="306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investments still held as of March 31, 2023</w:t>
            </w:r>
          </w:p>
        </w:tc>
        <w:tc>
          <w:tcPr>
            <w:tcW w:w="1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-231140</wp:posOffset>
            </wp:positionV>
            <wp:extent cx="768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-213995</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-231140</wp:posOffset>
            </wp:positionV>
            <wp:extent cx="774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-213995</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-231140</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-213995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-231140</wp:posOffset>
            </wp:positionV>
            <wp:extent cx="68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-213995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-231140</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19030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760" w:hanging="374"/>
        <w:spacing w:after="0"/>
        <w:tabs>
          <w:tab w:leader="none" w:pos="76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Net of reorganization and restructuring of investments.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March 31,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1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r>
      <w:tr>
        <w:trPr>
          <w:trHeight w:val="169"/>
        </w:trPr>
        <w:tc>
          <w:tcPr>
            <w:tcW w:w="25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897,222</w:t>
            </w:r>
          </w:p>
        </w:tc>
        <w:tc>
          <w:tcPr>
            <w:tcW w:w="260" w:type="dxa"/>
            <w:vAlign w:val="bottom"/>
            <w:shd w:val="clear" w:color="auto" w:fill="CFF0FC"/>
          </w:tcPr>
          <w:p>
            <w:pPr>
              <w:spacing w:after="0"/>
              <w:rPr>
                <w:sz w:val="14"/>
                <w:szCs w:val="14"/>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4"/>
                <w:szCs w:val="14"/>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10.6% - 25.0% (15.4%)</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10.8% - 19.9% (13.7%)</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0.44x - 8.14x (3.86x)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57,955</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23.9% - 35.5% (27.9%)</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10.8% - 18.6% (12.8%)</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0.96x - 2.68x (1.86x)</w:t>
            </w:r>
          </w:p>
        </w:tc>
      </w:tr>
      <w:tr>
        <w:trPr>
          <w:trHeight w:val="176"/>
        </w:trPr>
        <w:tc>
          <w:tcPr>
            <w:tcW w:w="2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Second Lien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14,388</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16.7% - 16.7% (16.7%)</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13.1% - 13.1% (13.1%)</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2.63x - 2.63x (2.63x)</w:t>
            </w:r>
          </w:p>
        </w:tc>
      </w:tr>
      <w:tr>
        <w:trPr>
          <w:trHeight w:val="17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23.9% - 23.9% (23.9%)</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10.8% - 10.8% (10.8%)</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2.27x - 2.27x (2.27x)</w:t>
            </w:r>
          </w:p>
        </w:tc>
      </w:tr>
      <w:tr>
        <w:trPr>
          <w:trHeight w:val="139"/>
        </w:trPr>
        <w:tc>
          <w:tcPr>
            <w:tcW w:w="2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shd w:val="clear" w:color="auto" w:fill="CFF0FC"/>
          </w:tcPr>
          <w:p>
            <w:pPr>
              <w:spacing w:after="0"/>
              <w:rPr>
                <w:sz w:val="12"/>
                <w:szCs w:val="12"/>
                <w:color w:val="auto"/>
              </w:rPr>
            </w:pPr>
          </w:p>
        </w:tc>
        <w:tc>
          <w:tcPr>
            <w:tcW w:w="20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shd w:val="clear" w:color="auto" w:fill="CFF0FC"/>
          </w:tcPr>
          <w:p>
            <w:pPr>
              <w:spacing w:after="0"/>
              <w:rPr>
                <w:sz w:val="12"/>
                <w:szCs w:val="12"/>
                <w:color w:val="auto"/>
              </w:rPr>
            </w:pPr>
          </w:p>
        </w:tc>
        <w:tc>
          <w:tcPr>
            <w:tcW w:w="208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2140" w:type="dxa"/>
            <w:vAlign w:val="bottom"/>
            <w:shd w:val="clear" w:color="auto" w:fill="CFF0FC"/>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shd w:val="clear" w:color="auto" w:fill="CFF0FC"/>
          </w:tcPr>
          <w:p>
            <w:pPr>
              <w:spacing w:after="0"/>
              <w:rPr>
                <w:sz w:val="16"/>
                <w:szCs w:val="16"/>
                <w:color w:val="auto"/>
              </w:rPr>
            </w:pPr>
          </w:p>
        </w:tc>
        <w:tc>
          <w:tcPr>
            <w:tcW w:w="2080" w:type="dxa"/>
            <w:vAlign w:val="bottom"/>
            <w:shd w:val="clear" w:color="auto" w:fill="CFF0FC"/>
          </w:tcPr>
          <w:p>
            <w:pPr>
              <w:spacing w:after="0"/>
              <w:rPr>
                <w:sz w:val="16"/>
                <w:szCs w:val="16"/>
                <w:color w:val="auto"/>
              </w:rPr>
            </w:pPr>
          </w:p>
        </w:tc>
        <w:tc>
          <w:tcPr>
            <w:tcW w:w="2140" w:type="dxa"/>
            <w:vAlign w:val="bottom"/>
            <w:shd w:val="clear" w:color="auto" w:fill="CFF0FC"/>
          </w:tcPr>
          <w:p>
            <w:pPr>
              <w:spacing w:after="0"/>
              <w:rPr>
                <w:sz w:val="16"/>
                <w:szCs w:val="16"/>
                <w:color w:val="auto"/>
              </w:rPr>
            </w:pP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25,786</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4.7% - 4.7% (4.7%)</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40.0% - 40.0% (40.0%)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1.8 - 1.8 (1.8 years)</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4.03x - 4.03x (4.03x)</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3.0 - 3.0 (3.0 years)</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4.00x - 4.00x (4.00x)</w:t>
            </w: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tcPr>
          <w:p>
            <w:pPr>
              <w:spacing w:after="0"/>
              <w:rPr>
                <w:sz w:val="12"/>
                <w:szCs w:val="12"/>
                <w:color w:val="auto"/>
              </w:rPr>
            </w:pPr>
          </w:p>
        </w:tc>
        <w:tc>
          <w:tcPr>
            <w:tcW w:w="2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2140" w:type="dxa"/>
            <w:vAlign w:val="bottom"/>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 - 5.0% (5.0%)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60.0% - 60.0% (60.0%)</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1.0 - 1.0 (1.0 years)</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2.49x - 2.49x (2.49x)</w:t>
            </w:r>
          </w:p>
        </w:tc>
      </w:tr>
      <w:tr>
        <w:trPr>
          <w:trHeight w:val="17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 - 0.0% (0.0%)</w:t>
            </w:r>
          </w:p>
        </w:tc>
      </w:tr>
      <w:tr>
        <w:trPr>
          <w:trHeight w:val="176"/>
        </w:trPr>
        <w:tc>
          <w:tcPr>
            <w:tcW w:w="25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4.2% - 5.3% (4.6%)</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4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25.0% - 125.0% (49.2%)</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0.5 - 7.9 (2.4 years)</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0.96x - 10.28x (4.56x)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26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7"/>
              </w:rPr>
              <w:t xml:space="preserve">PWERM </w:t>
            </w:r>
            <w:r>
              <w:rPr>
                <w:rFonts w:ascii="Times New Roman" w:cs="Times New Roman" w:eastAsia="Times New Roman" w:hAnsi="Times New Roman"/>
                <w:sz w:val="19"/>
                <w:szCs w:val="19"/>
                <w:color w:val="auto"/>
                <w:w w:val="97"/>
                <w:vertAlign w:val="superscript"/>
              </w:rPr>
              <w:t>(3)</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N/A</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2140" w:type="dxa"/>
            <w:vAlign w:val="bottom"/>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3.0 - 3.0 (3.0 years)</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21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2.11x - 4.00x (3.42x)</w:t>
            </w:r>
          </w:p>
        </w:tc>
      </w:tr>
      <w:tr>
        <w:trPr>
          <w:trHeight w:val="209"/>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Level 3 Investments</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1,012,774</w:t>
            </w:r>
          </w:p>
        </w:tc>
        <w:tc>
          <w:tcPr>
            <w:tcW w:w="26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-24765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-8255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jc w:val="both"/>
        <w:ind w:left="760" w:hanging="374"/>
        <w:spacing w:after="0" w:line="211" w:lineRule="auto"/>
        <w:tabs>
          <w:tab w:leader="none" w:pos="7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jc w:val="both"/>
        <w:ind w:left="760" w:hanging="374"/>
        <w:spacing w:after="0" w:line="208" w:lineRule="auto"/>
        <w:tabs>
          <w:tab w:leader="none" w:pos="7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March 31,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4" w:lineRule="exact"/>
        <w:rPr>
          <w:rFonts w:ascii="Times New Roman" w:cs="Times New Roman" w:eastAsia="Times New Roman" w:hAnsi="Times New Roman"/>
          <w:sz w:val="19"/>
          <w:szCs w:val="19"/>
          <w:color w:val="auto"/>
          <w:vertAlign w:val="superscript"/>
        </w:rPr>
      </w:pPr>
    </w:p>
    <w:p>
      <w:pPr>
        <w:ind w:left="760" w:hanging="374"/>
        <w:spacing w:after="0" w:line="202" w:lineRule="auto"/>
        <w:tabs>
          <w:tab w:leader="none" w:pos="7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Warrant investments using a PWERM valuation technique contain success fees, in which case the inputs are not applicable because the nature of a success fee is a fixed payout dependent on certain liquidation events.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December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r>
      <w:tr>
        <w:trPr>
          <w:trHeight w:val="169"/>
        </w:trPr>
        <w:tc>
          <w:tcPr>
            <w:tcW w:w="25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904,739</w:t>
            </w:r>
          </w:p>
        </w:tc>
        <w:tc>
          <w:tcPr>
            <w:tcW w:w="260" w:type="dxa"/>
            <w:vAlign w:val="bottom"/>
            <w:shd w:val="clear" w:color="auto" w:fill="CFF0FC"/>
          </w:tcPr>
          <w:p>
            <w:pPr>
              <w:spacing w:after="0"/>
              <w:rPr>
                <w:sz w:val="14"/>
                <w:szCs w:val="14"/>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4"/>
                <w:szCs w:val="14"/>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10.8% - 22.2% (15.0%)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10.8% - 19.9% (13.6%)</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0.29x - 7.49x (3.66x)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59,360</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20.3% - 46.5% (28.8%)</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10.8% - 29.7% (17.3%)</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0.95x - 3.16x (1.89x)</w:t>
            </w:r>
          </w:p>
        </w:tc>
      </w:tr>
      <w:tr>
        <w:trPr>
          <w:trHeight w:val="176"/>
        </w:trPr>
        <w:tc>
          <w:tcPr>
            <w:tcW w:w="2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Second Lien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14,399</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16.1% - 16.1% (16.1%)</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13.1% - 13.1% (13.1%)</w:t>
            </w:r>
          </w:p>
        </w:tc>
      </w:tr>
      <w:tr>
        <w:trPr>
          <w:trHeight w:val="17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45.0% - 45.0% (45.0%)</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10.8% - 10.8% (10.8%)</w:t>
            </w:r>
          </w:p>
        </w:tc>
      </w:tr>
      <w:tr>
        <w:trPr>
          <w:trHeight w:val="139"/>
        </w:trPr>
        <w:tc>
          <w:tcPr>
            <w:tcW w:w="25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120</w:t>
            </w:r>
          </w:p>
        </w:tc>
        <w:tc>
          <w:tcPr>
            <w:tcW w:w="260" w:type="dxa"/>
            <w:vAlign w:val="bottom"/>
            <w:shd w:val="clear" w:color="auto" w:fill="CFF0FC"/>
          </w:tcPr>
          <w:p>
            <w:pPr>
              <w:spacing w:after="0"/>
              <w:rPr>
                <w:sz w:val="12"/>
                <w:szCs w:val="12"/>
                <w:color w:val="auto"/>
              </w:rPr>
            </w:pPr>
          </w:p>
        </w:tc>
        <w:tc>
          <w:tcPr>
            <w:tcW w:w="20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shd w:val="clear" w:color="auto" w:fill="CFF0FC"/>
          </w:tcPr>
          <w:p>
            <w:pPr>
              <w:spacing w:after="0"/>
              <w:rPr>
                <w:sz w:val="12"/>
                <w:szCs w:val="12"/>
                <w:color w:val="auto"/>
              </w:rPr>
            </w:pPr>
          </w:p>
        </w:tc>
        <w:tc>
          <w:tcPr>
            <w:tcW w:w="204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FF0FC"/>
          </w:tcPr>
          <w:p>
            <w:pPr>
              <w:spacing w:after="0"/>
              <w:rPr>
                <w:sz w:val="12"/>
                <w:szCs w:val="12"/>
                <w:color w:val="auto"/>
              </w:rPr>
            </w:pPr>
          </w:p>
        </w:tc>
        <w:tc>
          <w:tcPr>
            <w:tcW w:w="2020" w:type="dxa"/>
            <w:vAlign w:val="bottom"/>
            <w:shd w:val="clear" w:color="auto" w:fill="CFF0FC"/>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20" w:type="dxa"/>
            <w:vAlign w:val="bottom"/>
            <w:shd w:val="clear" w:color="auto" w:fill="CFF0FC"/>
          </w:tcPr>
          <w:p>
            <w:pPr>
              <w:spacing w:after="0"/>
              <w:rPr>
                <w:sz w:val="16"/>
                <w:szCs w:val="16"/>
                <w:color w:val="auto"/>
              </w:rPr>
            </w:pP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26,038</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4.7% - 4.7% (4.7%)</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40.0% - 40.0% (40.0%)</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2.0 - 2.0 (2.0 years)</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4.46x - 4.46x (4.46x)</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3.0 - 3.0 (3.0 years)</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4.00x - 4.00x (4.00x)</w:t>
            </w: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tcPr>
          <w:p>
            <w:pPr>
              <w:spacing w:after="0"/>
              <w:rPr>
                <w:sz w:val="12"/>
                <w:szCs w:val="12"/>
                <w:color w:val="auto"/>
              </w:rPr>
            </w:pPr>
          </w:p>
        </w:tc>
        <w:tc>
          <w:tcPr>
            <w:tcW w:w="20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2"/>
                <w:szCs w:val="12"/>
                <w:color w:val="auto"/>
              </w:rPr>
            </w:pPr>
          </w:p>
        </w:tc>
        <w:tc>
          <w:tcPr>
            <w:tcW w:w="20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r>
      <w:tr>
        <w:trPr>
          <w:trHeight w:val="185"/>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4.3% - 4.3% (4.3%)</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35.0% - 35.0% (35.0%)</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5.0 - 5.0 (5.0 years)</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3.28x - 3.28x (3.28x)</w:t>
            </w:r>
          </w:p>
        </w:tc>
      </w:tr>
      <w:tr>
        <w:trPr>
          <w:trHeight w:val="17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1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20.0% - 20.0% (20.0%)</w:t>
            </w:r>
          </w:p>
        </w:tc>
      </w:tr>
      <w:tr>
        <w:trPr>
          <w:trHeight w:val="176"/>
        </w:trPr>
        <w:tc>
          <w:tcPr>
            <w:tcW w:w="25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1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3.8% - 5.3% (4.5%)</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18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25.0% - 108.8% (45.4%)</w:t>
            </w:r>
          </w:p>
        </w:tc>
      </w:tr>
      <w:tr>
        <w:trPr>
          <w:trHeight w:val="176"/>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0.8 - 8.2 (3.1 years)</w:t>
            </w:r>
          </w:p>
        </w:tc>
      </w:tr>
      <w:tr>
        <w:trPr>
          <w:trHeight w:val="175"/>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0.95x - 7.49x (3.95x)</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2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 (3)</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r>
      <w:tr>
        <w:trPr>
          <w:trHeight w:val="176"/>
        </w:trPr>
        <w:tc>
          <w:tcPr>
            <w:tcW w:w="2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2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Waterfall Approach</w:t>
            </w:r>
          </w:p>
        </w:tc>
        <w:tc>
          <w:tcPr>
            <w:tcW w:w="1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3.0 - 3.0 (3.0 years)</w:t>
            </w:r>
          </w:p>
        </w:tc>
      </w:tr>
      <w:tr>
        <w:trPr>
          <w:trHeight w:val="175"/>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2.58x - 4.00x (3.39x)</w:t>
            </w:r>
          </w:p>
        </w:tc>
      </w:tr>
      <w:tr>
        <w:trPr>
          <w:trHeight w:val="209"/>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Level 3 Investments</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1,020,800</w:t>
            </w:r>
          </w:p>
        </w:tc>
        <w:tc>
          <w:tcPr>
            <w:tcW w:w="2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35"/>
        </w:trPr>
        <w:tc>
          <w:tcPr>
            <w:tcW w:w="2520" w:type="dxa"/>
            <w:vAlign w:val="bottom"/>
            <w:tcBorders>
              <w:top w:val="single" w:sz="8" w:color="CFF0FC"/>
              <w:bottom w:val="single" w:sz="8" w:color="auto"/>
            </w:tcBorders>
          </w:tcPr>
          <w:p>
            <w:pPr>
              <w:spacing w:after="0"/>
              <w:rPr>
                <w:sz w:val="3"/>
                <w:szCs w:val="3"/>
                <w:color w:val="auto"/>
              </w:rPr>
            </w:pPr>
          </w:p>
        </w:tc>
        <w:tc>
          <w:tcPr>
            <w:tcW w:w="160" w:type="dxa"/>
            <w:vAlign w:val="bottom"/>
            <w:tcBorders>
              <w:top w:val="single" w:sz="8" w:color="CFF0FC"/>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60" w:type="dxa"/>
            <w:vAlign w:val="bottom"/>
            <w:tcBorders>
              <w:top w:val="single" w:sz="8" w:color="CFF0FC"/>
            </w:tcBorders>
          </w:tcPr>
          <w:p>
            <w:pPr>
              <w:spacing w:after="0"/>
              <w:rPr>
                <w:sz w:val="3"/>
                <w:szCs w:val="3"/>
                <w:color w:val="auto"/>
              </w:rPr>
            </w:pPr>
          </w:p>
        </w:tc>
        <w:tc>
          <w:tcPr>
            <w:tcW w:w="2020" w:type="dxa"/>
            <w:vAlign w:val="bottom"/>
            <w:tcBorders>
              <w:top w:val="single" w:sz="8" w:color="CFF0FC"/>
            </w:tcBorders>
          </w:tcPr>
          <w:p>
            <w:pPr>
              <w:spacing w:after="0"/>
              <w:rPr>
                <w:sz w:val="3"/>
                <w:szCs w:val="3"/>
                <w:color w:val="auto"/>
              </w:rPr>
            </w:pPr>
          </w:p>
        </w:tc>
        <w:tc>
          <w:tcPr>
            <w:tcW w:w="160" w:type="dxa"/>
            <w:vAlign w:val="bottom"/>
            <w:tcBorders>
              <w:top w:val="single" w:sz="8" w:color="CFF0FC"/>
            </w:tcBorders>
          </w:tcPr>
          <w:p>
            <w:pPr>
              <w:spacing w:after="0"/>
              <w:rPr>
                <w:sz w:val="3"/>
                <w:szCs w:val="3"/>
                <w:color w:val="auto"/>
              </w:rPr>
            </w:pPr>
          </w:p>
        </w:tc>
        <w:tc>
          <w:tcPr>
            <w:tcW w:w="2040" w:type="dxa"/>
            <w:vAlign w:val="bottom"/>
            <w:tcBorders>
              <w:top w:val="single" w:sz="8" w:color="CFF0FC"/>
            </w:tcBorders>
          </w:tcPr>
          <w:p>
            <w:pPr>
              <w:spacing w:after="0"/>
              <w:rPr>
                <w:sz w:val="3"/>
                <w:szCs w:val="3"/>
                <w:color w:val="auto"/>
              </w:rPr>
            </w:pPr>
          </w:p>
        </w:tc>
        <w:tc>
          <w:tcPr>
            <w:tcW w:w="160" w:type="dxa"/>
            <w:vAlign w:val="bottom"/>
            <w:tcBorders>
              <w:top w:val="single" w:sz="8" w:color="CFF0FC"/>
            </w:tcBorders>
          </w:tcPr>
          <w:p>
            <w:pPr>
              <w:spacing w:after="0"/>
              <w:rPr>
                <w:sz w:val="3"/>
                <w:szCs w:val="3"/>
                <w:color w:val="auto"/>
              </w:rPr>
            </w:pPr>
          </w:p>
        </w:tc>
        <w:tc>
          <w:tcPr>
            <w:tcW w:w="2020" w:type="dxa"/>
            <w:vAlign w:val="bottom"/>
            <w:tcBorders>
              <w:top w:val="single" w:sz="8" w:color="CFF0F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-67945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-50800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760" w:hanging="374"/>
        <w:spacing w:after="0" w:line="211" w:lineRule="auto"/>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jc w:val="both"/>
        <w:ind w:left="760" w:hanging="374"/>
        <w:spacing w:after="0" w:line="208" w:lineRule="auto"/>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2023.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4" w:lineRule="exact"/>
        <w:rPr>
          <w:rFonts w:ascii="Times New Roman" w:cs="Times New Roman" w:eastAsia="Times New Roman" w:hAnsi="Times New Roman"/>
          <w:sz w:val="19"/>
          <w:szCs w:val="19"/>
          <w:color w:val="auto"/>
          <w:vertAlign w:val="superscript"/>
        </w:rPr>
      </w:pPr>
    </w:p>
    <w:p>
      <w:pPr>
        <w:ind w:left="760" w:hanging="374"/>
        <w:spacing w:after="0" w:line="202" w:lineRule="auto"/>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Warrant investments using a PWERM valuation technique contain success fees, in which case the inputs are not applicable because the nature of a success fee is a fixed payout dependent on certain liquidation events.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Reported at Cost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Company’s Credit Facility, April 2026 Notes, December 2026 Notes, July 2027 Notes, August 2027 Notes, and December 2027 Notes (each defined in "Note 7 – Borrowings") is estimated using the relative market yield approach. The fair value of the Company's Credit Facility, April 2026 Notes, December 2026 Notes and August 2027 Notes are estimated using Level 3 inputs by discounting remaining payments using comparable market rates or market quotes for similar instruments at the measurement date. The fair value of the Company's July 2027 Notes and December 2027 Notes is based on vendor pricing received by the Company, which is considered a Level 2 input, and reflects the market close price of the notes traded on the Nasdaq Global Select Market LLC under the symbol "RWAYL" and "RWAYZ", respectively.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both March 31, 2024, and December 31, 2023, the carrying values of the Credit Facility, July 2027 Notes, August 2027 Notes, and December 2027 Notes approximate fair value. As of March 31, 2024, the fair value of the December 2026 Notes was approximately $65.0 million and the carrying value was approximately $69.5 million, net of unamortized deferred debt costs of $0.5 million. As of December 31, 2023, the fair value of the December 2026 Notes was approximately $63.8 million and the carrying value was approximately $69.4 million, net of unamortized deferred debt costs of $0.6 million. As of March 31, 2024, the fair value of the April 2026 Notes was approximately $26.3 million and the carrying value was approximately $24.8 million, net of unamortized deferred debt costs of $0.2 million. As of December 31, 2023, the fair value of the April 2026 Notes was approximately $25.8 million and the carrying value was approximately $24.7 million, net of unamortized deferred debt costs of $0.3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March 31, 2024. The Company predominantly collateralizes its investments by obtaining a first priority security interest in a portfolio company’s assets, which may include its intellectual property.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Company’s five largest debt investments in portfolio companies represented approximately 36.1% and 38.0%, respectively, of the total fair value of the Company’s debt investments in portfolio companies. As of March 31, 2024 and December 31, 2023, the Company had debt investments in 15 and 14 portfolio companies, respectively, that represented 5% or more of the Company’s net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March 31, 2024 and December 31, 2023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20" w:type="dxa"/>
            <w:vAlign w:val="bottom"/>
          </w:tcPr>
          <w:p>
            <w:pPr>
              <w:spacing w:after="0"/>
              <w:rPr>
                <w:sz w:val="11"/>
                <w:szCs w:val="11"/>
                <w:color w:val="auto"/>
              </w:rPr>
            </w:pPr>
          </w:p>
        </w:tc>
        <w:tc>
          <w:tcPr>
            <w:tcW w:w="84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20" w:type="dxa"/>
            <w:vAlign w:val="bottom"/>
          </w:tcPr>
          <w:p>
            <w:pPr>
              <w:spacing w:after="0"/>
              <w:rPr>
                <w:sz w:val="11"/>
                <w:szCs w:val="11"/>
                <w:color w:val="auto"/>
              </w:rPr>
            </w:pPr>
          </w:p>
        </w:tc>
        <w:tc>
          <w:tcPr>
            <w:tcW w:w="84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8"/>
              <w:spacing w:after="0" w:line="18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8"/>
              <w:spacing w:after="0" w:line="18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237,000</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(3,957 )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233,043</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(4,434 )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(247 )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(277 )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(519 )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69,481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(573 )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(1,780 )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(1,924 )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(476 )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19,524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(511 )</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(1,357 )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(1,453 )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797,250</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484,250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(8,336 )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475,914</w:t>
            </w:r>
          </w:p>
        </w:tc>
        <w:tc>
          <w:tcPr>
            <w:tcW w:w="400" w:type="dxa"/>
            <w:vAlign w:val="bottom"/>
            <w:gridSpan w:val="2"/>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797,250</w:t>
            </w:r>
          </w:p>
        </w:tc>
        <w:tc>
          <w:tcPr>
            <w:tcW w:w="36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519,250</w:t>
            </w:r>
          </w:p>
        </w:tc>
        <w:tc>
          <w:tcPr>
            <w:tcW w:w="400" w:type="dxa"/>
            <w:vAlign w:val="bottom"/>
            <w:gridSpan w:val="2"/>
            <w:shd w:val="clear" w:color="auto" w:fill="CFF0FC"/>
          </w:tcPr>
          <w:p>
            <w:pPr>
              <w:ind w:lef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(9,172 )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510,078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-25400</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-25400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2" w:lineRule="exact"/>
        <w:rPr>
          <w:sz w:val="20"/>
          <w:szCs w:val="20"/>
          <w:color w:val="auto"/>
        </w:rPr>
      </w:pPr>
    </w:p>
    <w:p>
      <w:pPr>
        <w:ind w:left="600" w:hanging="205"/>
        <w:spacing w:after="0"/>
        <w:tabs>
          <w:tab w:leader="none" w:pos="60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accumulated amortization.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components of interest expense, amortization of deferred debt costs, unused fees on the Credit Facility (as defined below), and any other costs associated with the Company's borrowings were as follows (dollars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16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Unused Facility and</w:t>
            </w:r>
          </w:p>
        </w:tc>
        <w:tc>
          <w:tcPr>
            <w:tcW w:w="160" w:type="dxa"/>
            <w:vAlign w:val="bottom"/>
          </w:tcPr>
          <w:p>
            <w:pPr>
              <w:spacing w:after="0"/>
              <w:rPr>
                <w:sz w:val="13"/>
                <w:szCs w:val="13"/>
                <w:color w:val="auto"/>
              </w:rPr>
            </w:pPr>
          </w:p>
        </w:tc>
        <w:tc>
          <w:tcPr>
            <w:tcW w:w="140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 Interest and</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Other Debt</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Deferred Debt Costs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 Fees</w:t>
            </w:r>
          </w:p>
        </w:tc>
        <w:tc>
          <w:tcPr>
            <w:tcW w:w="16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Financing Expenses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 of Debt</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5,007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480</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841</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6,328</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2026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564</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799</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1,653</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8.22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9,179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840</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841</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10,860</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4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6,975</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8.37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2026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744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796</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1,638</w:t>
            </w: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10,047</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10,920</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-950595</wp:posOffset>
            </wp:positionV>
            <wp:extent cx="1028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-933450</wp:posOffset>
            </wp:positionV>
            <wp:extent cx="1028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-950595</wp:posOffset>
            </wp:positionV>
            <wp:extent cx="939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-933450</wp:posOffset>
            </wp:positionV>
            <wp:extent cx="939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939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-933450</wp:posOffset>
            </wp:positionV>
            <wp:extent cx="939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-950595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1028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1028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939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939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939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939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March 31,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on a per annum rate equal to the Adjusted Term Secured Overnight Financing Rate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weighted average outstanding principal balance was $234.9 million and the weighted average effective interest rate was 8.55%. For the three months ended March 31, 2023, the weighted average outstanding principal balance was $333.2 million and the weighted average effective interest rate was 7.80%.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2026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 commencing on June 10,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costs in connection with the December 2026 Notes issuance were $1.0 million, and were capitalized and deferred. As of March 31, 2024 and December 31, 2023, unamortized deferred debt costs related to the December 2026 Notes were $0.5 million and $0.6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2026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commencing on October 13,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costs in connection with the April 2026 Notes issuance were $0.4 million, and were capitalized and deferred. As of March 31, 2024 and December 31, 2023</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unamortized deferred debt costs related to the April 2026 Notes were $0.2 million and $0.3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2027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July 2027 Notes bear an interest rate of 7.50% per year and are due on July 28, 2027. Interest on the 2027 Notes will be due quarterly in arrears on March 1, June 1, September 1 and December 1 of each year, commencing September 1, 2022.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costs in connection with the July 2027 Notes issuance, including the underwriter’s discount and commissions, were $2.7 million, and were capitalized and deferred. As of March 31, 2024 and December 31, 2023, unamortized deferred debt costs related to the July 2027 Notes were $1.8 million and $1.9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2027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31, 2022, the Company issued and sold a private debt offering of $20.0 million in aggregate principal amount of 7.00% interest-bearing unsecured Series 2022A Senior Notes due 2027 (the “August 2027 Notes”) to HCM Master Fund Limited.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commencing on February 15, 2023. The August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Aggregate costs in connection with the August 2027 Notes issuance were $0.7 million, and were capitalized and deferred. As of March 31, 2024 and December 31, 2023, unamortized deferred debt costs related to the August 2027 Notes were $0.5 million and $0.5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2027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December 2027 Notes bear an interest rate of 8.0% per year and are due on December 28, 2027. Interest on the December 2027 Notes will be due quarterly in arrears on March 1, June 1, September 1, and December 1 of each year, commencing March 1, 2023.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costs in connection with the December 2027 Notes issuance, including the underwriter's discount and commissions, were $1.8 million, and were capitalized and deferred. As of March 31, 2024 and December 31, 2023, unamortized deferred debt costs related to the December 2027 Notes were $1.4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contractual obligations as of March 31,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Contractual Obligations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6"/>
                <w:szCs w:val="16"/>
                <w:color w:val="auto"/>
              </w:rPr>
            </w:pPr>
          </w:p>
        </w:tc>
        <w:tc>
          <w:tcPr>
            <w:tcW w:w="1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(2)</w:t>
            </w:r>
          </w:p>
        </w:tc>
        <w:tc>
          <w:tcPr>
            <w:tcW w:w="1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237,000</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Borrowings</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484,250</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332,000</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Incentive Fees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494,466</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337,915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155,939</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768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7747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interest payable on borrowings, accrued expenses, and commitments to extend credit to the Company’s portfolio companies.</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01" w:lineRule="auto"/>
        <w:tabs>
          <w:tab w:leader="none" w:pos="7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represent future principal repayments and not the carrying value of each liability (refer to “Note 7 – Borrowings”).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contractual obligations as of December 31,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Contractual Obligations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6"/>
                <w:szCs w:val="16"/>
                <w:color w:val="auto"/>
              </w:rPr>
            </w:pPr>
          </w:p>
        </w:tc>
        <w:tc>
          <w:tcPr>
            <w:tcW w:w="1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(2)</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Borrowings</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519,250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Incentive Fees</w:t>
            </w: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9,165</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528,415</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370,919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154,798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-471170</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-471170</wp:posOffset>
            </wp:positionV>
            <wp:extent cx="774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-471170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-471170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-239395</wp:posOffset>
            </wp:positionV>
            <wp:extent cx="768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-239395</wp:posOffset>
            </wp:positionV>
            <wp:extent cx="774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-239395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-239395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interest payable on borrowings, accrued expenses, and commitments to extend credit to the Company’s portfolio companies.</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01" w:lineRule="auto"/>
        <w:tabs>
          <w:tab w:leader="none" w:pos="7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represent future principal repayments and not the carrying value of each liability (refer to “Note 7 – Borrowings”).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RGC are not currently subject to any material legal proceedings, nor, to its knowledge, is any material legal proceeding threatened against it. From time to time, the Company or RGC may be a party to certain legal proceedings in the ordinary course of business, including proceedings relating to the enforcement of its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our balance sheet.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unfunded commitments to provide debt financing to its portfolio companies amounted to $235.8 million and $201.5 million as of March 31, 2024 and December 31, 2023, respectively, shown in the table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16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3PL Central LLC (dba Extensiv)</w:t>
            </w:r>
          </w:p>
        </w:tc>
        <w:tc>
          <w:tcPr>
            <w:tcW w:w="200" w:type="dxa"/>
            <w:vAlign w:val="bottom"/>
            <w:shd w:val="clear" w:color="auto" w:fill="CFF0FC"/>
          </w:tcPr>
          <w:p>
            <w:pPr>
              <w:spacing w:after="0"/>
              <w:rPr>
                <w:sz w:val="14"/>
                <w:szCs w:val="14"/>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shd w:val="clear" w:color="auto" w:fill="CFF0FC"/>
          </w:tcPr>
          <w:p>
            <w:pPr>
              <w:spacing w:after="0"/>
              <w:rPr>
                <w:sz w:val="14"/>
                <w:szCs w:val="14"/>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Betterment Holdings,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Blueshift Labs,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Bombora,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Brivo,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CarNow,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EBR Systems,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Interactions Corporation</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r>
      <w:tr>
        <w:trPr>
          <w:trHeight w:val="17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Madison Reed,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Linxup, LLC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Moximed,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Nalu Medical,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Runway-Cadma I LLC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Joint Venture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FF0FC"/>
          </w:tcPr>
          <w:p>
            <w:pPr>
              <w:spacing w:after="0"/>
              <w:rPr>
                <w:sz w:val="15"/>
                <w:szCs w:val="15"/>
                <w:color w:val="auto"/>
              </w:rPr>
            </w:pPr>
          </w:p>
        </w:tc>
      </w:tr>
      <w:tr>
        <w:trPr>
          <w:trHeight w:val="17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Skillshare,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shd w:val="clear" w:color="auto" w:fill="CFF0FC"/>
          </w:tcPr>
          <w:p>
            <w:pPr>
              <w:spacing w:after="0"/>
              <w:rPr>
                <w:sz w:val="15"/>
                <w:szCs w:val="15"/>
                <w:color w:val="auto"/>
              </w:rPr>
            </w:pPr>
          </w:p>
        </w:tc>
        <w:tc>
          <w:tcPr>
            <w:tcW w:w="2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Convertible Note</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00" w:type="dxa"/>
            <w:vAlign w:val="bottom"/>
            <w:shd w:val="clear" w:color="auto" w:fill="CFF0FC"/>
          </w:tcPr>
          <w:p>
            <w:pPr>
              <w:spacing w:after="0"/>
              <w:rPr>
                <w:sz w:val="15"/>
                <w:szCs w:val="15"/>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tcPr>
          <w:p>
            <w:pPr>
              <w:spacing w:after="0"/>
              <w:rPr>
                <w:sz w:val="15"/>
                <w:szCs w:val="15"/>
                <w:color w:val="auto"/>
              </w:rPr>
            </w:pPr>
          </w:p>
        </w:tc>
      </w:tr>
      <w:tr>
        <w:trPr>
          <w:trHeight w:val="17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200" w:type="dxa"/>
            <w:vAlign w:val="bottom"/>
            <w:tcBorders>
              <w:bottom w:val="single" w:sz="8" w:color="CFF0FC"/>
            </w:tcBorders>
            <w:shd w:val="clear" w:color="auto" w:fill="CFF0FC"/>
          </w:tcPr>
          <w:p>
            <w:pPr>
              <w:spacing w:after="0"/>
              <w:rPr>
                <w:sz w:val="15"/>
                <w:szCs w:val="15"/>
                <w:color w:val="auto"/>
              </w:rPr>
            </w:pPr>
          </w:p>
        </w:tc>
        <w:tc>
          <w:tcPr>
            <w:tcW w:w="27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4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235,820</w:t>
            </w:r>
          </w:p>
        </w:tc>
        <w:tc>
          <w:tcPr>
            <w:tcW w:w="4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201,520</w:t>
            </w:r>
          </w:p>
        </w:tc>
        <w:tc>
          <w:tcPr>
            <w:tcW w:w="100" w:type="dxa"/>
            <w:vAlign w:val="bottom"/>
          </w:tcPr>
          <w:p>
            <w:pPr>
              <w:spacing w:after="0"/>
              <w:rPr>
                <w:sz w:val="14"/>
                <w:szCs w:val="14"/>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-144780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authority to issue 100,000,000 shares of common stock, $0.01 par value per share. In October 2015, in connection with the Company's formation, the Company issued and sold 1,667 shares of common stock to R. David Spreng, the President and Chief Executive Officer of the Company and Chairman of the Board of Directors, for an aggregate purchase price of $25 thousand.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Common Stock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2017, the Company completed its initial private offering ("Initial Private Offering"), in which the Company had issued 18,241,157 shares of its common stock to stockholders for a total purchase price of $275.0 million in reliance on exemptions from the registration requirements of the Securities Act, and other applicable securities 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October 15, 2019 and ending September 29, 2021, the Company had completed multiple closings under its second private offering (the "Second Private Offering") and had accepted aggregate capital commitments of $181.7 million. In connection with the Second Private Offering the Company has issued 9,617,379 shares of its common stock for a total purchase price of $144.3 million. Concurrent with the IPO, all undrawn commitments under the Second Private Offering were cancelled.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2020 and March 24, 2021, the Company had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the Nasdaq Global Select Market LLC on October 21, 2021 under the symbol “RWAY”.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24, 2022, the Board of Directors approved a repurchase program (the “Initial Repurchase Program”) under which the Company could have repurchased up to $25.0 million of its outstanding common stock, prior to its expiration on February 24, 2023. Under the Initial Repurchase Program, the Company could have repurchased shares at management’s discretion from time to time in open-market transactions, in accordance with all applicable securities laws and regulations. As of March 31, 2024 and December 31, 2023, the Company had repurchased 871,345 shares of the Company's common stock under the Initial Repurchase Program for an aggregate purchase price of $10.8 million. The Board of Directors did not renew the Initial Repurchase Program, and it expired on February 24, 2023.</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 2023, the Board of Directors approved a new share repurchase program (the "Repurchase Program"), under which the Company may repurchase up to $25.0 million of the Company's outstanding shares of common stock. Under the Repurchase Program, purchases may be made at management’s discretion from time to time in open-market transactions, in accordance with all applicable securities laws and regulations. As of March 31, 2024, the Company repurchased 887,096 shares in connection with the Repurchase Program for an aggregate purchase price of $10.6 million. If not renewed, the Repurchase Program will terminate upon the earlier of (i) November 2, 2024 and (ii) the repurchase of $25.0 million of the Company's shares of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declared and paid dividends in the amount of $19.0 million of which $18.8 million was distributed in cash and the remainder distributed in shares to stockholders pursuant to the Company’s Dividend Reinvestment Plan. For the three months ended March 31, 2023, the Company declared dividends in the amount of $18.2 million of which $17.5 million was distributed in cash and the remainder distributed in shares to stockholders pursuant to the Company’s Dividend Reinvestment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purchased 20,531 shares of common stock in the open market under the Dividend Reinvestment Plan for a total of $0.3 million. During the three months ended March 31, 2023, the Company purchased 64,214 shares of common stock in the open market and under the Dividend Reinvestment Plan for a total of $0.8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distributions declared and paid since inception through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6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 per Share</w:t>
            </w:r>
          </w:p>
        </w:tc>
      </w:tr>
      <w:tr>
        <w:trPr>
          <w:trHeight w:val="169"/>
        </w:trPr>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3, 2018</w:t>
            </w:r>
          </w:p>
        </w:tc>
        <w:tc>
          <w:tcPr>
            <w:tcW w:w="160" w:type="dxa"/>
            <w:vAlign w:val="bottom"/>
          </w:tcPr>
          <w:p>
            <w:pPr>
              <w:spacing w:after="0"/>
              <w:rPr>
                <w:sz w:val="14"/>
                <w:szCs w:val="14"/>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4"/>
                <w:szCs w:val="14"/>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15, 2018</w:t>
            </w:r>
          </w:p>
        </w:tc>
        <w:tc>
          <w:tcPr>
            <w:tcW w:w="160" w:type="dxa"/>
            <w:vAlign w:val="bottom"/>
          </w:tcPr>
          <w:p>
            <w:pPr>
              <w:spacing w:after="0"/>
              <w:rPr>
                <w:sz w:val="14"/>
                <w:szCs w:val="14"/>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31, 2018</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4"/>
                <w:szCs w:val="14"/>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26, 2018</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15, 2018</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31, 2018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 2018</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31, 2018</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15, 2018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26, 2019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7, 2019</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21, 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31, 2019</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16, 2019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30, 2019</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5, 2019</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26, 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27, 2019</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September 30, 2019</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12, 2019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9, 2019</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10, 2019</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23, 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5, 2020</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6, 2020</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20, 2020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7, 2020</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8, 2020</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21, 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5, 2020</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6, 2020</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20, 2020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12, 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4, 2021</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5, 2021</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19, 2021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29, 2021</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2021</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13, 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19, 2021</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20, 2021</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12, 2021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28, 2021</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2021</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22, 2021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24, 2022</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8, 2022</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22, 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28, 2022</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10, 2022</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24, 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July 28, 2022</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9, 2022</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23, 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27, 2022</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8, 2022</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22, 2022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21,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7,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21,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6"/>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15,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31,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15,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31,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15,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31,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15,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31,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1, 2023</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13, 2023</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November 28, 2023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 2023</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13, 2023</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28, 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5"/>
                <w:szCs w:val="15"/>
                <w:color w:val="auto"/>
              </w:rPr>
            </w:pPr>
          </w:p>
        </w:tc>
      </w:tr>
      <w:tr>
        <w:trPr>
          <w:trHeight w:val="175"/>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1, 2024</w:t>
            </w:r>
          </w:p>
        </w:tc>
        <w:tc>
          <w:tcPr>
            <w:tcW w:w="160" w:type="dxa"/>
            <w:vAlign w:val="bottom"/>
            <w:shd w:val="clear" w:color="auto" w:fill="CFF0FC"/>
          </w:tcPr>
          <w:p>
            <w:pPr>
              <w:spacing w:after="0"/>
              <w:rPr>
                <w:sz w:val="15"/>
                <w:szCs w:val="15"/>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Quarterly</w:t>
            </w:r>
          </w:p>
        </w:tc>
        <w:tc>
          <w:tcPr>
            <w:tcW w:w="16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12, 2024</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February 28, 2024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 2024</w:t>
            </w:r>
          </w:p>
        </w:tc>
        <w:tc>
          <w:tcPr>
            <w:tcW w:w="16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Supplemental</w:t>
            </w:r>
          </w:p>
        </w:tc>
        <w:tc>
          <w:tcPr>
            <w:tcW w:w="16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12, 2024</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28, 2024</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5"/>
                <w:szCs w:val="15"/>
                <w:color w:val="auto"/>
              </w:rPr>
            </w:pPr>
          </w:p>
        </w:tc>
      </w:tr>
      <w:tr>
        <w:trPr>
          <w:trHeight w:val="209"/>
        </w:trPr>
        <w:tc>
          <w:tcPr>
            <w:tcW w:w="2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gain (loss) on investments for federal income tax purposes as of and for the period ended March 31, 2024 and the year ended December 31,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9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66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Tax cost on investments</w:t>
            </w:r>
          </w:p>
        </w:tc>
        <w:tc>
          <w:tcPr>
            <w:tcW w:w="34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1,062,910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1,105,481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6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Change in unrealized gain on a tax basis</w:t>
            </w:r>
          </w:p>
        </w:tc>
        <w:tc>
          <w:tcPr>
            <w:tcW w:w="340" w:type="dxa"/>
            <w:vAlign w:val="bottom"/>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10,414</w:t>
            </w:r>
          </w:p>
        </w:tc>
        <w:tc>
          <w:tcPr>
            <w:tcW w:w="320" w:type="dxa"/>
            <w:vAlign w:val="bottom"/>
          </w:tcPr>
          <w:p>
            <w:pPr>
              <w:spacing w:after="0"/>
              <w:rPr>
                <w:sz w:val="13"/>
                <w:szCs w:val="13"/>
                <w:color w:val="auto"/>
              </w:rPr>
            </w:pPr>
          </w:p>
        </w:tc>
        <w:tc>
          <w:tcPr>
            <w:tcW w:w="280" w:type="dxa"/>
            <w:vAlign w:val="bottom"/>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11,239</w:t>
            </w:r>
          </w:p>
        </w:tc>
        <w:tc>
          <w:tcPr>
            <w:tcW w:w="100" w:type="dxa"/>
            <w:vAlign w:val="bottom"/>
          </w:tcPr>
          <w:p>
            <w:pPr>
              <w:spacing w:after="0"/>
              <w:rPr>
                <w:sz w:val="13"/>
                <w:szCs w:val="13"/>
                <w:color w:val="auto"/>
              </w:rPr>
            </w:pPr>
          </w:p>
        </w:tc>
      </w:tr>
      <w:tr>
        <w:trPr>
          <w:trHeight w:val="17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unrealized loss on a tax basis</w:t>
            </w:r>
          </w:p>
        </w:tc>
        <w:tc>
          <w:tcPr>
            <w:tcW w:w="34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(56,992 )</w:t>
            </w:r>
          </w:p>
        </w:tc>
        <w:tc>
          <w:tcPr>
            <w:tcW w:w="280" w:type="dxa"/>
            <w:vAlign w:val="bottom"/>
            <w:shd w:val="clear" w:color="auto" w:fill="CFF0FC"/>
          </w:tcPr>
          <w:p>
            <w:pPr>
              <w:spacing w:after="0"/>
              <w:rPr>
                <w:sz w:val="15"/>
                <w:szCs w:val="15"/>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(49,711 )</w:t>
            </w:r>
          </w:p>
        </w:tc>
      </w:tr>
      <w:tr>
        <w:trPr>
          <w:trHeight w:val="20"/>
        </w:trPr>
        <w:tc>
          <w:tcPr>
            <w:tcW w:w="66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unrealized gain (loss) on a tax basis</w:t>
            </w:r>
          </w:p>
        </w:tc>
        <w:tc>
          <w:tcPr>
            <w:tcW w:w="34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(46,578 )</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(38,472 )</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-393700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-376555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-145415</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There were no material uncertain income tax positions at March 31, 2024 or December 31, 2023. Although the Company files federal and state tax returns, the Company's major tax jurisdiction is federal. The previous three tax year-ends and the interim tax period since then remain subject to examination by the Internal Revenue Service.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Financial Highlights</w:t>
      </w:r>
    </w:p>
    <w:p>
      <w:pPr>
        <w:spacing w:after="0" w:line="3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highlights for the three months ended March 31, 2024 and 2023 (in thousands, except for per share data and ratios):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5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vMerge w:val="restart"/>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8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 value at beginning of period</w:t>
            </w:r>
          </w:p>
        </w:tc>
        <w:tc>
          <w:tcPr>
            <w:tcW w:w="1860" w:type="dxa"/>
            <w:vAlign w:val="bottom"/>
          </w:tcPr>
          <w:p>
            <w:pPr>
              <w:jc w:val="right"/>
              <w:ind w:right="160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5"/>
                <w:szCs w:val="15"/>
                <w:color w:val="auto"/>
              </w:rPr>
            </w:pPr>
          </w:p>
        </w:tc>
        <w:tc>
          <w:tcPr>
            <w:tcW w:w="168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realized gain (loss)</w:t>
            </w:r>
          </w:p>
        </w:tc>
        <w:tc>
          <w:tcPr>
            <w:tcW w:w="1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(0.03 )</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change in unrealized gain (loss)</w:t>
            </w:r>
          </w:p>
        </w:tc>
        <w:tc>
          <w:tcPr>
            <w:tcW w:w="18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(0.16 )</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(0.12 )</w:t>
            </w: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from investment operations</w:t>
            </w:r>
          </w:p>
        </w:tc>
        <w:tc>
          <w:tcPr>
            <w:tcW w:w="18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186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(0.47 )</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(0.45 )</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Borders>
              <w:bottom w:val="single" w:sz="8" w:color="CFF0FC"/>
            </w:tcBorders>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Accretion (dilution) </w:t>
            </w:r>
            <w:r>
              <w:rPr>
                <w:rFonts w:ascii="Times New Roman" w:cs="Times New Roman" w:eastAsia="Times New Roman" w:hAnsi="Times New Roman"/>
                <w:sz w:val="19"/>
                <w:szCs w:val="19"/>
                <w:color w:val="auto"/>
                <w:vertAlign w:val="superscript"/>
              </w:rPr>
              <w:t>(2)</w:t>
            </w:r>
          </w:p>
        </w:tc>
        <w:tc>
          <w:tcPr>
            <w:tcW w:w="18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at end of period</w:t>
            </w:r>
          </w:p>
        </w:tc>
        <w:tc>
          <w:tcPr>
            <w:tcW w:w="1860" w:type="dxa"/>
            <w:vAlign w:val="bottom"/>
          </w:tcPr>
          <w:p>
            <w:pPr>
              <w:jc w:val="right"/>
              <w:ind w:right="16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4"/>
                <w:szCs w:val="14"/>
                <w:color w:val="auto"/>
              </w:rPr>
            </w:pPr>
          </w:p>
        </w:tc>
        <w:tc>
          <w:tcPr>
            <w:tcW w:w="1680" w:type="dxa"/>
            <w:vAlign w:val="bottom"/>
            <w:gridSpan w:val="3"/>
          </w:tcPr>
          <w:p>
            <w:pPr>
              <w:jc w:val="right"/>
              <w:ind w:right="9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Ratio/Supplemental Data:</w:t>
            </w:r>
          </w:p>
        </w:tc>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9"/>
                <w:szCs w:val="19"/>
                <w:color w:val="auto"/>
                <w:vertAlign w:val="superscript"/>
              </w:rPr>
              <w:t>(3)</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9"/>
                <w:szCs w:val="19"/>
                <w:color w:val="auto"/>
                <w:vertAlign w:val="superscript"/>
              </w:rPr>
              <w:t>(4)</w:t>
            </w:r>
          </w:p>
        </w:tc>
        <w:tc>
          <w:tcPr>
            <w:tcW w:w="1860" w:type="dxa"/>
            <w:vAlign w:val="bottom"/>
          </w:tcPr>
          <w:p>
            <w:pPr>
              <w:spacing w:after="0"/>
              <w:rPr>
                <w:sz w:val="15"/>
                <w:szCs w:val="15"/>
                <w:color w:val="auto"/>
              </w:rPr>
            </w:pPr>
          </w:p>
        </w:tc>
        <w:tc>
          <w:tcPr>
            <w:tcW w:w="12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(0.24 ) %</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Pr>
          <w:p>
            <w:pPr>
              <w:spacing w:after="0"/>
              <w:rPr>
                <w:sz w:val="15"/>
                <w:szCs w:val="15"/>
                <w:color w:val="auto"/>
              </w:rPr>
            </w:pP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r>
              <w:rPr>
                <w:rFonts w:ascii="Times New Roman" w:cs="Times New Roman" w:eastAsia="Times New Roman" w:hAnsi="Times New Roman"/>
                <w:sz w:val="19"/>
                <w:szCs w:val="19"/>
                <w:color w:val="auto"/>
                <w:vertAlign w:val="superscript"/>
              </w:rPr>
              <w:t>(5)(6)</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Ratio of total operating expenses to average net assets</w:t>
            </w:r>
            <w:r>
              <w:rPr>
                <w:rFonts w:ascii="Times New Roman" w:cs="Times New Roman" w:eastAsia="Times New Roman" w:hAnsi="Times New Roman"/>
                <w:sz w:val="19"/>
                <w:szCs w:val="19"/>
                <w:color w:val="auto"/>
                <w:vertAlign w:val="superscript"/>
              </w:rPr>
              <w:t>(5)(6)</w:t>
            </w:r>
          </w:p>
        </w:tc>
        <w:tc>
          <w:tcPr>
            <w:tcW w:w="18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tcPr>
          <w:p>
            <w:pPr>
              <w:spacing w:after="0"/>
              <w:rPr>
                <w:sz w:val="15"/>
                <w:szCs w:val="15"/>
                <w:color w:val="auto"/>
              </w:rPr>
            </w:pP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80" w:type="dxa"/>
            <w:vAlign w:val="bottom"/>
          </w:tcPr>
          <w:p>
            <w:pPr>
              <w:spacing w:after="0"/>
              <w:rPr>
                <w:sz w:val="15"/>
                <w:szCs w:val="15"/>
                <w:color w:val="auto"/>
              </w:rPr>
            </w:pP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8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4"/>
                <w:szCs w:val="14"/>
                <w:color w:val="auto"/>
              </w:rPr>
              <w:t>Ratio of total operating expenses, excluding incentive fees, to average net</w:t>
            </w:r>
          </w:p>
        </w:tc>
        <w:tc>
          <w:tcPr>
            <w:tcW w:w="186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shd w:val="clear" w:color="auto" w:fill="CFF0FC"/>
          </w:tcPr>
          <w:p>
            <w:pPr>
              <w:spacing w:after="0"/>
              <w:rPr>
                <w:sz w:val="11"/>
                <w:szCs w:val="11"/>
                <w:color w:val="auto"/>
              </w:rPr>
            </w:pPr>
          </w:p>
        </w:tc>
        <w:tc>
          <w:tcPr>
            <w:tcW w:w="36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shd w:val="clear" w:color="auto" w:fill="CFF0FC"/>
          </w:tcPr>
          <w:p>
            <w:pPr>
              <w:spacing w:after="0"/>
              <w:rPr>
                <w:sz w:val="11"/>
                <w:szCs w:val="11"/>
                <w:color w:val="auto"/>
              </w:rPr>
            </w:pPr>
          </w:p>
        </w:tc>
        <w:tc>
          <w:tcPr>
            <w:tcW w:w="36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8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4"/>
                <w:szCs w:val="14"/>
                <w:color w:val="auto"/>
              </w:rPr>
              <w:t>assets</w:t>
            </w:r>
            <w:r>
              <w:rPr>
                <w:rFonts w:ascii="Times New Roman" w:cs="Times New Roman" w:eastAsia="Times New Roman" w:hAnsi="Times New Roman"/>
                <w:sz w:val="19"/>
                <w:szCs w:val="19"/>
                <w:color w:val="auto"/>
                <w:vertAlign w:val="superscript"/>
              </w:rPr>
              <w:t>(5)</w:t>
            </w:r>
          </w:p>
        </w:tc>
        <w:tc>
          <w:tcPr>
            <w:tcW w:w="186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Ratio of net increase (decrease) in net assets resulting from operations to</w:t>
            </w:r>
          </w:p>
        </w:tc>
        <w:tc>
          <w:tcPr>
            <w:tcW w:w="18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1"/>
                <w:szCs w:val="11"/>
                <w:color w:val="auto"/>
              </w:rPr>
            </w:pPr>
          </w:p>
        </w:tc>
        <w:tc>
          <w:tcPr>
            <w:tcW w:w="3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Pr>
          <w:p>
            <w:pPr>
              <w:spacing w:after="0"/>
              <w:rPr>
                <w:sz w:val="11"/>
                <w:szCs w:val="11"/>
                <w:color w:val="auto"/>
              </w:rPr>
            </w:pPr>
          </w:p>
        </w:tc>
        <w:tc>
          <w:tcPr>
            <w:tcW w:w="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860" w:type="dxa"/>
            <w:vAlign w:val="bottom"/>
          </w:tcPr>
          <w:p>
            <w:pPr>
              <w:ind w:left="120"/>
              <w:spacing w:after="0" w:line="189" w:lineRule="exact"/>
              <w:rPr>
                <w:sz w:val="20"/>
                <w:szCs w:val="20"/>
                <w:color w:val="auto"/>
              </w:rPr>
            </w:pPr>
            <w:r>
              <w:rPr>
                <w:rFonts w:ascii="Times New Roman" w:cs="Times New Roman" w:eastAsia="Times New Roman" w:hAnsi="Times New Roman"/>
                <w:sz w:val="14"/>
                <w:szCs w:val="14"/>
                <w:color w:val="auto"/>
              </w:rPr>
              <w:t>average net assets</w:t>
            </w:r>
            <w:r>
              <w:rPr>
                <w:rFonts w:ascii="Times New Roman" w:cs="Times New Roman" w:eastAsia="Times New Roman" w:hAnsi="Times New Roman"/>
                <w:sz w:val="19"/>
                <w:szCs w:val="19"/>
                <w:color w:val="auto"/>
                <w:vertAlign w:val="superscript"/>
              </w:rPr>
              <w:t>(5)</w:t>
            </w:r>
          </w:p>
        </w:tc>
        <w:tc>
          <w:tcPr>
            <w:tcW w:w="18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(7)</w:t>
            </w:r>
          </w:p>
        </w:tc>
        <w:tc>
          <w:tcPr>
            <w:tcW w:w="18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assets at beginning of period</w:t>
            </w:r>
          </w:p>
        </w:tc>
        <w:tc>
          <w:tcPr>
            <w:tcW w:w="1860" w:type="dxa"/>
            <w:vAlign w:val="bottom"/>
            <w:shd w:val="clear" w:color="auto" w:fill="CFF0FC"/>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547,071</w:t>
            </w:r>
          </w:p>
        </w:tc>
        <w:tc>
          <w:tcPr>
            <w:tcW w:w="1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576,052</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860" w:type="dxa"/>
            <w:vAlign w:val="bottom"/>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529,469</w:t>
            </w:r>
          </w:p>
        </w:tc>
        <w:tc>
          <w:tcPr>
            <w:tcW w:w="100" w:type="dxa"/>
            <w:vAlign w:val="bottom"/>
          </w:tcPr>
          <w:p>
            <w:pPr>
              <w:spacing w:after="0"/>
              <w:rPr>
                <w:sz w:val="15"/>
                <w:szCs w:val="15"/>
                <w:color w:val="auto"/>
              </w:rPr>
            </w:pPr>
          </w:p>
        </w:tc>
        <w:tc>
          <w:tcPr>
            <w:tcW w:w="168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569,807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Weighted average net assets</w:t>
            </w:r>
          </w:p>
        </w:tc>
        <w:tc>
          <w:tcPr>
            <w:tcW w:w="1860" w:type="dxa"/>
            <w:vAlign w:val="bottom"/>
            <w:shd w:val="clear" w:color="auto" w:fill="CFF0FC"/>
          </w:tcPr>
          <w:p>
            <w:pPr>
              <w:jc w:val="right"/>
              <w:ind w:right="16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542,836</w:t>
            </w:r>
          </w:p>
        </w:tc>
        <w:tc>
          <w:tcPr>
            <w:tcW w:w="1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583,731</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shares outstanding for the period, basic</w:t>
            </w:r>
          </w:p>
        </w:tc>
        <w:tc>
          <w:tcPr>
            <w:tcW w:w="18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40,392,255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-2356485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-2356485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-1901825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-1901825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per share activity, excluding dividends, is calculated based on the weighted-average shares outstanding for the relevant period.</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01" w:lineRule="auto"/>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Accretion (dilution) represents the effect of issuance of common stock and repurchase of treasury stock.</w:t>
      </w:r>
    </w:p>
    <w:p>
      <w:pPr>
        <w:spacing w:after="0" w:line="73" w:lineRule="exact"/>
        <w:rPr>
          <w:rFonts w:ascii="Times New Roman" w:cs="Times New Roman" w:eastAsia="Times New Roman" w:hAnsi="Times New Roman"/>
          <w:sz w:val="19"/>
          <w:szCs w:val="19"/>
          <w:color w:val="auto"/>
          <w:vertAlign w:val="superscript"/>
        </w:rPr>
      </w:pPr>
    </w:p>
    <w:p>
      <w:pPr>
        <w:ind w:left="760" w:hanging="374"/>
        <w:spacing w:after="0" w:line="210" w:lineRule="auto"/>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dividends per share, divided by the beginning net asset values per share. The total returns are not annualized.</w:t>
      </w:r>
    </w:p>
    <w:p>
      <w:pPr>
        <w:spacing w:after="0" w:line="68" w:lineRule="exact"/>
        <w:rPr>
          <w:rFonts w:ascii="Times New Roman" w:cs="Times New Roman" w:eastAsia="Times New Roman" w:hAnsi="Times New Roman"/>
          <w:sz w:val="19"/>
          <w:szCs w:val="19"/>
          <w:color w:val="auto"/>
          <w:vertAlign w:val="superscript"/>
        </w:rPr>
      </w:pPr>
    </w:p>
    <w:p>
      <w:pPr>
        <w:ind w:left="760" w:right="20" w:hanging="374"/>
        <w:spacing w:after="0" w:line="212" w:lineRule="auto"/>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return based on market value is calculated as the change in market value per share during the period plus dividends per share, divided by the beginning market value per share. The total returns are not annualized.</w:t>
      </w:r>
    </w:p>
    <w:p>
      <w:pPr>
        <w:spacing w:after="0" w:line="39"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ratios are calculated based on weighted average net assets for the relevant period and are annualized.</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10" w:lineRule="auto"/>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ratio includes annualized incentive fees and as incentive fees are performance driven, the amount expensed in future periods may vary significantly and is dependent on overall investment performance, early terminations, scheduled prepayments and other liquidity events.</w:t>
      </w:r>
    </w:p>
    <w:p>
      <w:pPr>
        <w:spacing w:after="0" w:line="68" w:lineRule="exact"/>
        <w:rPr>
          <w:rFonts w:ascii="Times New Roman" w:cs="Times New Roman" w:eastAsia="Times New Roman" w:hAnsi="Times New Roman"/>
          <w:sz w:val="19"/>
          <w:szCs w:val="19"/>
          <w:color w:val="auto"/>
          <w:vertAlign w:val="superscript"/>
        </w:rPr>
      </w:pPr>
    </w:p>
    <w:p>
      <w:pPr>
        <w:ind w:left="760" w:hanging="374"/>
        <w:spacing w:after="0" w:line="212" w:lineRule="auto"/>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portfolio turnover rate for the period is calculated by taking the lesser of investment portfolio purchases or sales during the period, divided by the average investment portfolio value during the period. As such, portfolio turnover is not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evaluated events subsequent to March 31, 2024 through May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2024 Echo360 Inc. prepaid its outstanding principal balance of $25.3 million on the senior secured loan.</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April 30, 2024, the Board of Directors declared an ordinary distribution of $0.40 per share and a supplemental distribution of $0.07 per share for stockholders of record on May 10, 2024 payable on or before May 24,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30, 2024, following his return from the temporary medical leave and upon the approval of the Board of Directors, Mr. Spreng, was reinstated as the Company's President and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commencing March 31, 2024 through May 7, 2024, the Company repurchased 183,702 shares under the Company's Repurchase Program.</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9"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8" w:lineRule="exact"/>
        <w:rPr>
          <w:sz w:val="20"/>
          <w:szCs w:val="20"/>
          <w:color w:val="auto"/>
        </w:rPr>
      </w:pPr>
    </w:p>
    <w:p>
      <w:pPr>
        <w:jc w:val="both"/>
        <w:ind w:left="20"/>
        <w:spacing w:after="0" w:line="224"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98"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or recession could impair our portfolio companies’ ability to continue to operate, which could lead to the loss of some or all of our investments in such portfolio companies;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that could impair our lending and investment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that could adversely affect our results, particularly to the extent that we use leverage as part of our investment strategy;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entities and our affiliates for investment opportunities;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illiquid nature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financing sources and working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and members of our management team;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external investment adviser, Runway Growth Capital LLC, to locate suitable investments for us and to monitor and administer our investments;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Runway Growth Capital LLC to attract and retain highly talented professionals;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RIC under Subchapter M of the Code, and as a BDC;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uncertainties and other factors we identify under “Risk Factors” in Part I, Item 1A of our annual report on Form 10-K for the year ended December 31, 2023, filed with the Securities and Exchange Commission (the "SEC") on March 7, 2024 and in this quarterly report on Form 10-Q.</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for the year ended December 31, 2023, filed with the SEC on March 7, 2024.</w:t>
      </w:r>
    </w:p>
    <w:p>
      <w:pPr>
        <w:spacing w:after="0" w:line="143"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We have based the forward-looking statements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on information available to us on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2"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consolidated financial statements and the related notes thereto contained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5" w:lineRule="exact"/>
        <w:rPr>
          <w:sz w:val="20"/>
          <w:szCs w:val="20"/>
          <w:color w:val="auto"/>
        </w:rPr>
      </w:pPr>
    </w:p>
    <w:p>
      <w:pPr>
        <w:ind w:firstLine="8"/>
        <w:spacing w:after="0" w:line="260" w:lineRule="auto"/>
        <w:tabs>
          <w:tab w:leader="none" w:pos="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externally managed by Runway Growth Capital LLC ("RGC"), an investment adviser that has registered with the SEC under the Investment Advisers Act of 1940, as amended. The Administrator, a wholly-owned subsidiary of RGC, provides all the administrative services necessary for us to operate.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10, 2020, we, RGC, and certain other funds and accounts sponsored or managed by RGC and/or its affiliates were granted an order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and Investment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2024, we had investments in 53 portfolio companies, representing 23 companies in which we held loan and warrant investments, three companies in which we held loan investments and shares of common stock, preferred stock, or a combination with warrants, four companies in which we held a loan investment only, 16 companies in which we held warrant investments only, and seven companies in which we held shares of common stock, preferred stock, or equity interests only, or a combination with warrants. At December 31, 2023, we had investments in 52 portfolio companies, representing 22 companies in which we held loan and warrant investments, three companies in which we held loan investments and shares of common, preferred stock, or a combination with warrants, four companies in which we held a loan investment only, 16 companies in which we held warrant investments only, and seven companies in which we held shares of common stock, preferred stock, or equity interests only, or a combination with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of our investments, by asset class, as of March 31, 2024 and December 31,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0" w:type="dxa"/>
            <w:vAlign w:val="bottom"/>
          </w:tcPr>
          <w:p>
            <w:pPr>
              <w:spacing w:after="0"/>
              <w:rPr>
                <w:sz w:val="1"/>
                <w:szCs w:val="1"/>
                <w:color w:val="auto"/>
              </w:rPr>
            </w:pPr>
          </w:p>
        </w:tc>
      </w:tr>
      <w:tr>
        <w:trPr>
          <w:trHeight w:val="169"/>
        </w:trPr>
        <w:tc>
          <w:tcPr>
            <w:tcW w:w="2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8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973,332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955,177</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93.98</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977,947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964,099</w:t>
            </w: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Second Lien Term Loans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14,380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14,388</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14,399</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1,023</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Preferred Stocks</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40,602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28,810</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40,602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29,838</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Stocks</w:t>
            </w:r>
          </w:p>
        </w:tc>
        <w:tc>
          <w:tcPr>
            <w:tcW w:w="2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891</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Equity Interest</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950</w:t>
            </w:r>
          </w:p>
        </w:tc>
        <w:tc>
          <w:tcPr>
            <w:tcW w:w="1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0.09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23,027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15,093</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20,560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12,947</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Investments, excluding U.S. Treasury</w:t>
            </w:r>
          </w:p>
        </w:tc>
        <w:tc>
          <w:tcPr>
            <w:tcW w:w="28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1,062,789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1,016,332</w:t>
            </w:r>
          </w:p>
        </w:tc>
        <w:tc>
          <w:tcPr>
            <w:tcW w:w="13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1,064,835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1,025,010</w:t>
            </w:r>
          </w:p>
        </w:tc>
        <w:tc>
          <w:tcPr>
            <w:tcW w:w="100" w:type="dxa"/>
            <w:vAlign w:val="bottom"/>
            <w:shd w:val="clear" w:color="auto" w:fill="CFF0FC"/>
          </w:tcPr>
          <w:p>
            <w:pPr>
              <w:spacing w:after="0"/>
              <w:rPr>
                <w:sz w:val="11"/>
                <w:szCs w:val="11"/>
                <w:color w:val="auto"/>
              </w:rPr>
            </w:pPr>
          </w:p>
        </w:tc>
        <w:tc>
          <w:tcPr>
            <w:tcW w:w="12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96.06</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Bills</w:t>
            </w:r>
          </w:p>
        </w:tc>
        <w:tc>
          <w:tcPr>
            <w:tcW w:w="280" w:type="dxa"/>
            <w:vAlign w:val="bottom"/>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138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42,014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41,999</w:t>
            </w:r>
          </w:p>
        </w:tc>
        <w:tc>
          <w:tcPr>
            <w:tcW w:w="1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4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1,062,789</w:t>
            </w:r>
          </w:p>
        </w:tc>
        <w:tc>
          <w:tcPr>
            <w:tcW w:w="2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1,016,332</w:t>
            </w:r>
          </w:p>
        </w:tc>
        <w:tc>
          <w:tcPr>
            <w:tcW w:w="138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1,106,849</w:t>
            </w:r>
          </w:p>
        </w:tc>
        <w:tc>
          <w:tcPr>
            <w:tcW w:w="2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1,067,009</w:t>
            </w:r>
          </w:p>
        </w:tc>
        <w:tc>
          <w:tcPr>
            <w:tcW w:w="100" w:type="dxa"/>
            <w:vAlign w:val="bottom"/>
          </w:tcPr>
          <w:p>
            <w:pPr>
              <w:spacing w:after="0"/>
              <w:rPr>
                <w:sz w:val="14"/>
                <w:szCs w:val="14"/>
                <w:color w:val="auto"/>
              </w:rPr>
            </w:pPr>
          </w:p>
        </w:tc>
        <w:tc>
          <w:tcPr>
            <w:tcW w:w="126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-376555</wp:posOffset>
            </wp:positionV>
            <wp:extent cx="768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-376555</wp:posOffset>
            </wp:positionV>
            <wp:extent cx="7747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-376555</wp:posOffset>
            </wp:positionV>
            <wp:extent cx="768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-376555</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-376555</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-145415</wp:posOffset>
            </wp:positionV>
            <wp:extent cx="7683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-145415</wp:posOffset>
            </wp:positionV>
            <wp:extent cx="7747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-145415</wp:posOffset>
            </wp:positionV>
            <wp:extent cx="685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-145415</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231F20"/>
        </w:rPr>
        <w:t xml:space="preserve">For the three months ended March 31, 2024, our debt investment portfolio had a dollar-weighted annualized yield of 17.4%. For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our debt investment portfolio had a dollar-weighted annualized yield of 15.2%. We calculate the yield on dollar-weighted debt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investments for any period measured as (1) total related investment income during the period divided by (2) the daily average of the fair value of debt investments outstanding during the period, including any debt investments on non-accrual status. As of March 31, 2024, our debt investments had a dollar-weighted average outstanding term of 59 months at origination and a dollar-weighted average remaining term of 37 months, or approximately 3.1 years. As of March 31, 2024, substantially all of our debt investments had an original committed principal amount of between $6.0 million and $85.0 million and pay cash interest at annual interest rates of between 8.0% and 14.8%.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table shows our dollar-weighted annualized yield by investment type for the </w:t>
      </w:r>
      <w:r>
        <w:rPr>
          <w:rFonts w:ascii="Times New Roman" w:cs="Times New Roman" w:eastAsia="Times New Roman" w:hAnsi="Times New Roman"/>
          <w:sz w:val="18"/>
          <w:szCs w:val="18"/>
          <w:color w:val="000000"/>
        </w:rPr>
        <w:t>three months ended March 31, 2024 and 2023</w:t>
      </w:r>
      <w:r>
        <w:rPr>
          <w:rFonts w:ascii="Times New Roman" w:cs="Times New Roman" w:eastAsia="Times New Roman" w:hAnsi="Times New Roman"/>
          <w:sz w:val="18"/>
          <w:szCs w:val="18"/>
          <w:color w:val="231F20"/>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6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Fair Value</w:t>
            </w:r>
            <w:r>
              <w:rPr>
                <w:rFonts w:ascii="Times New Roman" w:cs="Times New Roman" w:eastAsia="Times New Roman" w:hAnsi="Times New Roman"/>
                <w:sz w:val="24"/>
                <w:szCs w:val="24"/>
                <w:b w:val="1"/>
                <w:bCs w:val="1"/>
                <w:color w:val="auto"/>
                <w:w w:val="92"/>
                <w:vertAlign w:val="superscript"/>
              </w:rPr>
              <w:t>(1)</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w w:val="96"/>
              </w:rPr>
              <w:t>Cost</w:t>
            </w:r>
            <w:r>
              <w:rPr>
                <w:rFonts w:ascii="Times New Roman" w:cs="Times New Roman" w:eastAsia="Times New Roman" w:hAnsi="Times New Roman"/>
                <w:sz w:val="24"/>
                <w:szCs w:val="24"/>
                <w:b w:val="1"/>
                <w:bCs w:val="1"/>
                <w:color w:val="auto"/>
                <w:w w:val="96"/>
                <w:vertAlign w:val="superscript"/>
              </w:rPr>
              <w:t>(2)</w:t>
            </w: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r>
      <w:tr>
        <w:trPr>
          <w:trHeight w:val="228"/>
        </w:trPr>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700" w:type="dxa"/>
            <w:vAlign w:val="bottom"/>
          </w:tcPr>
          <w:p>
            <w:pPr>
              <w:spacing w:after="0"/>
              <w:rPr>
                <w:sz w:val="19"/>
                <w:szCs w:val="19"/>
                <w:color w:val="auto"/>
              </w:rPr>
            </w:pPr>
          </w:p>
        </w:tc>
        <w:tc>
          <w:tcPr>
            <w:tcW w:w="34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2600" w:type="dxa"/>
            <w:vAlign w:val="bottom"/>
          </w:tcPr>
          <w:p>
            <w:pPr>
              <w:spacing w:after="0"/>
              <w:rPr>
                <w:sz w:val="21"/>
                <w:szCs w:val="21"/>
                <w:color w:val="auto"/>
              </w:rPr>
            </w:pPr>
          </w:p>
        </w:tc>
        <w:tc>
          <w:tcPr>
            <w:tcW w:w="16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21"/>
                <w:szCs w:val="21"/>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40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investments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r>
      <w:tr>
        <w:trPr>
          <w:trHeight w:val="24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interest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7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investments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r>
      <w:tr>
        <w:trPr>
          <w:trHeight w:val="63"/>
        </w:trPr>
        <w:tc>
          <w:tcPr>
            <w:tcW w:w="26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r>
    </w:tbl>
    <w:p>
      <w:pPr>
        <w:spacing w:after="0" w:line="126" w:lineRule="exact"/>
        <w:rPr>
          <w:sz w:val="20"/>
          <w:szCs w:val="20"/>
          <w:color w:val="auto"/>
        </w:rPr>
      </w:pPr>
    </w:p>
    <w:p>
      <w:pPr>
        <w:jc w:val="both"/>
        <w:ind w:left="760" w:hanging="374"/>
        <w:spacing w:after="0" w:line="194" w:lineRule="auto"/>
        <w:tabs>
          <w:tab w:leader="none" w:pos="76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110" w:lineRule="exact"/>
        <w:rPr>
          <w:rFonts w:ascii="Times New Roman" w:cs="Times New Roman" w:eastAsia="Times New Roman" w:hAnsi="Times New Roman"/>
          <w:sz w:val="24"/>
          <w:szCs w:val="24"/>
          <w:color w:val="auto"/>
          <w:vertAlign w:val="superscript"/>
        </w:rPr>
      </w:pPr>
    </w:p>
    <w:p>
      <w:pPr>
        <w:jc w:val="both"/>
        <w:ind w:left="760" w:hanging="374"/>
        <w:spacing w:after="0" w:line="194" w:lineRule="auto"/>
        <w:tabs>
          <w:tab w:leader="none" w:pos="76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three months ended March 31, 2024, the Company funded $19.7 million in one new portfolio company, and $5.0 million in one existing portfolio company, net of upfront loan origination fees and refinances. The Company also received $34.4 million in loan prepayments from two portfolio companies and $0.4 million in scheduled principal payments from one portfolio company. There were no proceeds from the termination of warrants, sale of preferred stock, or sale of common stock. During the three months ended March 31, 2023, the Company did not fund any new portfolio companies and funded $12.9 million in five existing portfolio companies, net of upfront loan origination fees and refinances. The Company also received $10.2 million in loan repayments from two portfolio companies. There were no proceeds from the termination of warrants, sale of preferred stock, and sale of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Reconciliation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investment portfolio, including U.S. Treasury Bills, for the three months ended March 31,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22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investment portfolio</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1,067,009</w:t>
            </w:r>
          </w:p>
        </w:tc>
        <w:tc>
          <w:tcPr>
            <w:tcW w:w="400" w:type="dxa"/>
            <w:vAlign w:val="bottom"/>
          </w:tcPr>
          <w:p>
            <w:pPr>
              <w:spacing w:after="0"/>
              <w:rPr>
                <w:sz w:val="14"/>
                <w:szCs w:val="14"/>
                <w:color w:val="auto"/>
              </w:rPr>
            </w:pPr>
          </w:p>
        </w:tc>
        <w:tc>
          <w:tcPr>
            <w:tcW w:w="9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100" w:type="dxa"/>
            <w:vAlign w:val="bottom"/>
          </w:tcPr>
          <w:p>
            <w:pPr>
              <w:spacing w:after="0"/>
              <w:rPr>
                <w:sz w:val="14"/>
                <w:szCs w:val="14"/>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24,642</w:t>
            </w:r>
          </w:p>
        </w:tc>
        <w:tc>
          <w:tcPr>
            <w:tcW w:w="4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34,974</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4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prepayments of investments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(34,449 )</w:t>
            </w:r>
          </w:p>
        </w:tc>
        <w:tc>
          <w:tcPr>
            <w:tcW w:w="98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(10,192 )</w:t>
            </w:r>
          </w:p>
        </w:tc>
      </w:tr>
      <w:tr>
        <w:trPr>
          <w:trHeight w:val="17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Scheduled repayments of investments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(413 )</w:t>
            </w:r>
          </w:p>
        </w:tc>
        <w:tc>
          <w:tcPr>
            <w:tcW w:w="98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(4,007 )</w:t>
            </w: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maturities of U.S. Treasury Bills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(42,029 )</w:t>
            </w:r>
          </w:p>
        </w:tc>
        <w:tc>
          <w:tcPr>
            <w:tcW w:w="9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4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shd w:val="clear" w:color="auto" w:fill="CFF0FC"/>
          </w:tcPr>
          <w:p>
            <w:pPr>
              <w:spacing w:after="0"/>
              <w:rPr>
                <w:sz w:val="15"/>
                <w:szCs w:val="15"/>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(1,178 )</w:t>
            </w:r>
          </w:p>
        </w:tc>
      </w:tr>
      <w:tr>
        <w:trPr>
          <w:trHeight w:val="175"/>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 (loss) on investments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(6,617 )</w:t>
            </w:r>
          </w:p>
        </w:tc>
        <w:tc>
          <w:tcPr>
            <w:tcW w:w="98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(5,084 )</w:t>
            </w:r>
          </w:p>
        </w:tc>
      </w:tr>
      <w:tr>
        <w:trPr>
          <w:trHeight w:val="169"/>
        </w:trPr>
        <w:tc>
          <w:tcPr>
            <w:tcW w:w="586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investment portfolio</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1,016,332</w:t>
            </w:r>
          </w:p>
        </w:tc>
        <w:tc>
          <w:tcPr>
            <w:tcW w:w="400" w:type="dxa"/>
            <w:vAlign w:val="bottom"/>
            <w:tcBorders>
              <w:top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1,160,316</w:t>
            </w:r>
          </w:p>
        </w:tc>
        <w:tc>
          <w:tcPr>
            <w:tcW w:w="100" w:type="dxa"/>
            <w:vAlign w:val="bottom"/>
            <w:tcBorders>
              <w:top w:val="single" w:sz="8" w:color="CFF0FC"/>
            </w:tcBorders>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-1400810</wp:posOffset>
            </wp:positionV>
            <wp:extent cx="93980" cy="1543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7747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7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8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6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Rating Definition</w:t>
            </w:r>
          </w:p>
        </w:tc>
        <w:tc>
          <w:tcPr>
            <w:tcW w:w="0" w:type="dxa"/>
            <w:vAlign w:val="bottom"/>
          </w:tcPr>
          <w:p>
            <w:pPr>
              <w:spacing w:after="0"/>
              <w:rPr>
                <w:sz w:val="1"/>
                <w:szCs w:val="1"/>
                <w:color w:val="auto"/>
              </w:rPr>
            </w:pPr>
          </w:p>
        </w:tc>
      </w:tr>
      <w:tr>
        <w:trPr>
          <w:trHeight w:val="190"/>
        </w:trPr>
        <w:tc>
          <w:tcPr>
            <w:tcW w:w="308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1260" w:hanging="721"/>
        <w:spacing w:after="0"/>
        <w:tabs>
          <w:tab w:leader="none" w:pos="126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60" w:right="20" w:hanging="721"/>
        <w:spacing w:after="0" w:line="239" w:lineRule="auto"/>
        <w:tabs>
          <w:tab w:leader="none" w:pos="1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at or reasonably close to plan. Acceptable business prospects, enterprise value, financial coverage. Maintaining key covenant and payment compliance as agreed. Generally,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057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260" w:right="20" w:hanging="721"/>
        <w:spacing w:after="0" w:line="241" w:lineRule="auto"/>
        <w:tabs>
          <w:tab w:leader="none" w:pos="1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260" w:right="20" w:hanging="721"/>
        <w:spacing w:after="0" w:line="234" w:lineRule="auto"/>
        <w:tabs>
          <w:tab w:leader="none" w:pos="1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057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260" w:right="20" w:hanging="721"/>
        <w:spacing w:after="0" w:line="243" w:lineRule="auto"/>
        <w:tabs>
          <w:tab w:leader="none" w:pos="1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investment ratings of our debt investments at fair value as of March 31, 2024 and December 31, 2023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240" w:type="dxa"/>
            <w:vAlign w:val="bottom"/>
          </w:tcPr>
          <w:p>
            <w:pPr>
              <w:spacing w:after="0"/>
              <w:rPr>
                <w:sz w:val="11"/>
                <w:szCs w:val="11"/>
                <w:color w:val="auto"/>
              </w:rPr>
            </w:pPr>
          </w:p>
        </w:tc>
        <w:tc>
          <w:tcPr>
            <w:tcW w:w="124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1"/>
                <w:szCs w:val="11"/>
                <w:color w:val="auto"/>
              </w:rPr>
            </w:pPr>
          </w:p>
        </w:tc>
        <w:tc>
          <w:tcPr>
            <w:tcW w:w="1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80" w:type="dxa"/>
            <w:vAlign w:val="bottom"/>
          </w:tcPr>
          <w:p>
            <w:pPr>
              <w:spacing w:after="0"/>
              <w:rPr>
                <w:sz w:val="11"/>
                <w:szCs w:val="11"/>
                <w:color w:val="auto"/>
              </w:rPr>
            </w:pPr>
          </w:p>
        </w:tc>
        <w:tc>
          <w:tcPr>
            <w:tcW w:w="13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Number of Portfolio</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1"/>
                <w:szCs w:val="11"/>
                <w:color w:val="auto"/>
              </w:rPr>
            </w:pPr>
          </w:p>
        </w:tc>
        <w:tc>
          <w:tcPr>
            <w:tcW w:w="1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80" w:type="dxa"/>
            <w:vAlign w:val="bottom"/>
          </w:tcPr>
          <w:p>
            <w:pPr>
              <w:spacing w:after="0"/>
              <w:rPr>
                <w:sz w:val="11"/>
                <w:szCs w:val="11"/>
                <w:color w:val="auto"/>
              </w:rPr>
            </w:pPr>
          </w:p>
        </w:tc>
        <w:tc>
          <w:tcPr>
            <w:tcW w:w="13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Number of Portfolio</w:t>
            </w:r>
          </w:p>
        </w:tc>
        <w:tc>
          <w:tcPr>
            <w:tcW w:w="0" w:type="dxa"/>
            <w:vAlign w:val="bottom"/>
          </w:tcPr>
          <w:p>
            <w:pPr>
              <w:spacing w:after="0"/>
              <w:rPr>
                <w:sz w:val="1"/>
                <w:szCs w:val="1"/>
                <w:color w:val="auto"/>
              </w:rPr>
            </w:pPr>
          </w:p>
        </w:tc>
      </w:tr>
      <w:tr>
        <w:trPr>
          <w:trHeight w:val="187"/>
        </w:trPr>
        <w:tc>
          <w:tcPr>
            <w:tcW w:w="13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0" w:type="dxa"/>
            <w:vAlign w:val="bottom"/>
          </w:tcPr>
          <w:p>
            <w:pPr>
              <w:spacing w:after="0"/>
              <w:rPr>
                <w:sz w:val="1"/>
                <w:szCs w:val="1"/>
                <w:color w:val="auto"/>
              </w:rPr>
            </w:pPr>
          </w:p>
        </w:tc>
      </w:tr>
      <w:tr>
        <w:trPr>
          <w:trHeight w:val="169"/>
        </w:trPr>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605,452</w:t>
            </w:r>
          </w:p>
        </w:tc>
        <w:tc>
          <w:tcPr>
            <w:tcW w:w="1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59.57</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612,709</w:t>
            </w:r>
          </w:p>
        </w:tc>
        <w:tc>
          <w:tcPr>
            <w:tcW w:w="1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57.41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6"/>
        </w:trPr>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325,372</w:t>
            </w:r>
          </w:p>
        </w:tc>
        <w:tc>
          <w:tcPr>
            <w:tcW w:w="18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32.01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361,998</w:t>
            </w:r>
          </w:p>
        </w:tc>
        <w:tc>
          <w:tcPr>
            <w:tcW w:w="1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33.93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5"/>
        </w:trPr>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35,539</w:t>
            </w:r>
          </w:p>
        </w:tc>
        <w:tc>
          <w:tcPr>
            <w:tcW w:w="18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3.50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1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0.36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360" w:type="dxa"/>
            <w:vAlign w:val="bottom"/>
          </w:tcPr>
          <w:p>
            <w:pPr>
              <w:spacing w:after="0"/>
              <w:rPr>
                <w:sz w:val="15"/>
                <w:szCs w:val="15"/>
                <w:color w:val="auto"/>
              </w:rPr>
            </w:pPr>
          </w:p>
        </w:tc>
        <w:tc>
          <w:tcPr>
            <w:tcW w:w="1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0.32</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969,565</w:t>
            </w:r>
          </w:p>
        </w:tc>
        <w:tc>
          <w:tcPr>
            <w:tcW w:w="3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95.40 %</w:t>
            </w:r>
          </w:p>
        </w:tc>
        <w:tc>
          <w:tcPr>
            <w:tcW w:w="1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978,498</w:t>
            </w:r>
          </w:p>
        </w:tc>
        <w:tc>
          <w:tcPr>
            <w:tcW w:w="3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91.70 %</w:t>
            </w:r>
          </w:p>
        </w:tc>
        <w:tc>
          <w:tcPr>
            <w:tcW w:w="1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-25400</wp:posOffset>
            </wp:positionV>
            <wp:extent cx="11176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-8255</wp:posOffset>
            </wp:positionV>
            <wp:extent cx="11176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-25400</wp:posOffset>
            </wp:positionV>
            <wp:extent cx="11176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-8255</wp:posOffset>
            </wp:positionV>
            <wp:extent cx="11176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1028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1028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10287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1028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10287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10287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and Debt Securities on Non-Accrual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As of March 31, 2024 and December 31, 2023, we have not written off any accrued and uncollected PIK interest. As of March 31, 2024, we had two loans on non-accrual status: one loan to Mingle Healthcare Solutions, Inc. with a cost basis of $5.0 million and a fair value of $3.2 million, and Snagajob, Inc, with a cost basis of $42.7 million and a fair value of $35.5 million representing 3.8% of the Company’s total investment portfolio. From being placed on non-accrual status through March 31, 2024, cumulative interest of $0.2 million would be receivable and not recorded in "Interest income from control investments" on the Consolidated Statements of Operations. As of December 31, 2023, we had no loans on non-accrual status.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important measure of our financial performance is "Net increase (decrease) in net assets resulting from operations" on the Consolidated Statement of Operations, which includes "Net investment income (loss)", "Net realized gain (loss)" and "Net change in unrealized gain (loss)". "Net investment income (loss)" is the difference between our income from interest, dividends, fees and other investment income and our operating expenses, including interest on borrowed funds. "Net realized gain (loss) on investments" is the difference between the proceeds received from dispositions of portfolio investments, and U.S. Treasury Bills and their amortized cost. "Net change in unrealized gain (loss) on investments" is the net change in the fair value of our investment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comparison of the results of our operations for the three months ended March 31, 2024 and 2023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8"/>
              <w:spacing w:after="0" w:line="169"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(1)</w:t>
            </w:r>
          </w:p>
        </w:tc>
        <w:tc>
          <w:tcPr>
            <w:tcW w:w="32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8"/>
              <w:spacing w:after="0" w:line="169"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fee and dividend income</w:t>
            </w:r>
          </w:p>
        </w:tc>
        <w:tc>
          <w:tcPr>
            <w:tcW w:w="98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39,881</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39,310</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40,009</w:t>
            </w:r>
          </w:p>
        </w:tc>
        <w:tc>
          <w:tcPr>
            <w:tcW w:w="3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3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39,310</w:t>
            </w:r>
          </w:p>
        </w:tc>
        <w:tc>
          <w:tcPr>
            <w:tcW w:w="3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and other debt financing expenses</w:t>
            </w: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10,860</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Administration agreement expenses</w:t>
            </w: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21,345</w:t>
            </w:r>
          </w:p>
        </w:tc>
        <w:tc>
          <w:tcPr>
            <w:tcW w:w="3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3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21,064</w:t>
            </w:r>
          </w:p>
        </w:tc>
        <w:tc>
          <w:tcPr>
            <w:tcW w:w="3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18,664</w:t>
            </w: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18,246</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 (loss) on investments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(1,178 )</w:t>
            </w:r>
          </w:p>
        </w:tc>
        <w:tc>
          <w:tcPr>
            <w:tcW w:w="3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(0.03 )</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unrealized gain (loss) on investments</w:t>
            </w:r>
          </w:p>
        </w:tc>
        <w:tc>
          <w:tcPr>
            <w:tcW w:w="9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(6,617 )</w:t>
            </w:r>
          </w:p>
        </w:tc>
        <w:tc>
          <w:tcPr>
            <w:tcW w:w="34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(0.16 )</w:t>
            </w:r>
          </w:p>
        </w:tc>
        <w:tc>
          <w:tcPr>
            <w:tcW w:w="9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(5,084 )</w:t>
            </w:r>
          </w:p>
        </w:tc>
        <w:tc>
          <w:tcPr>
            <w:tcW w:w="3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(0.12 )</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980" w:type="dxa"/>
            <w:vAlign w:val="bottom"/>
            <w:tcBorders>
              <w:top w:val="single" w:sz="8" w:color="auto"/>
              <w:bottom w:val="single" w:sz="8" w:color="auto"/>
            </w:tcBorders>
            <w:shd w:val="clear" w:color="auto" w:fill="CFF0FC"/>
          </w:tcPr>
          <w:p>
            <w:pPr>
              <w:jc w:val="right"/>
              <w:ind w:right="7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12,047</w:t>
            </w: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0.30</w:t>
            </w:r>
          </w:p>
        </w:tc>
        <w:tc>
          <w:tcPr>
            <w:tcW w:w="3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11,984</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-1628140</wp:posOffset>
            </wp:positionV>
            <wp:extent cx="7747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-1628140</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-1628140</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-496570</wp:posOffset>
            </wp:positionV>
            <wp:extent cx="7747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-496570</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760" w:hanging="374"/>
        <w:spacing w:after="0" w:line="184" w:lineRule="auto"/>
        <w:tabs>
          <w:tab w:leader="none" w:pos="76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basic per share figures noted above are based on weighted averages of 40,392,255 and 40,509,269 shares outstanding for the three months ended March 31, 2024 and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investments in loans will generally range from between $10.0 million to $100.0 million, and the upper end of this range may increase as we raise additional capital.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income for the three months ended March 31, 2024 and 2023 was $40.0 million and $39.3 million, respectively, and includes non-recurring income of $3.7 million and $0.6 million, respectively. Non-recurring income includes, but is not limited to, acceleration of unaccreted OID, prepayment fees and amendment fees. The increase in investment income for the three months ended March 31, 2024 compared to the three months ended March 31, 2023 was primarily due to increased payment-in-kind interest income activity from non-control/non-affiliate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35"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portion of fees and expenses related an initial public offering in connection with a Spin-Off transaction (as defined in "Note 3 – Related Party Agreements and Transactions" to our consolidated financial statements in Part I, Item 1 of this Form 10-Q);</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related to public and private offerings, sales and repurchases of our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incurred to finance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purchases of our common stock and other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securities on any securities exchange;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the Financial Industry Regulatory Authority or other regulators;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 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March 31, 2024 and 2023 were $21.3 million and $21.1 million, respectively. Operating expenses increased for the three months ended March 31, 2024 from the three months ended March 31, 2023 primarily due to increased performance-based incentive fees, and credit loss expense associated with the establishment of the CECL reserve. Operating expenses for the three months ended March 31, 2024 and 2023 were $0.53 and $0.52 per share,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fees for the three months ended March 31, 2024 and 2023 were $4.0 million and $4.0 million, respectively. Management fees remained flat for the three months ended March 31, 2024 from the three months ended March 31, 2023 primarily due to consistent gross assets when comparing prior quarters in arrears.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Incentive fees for the three months ended March 31, 2024 and 2023 were $4.7 million and $4.6 million, respectively. Incentive fees increased for the three months ended March 31, 2024 from the three months ended March 31, 2023 primarily due to an increase in net investment income and increased prepayment fee income in the current quarter. For the three months ended March 31, 2024, $3.6 million of the incentive fees were payable in cash, and $1.1 million were deferred and accrued. For the three months ended March 31, 2023, $3.5 million of the incentive fees were payable in cash, and $1.1 million were deferred and accrued. Incentive fees related to PIK or deferred interest are accrued and payment is deferred until such interest is collected in cash. Incentive fees for the three months ended March 31, 2024 and 2023 were $0.12 and $0.11 per share,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investment income for the three months ended March 31, 2024 and 2023 was $18.7 million and $18.2 million, respectively. Net investment income increased for the three months ended March 31, 2024 from the three months ended March 31, 2023 was primarily due to growth in payment-in-kind income and fee income partially offset by an increase in performance-based incentive fees. Net investment income for the three months ended March 31, 2024 and 2023 was $0.46 and $0.45 per share,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Gain (Loss) on Investments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net realized gain (loss) on investments for the three months ended March 31, 2024. The net realized loss on investments of $1.2 million for the three months ended March 31, 2023 was due to a loss of our investments in the warrants of CareCloud, Inc. and Gynesonics,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Gain (Loss) on 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change in unrealized loss on investments of $6.6 million for the three months ended March 31, 2024 was primarily due to a decrease in the fair value of our preferred stock investment in CareCloud, Inc., our senior secured loans to Snagajob.com, Inc., Mingle Healthcare Solutions, Inc., and FiscalNote, Inc., and our common stock investment in Coginiti Corp. The net change in unrealized loss on investments of $5.1 million for the three months ended March 31, 2023 was primarily due to decreases in the fair value of our senior secured loan to Gynesonics, Inc. and preferred stock in Gynesonics, Inc., partially offset by an increase in the fair value of our senior secured loan to Pivot3,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Increase (Decrease) in Net Assets Resulting from Operations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$12.0 million for the three months ended March 31, 2024, as compared to a net increase in net assets resulting from operations of $12.0 million for the three months ended March 31,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Liquidity, Capital Resources and Obligations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our operating activities provided $68.6 million of cash and cash equivalents, compared to $18.5 million used during the three months ended March 31, 2023, respectively. The $87.1 million increase in cash provided by operating activities was primarily due to a $23.2 million decrease in purchases of investments and U.S. Treasury Bills and a $62.7 million increase in sales and repayments of investments and U.S. Treasury Bills.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our financing activities used $64.7 million of cash, compared to $16.0 million provided by financing activities during the three months ended March 31, 2023. The $80.7 million increase in cash flows used in financing activities was primarily due to decreased net borrowing activity of $70.0 million, increased dividend distributions of $0.8 million, and increased share repurchases of $10.6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our net assets totaled $529.5 million, with a net asset value per share of $13.36. We intend to continue to operate in order to generate cash flows from operations, including income earned from investments in our portfolio companies. Our primary use of funds will be investments in portfolio companies and cash distributions to holders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Liquidity and Capital Resources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$319.9 million in available liquidity, including $6.9 million in cash and cash equivalents, and approximately $313.0 million available under our Credit Facility, subject to borrowing base capacity. As of March 31, 2024, we had $237.0 million of secured debt outstanding under our Credit Facility, which are floating interest rate obligations and $247.3 million of unsecured debt outstanding under 2026 and 2027 Notes, which are all fixed interest rate debt obligations. Refer to "Note 7 – Borrowings" to our consolidated financial statements in Part I, Item 1 of this Form 10-Q for additional discussion of our debt obligations.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1940 Act, we are permitted to incur borrowings, issue debt securities, or issue preferred stock unless, immediately after the borrowings or issuance, the ratio of total assets (less total liabilities other than indebtedness) to total indebtedness plus preferred stock is at least 150% (at least 200% prior to June 17, 2022). As of March 31, 2024 and December 31, 2023, our asset coverage ratio was 209% and 205%,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detailed above, our diverse and well-structured balance sheet is designed to provide a long-term focused and sustainable investment platform. Currently, we believe we have sufficient liquidity to support our near-term capital requirements.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contractual payment obligations relate to our borrowings and deferred incentive fees. As of March 31, 2024, we had $484.3 million of debt outstanding, none of which was due within the next year, $332.0 million within 1 to 3 years, and $152.3 million beyond 3 years. As of March 31, 2024, we had $10.2 million of deferred incentive fees, $0.5 million of which was due within the next year, $5.9 million within 1 to 3 years, and $3.8 million beyond 3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unfunded commitments may be significant from time to time. As of March 31, 2024, we had a total of $235.8 million in unfunded commitments which was comprised of $200.8 million to provide debt financing to its portfolio companies and $35.0 million in unfunded commitments to provide equity financing to the Runway-Cadma I LLC. Unfunded contractual commitments depend upon a portfolio</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March 31, 2024, we had approximately $42.0 million of available unfunded commitments to portfolio companies that are eligible to be drawn based on achieved milestones and $35.0 million in unfunded capital commitments to Runway-Cadma I LLC. Refer to “Note 8 – Commitments and Contingencies” of our consolidated financial statements in Part I, Item 1 of this Form 10-Q for a summary of unfunded commitments by portfolio company as of March 31,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24, 2022, our Board of Directors approved a repurchase program (the “ Initial Repurchase Program”) under which we could have repurchased up to $25.0 million of our outstanding common stock, prior to its expiration on February 24, 2023. Under the Initial Repurchase Program, we could have repurchased shares at management’s discretion from time to time in open-market transactions, in accordance with all applicable securities laws and regulations. As of March 31, 2024 and December 31, 2023, we had repurchased 871,345 shares of our common stock under the Initial Repurchase Program for an aggregate purchase price of $10.8 million. The Board of Directors did not renew the Initial Repurchase Program, and it expired on February 24,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 2023, our Board of Directors approved a new share repurchase program (the "Repurchase Program"), under which we may repurchase up to $25.0 million of our outstanding shares of common stock. Under the Repurchase Program, purchases may be made at management’s discretion from time to time in open-market transactions, in accordance with all applicable securities laws and regulations. As of March 31, 2024, we had repurchased 887,096 shares in connection with the Repurchase Program for an aggregate purchase price of $10.6 million. If not renewed, the Repurchase Program will terminate upon the earlier of (i) November 2, 2024 and (ii) the repurchase of $25.0 million of the Company's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declared and paid dividends in the amount of $19.0 million, of which $18.8 million were distributed in cash and the remainder distributed in shares to stockholders pursuant to our Dividend Reinvestment Plan. For the three months ended March 31, 2023, we declared dividends in the amount of $18.2 million, of which $17.5 million were distributed in cash and the remainder distributed in shares to stockholders pursuant to our Dividend Reinvestment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Summary of Significant Accounting Policies” to our consolidated financial statements in Part I, Item 1 of this Form 10-Q. We consider the most significant accounting policies to be those related to our Fair Value Measurements and Income Taxes.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efforts of rising interest rates and inflation has introduced significant volatility in the financial markets, and the effects of this volatility could materially impact our market risks.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100.0% of our performing debt portfolio investments bore interest at variable rates, consisting of approximately 66.0% based on SOFR and 34.0% based on Prime.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$18.3 million and decrease our investment income by a maximum of $15.9 million, due to certain floors, on an annual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refer to "Note 7 – Borrowings" to our consolidated financial statements in Part I, Item 1 of this Form 10-Q.</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current economic conditions and any associated impact on foreign financial markets.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and all other information contained in this quarterly report on Form 10-Q, including our interim consolidated financial statements and the related notes thereto, before making a decision to purchase our securities. The risks and uncertainties described below are not the only ones we may face. Additional risks and uncertainties not currently known to us or that we currently deem to be immaterial also may materially adversely affect our business, financial condition and/or operating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 following risks actually occur, our business, financial condition or results of operations could be materially adversely affected. If that happens, you may lose all or part of your investment. There have been no material changes known to us during the period ended March 31, 2024 to the risk factors discussed in “Risk Factors” in Part I, Item 1A of our annual report on Form 10-K for the year ended December 31, 2023, filed with the SEC on March 7,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described in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our annual report on Form 10-K actually occur, our business, financial condition or results of operations could be materially adversely affected. If that happens, you may lose all or part of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Other than pursuant to our Dividend Reinvestment Plan, and except as previously reported by us on our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did not sell any securities during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that were not registered under the Securities Act.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Repurchase Program, we maintain a repurchase plan in accordance with Rule 10b5-1 promulgated under the Securities Exchange Act of 1934, as amended. During the three months ended March 31, 2024, 887,096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report or hereby incorporated by reference to exhibits previously filed with the SEC: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12"/>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w:t>
            </w:r>
          </w:p>
        </w:tc>
        <w:tc>
          <w:tcPr>
            <w:tcW w:w="2400" w:type="dxa"/>
            <w:vAlign w:val="bottom"/>
            <w:gridSpan w:val="4"/>
            <w:vMerge w:val="restart"/>
          </w:tcPr>
          <w:p>
            <w:pPr>
              <w:spacing w:after="0"/>
              <w:rPr>
                <w:rFonts w:ascii="Times New Roman" w:cs="Times New Roman" w:eastAsia="Times New Roman" w:hAnsi="Times New Roman"/>
                <w:sz w:val="14"/>
                <w:szCs w:val="14"/>
                <w:color w:val="0000FF"/>
              </w:rPr>
            </w:pPr>
            <w:hyperlink r:id="rId675">
              <w:r>
                <w:rPr>
                  <w:rFonts w:ascii="Times New Roman" w:cs="Times New Roman" w:eastAsia="Times New Roman" w:hAnsi="Times New Roman"/>
                  <w:sz w:val="14"/>
                  <w:szCs w:val="14"/>
                  <w:color w:val="0000FF"/>
                </w:rPr>
                <w:t>Articles of Amendment and Restatement</w:t>
              </w:r>
            </w:hyperlink>
          </w:p>
        </w:tc>
        <w:tc>
          <w:tcPr>
            <w:tcW w:w="100" w:type="dxa"/>
            <w:vAlign w:val="bottom"/>
            <w:tcBorders>
              <w:bottom w:val="single" w:sz="8" w:color="0000FF"/>
            </w:tcBorders>
            <w:gridSpan w:val="2"/>
          </w:tcPr>
          <w:p>
            <w:pPr>
              <w:jc w:val="right"/>
              <w:spacing w:after="0"/>
              <w:rPr>
                <w:rFonts w:ascii="Times New Roman" w:cs="Times New Roman" w:eastAsia="Times New Roman" w:hAnsi="Times New Roman"/>
                <w:sz w:val="8"/>
                <w:szCs w:val="8"/>
                <w:color w:val="0000FF"/>
                <w:w w:val="85"/>
              </w:rPr>
            </w:pPr>
            <w:hyperlink r:id="rId675">
              <w:r>
                <w:rPr>
                  <w:rFonts w:ascii="Times New Roman" w:cs="Times New Roman" w:eastAsia="Times New Roman" w:hAnsi="Times New Roman"/>
                  <w:sz w:val="8"/>
                  <w:szCs w:val="8"/>
                  <w:color w:val="0000FF"/>
                  <w:w w:val="85"/>
                </w:rPr>
                <w:t>(1)</w:t>
              </w:r>
            </w:hyperlink>
          </w:p>
        </w:tc>
        <w:tc>
          <w:tcPr>
            <w:tcW w:w="750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2400" w:type="dxa"/>
            <w:vAlign w:val="bottom"/>
            <w:tcBorders>
              <w:bottom w:val="single" w:sz="8" w:color="0000FF"/>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3.2</w:t>
            </w:r>
          </w:p>
        </w:tc>
        <w:tc>
          <w:tcPr>
            <w:tcW w:w="1400" w:type="dxa"/>
            <w:vAlign w:val="bottom"/>
            <w:vMerge w:val="restart"/>
          </w:tcPr>
          <w:p>
            <w:pPr>
              <w:spacing w:after="0"/>
              <w:rPr>
                <w:rFonts w:ascii="Times New Roman" w:cs="Times New Roman" w:eastAsia="Times New Roman" w:hAnsi="Times New Roman"/>
                <w:sz w:val="14"/>
                <w:szCs w:val="14"/>
                <w:color w:val="0000FF"/>
              </w:rPr>
            </w:pPr>
            <w:hyperlink r:id="rId676">
              <w:r>
                <w:rPr>
                  <w:rFonts w:ascii="Times New Roman" w:cs="Times New Roman" w:eastAsia="Times New Roman" w:hAnsi="Times New Roman"/>
                  <w:sz w:val="14"/>
                  <w:szCs w:val="14"/>
                  <w:color w:val="0000FF"/>
                </w:rPr>
                <w:t>Articles of Amendment</w:t>
              </w:r>
            </w:hyperlink>
          </w:p>
        </w:tc>
        <w:tc>
          <w:tcPr>
            <w:tcW w:w="120" w:type="dxa"/>
            <w:vAlign w:val="bottom"/>
            <w:tcBorders>
              <w:bottom w:val="single" w:sz="8" w:color="0000FF"/>
            </w:tcBorders>
          </w:tcPr>
          <w:p>
            <w:pPr>
              <w:jc w:val="right"/>
              <w:spacing w:after="0"/>
              <w:rPr>
                <w:rFonts w:ascii="Times New Roman" w:cs="Times New Roman" w:eastAsia="Times New Roman" w:hAnsi="Times New Roman"/>
                <w:sz w:val="10"/>
                <w:szCs w:val="10"/>
                <w:color w:val="0000FF"/>
                <w:w w:val="85"/>
              </w:rPr>
            </w:pPr>
            <w:hyperlink r:id="rId676">
              <w:r>
                <w:rPr>
                  <w:rFonts w:ascii="Times New Roman" w:cs="Times New Roman" w:eastAsia="Times New Roman" w:hAnsi="Times New Roman"/>
                  <w:sz w:val="10"/>
                  <w:szCs w:val="10"/>
                  <w:color w:val="0000FF"/>
                  <w:w w:val="85"/>
                </w:rPr>
                <w:t>(2)</w:t>
              </w:r>
            </w:hyperlink>
          </w:p>
        </w:tc>
        <w:tc>
          <w:tcPr>
            <w:tcW w:w="900" w:type="dxa"/>
            <w:vAlign w:val="bottom"/>
            <w:gridSpan w:val="3"/>
            <w:vMerge w:val="restart"/>
          </w:tcPr>
          <w:p>
            <w:pPr>
              <w:spacing w:after="0"/>
              <w:rPr>
                <w:sz w:val="22"/>
                <w:szCs w:val="22"/>
                <w:color w:val="auto"/>
              </w:rPr>
            </w:pPr>
          </w:p>
        </w:tc>
        <w:tc>
          <w:tcPr>
            <w:tcW w:w="7580" w:type="dxa"/>
            <w:vAlign w:val="bottom"/>
            <w:gridSpan w:val="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1400" w:type="dxa"/>
            <w:vAlign w:val="bottom"/>
            <w:tcBorders>
              <w:bottom w:val="single" w:sz="8" w:color="0000FF"/>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75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3.3</w:t>
            </w:r>
          </w:p>
        </w:tc>
        <w:tc>
          <w:tcPr>
            <w:tcW w:w="2300" w:type="dxa"/>
            <w:vAlign w:val="bottom"/>
            <w:gridSpan w:val="3"/>
            <w:vMerge w:val="restart"/>
          </w:tcPr>
          <w:p>
            <w:pPr>
              <w:spacing w:after="0"/>
              <w:rPr>
                <w:rFonts w:ascii="Times New Roman" w:cs="Times New Roman" w:eastAsia="Times New Roman" w:hAnsi="Times New Roman"/>
                <w:sz w:val="14"/>
                <w:szCs w:val="14"/>
                <w:color w:val="0000FF"/>
              </w:rPr>
            </w:pPr>
            <w:hyperlink r:id="rId677">
              <w:r>
                <w:rPr>
                  <w:rFonts w:ascii="Times New Roman" w:cs="Times New Roman" w:eastAsia="Times New Roman" w:hAnsi="Times New Roman"/>
                  <w:sz w:val="14"/>
                  <w:szCs w:val="14"/>
                  <w:color w:val="0000FF"/>
                </w:rPr>
                <w:t>Second Amended and Restated Bylaws</w:t>
              </w:r>
            </w:hyperlink>
          </w:p>
        </w:tc>
        <w:tc>
          <w:tcPr>
            <w:tcW w:w="1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0"/>
                <w:szCs w:val="10"/>
                <w:color w:val="0000FF"/>
                <w:w w:val="85"/>
              </w:rPr>
              <w:t>(2)</w:t>
            </w:r>
          </w:p>
        </w:tc>
        <w:tc>
          <w:tcPr>
            <w:tcW w:w="7580" w:type="dxa"/>
            <w:vAlign w:val="bottom"/>
            <w:gridSpan w:val="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2300" w:type="dxa"/>
            <w:vAlign w:val="bottom"/>
            <w:tcBorders>
              <w:bottom w:val="single" w:sz="8" w:color="0000FF"/>
            </w:tcBorders>
            <w:gridSpan w:val="3"/>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75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00" w:type="dxa"/>
            <w:vAlign w:val="bottom"/>
            <w:gridSpan w:val="11"/>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Chief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 of the Securities Exchange Act of 1934, as amended*</w:t>
            </w:r>
          </w:p>
        </w:tc>
        <w:tc>
          <w:tcPr>
            <w:tcW w:w="0" w:type="dxa"/>
            <w:vAlign w:val="bottom"/>
          </w:tcPr>
          <w:p>
            <w:pPr>
              <w:spacing w:after="0"/>
              <w:rPr>
                <w:sz w:val="1"/>
                <w:szCs w:val="1"/>
                <w:color w:val="auto"/>
              </w:rPr>
            </w:pPr>
          </w:p>
        </w:tc>
      </w:tr>
      <w:tr>
        <w:trPr>
          <w:trHeight w:val="358"/>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840" w:type="dxa"/>
            <w:vAlign w:val="bottom"/>
            <w:tcBorders>
              <w:top w:val="single" w:sz="8" w:color="0000FF"/>
            </w:tcBorders>
            <w:gridSpan w:val="1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Chief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 of the Securities Exchange Act of 1934, as amended*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8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980" w:type="dxa"/>
            <w:vAlign w:val="bottom"/>
            <w:tcBorders>
              <w:top w:val="single" w:sz="8" w:color="0000FF"/>
            </w:tcBorders>
          </w:tcPr>
          <w:p>
            <w:pPr>
              <w:spacing w:after="0"/>
              <w:rPr>
                <w:sz w:val="24"/>
                <w:szCs w:val="24"/>
                <w:color w:val="auto"/>
              </w:rPr>
            </w:pPr>
          </w:p>
        </w:tc>
        <w:tc>
          <w:tcPr>
            <w:tcW w:w="3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shd w:val="clear" w:color="auto" w:fill="0000FF"/>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 *</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0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cover page from the Company's Quarterly Report on Form 10-Q for the quarter ended March 31, 2024 has been formatted in Inline XBRL.*</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spacing w:after="0" w:line="84" w:lineRule="exact"/>
        <w:rPr>
          <w:sz w:val="20"/>
          <w:szCs w:val="20"/>
          <w:color w:val="auto"/>
        </w:rPr>
      </w:pPr>
    </w:p>
    <w:p>
      <w:pPr>
        <w:ind w:left="600" w:hanging="214"/>
        <w:spacing w:after="0" w:line="276" w:lineRule="exact"/>
        <w:tabs>
          <w:tab w:leader="none" w:pos="6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Previously filed as an exhibit to the Registrant’s Current Report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filed with the SEC on December 19, 2016.</w:t>
      </w:r>
    </w:p>
    <w:p>
      <w:pPr>
        <w:spacing w:after="0" w:line="64" w:lineRule="exact"/>
        <w:rPr>
          <w:rFonts w:ascii="Times New Roman" w:cs="Times New Roman" w:eastAsia="Times New Roman" w:hAnsi="Times New Roman"/>
          <w:sz w:val="24"/>
          <w:szCs w:val="24"/>
          <w:color w:val="auto"/>
          <w:vertAlign w:val="superscript"/>
        </w:rPr>
      </w:pPr>
    </w:p>
    <w:p>
      <w:pPr>
        <w:ind w:left="600" w:hanging="214"/>
        <w:spacing w:after="0" w:line="259" w:lineRule="exact"/>
        <w:tabs>
          <w:tab w:leader="none" w:pos="60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Previously filed as an exhibit to the Registrant’s Current Report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filed with the SEC on August 19, 2021.</w:t>
      </w: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769" w:right="6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 David Spreng</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Directors</w:t>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David Spreng, as Chief Executive Officer,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Finance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R. David Spreng</w:t>
      </w:r>
    </w:p>
    <w:p>
      <w:pPr>
        <w:spacing w:after="0" w:line="2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Raterman, as Chief Financial Officer,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Finance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60" w:val="left"/>
          <w:tab w:leader="none" w:pos="77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Thomas B. Raterman</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Runway Growth Finance Corp.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R. David Spreng</w:t>
      </w:r>
    </w:p>
    <w:p>
      <w:pPr>
        <w:spacing w:after="0" w:line="23"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Runway Growth Finance Corp.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60" w:val="left"/>
          <w:tab w:leader="none" w:pos="772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26035</wp:posOffset>
            </wp:positionV>
            <wp:extent cx="332613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Thomas B. Raterman</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
      <w:numFmt w:val="bullet"/>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lvl w:ilvl="1">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lowerRoman"/>
      <w:start w:val="3"/>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bullet"/>
      <w:start w:val="1"/>
    </w:lvl>
  </w:abstractNum>
  <w:abstractNum w:abstractNumId="25">
    <w:nsid w:val="737B8DDC"/>
    <w:multiLevelType w:val="hybridMultilevel"/>
    <w:lvl w:ilvl="0">
      <w:lvlJc w:val="left"/>
      <w:lvlText w:val="2"/>
      <w:numFmt w:val="bullet"/>
      <w:start w:val="1"/>
    </w:lvl>
  </w:abstractNum>
  <w:abstractNum w:abstractNumId="26">
    <w:nsid w:val="6CEAF087"/>
    <w:multiLevelType w:val="hybridMultilevel"/>
    <w:lvl w:ilvl="0">
      <w:lvlJc w:val="left"/>
      <w:lvlText w:val="3"/>
      <w:numFmt w:val="bullet"/>
      <w:start w:val="1"/>
    </w:lvl>
  </w:abstractNum>
  <w:abstractNum w:abstractNumId="27">
    <w:nsid w:val="22221A70"/>
    <w:multiLevelType w:val="hybridMultilevel"/>
    <w:lvl w:ilvl="0">
      <w:lvlJc w:val="left"/>
      <w:lvlText w:val="4"/>
      <w:numFmt w:val="bullet"/>
      <w:start w:val="1"/>
    </w:lvl>
  </w:abstractNum>
  <w:abstractNum w:abstractNumId="28">
    <w:nsid w:val="4516DDE9"/>
    <w:multiLevelType w:val="hybridMultilevel"/>
    <w:lvl w:ilvl="0">
      <w:lvlJc w:val="left"/>
      <w:lvlText w:val="5"/>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75" Type="http://schemas.openxmlformats.org/officeDocument/2006/relationships/hyperlink" Target="https://www.sec.gov/Archives/edgar/data/1653384/000114420416140270/v454968_ex3-1.htm" TargetMode="External"/><Relationship Id="rId676" Type="http://schemas.openxmlformats.org/officeDocument/2006/relationships/hyperlink" Target="https://www.sec.gov/Archives/edgar/data/0001653384/000165338421000016/rgc-20210819ex31cb84ffa.htm" TargetMode="External"/><Relationship Id="rId677" Type="http://schemas.openxmlformats.org/officeDocument/2006/relationships/hyperlink" Target="https://www.sec.gov/Archives/edgar/data/0001653384/000165338421000016/rgc-20210819ex32804659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2024-05-07T15:21:47Z</dcterms:created>
  <dcterms:modified xsi:type="dcterms:W3CDTF">2024-05-07T15:21:47Z</dcterms:modified>
</cp:coreProperties>
</file>