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24, 2026</w:t>
      </w:r>
    </w:p>
    <w:p>
      <w:pPr>
        <w:spacing w:after="0" w:line="6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333-291634</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N-14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88" w:lineRule="exact"/>
        <w:rPr>
          <w:sz w:val="24"/>
          <w:szCs w:val="24"/>
          <w:color w:val="auto"/>
        </w:rPr>
      </w:pPr>
    </w:p>
    <w:p>
      <w:pPr>
        <w:ind w:left="434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Pre-Effective Amendment No. </w:t>
      </w:r>
      <w:r>
        <w:rPr>
          <w:rFonts w:ascii="MS PGothic" w:cs="MS PGothic" w:eastAsia="MS PGothic" w:hAnsi="MS PGothic"/>
          <w:sz w:val="18"/>
          <w:szCs w:val="18"/>
          <w:color w:val="auto"/>
          <w:highlight w:val="black"/>
        </w:rPr>
        <w:t>☐</w:t>
      </w:r>
    </w:p>
    <w:p>
      <w:pPr>
        <w:spacing w:after="0" w:line="225"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Post-Effective Amendment No. 1 </w:t>
      </w:r>
      <w:r>
        <w:rPr>
          <w:rFonts w:ascii="MS PGothic" w:cs="MS PGothic" w:eastAsia="MS PGothic" w:hAnsi="MS PGothic"/>
          <w:sz w:val="18"/>
          <w:szCs w:val="18"/>
          <w:color w:val="auto"/>
          <w:highlight w:val="black"/>
        </w:rPr>
        <w:t>☒</w:t>
      </w:r>
    </w:p>
    <w:p>
      <w:pPr>
        <w:spacing w:after="0" w:line="26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___________________________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Runway Growth Finance Corp.</w:t>
      </w:r>
    </w:p>
    <w:p>
      <w:pPr>
        <w:spacing w:after="0" w:line="4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3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205 N. Michigan Ave.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698-6902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(Area Code and Telephone Number)</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David Spreng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205 N. Michigan Ave.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61"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28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Rajib Chanda, Esq.</w:t>
            </w:r>
          </w:p>
        </w:tc>
        <w:tc>
          <w:tcPr>
            <w:tcW w:w="5200" w:type="dxa"/>
            <w:vAlign w:val="bottom"/>
          </w:tcPr>
          <w:p>
            <w:pPr>
              <w:jc w:val="center"/>
              <w:ind w:right="2451"/>
              <w:spacing w:after="0"/>
              <w:rPr>
                <w:sz w:val="20"/>
                <w:szCs w:val="20"/>
                <w:color w:val="auto"/>
              </w:rPr>
            </w:pPr>
            <w:r>
              <w:rPr>
                <w:rFonts w:ascii="Times New Roman" w:cs="Times New Roman" w:eastAsia="Times New Roman" w:hAnsi="Times New Roman"/>
                <w:sz w:val="18"/>
                <w:szCs w:val="18"/>
                <w:color w:val="auto"/>
              </w:rPr>
              <w:t>Copies to:</w:t>
            </w:r>
          </w:p>
        </w:tc>
        <w:tc>
          <w:tcPr>
            <w:tcW w:w="0" w:type="dxa"/>
            <w:vAlign w:val="bottom"/>
          </w:tcPr>
          <w:p>
            <w:pPr>
              <w:spacing w:after="0"/>
              <w:rPr>
                <w:sz w:val="1"/>
                <w:szCs w:val="1"/>
                <w:color w:val="auto"/>
              </w:rPr>
            </w:pPr>
          </w:p>
        </w:tc>
      </w:tr>
      <w:tr>
        <w:trPr>
          <w:trHeight w:val="194"/>
        </w:trPr>
        <w:tc>
          <w:tcPr>
            <w:tcW w:w="2840" w:type="dxa"/>
            <w:vAlign w:val="bottom"/>
            <w:vMerge w:val="continue"/>
          </w:tcPr>
          <w:p>
            <w:pPr>
              <w:spacing w:after="0"/>
              <w:rPr>
                <w:sz w:val="16"/>
                <w:szCs w:val="16"/>
                <w:color w:val="auto"/>
              </w:rPr>
            </w:pPr>
          </w:p>
        </w:tc>
        <w:tc>
          <w:tcPr>
            <w:tcW w:w="5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Jonathan L. Corsico, Esq.</w:t>
            </w:r>
          </w:p>
        </w:tc>
        <w:tc>
          <w:tcPr>
            <w:tcW w:w="5200" w:type="dxa"/>
            <w:vAlign w:val="bottom"/>
          </w:tcPr>
          <w:p>
            <w:pPr>
              <w:jc w:val="center"/>
              <w:ind w:left="3091"/>
              <w:spacing w:after="0"/>
              <w:rPr>
                <w:sz w:val="20"/>
                <w:szCs w:val="20"/>
                <w:color w:val="auto"/>
              </w:rPr>
            </w:pPr>
            <w:r>
              <w:rPr>
                <w:rFonts w:ascii="Times New Roman" w:cs="Times New Roman" w:eastAsia="Times New Roman" w:hAnsi="Times New Roman"/>
                <w:sz w:val="18"/>
                <w:szCs w:val="18"/>
                <w:b w:val="1"/>
                <w:bCs w:val="1"/>
                <w:color w:val="auto"/>
              </w:rPr>
              <w:t>Harry S. Pangas, Esq.</w:t>
            </w:r>
          </w:p>
        </w:tc>
        <w:tc>
          <w:tcPr>
            <w:tcW w:w="0" w:type="dxa"/>
            <w:vAlign w:val="bottom"/>
          </w:tcPr>
          <w:p>
            <w:pPr>
              <w:spacing w:after="0"/>
              <w:rPr>
                <w:sz w:val="1"/>
                <w:szCs w:val="1"/>
                <w:color w:val="auto"/>
              </w:rPr>
            </w:pPr>
          </w:p>
        </w:tc>
      </w:tr>
      <w:tr>
        <w:trPr>
          <w:trHeight w:val="216"/>
        </w:trPr>
        <w:tc>
          <w:tcPr>
            <w:tcW w:w="2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Steven Grigoriou, Esq.</w:t>
            </w:r>
          </w:p>
        </w:tc>
        <w:tc>
          <w:tcPr>
            <w:tcW w:w="5200" w:type="dxa"/>
            <w:vAlign w:val="bottom"/>
          </w:tcPr>
          <w:p>
            <w:pPr>
              <w:jc w:val="center"/>
              <w:ind w:left="3091"/>
              <w:spacing w:after="0"/>
              <w:rPr>
                <w:sz w:val="20"/>
                <w:szCs w:val="20"/>
                <w:color w:val="auto"/>
              </w:rPr>
            </w:pPr>
            <w:r>
              <w:rPr>
                <w:rFonts w:ascii="Times New Roman" w:cs="Times New Roman" w:eastAsia="Times New Roman" w:hAnsi="Times New Roman"/>
                <w:sz w:val="18"/>
                <w:szCs w:val="18"/>
                <w:b w:val="1"/>
                <w:bCs w:val="1"/>
                <w:color w:val="auto"/>
              </w:rPr>
              <w:t>Darius I. Ravangard, Esq.</w:t>
            </w:r>
          </w:p>
        </w:tc>
        <w:tc>
          <w:tcPr>
            <w:tcW w:w="0" w:type="dxa"/>
            <w:vAlign w:val="bottom"/>
          </w:tcPr>
          <w:p>
            <w:pPr>
              <w:spacing w:after="0"/>
              <w:rPr>
                <w:sz w:val="1"/>
                <w:szCs w:val="1"/>
                <w:color w:val="auto"/>
              </w:rPr>
            </w:pPr>
          </w:p>
        </w:tc>
      </w:tr>
      <w:tr>
        <w:trPr>
          <w:trHeight w:val="216"/>
        </w:trPr>
        <w:tc>
          <w:tcPr>
            <w:tcW w:w="2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tc>
        <w:tc>
          <w:tcPr>
            <w:tcW w:w="5200" w:type="dxa"/>
            <w:vAlign w:val="bottom"/>
          </w:tcPr>
          <w:p>
            <w:pPr>
              <w:jc w:val="center"/>
              <w:ind w:left="3071"/>
              <w:spacing w:after="0"/>
              <w:rPr>
                <w:sz w:val="20"/>
                <w:szCs w:val="20"/>
                <w:color w:val="auto"/>
              </w:rPr>
            </w:pPr>
            <w:r>
              <w:rPr>
                <w:rFonts w:ascii="Times New Roman" w:cs="Times New Roman" w:eastAsia="Times New Roman" w:hAnsi="Times New Roman"/>
                <w:sz w:val="18"/>
                <w:szCs w:val="18"/>
                <w:b w:val="1"/>
                <w:bCs w:val="1"/>
                <w:color w:val="auto"/>
                <w:w w:val="99"/>
              </w:rPr>
              <w:t>Dechert LLP</w:t>
            </w:r>
          </w:p>
        </w:tc>
        <w:tc>
          <w:tcPr>
            <w:tcW w:w="0" w:type="dxa"/>
            <w:vAlign w:val="bottom"/>
          </w:tcPr>
          <w:p>
            <w:pPr>
              <w:spacing w:after="0"/>
              <w:rPr>
                <w:sz w:val="1"/>
                <w:szCs w:val="1"/>
                <w:color w:val="auto"/>
              </w:rPr>
            </w:pPr>
          </w:p>
        </w:tc>
      </w:tr>
      <w:tr>
        <w:trPr>
          <w:trHeight w:val="216"/>
        </w:trPr>
        <w:tc>
          <w:tcPr>
            <w:tcW w:w="2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900 G Street, N.W.</w:t>
            </w:r>
          </w:p>
        </w:tc>
        <w:tc>
          <w:tcPr>
            <w:tcW w:w="5200" w:type="dxa"/>
            <w:vAlign w:val="bottom"/>
          </w:tcPr>
          <w:p>
            <w:pPr>
              <w:jc w:val="center"/>
              <w:ind w:left="3091"/>
              <w:spacing w:after="0"/>
              <w:rPr>
                <w:sz w:val="20"/>
                <w:szCs w:val="20"/>
                <w:color w:val="auto"/>
              </w:rPr>
            </w:pPr>
            <w:r>
              <w:rPr>
                <w:rFonts w:ascii="Times New Roman" w:cs="Times New Roman" w:eastAsia="Times New Roman" w:hAnsi="Times New Roman"/>
                <w:sz w:val="18"/>
                <w:szCs w:val="18"/>
                <w:b w:val="1"/>
                <w:bCs w:val="1"/>
                <w:color w:val="auto"/>
                <w:w w:val="99"/>
              </w:rPr>
              <w:t>1900 K Street, N.W.</w:t>
            </w:r>
          </w:p>
        </w:tc>
        <w:tc>
          <w:tcPr>
            <w:tcW w:w="0" w:type="dxa"/>
            <w:vAlign w:val="bottom"/>
          </w:tcPr>
          <w:p>
            <w:pPr>
              <w:spacing w:after="0"/>
              <w:rPr>
                <w:sz w:val="1"/>
                <w:szCs w:val="1"/>
                <w:color w:val="auto"/>
              </w:rPr>
            </w:pPr>
          </w:p>
        </w:tc>
      </w:tr>
      <w:tr>
        <w:trPr>
          <w:trHeight w:val="216"/>
        </w:trPr>
        <w:tc>
          <w:tcPr>
            <w:tcW w:w="28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Washington, DC 20001</w:t>
            </w:r>
          </w:p>
        </w:tc>
        <w:tc>
          <w:tcPr>
            <w:tcW w:w="5200" w:type="dxa"/>
            <w:vAlign w:val="bottom"/>
          </w:tcPr>
          <w:p>
            <w:pPr>
              <w:jc w:val="center"/>
              <w:ind w:left="3091"/>
              <w:spacing w:after="0"/>
              <w:rPr>
                <w:sz w:val="20"/>
                <w:szCs w:val="20"/>
                <w:color w:val="auto"/>
              </w:rPr>
            </w:pPr>
            <w:r>
              <w:rPr>
                <w:rFonts w:ascii="Times New Roman" w:cs="Times New Roman" w:eastAsia="Times New Roman" w:hAnsi="Times New Roman"/>
                <w:sz w:val="18"/>
                <w:szCs w:val="18"/>
                <w:b w:val="1"/>
                <w:bCs w:val="1"/>
                <w:color w:val="auto"/>
                <w:w w:val="99"/>
              </w:rPr>
              <w:t>Washington, D.C. 20006</w:t>
            </w:r>
          </w:p>
        </w:tc>
        <w:tc>
          <w:tcPr>
            <w:tcW w:w="0" w:type="dxa"/>
            <w:vAlign w:val="bottom"/>
          </w:tcPr>
          <w:p>
            <w:pPr>
              <w:spacing w:after="0"/>
              <w:rPr>
                <w:sz w:val="1"/>
                <w:szCs w:val="1"/>
                <w:color w:val="auto"/>
              </w:rPr>
            </w:pPr>
          </w:p>
        </w:tc>
      </w:tr>
      <w:tr>
        <w:trPr>
          <w:trHeight w:val="216"/>
        </w:trPr>
        <w:tc>
          <w:tcPr>
            <w:tcW w:w="2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Telephone: (202) 636-5500</w:t>
            </w:r>
          </w:p>
        </w:tc>
        <w:tc>
          <w:tcPr>
            <w:tcW w:w="5200" w:type="dxa"/>
            <w:vAlign w:val="bottom"/>
          </w:tcPr>
          <w:p>
            <w:pPr>
              <w:jc w:val="center"/>
              <w:ind w:left="3091"/>
              <w:spacing w:after="0"/>
              <w:rPr>
                <w:sz w:val="20"/>
                <w:szCs w:val="20"/>
                <w:color w:val="auto"/>
              </w:rPr>
            </w:pPr>
            <w:r>
              <w:rPr>
                <w:rFonts w:ascii="Times New Roman" w:cs="Times New Roman" w:eastAsia="Times New Roman" w:hAnsi="Times New Roman"/>
                <w:sz w:val="18"/>
                <w:szCs w:val="18"/>
                <w:b w:val="1"/>
                <w:bCs w:val="1"/>
                <w:color w:val="auto"/>
                <w:w w:val="99"/>
              </w:rPr>
              <w:t>Telephone: (202) 261-3300</w:t>
            </w:r>
          </w:p>
        </w:tc>
        <w:tc>
          <w:tcPr>
            <w:tcW w:w="0" w:type="dxa"/>
            <w:vAlign w:val="bottom"/>
          </w:tcPr>
          <w:p>
            <w:pPr>
              <w:spacing w:after="0"/>
              <w:rPr>
                <w:sz w:val="1"/>
                <w:szCs w:val="1"/>
                <w:color w:val="auto"/>
              </w:rPr>
            </w:pPr>
          </w:p>
        </w:tc>
      </w:tr>
      <w:tr>
        <w:trPr>
          <w:trHeight w:val="222"/>
        </w:trPr>
        <w:tc>
          <w:tcPr>
            <w:tcW w:w="2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Fax: (202) 636-5502</w:t>
            </w:r>
          </w:p>
        </w:tc>
        <w:tc>
          <w:tcPr>
            <w:tcW w:w="5200" w:type="dxa"/>
            <w:vAlign w:val="bottom"/>
          </w:tcPr>
          <w:p>
            <w:pPr>
              <w:jc w:val="center"/>
              <w:ind w:left="3071"/>
              <w:spacing w:after="0"/>
              <w:rPr>
                <w:sz w:val="20"/>
                <w:szCs w:val="20"/>
                <w:color w:val="auto"/>
              </w:rPr>
            </w:pPr>
            <w:r>
              <w:rPr>
                <w:rFonts w:ascii="Times New Roman" w:cs="Times New Roman" w:eastAsia="Times New Roman" w:hAnsi="Times New Roman"/>
                <w:sz w:val="18"/>
                <w:szCs w:val="18"/>
                <w:b w:val="1"/>
                <w:bCs w:val="1"/>
                <w:color w:val="auto"/>
                <w:w w:val="99"/>
              </w:rPr>
              <w:t>Fax: (202) 261-3333</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18"/>
                <w:szCs w:val="18"/>
                <w:color w:val="auto"/>
              </w:rPr>
            </w:pPr>
          </w:p>
        </w:tc>
        <w:tc>
          <w:tcPr>
            <w:tcW w:w="5200" w:type="dxa"/>
            <w:vAlign w:val="bottom"/>
          </w:tcPr>
          <w:p>
            <w:pPr>
              <w:jc w:val="right"/>
              <w:ind w:right="2691"/>
              <w:spacing w:after="0"/>
              <w:rPr>
                <w:sz w:val="20"/>
                <w:szCs w:val="20"/>
                <w:color w:val="auto"/>
              </w:rPr>
            </w:pPr>
            <w:r>
              <w:rPr>
                <w:rFonts w:ascii="Times New Roman" w:cs="Times New Roman" w:eastAsia="Times New Roman" w:hAnsi="Times New Roman"/>
                <w:sz w:val="16"/>
                <w:szCs w:val="16"/>
                <w:b w:val="1"/>
                <w:bCs w:val="1"/>
                <w:color w:val="auto"/>
              </w:rPr>
              <w:t>___________________________</w:t>
            </w: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20"/>
        <w:spacing w:after="0" w:line="297" w:lineRule="auto"/>
        <w:rPr>
          <w:sz w:val="20"/>
          <w:szCs w:val="20"/>
          <w:color w:val="auto"/>
        </w:rPr>
      </w:pPr>
      <w:r>
        <w:rPr>
          <w:rFonts w:ascii="Times New Roman" w:cs="Times New Roman" w:eastAsia="Times New Roman" w:hAnsi="Times New Roman"/>
          <w:sz w:val="18"/>
          <w:szCs w:val="18"/>
          <w:color w:val="auto"/>
        </w:rPr>
        <w:t>It is proposed that this filing will become effective immediately upon filing pursuant to Rule 462(d) under the Securities Act of 1933 (the “Securities Act”). C-1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Post-Effective Amendment No. 1 to the Registration Statement on Form N-14 (No. 333-291634) of Runway Growth Finance Corp. (the “Registration Statement”) is being filed pursuant to Rule 462(d) under the Securities Act of 1933, as amended (the “Securities Act”), solely for the purpose of filing exhibits to the Registration Statement. Accordingly, this Post-Effective Amendment No. 1 consists only of a facing page, this explanatory note and Part C of the Registration Statement on Form N-14 setting forth the exhibits to the Registration Statement. This Post-Effective Amendment No. 1 does not modify any other part of the Registration Statement. Pursuant to Rule 462(d) under the Securities Act, this Post-Effective Amendment No. 1 shall become effective immediately upon filing with the Securities and Exchange Commission. The contents of the Registration Statement are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RWAY’s charter contains such a provision which eliminates directors’ and officers’ liability to the maximum extent permitted by Maryland law, subject to the requirements of the 1940 Act.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RWAY’s charter authorizes it, to the maximum extent permitted by Maryland law and subject to the requirements of the 1940 Act, to indemnify any present or former director or officer or any individual who, while serving as RWAY’s director or officer and at RWAY’s request, serves or has served another corporation, real estate investment trust, limited liability company, partnership, joint venture, trust, employee benefit plan or other enterprise as a director, officer, partner, trustee, member or manager from and against any claim or liability to which that person may become subject or which that person may incur by reason of his or her service in any such capacity and to pay or reimburse their reasonable expenses in advance of final disposition of a proceeding. RWAY’s bylaws obligate it, to the maximum extent permitted by Maryland law and subject to the requirements of the 1940 Act, to indemnify any present or former director or officer or any individual who, while serving as RWAY’s director or officer and at RWAY’s request, serves or has served another corporation, real estate investment trust, limited liability company, partnership, joint venture, trust, employee benefit plan or other enterprise as a director, officer, partner, trustee, member or manager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RWAY to indemnify and advance expenses to any person who served a predecessor of RWAY in any of the capacities described above and any of RWAY’s employees or agents or any employees or agents of RWAY’s predecessor. In accordance with the 1940 Act, RWAY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RWAY’s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good-faith belief that he or she has met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RWAY have entered into indemnification agreements with RWAY’s directors and executive officers. The indemnification agreements provide RWAY’s directors and executive officers the maximum indemnification permitted under Maryland law and the 1940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liability arising under the Securities Act may be permitted to directors, officers and controlling persons of RWAY pursuant to the foregoing provisions or otherwise, RWAY has been advised that in the opinion of the SEC such indemnification is against public policy as expressed in the Securities Act and is, therefore, unenforceable. In the event that a claim for indemnification against such liabilities (other than the payment by RWAY of expenses incurred or paid by a director, officer or controlling person of RWAY in the successful defense of any action, suit or proceeding) is asserted by such director, officer or controlling person in connection with the securities being registered, RWAY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9960" w:type="dxa"/>
            <w:vAlign w:val="bottom"/>
            <w:gridSpan w:val="4"/>
          </w:tcPr>
          <w:p>
            <w:pPr>
              <w:spacing w:after="0"/>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Articles of Amendment and Restatement of the Registrant (incorporated by reference to Exhibit 3.1 to the Registrant’s Current Report on</w:t>
              </w:r>
            </w:hyperlink>
          </w:p>
        </w:tc>
      </w:tr>
      <w:tr>
        <w:trPr>
          <w:trHeight w:val="196"/>
        </w:trPr>
        <w:tc>
          <w:tcPr>
            <w:tcW w:w="1280" w:type="dxa"/>
            <w:vAlign w:val="bottom"/>
          </w:tcPr>
          <w:p>
            <w:pPr>
              <w:spacing w:after="0"/>
              <w:rPr>
                <w:sz w:val="17"/>
                <w:szCs w:val="17"/>
                <w:color w:val="auto"/>
              </w:rPr>
            </w:pPr>
          </w:p>
        </w:tc>
        <w:tc>
          <w:tcPr>
            <w:tcW w:w="38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Form 8-K filed with the SEC on December 19, 2016).</w:t>
              </w:r>
            </w:hyperlink>
          </w:p>
        </w:tc>
        <w:tc>
          <w:tcPr>
            <w:tcW w:w="60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(1)(b)</w:t>
            </w:r>
          </w:p>
        </w:tc>
        <w:tc>
          <w:tcPr>
            <w:tcW w:w="99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Articles of Amendment of the Registrant (incorporated by reference to Exhibit 3.1 to the Registrant’s Current Report on Form 8-K filed</w:t>
              </w:r>
            </w:hyperlink>
          </w:p>
        </w:tc>
      </w:tr>
      <w:tr>
        <w:trPr>
          <w:trHeight w:val="196"/>
        </w:trPr>
        <w:tc>
          <w:tcPr>
            <w:tcW w:w="1280" w:type="dxa"/>
            <w:vAlign w:val="bottom"/>
          </w:tcPr>
          <w:p>
            <w:pPr>
              <w:spacing w:after="0"/>
              <w:rPr>
                <w:sz w:val="17"/>
                <w:szCs w:val="17"/>
                <w:color w:val="auto"/>
              </w:rPr>
            </w:pPr>
          </w:p>
        </w:tc>
        <w:tc>
          <w:tcPr>
            <w:tcW w:w="9960" w:type="dxa"/>
            <w:vAlign w:val="bottom"/>
            <w:gridSpan w:val="4"/>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with the SEC on August 19, 2021).</w:t>
              </w:r>
            </w:hyperlink>
          </w:p>
        </w:tc>
      </w:tr>
      <w:tr>
        <w:trPr>
          <w:trHeight w:val="20"/>
        </w:trPr>
        <w:tc>
          <w:tcPr>
            <w:tcW w:w="12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80" w:right="20" w:hanging="1272"/>
        <w:spacing w:after="0" w:line="282" w:lineRule="auto"/>
        <w:tabs>
          <w:tab w:leader="none" w:pos="1280" w:val="left"/>
        </w:tabs>
        <w:numPr>
          <w:ilvl w:val="0"/>
          <w:numId w:val="1"/>
        </w:numPr>
        <w:rPr>
          <w:rFonts w:ascii="Times New Roman" w:cs="Times New Roman" w:eastAsia="Times New Roman" w:hAnsi="Times New Roman"/>
          <w:sz w:val="18"/>
          <w:szCs w:val="18"/>
          <w:u w:val="single" w:color="auto"/>
          <w:color w:val="0000FF"/>
        </w:rPr>
      </w:pPr>
      <w:hyperlink r:id="rId14">
        <w:r>
          <w:rPr>
            <w:rFonts w:ascii="Times New Roman" w:cs="Times New Roman" w:eastAsia="Times New Roman" w:hAnsi="Times New Roman"/>
            <w:sz w:val="18"/>
            <w:szCs w:val="18"/>
            <w:u w:val="single" w:color="auto"/>
            <w:color w:val="0000FF"/>
          </w:rPr>
          <w:t>Second Amended and Restated Bylaws of the Registrant, dated as of August 19, 2021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14">
        <w:r>
          <w:rPr>
            <w:rFonts w:ascii="Times New Roman" w:cs="Times New Roman" w:eastAsia="Times New Roman" w:hAnsi="Times New Roman"/>
            <w:sz w:val="18"/>
            <w:szCs w:val="18"/>
            <w:u w:val="single" w:color="auto"/>
            <w:color w:val="0000FF"/>
          </w:rPr>
          <w:t>Registrant’s Annual Report on Form 10-K filed with the SEC on March 29, 2017).</w:t>
        </w:r>
      </w:hyperlink>
    </w:p>
    <w:p>
      <w:pPr>
        <w:spacing w:after="0" w:line="53" w:lineRule="exact"/>
        <w:rPr>
          <w:rFonts w:ascii="Times New Roman" w:cs="Times New Roman" w:eastAsia="Times New Roman" w:hAnsi="Times New Roman"/>
          <w:sz w:val="18"/>
          <w:szCs w:val="18"/>
          <w:u w:val="single" w:color="auto"/>
          <w:color w:val="0000FF"/>
        </w:rPr>
      </w:pPr>
    </w:p>
    <w:p>
      <w:pPr>
        <w:ind w:left="1280" w:hanging="1272"/>
        <w:spacing w:after="0" w:line="239" w:lineRule="exact"/>
        <w:tabs>
          <w:tab w:leader="none" w:pos="1280" w:val="left"/>
        </w:tabs>
        <w:numPr>
          <w:ilvl w:val="0"/>
          <w:numId w:val="1"/>
        </w:numPr>
        <w:rPr>
          <w:rFonts w:ascii="Times New Roman" w:cs="Times New Roman" w:eastAsia="Times New Roman" w:hAnsi="Times New Roman"/>
          <w:sz w:val="18"/>
          <w:szCs w:val="18"/>
          <w:u w:val="single" w:color="auto"/>
          <w:color w:val="0000FF"/>
        </w:rPr>
      </w:pPr>
      <w:hyperlink r:id="rId15">
        <w:r>
          <w:rPr>
            <w:rFonts w:ascii="Times New Roman" w:cs="Times New Roman" w:eastAsia="Times New Roman" w:hAnsi="Times New Roman"/>
            <w:sz w:val="18"/>
            <w:szCs w:val="18"/>
            <w:u w:val="single" w:color="auto"/>
            <w:color w:val="0000FF"/>
          </w:rPr>
          <w:t>Voting Proxy of OCM Growth Holdings, LLC in favor of the Registrant (incorporated by reference to Exhibit 9.1 to the Registrant’s</w:t>
        </w:r>
      </w:hyperlink>
      <w:r>
        <w:rPr>
          <w:rFonts w:ascii="Times New Roman" w:cs="Times New Roman" w:eastAsia="Times New Roman" w:hAnsi="Times New Roman"/>
          <w:sz w:val="18"/>
          <w:szCs w:val="18"/>
          <w:u w:val="single" w:color="auto"/>
          <w:color w:val="0000FF"/>
        </w:rPr>
        <w:t xml:space="preserve"> </w:t>
      </w:r>
      <w:hyperlink r:id="rId15">
        <w:r>
          <w:rPr>
            <w:rFonts w:ascii="Times New Roman" w:cs="Times New Roman" w:eastAsia="Times New Roman" w:hAnsi="Times New Roman"/>
            <w:sz w:val="18"/>
            <w:szCs w:val="18"/>
            <w:u w:val="single" w:color="auto"/>
            <w:color w:val="0000FF"/>
          </w:rPr>
          <w:t>Annual Report on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with the SEC on March 29, 2017).</w:t>
        </w:r>
      </w:hyperlink>
    </w:p>
    <w:p>
      <w:pPr>
        <w:spacing w:after="0" w:line="49"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(4)(a)</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Agreement and Plan of Merger, dated as of October 9, 2025, by and among the Registrant, SWK Holdings Corporation; RWAY Portfolio</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Holding Corp., RWAY Portfolio Corp. and Runway Growth Capital LLC (incorporated by reference to Exhibit 2.1 of the Current Report</w:t>
              </w:r>
            </w:hyperlink>
          </w:p>
        </w:tc>
      </w:tr>
      <w:tr>
        <w:trPr>
          <w:trHeight w:val="196"/>
        </w:trPr>
        <w:tc>
          <w:tcPr>
            <w:tcW w:w="128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on Form 8-K, as filed with the SEC on October 10, 2025).</w:t>
              </w:r>
            </w:hyperlink>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(4)(b)</w:t>
            </w:r>
          </w:p>
        </w:tc>
        <w:tc>
          <w:tcPr>
            <w:tcW w:w="9960" w:type="dxa"/>
            <w:vAlign w:val="bottom"/>
            <w:gridSpan w:val="11"/>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Key Stockholder Agreement, dated as of October 9, 2025, by and between the Registrant and Double Black Diamond Offshore, Ltd.</w:t>
              </w:r>
            </w:hyperlink>
          </w:p>
        </w:tc>
      </w:tr>
      <w:tr>
        <w:trPr>
          <w:trHeight w:val="196"/>
        </w:trPr>
        <w:tc>
          <w:tcPr>
            <w:tcW w:w="1280" w:type="dxa"/>
            <w:vAlign w:val="bottom"/>
          </w:tcPr>
          <w:p>
            <w:pPr>
              <w:spacing w:after="0"/>
              <w:rPr>
                <w:sz w:val="17"/>
                <w:szCs w:val="17"/>
                <w:color w:val="auto"/>
              </w:rPr>
            </w:pPr>
          </w:p>
        </w:tc>
        <w:tc>
          <w:tcPr>
            <w:tcW w:w="87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(incorporated by reference to Exhibit 2.2 of the Current Report on Form 8-K, as filed with the SEC on October 10, 2025).</w:t>
              </w:r>
            </w:hyperlink>
          </w:p>
        </w:tc>
        <w:tc>
          <w:tcPr>
            <w:tcW w:w="118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(5)(a)</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Indenture, dated July 28, 2022, by and between the Registrant and U.S. Bank Trust Company, National Association, as trustee</w:t>
              </w:r>
            </w:hyperlink>
          </w:p>
        </w:tc>
      </w:tr>
      <w:tr>
        <w:trPr>
          <w:trHeight w:val="196"/>
        </w:trPr>
        <w:tc>
          <w:tcPr>
            <w:tcW w:w="1280" w:type="dxa"/>
            <w:vAlign w:val="bottom"/>
          </w:tcPr>
          <w:p>
            <w:pPr>
              <w:spacing w:after="0"/>
              <w:rPr>
                <w:sz w:val="17"/>
                <w:szCs w:val="17"/>
                <w:color w:val="auto"/>
              </w:rPr>
            </w:pPr>
          </w:p>
        </w:tc>
        <w:tc>
          <w:tcPr>
            <w:tcW w:w="91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(incorporated by reference to Exhibit 4.1 to the Registrant’s Current Report on Form 8-K filed with the SEC on July 22, 2022).</w:t>
              </w:r>
            </w:hyperlink>
          </w:p>
        </w:tc>
        <w:tc>
          <w:tcPr>
            <w:tcW w:w="780" w:type="dxa"/>
            <w:vAlign w:val="bottom"/>
            <w:gridSpan w:val="3"/>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(5)(b)</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First Supplemental Indenture, dated July 28, 2022, by and between the Registrant and U.S. Bank Trust Company, National Association,</w:t>
              </w:r>
            </w:hyperlink>
          </w:p>
        </w:tc>
      </w:tr>
      <w:tr>
        <w:trPr>
          <w:trHeight w:val="196"/>
        </w:trPr>
        <w:tc>
          <w:tcPr>
            <w:tcW w:w="128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as trustee (incorporated by reference to Exhibit 4.3 to the Registrant’s Current Report on Form 8-K filed with the SEC on July 22, 2022).</w:t>
              </w:r>
            </w:hyperlink>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2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(5)(c)</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Form of Global Note 7.50% Note Due 2027 (incorporated by reference to Exhibit 4.4 to the Registrant’s Current Report on Form 8-K</w:t>
              </w:r>
            </w:hyperlink>
          </w:p>
        </w:tc>
      </w:tr>
      <w:tr>
        <w:trPr>
          <w:trHeight w:val="196"/>
        </w:trPr>
        <w:tc>
          <w:tcPr>
            <w:tcW w:w="128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filed with the SEC on July 22, 2022).</w:t>
              </w:r>
            </w:hyperlink>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(5)(d)</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Second Supplemental Indenture, dated December 7, 2022, by and between the Registrant and U.S. Bank Trust Company, National</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Association, as trustee (incorporated by reference to Exhibit 4.1 to the Registrant’s Current Report on Form 8-K filed with the SEC on</w:t>
              </w:r>
            </w:hyperlink>
          </w:p>
        </w:tc>
      </w:tr>
      <w:tr>
        <w:trPr>
          <w:trHeight w:val="196"/>
        </w:trPr>
        <w:tc>
          <w:tcPr>
            <w:tcW w:w="128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December 7, 2022).</w:t>
              </w:r>
            </w:hyperlink>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(5)(e)</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Form of Global Note 8.00% Note Due 2027 (incorporated by reference to Exhibit 4.6 to the Registrant’s Current Report on Form 8-K</w:t>
              </w:r>
            </w:hyperlink>
          </w:p>
        </w:tc>
      </w:tr>
      <w:tr>
        <w:trPr>
          <w:trHeight w:val="196"/>
        </w:trPr>
        <w:tc>
          <w:tcPr>
            <w:tcW w:w="1280" w:type="dxa"/>
            <w:vAlign w:val="bottom"/>
          </w:tcPr>
          <w:p>
            <w:pPr>
              <w:spacing w:after="0"/>
              <w:rPr>
                <w:sz w:val="17"/>
                <w:szCs w:val="17"/>
                <w:color w:val="auto"/>
              </w:rPr>
            </w:pPr>
          </w:p>
        </w:tc>
        <w:tc>
          <w:tcPr>
            <w:tcW w:w="30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filed with the SEC on December 7, 2022).</w:t>
              </w:r>
            </w:hyperlink>
          </w:p>
        </w:tc>
        <w:tc>
          <w:tcPr>
            <w:tcW w:w="6920" w:type="dxa"/>
            <w:vAlign w:val="bottom"/>
            <w:gridSpan w:val="6"/>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(5)(f)</w:t>
            </w:r>
          </w:p>
        </w:tc>
        <w:tc>
          <w:tcPr>
            <w:tcW w:w="9960" w:type="dxa"/>
            <w:vAlign w:val="bottom"/>
            <w:gridSpan w:val="11"/>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Third Supplemental Indenture, dated February 3, 2026, by and between the Registrant and U.S. Bank Trust Company, National</w:t>
              </w:r>
            </w:hyperlink>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70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Association, as trustee (incorporated by reference to Exhibit 4.1 to the Registrant's Current Report on Form 8-K filed with the SEC on</w:t>
              </w:r>
            </w:hyperlink>
          </w:p>
        </w:tc>
      </w:tr>
      <w:tr>
        <w:trPr>
          <w:trHeight w:val="196"/>
        </w:trPr>
        <w:tc>
          <w:tcPr>
            <w:tcW w:w="128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1">
              <w:r>
                <w:rPr>
                  <w:rFonts w:ascii="Times New Roman" w:cs="Times New Roman" w:eastAsia="Times New Roman" w:hAnsi="Times New Roman"/>
                  <w:sz w:val="18"/>
                  <w:szCs w:val="18"/>
                  <w:color w:val="0000FF"/>
                  <w:w w:val="98"/>
                </w:rPr>
                <w:t>February 3, 2026).</w:t>
              </w:r>
            </w:hyperlink>
          </w:p>
        </w:tc>
        <w:tc>
          <w:tcPr>
            <w:tcW w:w="8620" w:type="dxa"/>
            <w:vAlign w:val="bottom"/>
            <w:gridSpan w:val="10"/>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(5)(g)</w:t>
            </w:r>
          </w:p>
        </w:tc>
        <w:tc>
          <w:tcPr>
            <w:tcW w:w="9960" w:type="dxa"/>
            <w:vAlign w:val="bottom"/>
            <w:gridSpan w:val="11"/>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Form of Global Note 7.25% Note Due 2031 (incorporated by reference to Exhibit 4.2 to the Registrant's Current Report on Form 8-K</w:t>
              </w:r>
            </w:hyperlink>
          </w:p>
        </w:tc>
      </w:tr>
      <w:tr>
        <w:trPr>
          <w:trHeight w:val="196"/>
        </w:trPr>
        <w:tc>
          <w:tcPr>
            <w:tcW w:w="1280" w:type="dxa"/>
            <w:vAlign w:val="bottom"/>
          </w:tcPr>
          <w:p>
            <w:pPr>
              <w:spacing w:after="0"/>
              <w:rPr>
                <w:sz w:val="17"/>
                <w:szCs w:val="17"/>
                <w:color w:val="auto"/>
              </w:rPr>
            </w:pPr>
          </w:p>
        </w:tc>
        <w:tc>
          <w:tcPr>
            <w:tcW w:w="994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filed with the SEC on February 3, 2026).</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80" w:hanging="1272"/>
        <w:spacing w:after="0" w:line="282" w:lineRule="auto"/>
        <w:tabs>
          <w:tab w:leader="none" w:pos="1280" w:val="left"/>
        </w:tabs>
        <w:numPr>
          <w:ilvl w:val="0"/>
          <w:numId w:val="2"/>
        </w:numPr>
        <w:rPr>
          <w:rFonts w:ascii="Times New Roman" w:cs="Times New Roman" w:eastAsia="Times New Roman" w:hAnsi="Times New Roman"/>
          <w:sz w:val="18"/>
          <w:szCs w:val="18"/>
          <w:u w:val="single" w:color="auto"/>
          <w:color w:val="0000FF"/>
        </w:rPr>
      </w:pPr>
      <w:hyperlink r:id="rId22">
        <w:r>
          <w:rPr>
            <w:rFonts w:ascii="Times New Roman" w:cs="Times New Roman" w:eastAsia="Times New Roman" w:hAnsi="Times New Roman"/>
            <w:sz w:val="18"/>
            <w:szCs w:val="18"/>
            <w:u w:val="single" w:color="auto"/>
            <w:color w:val="0000FF"/>
          </w:rPr>
          <w:t>Third Amended and Restated Investment Advisory Agreement between the Registrant and Runway Growth Capital LLC (incorporated by</w:t>
        </w:r>
      </w:hyperlink>
      <w:r>
        <w:rPr>
          <w:rFonts w:ascii="Times New Roman" w:cs="Times New Roman" w:eastAsia="Times New Roman" w:hAnsi="Times New Roman"/>
          <w:sz w:val="18"/>
          <w:szCs w:val="18"/>
          <w:u w:val="single" w:color="auto"/>
          <w:color w:val="0000FF"/>
        </w:rPr>
        <w:t xml:space="preserve"> </w:t>
      </w:r>
      <w:hyperlink r:id="rId22">
        <w:r>
          <w:rPr>
            <w:rFonts w:ascii="Times New Roman" w:cs="Times New Roman" w:eastAsia="Times New Roman" w:hAnsi="Times New Roman"/>
            <w:sz w:val="18"/>
            <w:szCs w:val="18"/>
            <w:u w:val="single" w:color="auto"/>
            <w:color w:val="0000FF"/>
          </w:rPr>
          <w:t>reference to Exhibit 10.1 to the Registrant’s Form 8-K filed with the SEC on January 31, 2025).</w:t>
        </w:r>
      </w:hyperlink>
    </w:p>
    <w:p>
      <w:pPr>
        <w:spacing w:after="0" w:line="5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(7)(a)</w:t>
            </w:r>
          </w:p>
        </w:tc>
        <w:tc>
          <w:tcPr>
            <w:tcW w:w="99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Underwriting Agreement 8.00% Notes due 2027 (incorporated by reference to Exhibit 1.1 to the Registrant’s Current Report on Form 8-K</w:t>
              </w:r>
            </w:hyperlink>
          </w:p>
        </w:tc>
      </w:tr>
      <w:tr>
        <w:trPr>
          <w:trHeight w:val="196"/>
        </w:trPr>
        <w:tc>
          <w:tcPr>
            <w:tcW w:w="1280" w:type="dxa"/>
            <w:vAlign w:val="bottom"/>
          </w:tcPr>
          <w:p>
            <w:pPr>
              <w:spacing w:after="0"/>
              <w:rPr>
                <w:sz w:val="17"/>
                <w:szCs w:val="17"/>
                <w:color w:val="auto"/>
              </w:rPr>
            </w:pPr>
          </w:p>
        </w:tc>
        <w:tc>
          <w:tcPr>
            <w:tcW w:w="30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filed with the SEC on December 1, 2022).</w:t>
              </w:r>
            </w:hyperlink>
          </w:p>
        </w:tc>
        <w:tc>
          <w:tcPr>
            <w:tcW w:w="6920" w:type="dxa"/>
            <w:vAlign w:val="bottom"/>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(7)(b)</w:t>
            </w:r>
          </w:p>
        </w:tc>
        <w:tc>
          <w:tcPr>
            <w:tcW w:w="99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Underwriting Agreement 8.00% Notes due 2027 (incorporated by reference to Exhibit 1.1 to the Registrant’s Current Report on Form 8-K</w:t>
              </w:r>
            </w:hyperlink>
          </w:p>
        </w:tc>
      </w:tr>
      <w:tr>
        <w:trPr>
          <w:trHeight w:val="196"/>
        </w:trPr>
        <w:tc>
          <w:tcPr>
            <w:tcW w:w="1280" w:type="dxa"/>
            <w:vAlign w:val="bottom"/>
          </w:tcPr>
          <w:p>
            <w:pPr>
              <w:spacing w:after="0"/>
              <w:rPr>
                <w:sz w:val="17"/>
                <w:szCs w:val="17"/>
                <w:color w:val="auto"/>
              </w:rPr>
            </w:pPr>
          </w:p>
        </w:tc>
        <w:tc>
          <w:tcPr>
            <w:tcW w:w="9960" w:type="dxa"/>
            <w:vAlign w:val="bottom"/>
            <w:gridSpan w:val="3"/>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filed with the SEC on July 22, 2022).</w:t>
              </w:r>
            </w:hyperlink>
          </w:p>
        </w:tc>
      </w:tr>
      <w:tr>
        <w:trPr>
          <w:trHeight w:val="20"/>
        </w:trPr>
        <w:tc>
          <w:tcPr>
            <w:tcW w:w="128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80" w:hanging="127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(9)(a)</w:t>
            </w:r>
          </w:p>
        </w:tc>
        <w:tc>
          <w:tcPr>
            <w:tcW w:w="99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Custody Agreement between the Registrant and U.S. Bank National Association (incorporated by reference to Exhibit 10.4 to the</w:t>
              </w:r>
            </w:hyperlink>
          </w:p>
        </w:tc>
      </w:tr>
      <w:tr>
        <w:trPr>
          <w:trHeight w:val="196"/>
        </w:trPr>
        <w:tc>
          <w:tcPr>
            <w:tcW w:w="1280" w:type="dxa"/>
            <w:vAlign w:val="bottom"/>
          </w:tcPr>
          <w:p>
            <w:pPr>
              <w:spacing w:after="0"/>
              <w:rPr>
                <w:sz w:val="17"/>
                <w:szCs w:val="17"/>
                <w:color w:val="auto"/>
              </w:rPr>
            </w:pPr>
          </w:p>
        </w:tc>
        <w:tc>
          <w:tcPr>
            <w:tcW w:w="48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Registrant’s Form 8-K filed with the SEC on December 19, 2016).</w:t>
              </w:r>
            </w:hyperlink>
          </w:p>
        </w:tc>
        <w:tc>
          <w:tcPr>
            <w:tcW w:w="5160" w:type="dxa"/>
            <w:vAlign w:val="bottom"/>
            <w:gridSpan w:val="2"/>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(9)(b)</w:t>
            </w:r>
          </w:p>
        </w:tc>
        <w:tc>
          <w:tcPr>
            <w:tcW w:w="99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Amendment No. 1 to the Custody Agreement between the Registrant and U.S. Bank National Association (incorporated by reference to</w:t>
              </w:r>
            </w:hyperlink>
          </w:p>
        </w:tc>
      </w:tr>
      <w:tr>
        <w:trPr>
          <w:trHeight w:val="196"/>
        </w:trPr>
        <w:tc>
          <w:tcPr>
            <w:tcW w:w="1280" w:type="dxa"/>
            <w:vAlign w:val="bottom"/>
          </w:tcPr>
          <w:p>
            <w:pPr>
              <w:spacing w:after="0"/>
              <w:rPr>
                <w:sz w:val="17"/>
                <w:szCs w:val="17"/>
                <w:color w:val="auto"/>
              </w:rPr>
            </w:pPr>
          </w:p>
        </w:tc>
        <w:tc>
          <w:tcPr>
            <w:tcW w:w="9960" w:type="dxa"/>
            <w:vAlign w:val="bottom"/>
            <w:gridSpan w:val="3"/>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Exhibit 4.1 to the Registrant’s Form 10-Q filed with the SEC on August 8, 2023).</w:t>
              </w:r>
            </w:hyperlink>
          </w:p>
        </w:tc>
      </w:tr>
      <w:tr>
        <w:trPr>
          <w:trHeight w:val="20"/>
        </w:trPr>
        <w:tc>
          <w:tcPr>
            <w:tcW w:w="1280" w:type="dxa"/>
            <w:vAlign w:val="bottom"/>
          </w:tcPr>
          <w:p>
            <w:pPr>
              <w:spacing w:after="0" w:line="20" w:lineRule="exact"/>
              <w:rPr>
                <w:sz w:val="1"/>
                <w:szCs w:val="1"/>
                <w:color w:val="auto"/>
              </w:rPr>
            </w:pPr>
          </w:p>
        </w:tc>
        <w:tc>
          <w:tcPr>
            <w:tcW w:w="4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80" w:hanging="127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280" w:hanging="1272"/>
        <w:spacing w:after="0"/>
        <w:tabs>
          <w:tab w:leader="none" w:pos="1280" w:val="left"/>
        </w:tabs>
        <w:numPr>
          <w:ilvl w:val="0"/>
          <w:numId w:val="4"/>
        </w:numPr>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u w:val="single" w:color="auto"/>
            <w:color w:val="0000FF"/>
          </w:rPr>
          <w:t>Opinion and Consent of Dechert LLP.</w:t>
        </w:r>
      </w:hyperlink>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0000FF"/>
        </w:rPr>
      </w:pPr>
    </w:p>
    <w:p>
      <w:pPr>
        <w:ind w:left="1280" w:hanging="127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(13)(a)</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Amended and Restated Administration Agreement, dated as of June 28, 2021, by and between the Registrant and Runway Administrator</w:t>
              </w:r>
            </w:hyperlink>
          </w:p>
        </w:tc>
      </w:tr>
      <w:tr>
        <w:trPr>
          <w:trHeight w:val="196"/>
        </w:trPr>
        <w:tc>
          <w:tcPr>
            <w:tcW w:w="1280" w:type="dxa"/>
            <w:vAlign w:val="bottom"/>
          </w:tcPr>
          <w:p>
            <w:pPr>
              <w:spacing w:after="0"/>
              <w:rPr>
                <w:sz w:val="17"/>
                <w:szCs w:val="17"/>
                <w:color w:val="auto"/>
              </w:rPr>
            </w:pPr>
          </w:p>
        </w:tc>
        <w:tc>
          <w:tcPr>
            <w:tcW w:w="91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Services LLC (incorporated by reference to Exhibit 10.3 to the Registrant’s Form 10-Q filed with the SEC on August 5, 2021).</w:t>
              </w:r>
            </w:hyperlink>
          </w:p>
        </w:tc>
        <w:tc>
          <w:tcPr>
            <w:tcW w:w="780" w:type="dxa"/>
            <w:vAlign w:val="bottom"/>
            <w:gridSpan w:val="3"/>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(13)(b)</w:t>
            </w:r>
          </w:p>
        </w:tc>
        <w:tc>
          <w:tcPr>
            <w:tcW w:w="95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Stockholder Agreement between Runway Growth Credit Fund Inc. and OCM Growth Holdings, LLC (incorporated by reference to</w:t>
              </w:r>
            </w:hyperlink>
          </w:p>
        </w:tc>
        <w:tc>
          <w:tcPr>
            <w:tcW w:w="4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1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Exhibit 10.3 to the Registrant’s Form 8-K filed with the SEC on December 19, 2016).</w:t>
              </w:r>
            </w:hyperlink>
          </w:p>
        </w:tc>
        <w:tc>
          <w:tcPr>
            <w:tcW w:w="3780" w:type="dxa"/>
            <w:vAlign w:val="bottom"/>
            <w:gridSpan w:val="9"/>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(13)(c)</w:t>
            </w:r>
          </w:p>
        </w:tc>
        <w:tc>
          <w:tcPr>
            <w:tcW w:w="9960" w:type="dxa"/>
            <w:vAlign w:val="bottom"/>
            <w:gridSpan w:val="15"/>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Form of Indemnification Agreement (incorporated by reference to Exhibit 10.5 to the Registrant’s Form 10-12G filed with the SEC on</w:t>
              </w:r>
            </w:hyperlink>
          </w:p>
        </w:tc>
      </w:tr>
      <w:tr>
        <w:trPr>
          <w:trHeight w:val="196"/>
        </w:trPr>
        <w:tc>
          <w:tcPr>
            <w:tcW w:w="1280" w:type="dxa"/>
            <w:vAlign w:val="bottom"/>
          </w:tcPr>
          <w:p>
            <w:pPr>
              <w:spacing w:after="0"/>
              <w:rPr>
                <w:sz w:val="17"/>
                <w:szCs w:val="17"/>
                <w:color w:val="auto"/>
              </w:rPr>
            </w:pPr>
          </w:p>
        </w:tc>
        <w:tc>
          <w:tcPr>
            <w:tcW w:w="994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February 12, 2016).</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(13)(d)</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Trademark License Agreement by and between Runway Growth Capital LLC and the Registrant (incorporated by reference to Exhibit</w:t>
              </w:r>
            </w:hyperlink>
          </w:p>
        </w:tc>
      </w:tr>
      <w:tr>
        <w:trPr>
          <w:trHeight w:val="196"/>
        </w:trPr>
        <w:tc>
          <w:tcPr>
            <w:tcW w:w="1280" w:type="dxa"/>
            <w:vAlign w:val="bottom"/>
          </w:tcPr>
          <w:p>
            <w:pPr>
              <w:spacing w:after="0"/>
              <w:rPr>
                <w:sz w:val="17"/>
                <w:szCs w:val="17"/>
                <w:color w:val="auto"/>
              </w:rPr>
            </w:pPr>
          </w:p>
        </w:tc>
        <w:tc>
          <w:tcPr>
            <w:tcW w:w="9960" w:type="dxa"/>
            <w:vAlign w:val="bottom"/>
            <w:gridSpan w:val="15"/>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Registrant’s Form 10-Q filed with the SEC on December 9, 2017).</w:t>
              </w:r>
            </w:hyperlink>
          </w:p>
        </w:tc>
      </w:tr>
      <w:tr>
        <w:trPr>
          <w:trHeight w:val="20"/>
        </w:trPr>
        <w:tc>
          <w:tcPr>
            <w:tcW w:w="128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(13)(e)</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Transfer Agent Agreement by and between American Stock Transfer &amp; Trust Company, LLC and the Registrant (incorporated by</w:t>
              </w:r>
            </w:hyperlink>
          </w:p>
        </w:tc>
      </w:tr>
      <w:tr>
        <w:trPr>
          <w:trHeight w:val="196"/>
        </w:trPr>
        <w:tc>
          <w:tcPr>
            <w:tcW w:w="1280" w:type="dxa"/>
            <w:vAlign w:val="bottom"/>
          </w:tcPr>
          <w:p>
            <w:pPr>
              <w:spacing w:after="0"/>
              <w:rPr>
                <w:sz w:val="17"/>
                <w:szCs w:val="17"/>
                <w:color w:val="auto"/>
              </w:rPr>
            </w:pPr>
          </w:p>
        </w:tc>
        <w:tc>
          <w:tcPr>
            <w:tcW w:w="70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reference to Exhibit 10.1 to the Registrant’s Form 8-K filed with the SEC on December 28, 2018).</w:t>
              </w:r>
            </w:hyperlink>
          </w:p>
        </w:tc>
        <w:tc>
          <w:tcPr>
            <w:tcW w:w="2880" w:type="dxa"/>
            <w:vAlign w:val="bottom"/>
            <w:gridSpan w:val="7"/>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(13)(f)</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Master Note Purchase Agreement by and between the Registrant and the purchasers party thereto, dated December 10, 2021 (incorporated</w:t>
              </w:r>
            </w:hyperlink>
          </w:p>
        </w:tc>
      </w:tr>
      <w:tr>
        <w:trPr>
          <w:trHeight w:val="196"/>
        </w:trPr>
        <w:tc>
          <w:tcPr>
            <w:tcW w:w="1280" w:type="dxa"/>
            <w:vAlign w:val="bottom"/>
          </w:tcPr>
          <w:p>
            <w:pPr>
              <w:spacing w:after="0"/>
              <w:rPr>
                <w:sz w:val="17"/>
                <w:szCs w:val="17"/>
                <w:color w:val="auto"/>
              </w:rPr>
            </w:pPr>
          </w:p>
        </w:tc>
        <w:tc>
          <w:tcPr>
            <w:tcW w:w="72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by reference to Exhibit 10.1 to the Registrant’s Form 8-K filed with the SEC on December 7, 2021).</w:t>
              </w:r>
            </w:hyperlink>
          </w:p>
        </w:tc>
        <w:tc>
          <w:tcPr>
            <w:tcW w:w="2740" w:type="dxa"/>
            <w:vAlign w:val="bottom"/>
            <w:gridSpan w:val="6"/>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(13)(g)</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Amended and Restated Dividend Reinvestment Plan (incorporated by reference to Exhibit 10.1 to the Registrant’s Annual Report on</w:t>
              </w:r>
            </w:hyperlink>
          </w:p>
        </w:tc>
      </w:tr>
      <w:tr>
        <w:trPr>
          <w:trHeight w:val="196"/>
        </w:trPr>
        <w:tc>
          <w:tcPr>
            <w:tcW w:w="1280" w:type="dxa"/>
            <w:vAlign w:val="bottom"/>
          </w:tcPr>
          <w:p>
            <w:pPr>
              <w:spacing w:after="0"/>
              <w:rPr>
                <w:sz w:val="17"/>
                <w:szCs w:val="17"/>
                <w:color w:val="auto"/>
              </w:rPr>
            </w:pPr>
          </w:p>
        </w:tc>
        <w:tc>
          <w:tcPr>
            <w:tcW w:w="9960" w:type="dxa"/>
            <w:vAlign w:val="bottom"/>
            <w:gridSpan w:val="15"/>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Form 10-K filed with the SEC on March 14, 2022).</w:t>
              </w:r>
            </w:hyperlink>
          </w:p>
        </w:tc>
      </w:tr>
      <w:tr>
        <w:trPr>
          <w:trHeight w:val="20"/>
        </w:trPr>
        <w:tc>
          <w:tcPr>
            <w:tcW w:w="128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(13)(h)</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First Supplement to Note Purchase Agreement by and between the Registrant and the purchasers party thereto, dated April 13, 2023</w:t>
              </w:r>
            </w:hyperlink>
          </w:p>
        </w:tc>
      </w:tr>
      <w:tr>
        <w:trPr>
          <w:trHeight w:val="196"/>
        </w:trPr>
        <w:tc>
          <w:tcPr>
            <w:tcW w:w="1280" w:type="dxa"/>
            <w:vAlign w:val="bottom"/>
          </w:tcPr>
          <w:p>
            <w:pPr>
              <w:spacing w:after="0"/>
              <w:rPr>
                <w:sz w:val="17"/>
                <w:szCs w:val="17"/>
                <w:color w:val="auto"/>
              </w:rPr>
            </w:pPr>
          </w:p>
        </w:tc>
        <w:tc>
          <w:tcPr>
            <w:tcW w:w="7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(incorporated by reference to Exhibit 10.1 to the Registrant’s Form 8-K filed with the SEC on April 14, 2023).</w:t>
              </w:r>
            </w:hyperlink>
          </w:p>
        </w:tc>
        <w:tc>
          <w:tcPr>
            <w:tcW w:w="2000" w:type="dxa"/>
            <w:vAlign w:val="bottom"/>
            <w:gridSpan w:val="4"/>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(13)(i)</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Master Note Purchase Agreement by and between the Registrant and the purchasers party thereto, dated April 7, 2025 (incorporated by</w:t>
              </w:r>
            </w:hyperlink>
          </w:p>
        </w:tc>
      </w:tr>
      <w:tr>
        <w:trPr>
          <w:trHeight w:val="196"/>
        </w:trPr>
        <w:tc>
          <w:tcPr>
            <w:tcW w:w="1280" w:type="dxa"/>
            <w:vAlign w:val="bottom"/>
          </w:tcPr>
          <w:p>
            <w:pPr>
              <w:spacing w:after="0"/>
              <w:rPr>
                <w:sz w:val="17"/>
                <w:szCs w:val="17"/>
                <w:color w:val="auto"/>
              </w:rPr>
            </w:pPr>
          </w:p>
        </w:tc>
        <w:tc>
          <w:tcPr>
            <w:tcW w:w="9960" w:type="dxa"/>
            <w:vAlign w:val="bottom"/>
            <w:gridSpan w:val="15"/>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reference to Exhibit 10.1 to the Registrant’s Form 8-K filed with the SEC on April 8, 2025).</w:t>
              </w:r>
            </w:hyperlink>
          </w:p>
        </w:tc>
      </w:tr>
      <w:tr>
        <w:trPr>
          <w:trHeight w:val="20"/>
        </w:trPr>
        <w:tc>
          <w:tcPr>
            <w:tcW w:w="128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(13)(j)</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Amended and Restated Credit Agreement, dated as of April 20, 2022, among the Registrant, as borrower; the financial institutions party</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thereto as lenders; KeyBank National Association, as administrative agent and lender; CIBC Bank USA, as documentation agent and</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lender; MUFG Union Bank, N.A. as co-documentation agent and lender; and U.S. Bank National Association, as paying agent</w:t>
              </w:r>
            </w:hyperlink>
          </w:p>
        </w:tc>
      </w:tr>
      <w:tr>
        <w:trPr>
          <w:trHeight w:val="196"/>
        </w:trPr>
        <w:tc>
          <w:tcPr>
            <w:tcW w:w="1280" w:type="dxa"/>
            <w:vAlign w:val="bottom"/>
          </w:tcPr>
          <w:p>
            <w:pPr>
              <w:spacing w:after="0"/>
              <w:rPr>
                <w:sz w:val="17"/>
                <w:szCs w:val="17"/>
                <w:color w:val="auto"/>
              </w:rPr>
            </w:pPr>
          </w:p>
        </w:tc>
        <w:tc>
          <w:tcPr>
            <w:tcW w:w="7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(incorporated by reference to Exhibit 10.1 to the Registrant’s Form 8-K filed with the SEC on April 22, 2022).</w:t>
              </w:r>
            </w:hyperlink>
          </w:p>
        </w:tc>
        <w:tc>
          <w:tcPr>
            <w:tcW w:w="2000" w:type="dxa"/>
            <w:vAlign w:val="bottom"/>
            <w:gridSpan w:val="4"/>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(13)(k)</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Second Amendment to the Amended and Restated Credit Agreement, dated as of January 4, 2023, among the Registrant, as borrower; the</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financial institutions parties thereto as lenders; and KeyBank National Association, as administrative agent and lender; CIBC Bank USA,</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as documentation agent; MUFG Union Bank, Ltd. (as successor-in-interest to MUFG Union Bank, N.A.), as documentation agent; and</w:t>
              </w:r>
            </w:hyperlink>
          </w:p>
        </w:tc>
      </w:tr>
      <w:tr>
        <w:trPr>
          <w:trHeight w:val="196"/>
        </w:trPr>
        <w:tc>
          <w:tcPr>
            <w:tcW w:w="1280" w:type="dxa"/>
            <w:vAlign w:val="bottom"/>
          </w:tcPr>
          <w:p>
            <w:pPr>
              <w:spacing w:after="0"/>
              <w:rPr>
                <w:sz w:val="17"/>
                <w:szCs w:val="17"/>
                <w:color w:val="auto"/>
              </w:rPr>
            </w:pPr>
          </w:p>
        </w:tc>
        <w:tc>
          <w:tcPr>
            <w:tcW w:w="9960" w:type="dxa"/>
            <w:vAlign w:val="bottom"/>
            <w:gridSpan w:val="15"/>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U.S. Bank Trust Company, National Association, as paying agent (incorporated by reference to Exhibit 10.1 to the Registrant’s Form 8-K</w:t>
              </w:r>
            </w:hyperlink>
          </w:p>
        </w:tc>
      </w:tr>
      <w:tr>
        <w:trPr>
          <w:trHeight w:val="196"/>
        </w:trPr>
        <w:tc>
          <w:tcPr>
            <w:tcW w:w="1280" w:type="dxa"/>
            <w:vAlign w:val="bottom"/>
          </w:tcPr>
          <w:p>
            <w:pPr>
              <w:spacing w:after="0"/>
              <w:rPr>
                <w:sz w:val="17"/>
                <w:szCs w:val="17"/>
                <w:color w:val="auto"/>
              </w:rPr>
            </w:pPr>
          </w:p>
        </w:tc>
        <w:tc>
          <w:tcPr>
            <w:tcW w:w="28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filed with the SEC on January 4, 2023).</w:t>
              </w:r>
            </w:hyperlink>
          </w:p>
        </w:tc>
        <w:tc>
          <w:tcPr>
            <w:tcW w:w="708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(13)(l)</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Third Amendment to the Amended and Restated Credit Agreement, dated as of March 24, 2023, among The Registrant, as borrower, the</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financial institutions party thereto as lenders, KeyBank National Association, as administrative and lender, CIBC Bank USA, as</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documentation, MUFG Bank, Ltd. (as successor in interest to MUFG Bank, N.A.), as co-documentation agent, and U.S. Bank Trust</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Company, National Association, as paying agent (incorporated by reference to Exhibit 99.(k)(17) to the Registrant’s Form N-2/A filed</w:t>
              </w:r>
            </w:hyperlink>
          </w:p>
        </w:tc>
      </w:tr>
      <w:tr>
        <w:trPr>
          <w:trHeight w:val="196"/>
        </w:trPr>
        <w:tc>
          <w:tcPr>
            <w:tcW w:w="1280" w:type="dxa"/>
            <w:vAlign w:val="bottom"/>
          </w:tcPr>
          <w:p>
            <w:pPr>
              <w:spacing w:after="0"/>
              <w:rPr>
                <w:sz w:val="17"/>
                <w:szCs w:val="17"/>
                <w:color w:val="auto"/>
              </w:rPr>
            </w:pPr>
          </w:p>
        </w:tc>
        <w:tc>
          <w:tcPr>
            <w:tcW w:w="24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with the SEC on March 19, 2025).</w:t>
              </w:r>
            </w:hyperlink>
          </w:p>
        </w:tc>
        <w:tc>
          <w:tcPr>
            <w:tcW w:w="7480" w:type="dxa"/>
            <w:vAlign w:val="bottom"/>
            <w:gridSpan w:val="13"/>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(13)(m)</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Fourth Amendment to the Amended and Restated Credit Agreement, dated as of December 4, 2023, among the Registrant, as borrower,</w:t>
              </w:r>
            </w:hyperlink>
          </w:p>
        </w:tc>
      </w:tr>
      <w:tr>
        <w:trPr>
          <w:trHeight w:val="196"/>
        </w:trPr>
        <w:tc>
          <w:tcPr>
            <w:tcW w:w="1280" w:type="dxa"/>
            <w:vAlign w:val="bottom"/>
          </w:tcPr>
          <w:p>
            <w:pPr>
              <w:spacing w:after="0"/>
              <w:rPr>
                <w:sz w:val="17"/>
                <w:szCs w:val="17"/>
                <w:color w:val="auto"/>
              </w:rPr>
            </w:pPr>
          </w:p>
        </w:tc>
        <w:tc>
          <w:tcPr>
            <w:tcW w:w="75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the financial institutions party thereto as lenders, KeyBank National Association, as administrative agent</w:t>
              </w:r>
            </w:hyperlink>
          </w:p>
        </w:tc>
        <w:tc>
          <w:tcPr>
            <w:tcW w:w="2380" w:type="dxa"/>
            <w:vAlign w:val="bottom"/>
            <w:gridSpan w:val="5"/>
          </w:tcPr>
          <w:p>
            <w:pPr>
              <w:spacing w:after="0"/>
              <w:rPr>
                <w:sz w:val="17"/>
                <w:szCs w:val="17"/>
                <w:color w:val="auto"/>
              </w:rPr>
            </w:pPr>
          </w:p>
        </w:tc>
      </w:tr>
      <w:tr>
        <w:trPr>
          <w:trHeight w:val="236"/>
        </w:trPr>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60" w:type="dxa"/>
            <w:vAlign w:val="bottom"/>
            <w:gridSpan w:val="11"/>
          </w:tcPr>
          <w:p>
            <w:pPr>
              <w:ind w:left="500"/>
              <w:spacing w:after="0"/>
              <w:rPr>
                <w:sz w:val="20"/>
                <w:szCs w:val="20"/>
                <w:color w:val="auto"/>
              </w:rPr>
            </w:pPr>
            <w:r>
              <w:rPr>
                <w:rFonts w:ascii="Times New Roman" w:cs="Times New Roman" w:eastAsia="Times New Roman" w:hAnsi="Times New Roman"/>
                <w:sz w:val="18"/>
                <w:szCs w:val="18"/>
                <w:color w:val="auto"/>
              </w:rPr>
              <w:t>C-4</w:t>
            </w:r>
          </w:p>
        </w:tc>
      </w:tr>
      <w:tr>
        <w:trPr>
          <w:trHeight w:val="979"/>
        </w:trPr>
        <w:tc>
          <w:tcPr>
            <w:tcW w:w="1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9960" w:type="dxa"/>
            <w:vAlign w:val="bottom"/>
            <w:gridSpan w:val="9"/>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and lender, CIBC Bank USA, as documentation agent, MUFG Bank, Ltd. (as successor in interest to MUFG Union Bank, N.A.), as co-</w:t>
              </w:r>
            </w:hyperlink>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9"/>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documentation agent, and U.S. Bank Trust Company, National Association, as paying agent (incorporated by reference to Exhibit 10.1 to</w:t>
              </w:r>
            </w:hyperlink>
          </w:p>
        </w:tc>
      </w:tr>
      <w:tr>
        <w:trPr>
          <w:trHeight w:val="196"/>
        </w:trPr>
        <w:tc>
          <w:tcPr>
            <w:tcW w:w="1280" w:type="dxa"/>
            <w:vAlign w:val="bottom"/>
          </w:tcPr>
          <w:p>
            <w:pPr>
              <w:spacing w:after="0"/>
              <w:rPr>
                <w:sz w:val="17"/>
                <w:szCs w:val="17"/>
                <w:color w:val="auto"/>
              </w:rPr>
            </w:pPr>
          </w:p>
        </w:tc>
        <w:tc>
          <w:tcPr>
            <w:tcW w:w="994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the Registrant’s Form 8-K filed with the SEC on December 6, 2023).</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(13)(n)</w:t>
            </w:r>
          </w:p>
        </w:tc>
        <w:tc>
          <w:tcPr>
            <w:tcW w:w="99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Joinder Agreement and Facility Amount Increase, dated as of December 4, 2023, among the Registrant, as borrower, the financial</w:t>
              </w:r>
            </w:hyperlink>
          </w:p>
        </w:tc>
      </w:tr>
      <w:tr>
        <w:trPr>
          <w:trHeight w:val="196"/>
        </w:trPr>
        <w:tc>
          <w:tcPr>
            <w:tcW w:w="1280" w:type="dxa"/>
            <w:vAlign w:val="bottom"/>
          </w:tcPr>
          <w:p>
            <w:pPr>
              <w:spacing w:after="0"/>
              <w:rPr>
                <w:sz w:val="17"/>
                <w:szCs w:val="17"/>
                <w:color w:val="auto"/>
              </w:rPr>
            </w:pPr>
          </w:p>
        </w:tc>
        <w:tc>
          <w:tcPr>
            <w:tcW w:w="9960" w:type="dxa"/>
            <w:vAlign w:val="bottom"/>
            <w:gridSpan w:val="9"/>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institutions party thereto as lenders, and KeyBank National Association, as administrative agent (incorporated by reference to Exhibit</w:t>
              </w:r>
            </w:hyperlink>
          </w:p>
        </w:tc>
      </w:tr>
      <w:tr>
        <w:trPr>
          <w:trHeight w:val="196"/>
        </w:trPr>
        <w:tc>
          <w:tcPr>
            <w:tcW w:w="1280" w:type="dxa"/>
            <w:vAlign w:val="bottom"/>
          </w:tcPr>
          <w:p>
            <w:pPr>
              <w:spacing w:after="0"/>
              <w:rPr>
                <w:sz w:val="17"/>
                <w:szCs w:val="17"/>
                <w:color w:val="auto"/>
              </w:rPr>
            </w:pPr>
          </w:p>
        </w:tc>
        <w:tc>
          <w:tcPr>
            <w:tcW w:w="552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Registrant’s Form 8-K filed with the SEC on December 6, 2023).</w:t>
              </w:r>
            </w:hyperlink>
          </w:p>
        </w:tc>
        <w:tc>
          <w:tcPr>
            <w:tcW w:w="442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(13)(o)</w:t>
            </w:r>
          </w:p>
        </w:tc>
        <w:tc>
          <w:tcPr>
            <w:tcW w:w="99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Fifth Amendment to the Amended and Restated Credit Agreement, dated as of November 22, 2024, among the Registrant, as borrower,</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the financial institutions party thereto as lenders, KeyBank National Association, as administrative agent and lender, CIBC Bank USA, as</w:t>
              </w:r>
            </w:hyperlink>
          </w:p>
        </w:tc>
      </w:tr>
      <w:tr>
        <w:trPr>
          <w:trHeight w:val="196"/>
        </w:trPr>
        <w:tc>
          <w:tcPr>
            <w:tcW w:w="1280" w:type="dxa"/>
            <w:vAlign w:val="bottom"/>
          </w:tcPr>
          <w:p>
            <w:pPr>
              <w:spacing w:after="0"/>
              <w:rPr>
                <w:sz w:val="17"/>
                <w:szCs w:val="17"/>
                <w:color w:val="auto"/>
              </w:rPr>
            </w:pPr>
          </w:p>
        </w:tc>
        <w:tc>
          <w:tcPr>
            <w:tcW w:w="9960" w:type="dxa"/>
            <w:vAlign w:val="bottom"/>
            <w:gridSpan w:val="9"/>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documentation agent, MUFG Bank, Ltd. (as successor in interest to MUFG Union Bank, N.A.), as co-documentation agent, and U.S.</w:t>
              </w:r>
            </w:hyperlink>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3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Bank Trust Company, National Association, as paying agent (incorporated by reference to Exhibit 99.(k)(18) to the Registrant’s Form N-</w:t>
              </w:r>
            </w:hyperlink>
          </w:p>
        </w:tc>
      </w:tr>
      <w:tr>
        <w:trPr>
          <w:trHeight w:val="196"/>
        </w:trPr>
        <w:tc>
          <w:tcPr>
            <w:tcW w:w="1280" w:type="dxa"/>
            <w:vAlign w:val="bottom"/>
          </w:tcPr>
          <w:p>
            <w:pPr>
              <w:spacing w:after="0"/>
              <w:rPr>
                <w:sz w:val="17"/>
                <w:szCs w:val="17"/>
                <w:color w:val="auto"/>
              </w:rPr>
            </w:pPr>
          </w:p>
        </w:tc>
        <w:tc>
          <w:tcPr>
            <w:tcW w:w="9960" w:type="dxa"/>
            <w:vAlign w:val="bottom"/>
            <w:gridSpan w:val="9"/>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2/A filed with the SEC on March 19, 2025).</w:t>
              </w:r>
            </w:hyperlink>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(13)(p)</w:t>
            </w:r>
          </w:p>
        </w:tc>
        <w:tc>
          <w:tcPr>
            <w:tcW w:w="99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Sixth Amendment to the Amended and Restated Credit Agreement, dated as of March 18, 2025, among the Registrant, as borrower, the</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financial institutions party thereto as lenders, KeyBank National Association, as administrative agent and lender, CIBC Bank USA, as</w:t>
              </w:r>
            </w:hyperlink>
          </w:p>
        </w:tc>
      </w:tr>
      <w:tr>
        <w:trPr>
          <w:trHeight w:val="196"/>
        </w:trPr>
        <w:tc>
          <w:tcPr>
            <w:tcW w:w="1280" w:type="dxa"/>
            <w:vAlign w:val="bottom"/>
          </w:tcPr>
          <w:p>
            <w:pPr>
              <w:spacing w:after="0"/>
              <w:rPr>
                <w:sz w:val="17"/>
                <w:szCs w:val="17"/>
                <w:color w:val="auto"/>
              </w:rPr>
            </w:pPr>
          </w:p>
        </w:tc>
        <w:tc>
          <w:tcPr>
            <w:tcW w:w="9960" w:type="dxa"/>
            <w:vAlign w:val="bottom"/>
            <w:gridSpan w:val="9"/>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documentation agent, MUFG Bank, Ltd. (as successor in interest to MUFG Union Bank, N.A.), as co-documentation agent, and U.S.</w:t>
              </w:r>
            </w:hyperlink>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64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Bank Trust Company, National Association, as paying agent (incorporated by reference to Exhibit 10.25 to the Registrant’s Form 10-K</w:t>
              </w:r>
            </w:hyperlink>
          </w:p>
        </w:tc>
      </w:tr>
      <w:tr>
        <w:trPr>
          <w:trHeight w:val="196"/>
        </w:trPr>
        <w:tc>
          <w:tcPr>
            <w:tcW w:w="1280" w:type="dxa"/>
            <w:vAlign w:val="bottom"/>
          </w:tcPr>
          <w:p>
            <w:pPr>
              <w:spacing w:after="0"/>
              <w:rPr>
                <w:sz w:val="17"/>
                <w:szCs w:val="17"/>
                <w:color w:val="auto"/>
              </w:rPr>
            </w:pPr>
          </w:p>
        </w:tc>
        <w:tc>
          <w:tcPr>
            <w:tcW w:w="28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filed with the SEC on March 20, 2025).</w:t>
              </w:r>
            </w:hyperlink>
          </w:p>
        </w:tc>
        <w:tc>
          <w:tcPr>
            <w:tcW w:w="7100" w:type="dxa"/>
            <w:vAlign w:val="bottom"/>
            <w:gridSpan w:val="6"/>
          </w:tcPr>
          <w:p>
            <w:pPr>
              <w:spacing w:after="0"/>
              <w:rPr>
                <w:sz w:val="17"/>
                <w:szCs w:val="17"/>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(14)(a)</w:t>
            </w:r>
          </w:p>
        </w:tc>
        <w:tc>
          <w:tcPr>
            <w:tcW w:w="99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Consent of RSM US LLP for Runway Growth Finance Corp.’s Annual Report on Form 10-K/A for the fiscal year ended December 31,</w:t>
              </w:r>
            </w:hyperlink>
          </w:p>
        </w:tc>
      </w:tr>
      <w:tr>
        <w:trPr>
          <w:trHeight w:val="196"/>
        </w:trPr>
        <w:tc>
          <w:tcPr>
            <w:tcW w:w="1280" w:type="dxa"/>
            <w:vAlign w:val="bottom"/>
          </w:tcPr>
          <w:p>
            <w:pPr>
              <w:spacing w:after="0"/>
              <w:rPr>
                <w:sz w:val="17"/>
                <w:szCs w:val="17"/>
                <w:color w:val="auto"/>
              </w:rPr>
            </w:pPr>
          </w:p>
        </w:tc>
        <w:tc>
          <w:tcPr>
            <w:tcW w:w="1460" w:type="dxa"/>
            <w:vAlign w:val="bottom"/>
            <w:gridSpan w:val="2"/>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2024.</w:t>
              </w:r>
              <w:r>
                <w:rPr>
                  <w:rFonts w:ascii="Times New Roman" w:cs="Times New Roman" w:eastAsia="Times New Roman" w:hAnsi="Times New Roman"/>
                  <w:sz w:val="18"/>
                  <w:szCs w:val="18"/>
                  <w:color w:val="000000"/>
                </w:rPr>
                <w:t>***</w:t>
              </w:r>
            </w:hyperlink>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(14)(b)</w:t>
            </w:r>
          </w:p>
        </w:tc>
        <w:tc>
          <w:tcPr>
            <w:tcW w:w="9960" w:type="dxa"/>
            <w:vAlign w:val="bottom"/>
            <w:gridSpan w:val="9"/>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Consent of BPM LLP for SWK Holdings Corporation’s Annual Report on Form 10-K for the fiscal year ended December 31, 2024.</w:t>
              </w:r>
            </w:hyperlink>
            <w:r>
              <w:rPr>
                <w:rFonts w:ascii="Times New Roman" w:cs="Times New Roman" w:eastAsia="Times New Roman" w:hAnsi="Times New Roman"/>
                <w:sz w:val="18"/>
                <w:szCs w:val="18"/>
                <w:color w:val="000000"/>
              </w:rPr>
              <w:t>***</w:t>
            </w:r>
          </w:p>
        </w:tc>
      </w:tr>
      <w:tr>
        <w:trPr>
          <w:trHeight w:val="20"/>
        </w:trPr>
        <w:tc>
          <w:tcPr>
            <w:tcW w:w="12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04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(14)(c)</w:t>
            </w:r>
          </w:p>
        </w:tc>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BPM LLP for SWK Holdings Corporation’s Annual Report on Form 10-K for the fiscal year ended December 31, 2025.</w:t>
            </w:r>
            <w:r>
              <w:rPr>
                <w:rFonts w:ascii="Times New Roman" w:cs="Times New Roman" w:eastAsia="Times New Roman" w:hAnsi="Times New Roman"/>
                <w:sz w:val="18"/>
                <w:szCs w:val="18"/>
                <w:color w:val="000000"/>
              </w:rPr>
              <w:t>****</w:t>
            </w:r>
          </w:p>
        </w:tc>
      </w:tr>
      <w:tr>
        <w:trPr>
          <w:trHeight w:val="20"/>
        </w:trPr>
        <w:tc>
          <w:tcPr>
            <w:tcW w:w="12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040" w:type="dxa"/>
            <w:vAlign w:val="bottom"/>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(14)(d)</w:t>
            </w:r>
          </w:p>
        </w:tc>
        <w:tc>
          <w:tcPr>
            <w:tcW w:w="99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Consent of Deloitte &amp; Touche LLP for Runway Growth Finance Corp.’s Annual Report on Form 10-K for the fiscal year ended</w:t>
              </w:r>
            </w:hyperlink>
          </w:p>
        </w:tc>
      </w:tr>
      <w:tr>
        <w:trPr>
          <w:trHeight w:val="196"/>
        </w:trPr>
        <w:tc>
          <w:tcPr>
            <w:tcW w:w="1280" w:type="dxa"/>
            <w:vAlign w:val="bottom"/>
          </w:tcPr>
          <w:p>
            <w:pPr>
              <w:spacing w:after="0"/>
              <w:rPr>
                <w:sz w:val="17"/>
                <w:szCs w:val="17"/>
                <w:color w:val="auto"/>
              </w:rPr>
            </w:pPr>
          </w:p>
        </w:tc>
        <w:tc>
          <w:tcPr>
            <w:tcW w:w="9960" w:type="dxa"/>
            <w:vAlign w:val="bottom"/>
            <w:gridSpan w:val="9"/>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December 31, 2024.</w:t>
              </w:r>
              <w:r>
                <w:rPr>
                  <w:rFonts w:ascii="Times New Roman" w:cs="Times New Roman" w:eastAsia="Times New Roman" w:hAnsi="Times New Roman"/>
                  <w:sz w:val="18"/>
                  <w:szCs w:val="18"/>
                  <w:color w:val="000000"/>
                </w:rPr>
                <w:t>***</w:t>
              </w:r>
            </w:hyperlink>
          </w:p>
        </w:tc>
      </w:tr>
      <w:tr>
        <w:trPr>
          <w:trHeight w:val="20"/>
        </w:trPr>
        <w:tc>
          <w:tcPr>
            <w:tcW w:w="128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500" w:type="dxa"/>
            <w:vAlign w:val="bottom"/>
            <w:gridSpan w:val="7"/>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(14)(e)</w:t>
            </w:r>
          </w:p>
        </w:tc>
        <w:tc>
          <w:tcPr>
            <w:tcW w:w="9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Deloitte &amp; Touche LLP for Runway Growth Finance Corp.’s Annual Report on Form 10-K for the fiscal year ended</w:t>
            </w:r>
          </w:p>
        </w:tc>
      </w:tr>
      <w:tr>
        <w:trPr>
          <w:trHeight w:val="196"/>
        </w:trPr>
        <w:tc>
          <w:tcPr>
            <w:tcW w:w="1280" w:type="dxa"/>
            <w:vAlign w:val="bottom"/>
          </w:tcPr>
          <w:p>
            <w:pPr>
              <w:spacing w:after="0"/>
              <w:rPr>
                <w:sz w:val="17"/>
                <w:szCs w:val="17"/>
                <w:color w:val="auto"/>
              </w:rPr>
            </w:pPr>
          </w:p>
        </w:tc>
        <w:tc>
          <w:tcPr>
            <w:tcW w:w="99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December 31, 2025.</w:t>
            </w:r>
            <w:r>
              <w:rPr>
                <w:rFonts w:ascii="Times New Roman" w:cs="Times New Roman" w:eastAsia="Times New Roman" w:hAnsi="Times New Roman"/>
                <w:sz w:val="18"/>
                <w:szCs w:val="18"/>
                <w:color w:val="000000"/>
              </w:rPr>
              <w:t>****</w:t>
            </w: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80" w:hanging="1272"/>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280" w:hanging="1272"/>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(17)(a)</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Form of Proxy Card of SWK Holdings Corporation.*</w:t>
            </w:r>
          </w:p>
        </w:tc>
      </w:tr>
      <w:tr>
        <w:trPr>
          <w:trHeight w:val="28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(17)(b)</w:t>
            </w:r>
          </w:p>
        </w:tc>
        <w:tc>
          <w:tcPr>
            <w:tcW w:w="3840" w:type="dxa"/>
            <w:vAlign w:val="bottom"/>
            <w:gridSpan w:val="2"/>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Consent of Keefe, Bruyette &amp; Woods, Inc.</w:t>
              </w:r>
            </w:hyperlink>
            <w:r>
              <w:rPr>
                <w:rFonts w:ascii="Times New Roman" w:cs="Times New Roman" w:eastAsia="Times New Roman" w:hAnsi="Times New Roman"/>
                <w:sz w:val="18"/>
                <w:szCs w:val="18"/>
                <w:color w:val="000000"/>
              </w:rPr>
              <w:t>***</w:t>
            </w:r>
          </w:p>
        </w:tc>
      </w:tr>
      <w:tr>
        <w:trPr>
          <w:trHeight w:val="20"/>
        </w:trPr>
        <w:tc>
          <w:tcPr>
            <w:tcW w:w="128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80" w:hanging="1272"/>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903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81" w:lineRule="exact"/>
        <w:rPr>
          <w:sz w:val="20"/>
          <w:szCs w:val="20"/>
          <w:color w:val="auto"/>
        </w:rPr>
      </w:pPr>
    </w:p>
    <w:p>
      <w:pPr>
        <w:ind w:left="360" w:hanging="351"/>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Registration Statement on Form N-14, filed on November 18, 2025.</w:t>
      </w:r>
    </w:p>
    <w:p>
      <w:pPr>
        <w:spacing w:after="0" w:line="50" w:lineRule="exact"/>
        <w:rPr>
          <w:sz w:val="20"/>
          <w:szCs w:val="20"/>
          <w:color w:val="auto"/>
        </w:rPr>
      </w:pPr>
    </w:p>
    <w:p>
      <w:pPr>
        <w:ind w:left="360" w:hanging="351"/>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Amendment 1 to the Registrant's Registration Statement on Form N-14, filed on February 9, 2026.</w:t>
      </w:r>
    </w:p>
    <w:p>
      <w:pPr>
        <w:spacing w:after="0" w:line="49" w:lineRule="exact"/>
        <w:rPr>
          <w:rFonts w:ascii="Times New Roman" w:cs="Times New Roman" w:eastAsia="Times New Roman" w:hAnsi="Times New Roman"/>
          <w:sz w:val="18"/>
          <w:szCs w:val="18"/>
          <w:color w:val="auto"/>
        </w:rPr>
      </w:pPr>
    </w:p>
    <w:p>
      <w:pPr>
        <w:ind w:left="360" w:hanging="351"/>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Amendment 2 to the Registrant’s Registration Statement on Form N-14, filed on February 27, 2026.</w:t>
      </w:r>
    </w:p>
    <w:p>
      <w:pPr>
        <w:spacing w:after="0" w:line="36"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jc w:val="both"/>
        <w:ind w:left="760" w:hanging="378"/>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prior to any public reoffering of the securities registered through the use of a prospectus which is a part of this registration statement by any person or party who is deemed to be an underwriter within the meaning of Rule 145(c) of the Securities Act, the reoffering prospectus will contain the information called for by the applicable registration form for the reofferings by persons who may be deemed underwriters, in addition to the information called for by the other items of the applicable form.</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every prospectus that is filed under paragraph (1) above will be filed as a part of an amendment to the registration statement and will not be used until the amendment is effective, and that, in determining any liability under the Securities Act, each post-effective amendment will be deemed to be a new registration statement for the securities offered therein, and the offering of the securities at that time will be deemed to be the initial bona fide offering of them.</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 w:name="page7"/>
    <w:bookmarkEnd w:id="6"/>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on behalf of the registrant, in New York, New York on the 24th day of March, 2026</w:t>
      </w:r>
    </w:p>
    <w:p>
      <w:pPr>
        <w:spacing w:after="0" w:line="15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9" w:lineRule="exact"/>
        <w:rPr>
          <w:sz w:val="20"/>
          <w:szCs w:val="20"/>
          <w:color w:val="auto"/>
        </w:rPr>
      </w:pPr>
    </w:p>
    <w:tbl>
      <w:tblPr>
        <w:tblLayout w:type="fixed"/>
        <w:tblInd w:w="422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 David Spreng</w:t>
            </w:r>
          </w:p>
        </w:tc>
      </w:tr>
      <w:tr>
        <w:trPr>
          <w:trHeight w:val="191"/>
        </w:trPr>
        <w:tc>
          <w:tcPr>
            <w:tcW w:w="1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 David Spreng</w:t>
            </w: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w:t>
            </w:r>
          </w:p>
        </w:tc>
      </w:tr>
    </w:tbl>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by the Securities Act of 1933, this registration statement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08"/>
        </w:trPr>
        <w:tc>
          <w:tcPr>
            <w:tcW w:w="29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296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w w:val="99"/>
              </w:rPr>
              <w:t>/s/ R. David Spreng</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2026</w:t>
            </w:r>
          </w:p>
        </w:tc>
        <w:tc>
          <w:tcPr>
            <w:tcW w:w="0" w:type="dxa"/>
            <w:vAlign w:val="bottom"/>
          </w:tcPr>
          <w:p>
            <w:pPr>
              <w:spacing w:after="0"/>
              <w:rPr>
                <w:sz w:val="1"/>
                <w:szCs w:val="1"/>
                <w:color w:val="auto"/>
              </w:rPr>
            </w:pPr>
          </w:p>
        </w:tc>
      </w:tr>
      <w:tr>
        <w:trPr>
          <w:trHeight w:val="228"/>
        </w:trPr>
        <w:tc>
          <w:tcPr>
            <w:tcW w:w="29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R. David Spreng</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6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w w:val="99"/>
              </w:rPr>
              <w:t>/s/ Thomas B. Raterman</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Chief Operating</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2026</w:t>
            </w:r>
          </w:p>
        </w:tc>
        <w:tc>
          <w:tcPr>
            <w:tcW w:w="0" w:type="dxa"/>
            <w:vAlign w:val="bottom"/>
          </w:tcPr>
          <w:p>
            <w:pPr>
              <w:spacing w:after="0"/>
              <w:rPr>
                <w:sz w:val="1"/>
                <w:szCs w:val="1"/>
                <w:color w:val="auto"/>
              </w:rPr>
            </w:pPr>
          </w:p>
        </w:tc>
      </w:tr>
      <w:tr>
        <w:trPr>
          <w:trHeight w:val="191"/>
        </w:trPr>
        <w:tc>
          <w:tcPr>
            <w:tcW w:w="2960" w:type="dxa"/>
            <w:vAlign w:val="bottom"/>
          </w:tcPr>
          <w:p>
            <w:pPr>
              <w:jc w:val="center"/>
              <w:ind w:left="1130"/>
              <w:spacing w:after="0" w:line="191" w:lineRule="exact"/>
              <w:rPr>
                <w:sz w:val="20"/>
                <w:szCs w:val="20"/>
                <w:color w:val="auto"/>
              </w:rPr>
            </w:pPr>
            <w:r>
              <w:rPr>
                <w:rFonts w:ascii="Times New Roman" w:cs="Times New Roman" w:eastAsia="Times New Roman" w:hAnsi="Times New Roman"/>
                <w:sz w:val="18"/>
                <w:szCs w:val="18"/>
                <w:color w:val="auto"/>
              </w:rPr>
              <w:t>Thomas B. Raterman</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Officer, Treasurer and Secretary</w:t>
            </w: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6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2026</w:t>
            </w:r>
          </w:p>
        </w:tc>
        <w:tc>
          <w:tcPr>
            <w:tcW w:w="0" w:type="dxa"/>
            <w:vAlign w:val="bottom"/>
          </w:tcPr>
          <w:p>
            <w:pPr>
              <w:spacing w:after="0"/>
              <w:rPr>
                <w:sz w:val="1"/>
                <w:szCs w:val="1"/>
                <w:color w:val="auto"/>
              </w:rPr>
            </w:pPr>
          </w:p>
        </w:tc>
      </w:tr>
      <w:tr>
        <w:trPr>
          <w:trHeight w:val="88"/>
        </w:trPr>
        <w:tc>
          <w:tcPr>
            <w:tcW w:w="2960" w:type="dxa"/>
            <w:vAlign w:val="bottom"/>
            <w:vMerge w:val="restart"/>
          </w:tcPr>
          <w:p>
            <w:pPr>
              <w:jc w:val="center"/>
              <w:ind w:left="1130"/>
              <w:spacing w:after="0"/>
              <w:rPr>
                <w:sz w:val="20"/>
                <w:szCs w:val="20"/>
                <w:color w:val="auto"/>
              </w:rPr>
            </w:pPr>
            <w:r>
              <w:rPr>
                <w:rFonts w:ascii="Times New Roman" w:cs="Times New Roman" w:eastAsia="Times New Roman" w:hAnsi="Times New Roman"/>
                <w:sz w:val="18"/>
                <w:szCs w:val="18"/>
                <w:color w:val="auto"/>
                <w:w w:val="99"/>
              </w:rPr>
              <w:t>Ted Goldthorpe</w:t>
            </w: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9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96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2026</w:t>
            </w:r>
          </w:p>
        </w:tc>
        <w:tc>
          <w:tcPr>
            <w:tcW w:w="0" w:type="dxa"/>
            <w:vAlign w:val="bottom"/>
          </w:tcPr>
          <w:p>
            <w:pPr>
              <w:spacing w:after="0"/>
              <w:rPr>
                <w:sz w:val="1"/>
                <w:szCs w:val="1"/>
                <w:color w:val="auto"/>
              </w:rPr>
            </w:pPr>
          </w:p>
        </w:tc>
      </w:tr>
      <w:tr>
        <w:trPr>
          <w:trHeight w:val="88"/>
        </w:trPr>
        <w:tc>
          <w:tcPr>
            <w:tcW w:w="2960" w:type="dxa"/>
            <w:vAlign w:val="bottom"/>
            <w:vMerge w:val="restart"/>
          </w:tcPr>
          <w:p>
            <w:pPr>
              <w:jc w:val="center"/>
              <w:ind w:left="1130"/>
              <w:spacing w:after="0"/>
              <w:rPr>
                <w:sz w:val="20"/>
                <w:szCs w:val="20"/>
                <w:color w:val="auto"/>
              </w:rPr>
            </w:pPr>
            <w:r>
              <w:rPr>
                <w:rFonts w:ascii="Times New Roman" w:cs="Times New Roman" w:eastAsia="Times New Roman" w:hAnsi="Times New Roman"/>
                <w:sz w:val="18"/>
                <w:szCs w:val="18"/>
                <w:color w:val="auto"/>
                <w:w w:val="98"/>
              </w:rPr>
              <w:t>Robert Warshauer</w:t>
            </w: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9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96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2026</w:t>
            </w:r>
          </w:p>
        </w:tc>
        <w:tc>
          <w:tcPr>
            <w:tcW w:w="0" w:type="dxa"/>
            <w:vAlign w:val="bottom"/>
          </w:tcPr>
          <w:p>
            <w:pPr>
              <w:spacing w:after="0"/>
              <w:rPr>
                <w:sz w:val="1"/>
                <w:szCs w:val="1"/>
                <w:color w:val="auto"/>
              </w:rPr>
            </w:pPr>
          </w:p>
        </w:tc>
      </w:tr>
      <w:tr>
        <w:trPr>
          <w:trHeight w:val="88"/>
        </w:trPr>
        <w:tc>
          <w:tcPr>
            <w:tcW w:w="2960" w:type="dxa"/>
            <w:vAlign w:val="bottom"/>
            <w:vMerge w:val="restart"/>
          </w:tcPr>
          <w:p>
            <w:pPr>
              <w:jc w:val="center"/>
              <w:ind w:left="1130"/>
              <w:spacing w:after="0"/>
              <w:rPr>
                <w:sz w:val="20"/>
                <w:szCs w:val="20"/>
                <w:color w:val="auto"/>
              </w:rPr>
            </w:pPr>
            <w:r>
              <w:rPr>
                <w:rFonts w:ascii="Times New Roman" w:cs="Times New Roman" w:eastAsia="Times New Roman" w:hAnsi="Times New Roman"/>
                <w:sz w:val="18"/>
                <w:szCs w:val="18"/>
                <w:color w:val="auto"/>
                <w:w w:val="99"/>
              </w:rPr>
              <w:t>Alexander Duka</w:t>
            </w: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9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96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2026</w:t>
            </w:r>
          </w:p>
        </w:tc>
        <w:tc>
          <w:tcPr>
            <w:tcW w:w="0" w:type="dxa"/>
            <w:vAlign w:val="bottom"/>
          </w:tcPr>
          <w:p>
            <w:pPr>
              <w:spacing w:after="0"/>
              <w:rPr>
                <w:sz w:val="1"/>
                <w:szCs w:val="1"/>
                <w:color w:val="auto"/>
              </w:rPr>
            </w:pPr>
          </w:p>
        </w:tc>
      </w:tr>
      <w:tr>
        <w:trPr>
          <w:trHeight w:val="88"/>
        </w:trPr>
        <w:tc>
          <w:tcPr>
            <w:tcW w:w="2960" w:type="dxa"/>
            <w:vAlign w:val="bottom"/>
            <w:vMerge w:val="restart"/>
          </w:tcPr>
          <w:p>
            <w:pPr>
              <w:jc w:val="center"/>
              <w:ind w:left="1130"/>
              <w:spacing w:after="0"/>
              <w:rPr>
                <w:sz w:val="20"/>
                <w:szCs w:val="20"/>
                <w:color w:val="auto"/>
              </w:rPr>
            </w:pPr>
            <w:r>
              <w:rPr>
                <w:rFonts w:ascii="Times New Roman" w:cs="Times New Roman" w:eastAsia="Times New Roman" w:hAnsi="Times New Roman"/>
                <w:sz w:val="18"/>
                <w:szCs w:val="18"/>
                <w:color w:val="auto"/>
                <w:w w:val="99"/>
              </w:rPr>
              <w:t>Gary Kovacs</w:t>
            </w: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9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96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2026</w:t>
            </w:r>
          </w:p>
        </w:tc>
        <w:tc>
          <w:tcPr>
            <w:tcW w:w="0" w:type="dxa"/>
            <w:vAlign w:val="bottom"/>
          </w:tcPr>
          <w:p>
            <w:pPr>
              <w:spacing w:after="0"/>
              <w:rPr>
                <w:sz w:val="1"/>
                <w:szCs w:val="1"/>
                <w:color w:val="auto"/>
              </w:rPr>
            </w:pPr>
          </w:p>
        </w:tc>
      </w:tr>
      <w:tr>
        <w:trPr>
          <w:trHeight w:val="88"/>
        </w:trPr>
        <w:tc>
          <w:tcPr>
            <w:tcW w:w="2960" w:type="dxa"/>
            <w:vAlign w:val="bottom"/>
            <w:vMerge w:val="restart"/>
          </w:tcPr>
          <w:p>
            <w:pPr>
              <w:jc w:val="center"/>
              <w:ind w:left="1110"/>
              <w:spacing w:after="0"/>
              <w:rPr>
                <w:sz w:val="20"/>
                <w:szCs w:val="20"/>
                <w:color w:val="auto"/>
              </w:rPr>
            </w:pPr>
            <w:r>
              <w:rPr>
                <w:rFonts w:ascii="Times New Roman" w:cs="Times New Roman" w:eastAsia="Times New Roman" w:hAnsi="Times New Roman"/>
                <w:sz w:val="18"/>
                <w:szCs w:val="18"/>
                <w:color w:val="auto"/>
                <w:w w:val="99"/>
              </w:rPr>
              <w:t>Julie Persily</w:t>
            </w: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9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96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2026</w:t>
            </w:r>
          </w:p>
        </w:tc>
        <w:tc>
          <w:tcPr>
            <w:tcW w:w="0" w:type="dxa"/>
            <w:vAlign w:val="bottom"/>
          </w:tcPr>
          <w:p>
            <w:pPr>
              <w:spacing w:after="0"/>
              <w:rPr>
                <w:sz w:val="1"/>
                <w:szCs w:val="1"/>
                <w:color w:val="auto"/>
              </w:rPr>
            </w:pPr>
          </w:p>
        </w:tc>
      </w:tr>
      <w:tr>
        <w:trPr>
          <w:trHeight w:val="88"/>
        </w:trPr>
        <w:tc>
          <w:tcPr>
            <w:tcW w:w="2960" w:type="dxa"/>
            <w:vAlign w:val="bottom"/>
            <w:vMerge w:val="restart"/>
          </w:tcPr>
          <w:p>
            <w:pPr>
              <w:jc w:val="center"/>
              <w:ind w:left="1130"/>
              <w:spacing w:after="0"/>
              <w:rPr>
                <w:sz w:val="20"/>
                <w:szCs w:val="20"/>
                <w:color w:val="auto"/>
              </w:rPr>
            </w:pPr>
            <w:r>
              <w:rPr>
                <w:rFonts w:ascii="Times New Roman" w:cs="Times New Roman" w:eastAsia="Times New Roman" w:hAnsi="Times New Roman"/>
                <w:sz w:val="18"/>
                <w:szCs w:val="18"/>
                <w:color w:val="auto"/>
                <w:w w:val="99"/>
              </w:rPr>
              <w:t>Jennifer Kwon Chou</w:t>
            </w: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9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96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2026</w:t>
            </w:r>
          </w:p>
        </w:tc>
        <w:tc>
          <w:tcPr>
            <w:tcW w:w="0" w:type="dxa"/>
            <w:vAlign w:val="bottom"/>
          </w:tcPr>
          <w:p>
            <w:pPr>
              <w:spacing w:after="0"/>
              <w:rPr>
                <w:sz w:val="1"/>
                <w:szCs w:val="1"/>
                <w:color w:val="auto"/>
              </w:rPr>
            </w:pPr>
          </w:p>
        </w:tc>
      </w:tr>
      <w:tr>
        <w:trPr>
          <w:trHeight w:val="88"/>
        </w:trPr>
        <w:tc>
          <w:tcPr>
            <w:tcW w:w="2960" w:type="dxa"/>
            <w:vAlign w:val="bottom"/>
            <w:vMerge w:val="restart"/>
          </w:tcPr>
          <w:p>
            <w:pPr>
              <w:jc w:val="center"/>
              <w:ind w:left="1130"/>
              <w:spacing w:after="0"/>
              <w:rPr>
                <w:sz w:val="20"/>
                <w:szCs w:val="20"/>
                <w:color w:val="auto"/>
              </w:rPr>
            </w:pPr>
            <w:r>
              <w:rPr>
                <w:rFonts w:ascii="Times New Roman" w:cs="Times New Roman" w:eastAsia="Times New Roman" w:hAnsi="Times New Roman"/>
                <w:sz w:val="18"/>
                <w:szCs w:val="18"/>
                <w:color w:val="auto"/>
                <w:w w:val="98"/>
              </w:rPr>
              <w:t>Catherine Frey</w:t>
            </w: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9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0"/>
        </w:trPr>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60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 Thomas B. Raterman</w:t>
            </w: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06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B. Raterman</w:t>
            </w: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6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original power of attorney authorizing Thomas B. Raterman to execute this Registration Statement, and any amendments thereto, for each director of the Registrant on whose behalf this Registration Statement is filed has been filed with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14(</w:t>
      </w:r>
      <w:r>
        <w:rPr>
          <w:rFonts w:ascii="Arial" w:cs="Arial" w:eastAsia="Arial" w:hAnsi="Arial"/>
          <w:sz w:val="13"/>
          <w:szCs w:val="13"/>
          <w:b w:val="1"/>
          <w:bCs w:val="1"/>
          <w:color w:val="auto"/>
        </w:rPr>
        <w:t>c</w:t>
      </w:r>
      <w:r>
        <w:rPr>
          <w:rFonts w:ascii="Arial" w:cs="Arial" w:eastAsia="Arial" w:hAnsi="Arial"/>
          <w:sz w:val="20"/>
          <w:szCs w:val="20"/>
          <w:b w:val="1"/>
          <w:bCs w:val="1"/>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onsent of</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ndependent</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irm</w:t>
      </w:r>
    </w:p>
    <w:p>
      <w:pPr>
        <w:spacing w:after="0" w:line="200" w:lineRule="exact"/>
        <w:rPr>
          <w:sz w:val="20"/>
          <w:szCs w:val="20"/>
          <w:color w:val="auto"/>
        </w:rPr>
      </w:pP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hereby consent to the incorporation by reference in this post-effective amendment No. 1 to the Registration Statement on Form N-14 of Runway Growth Finance Corp. of our report dated March 20, 2026, relating to the consolidated financial statements, which appears in SWK Holdings Corporation’s Annual Report on Form 10-K for the year ended December 31,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BPM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936625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8" w:name="page9"/>
    <w:bookmarkEnd w:id="8"/>
    <w:p>
      <w:pPr>
        <w:jc w:val="right"/>
        <w:spacing w:after="0"/>
        <w:rPr>
          <w:sz w:val="20"/>
          <w:szCs w:val="20"/>
          <w:color w:val="auto"/>
        </w:rPr>
      </w:pPr>
      <w:r>
        <w:rPr>
          <w:rFonts w:ascii="Verdana" w:cs="Verdana" w:eastAsia="Verdana" w:hAnsi="Verdana"/>
          <w:sz w:val="16"/>
          <w:szCs w:val="16"/>
          <w:b w:val="1"/>
          <w:bCs w:val="1"/>
          <w:color w:val="auto"/>
        </w:rPr>
        <w:t>EXHIBIT 14(E)</w:t>
      </w:r>
    </w:p>
    <w:p>
      <w:pPr>
        <w:spacing w:after="0" w:line="319"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u w:val="single" w:color="auto"/>
          <w:color w:val="auto"/>
        </w:rPr>
        <w:t>CONSENT OF INDEPENDENT REGISTERED PUBLIC ACCOUNTING FIRM</w:t>
      </w:r>
    </w:p>
    <w:p>
      <w:pPr>
        <w:spacing w:after="0" w:line="319" w:lineRule="exact"/>
        <w:rPr>
          <w:sz w:val="20"/>
          <w:szCs w:val="20"/>
          <w:color w:val="auto"/>
        </w:rPr>
      </w:pPr>
    </w:p>
    <w:p>
      <w:pPr>
        <w:ind w:right="40"/>
        <w:spacing w:after="0" w:line="260" w:lineRule="auto"/>
        <w:rPr>
          <w:sz w:val="20"/>
          <w:szCs w:val="20"/>
          <w:color w:val="auto"/>
        </w:rPr>
      </w:pPr>
      <w:r>
        <w:rPr>
          <w:rFonts w:ascii="Verdana" w:cs="Verdana" w:eastAsia="Verdana" w:hAnsi="Verdana"/>
          <w:sz w:val="16"/>
          <w:szCs w:val="16"/>
          <w:color w:val="auto"/>
        </w:rPr>
        <w:t>We consent to the incorporation by reference in this Post-Effective Amendment No.1 to the Registration Statement (No. 333-291634) on Form N-14/A of our report dated March 12, 2026, relating to the consolidated financial statements of Runway Growth Finance Corp. appearing in the Annual Report on Form 10-K of Runway Growth Finance Corp. for the year ended December 31, 2025.</w:t>
      </w:r>
    </w:p>
    <w:p>
      <w:pPr>
        <w:spacing w:after="0" w:line="232"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62" w:lineRule="exact"/>
        <w:rPr>
          <w:sz w:val="20"/>
          <w:szCs w:val="20"/>
          <w:color w:val="auto"/>
        </w:rPr>
      </w:pPr>
    </w:p>
    <w:p>
      <w:pPr>
        <w:spacing w:after="0"/>
        <w:rPr>
          <w:sz w:val="20"/>
          <w:szCs w:val="20"/>
          <w:color w:val="auto"/>
        </w:rPr>
      </w:pPr>
      <w:r>
        <w:rPr>
          <w:rFonts w:ascii="Verdana" w:cs="Verdana" w:eastAsia="Verdana" w:hAnsi="Verdana"/>
          <w:sz w:val="16"/>
          <w:szCs w:val="16"/>
          <w:color w:val="auto"/>
        </w:rPr>
        <w:t>New York, New York</w:t>
      </w:r>
    </w:p>
    <w:p>
      <w:pPr>
        <w:spacing w:after="0" w:line="62" w:lineRule="exact"/>
        <w:rPr>
          <w:sz w:val="20"/>
          <w:szCs w:val="20"/>
          <w:color w:val="auto"/>
        </w:rPr>
      </w:pPr>
    </w:p>
    <w:p>
      <w:pPr>
        <w:spacing w:after="0"/>
        <w:rPr>
          <w:sz w:val="20"/>
          <w:szCs w:val="20"/>
          <w:color w:val="auto"/>
        </w:rPr>
      </w:pPr>
      <w:r>
        <w:rPr>
          <w:rFonts w:ascii="Verdana" w:cs="Verdana" w:eastAsia="Verdana" w:hAnsi="Verdana"/>
          <w:sz w:val="16"/>
          <w:szCs w:val="16"/>
          <w:color w:val="auto"/>
        </w:rPr>
        <w:t>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7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2"/>
    </w:lvl>
  </w:abstractNum>
  <w:abstractNum w:abstractNumId="1">
    <w:nsid w:val="2EB141F2"/>
    <w:multiLevelType w:val="hybridMultilevel"/>
    <w:lvl w:ilvl="0">
      <w:lvlJc w:val="left"/>
      <w:lvlText w:val="(%1)"/>
      <w:numFmt w:val="decimal"/>
      <w:start w:val="6"/>
    </w:lvl>
  </w:abstractNum>
  <w:abstractNum w:abstractNumId="2">
    <w:nsid w:val="41B71EFB"/>
    <w:multiLevelType w:val="hybridMultilevel"/>
    <w:lvl w:ilvl="0">
      <w:lvlJc w:val="left"/>
      <w:lvlText w:val="(%1)"/>
      <w:numFmt w:val="decimal"/>
      <w:start w:val="8"/>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5"/>
    </w:lvl>
  </w:abstractNum>
  <w:abstractNum w:abstractNumId="5">
    <w:nsid w:val="515F007C"/>
    <w:multiLevelType w:val="hybridMultilevel"/>
    <w:lvl w:ilvl="0">
      <w:lvlJc w:val="left"/>
      <w:lvlText w:val="(%1)"/>
      <w:numFmt w:val="decimal"/>
      <w:start w:val="18"/>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3" Type="http://schemas.openxmlformats.org/officeDocument/2006/relationships/image" Target="media/image5.png"/><Relationship Id="rId42" Type="http://schemas.openxmlformats.org/officeDocument/2006/relationships/image" Target="media/image6.png"/><Relationship Id="rId43" Type="http://schemas.openxmlformats.org/officeDocument/2006/relationships/image" Target="media/image7.png"/><Relationship Id="rId51" Type="http://schemas.openxmlformats.org/officeDocument/2006/relationships/image" Target="media/image8.png"/><Relationship Id="rId52" Type="http://schemas.openxmlformats.org/officeDocument/2006/relationships/image" Target="media/image9.png"/><Relationship Id="rId53" Type="http://schemas.openxmlformats.org/officeDocument/2006/relationships/image" Target="media/image10.png"/><Relationship Id="rId54" Type="http://schemas.openxmlformats.org/officeDocument/2006/relationships/image" Target="media/image11.png"/><Relationship Id="rId55" Type="http://schemas.openxmlformats.org/officeDocument/2006/relationships/image" Target="media/image12.png"/><Relationship Id="rId56" Type="http://schemas.openxmlformats.org/officeDocument/2006/relationships/image" Target="media/image13.png"/><Relationship Id="rId57" Type="http://schemas.openxmlformats.org/officeDocument/2006/relationships/image" Target="media/image14.png"/><Relationship Id="rId12" Type="http://schemas.openxmlformats.org/officeDocument/2006/relationships/hyperlink" Target="https://www.sec.gov/Archives/edgar/data/1653384/000114420416140270/v454968_ex3-1.htm" TargetMode="External"/><Relationship Id="rId13" Type="http://schemas.openxmlformats.org/officeDocument/2006/relationships/hyperlink" Target="https://www.sec.gov/Archives/edgar/data/1653384/000165338421000016/rgc-20210819ex31cb84ffa.htm" TargetMode="External"/><Relationship Id="rId14" Type="http://schemas.openxmlformats.org/officeDocument/2006/relationships/hyperlink" Target="https://www.sec.gov/Archives/edgar/data/1653384/000165338421000016/rgc-20210819ex32804659c.htm" TargetMode="External"/><Relationship Id="rId15" Type="http://schemas.openxmlformats.org/officeDocument/2006/relationships/hyperlink" Target="https://www.sec.gov/Archives/edgar/data/1653384/000114420417017282/v462699_ex9-1.htm" TargetMode="External"/><Relationship Id="rId16" Type="http://schemas.openxmlformats.org/officeDocument/2006/relationships/hyperlink" Target="https://www.sec.gov/Archives/edgar/data/1653384/000119312525236260/rway-ex2_1.htm" TargetMode="External"/><Relationship Id="rId17" Type="http://schemas.openxmlformats.org/officeDocument/2006/relationships/hyperlink" Target="https://www.sec.gov/Archives/edgar/data/1653384/000119312525236260/rway-ex2_2.htm" TargetMode="External"/><Relationship Id="rId18" Type="http://schemas.openxmlformats.org/officeDocument/2006/relationships/hyperlink" Target="https://www.sec.gov/Archives/edgar/data/1653384/000110465922083650/tm2222036d1_ex4-1.htm" TargetMode="External"/><Relationship Id="rId19" Type="http://schemas.openxmlformats.org/officeDocument/2006/relationships/hyperlink" Target="https://www.sec.gov/Archives/edgar/data/1653384/000110465922083650/tm2222036d1_ex4-2.htm" TargetMode="External"/><Relationship Id="rId20" Type="http://schemas.openxmlformats.org/officeDocument/2006/relationships/hyperlink" Target="https://www.sec.gov/Archives/edgar/data/1653384/000110465922125137/tm2232170d1_ex4-1.htm" TargetMode="External"/><Relationship Id="rId21" Type="http://schemas.openxmlformats.org/officeDocument/2006/relationships/hyperlink" Target="https://www.sec.gov/Archives/edgar/data/1653384/000110465926009736/tm264911d1_ex4-1.htm" TargetMode="External"/><Relationship Id="rId22" Type="http://schemas.openxmlformats.org/officeDocument/2006/relationships/hyperlink" Target="https://www.sec.gov/Archives/edgar/data/1653384/000110465925007704/tm254887d1_ex10-1.htm" TargetMode="External"/><Relationship Id="rId24" Type="http://schemas.openxmlformats.org/officeDocument/2006/relationships/hyperlink" Target="https://www.sec.gov/Archives/edgar/data/1653384/000110465922123710/tm2231322d5_ex1-1.htm" TargetMode="External"/><Relationship Id="rId25" Type="http://schemas.openxmlformats.org/officeDocument/2006/relationships/hyperlink" Target="https://www.sec.gov/Archives/edgar/data/1653384/000110465922082030/tm2221671d1_ex1-1.htm" TargetMode="External"/><Relationship Id="rId26" Type="http://schemas.openxmlformats.org/officeDocument/2006/relationships/hyperlink" Target="https://www.sec.gov/Archives/edgar/data/1653384/000114420416140270/v454968_ex10-4.htm" TargetMode="External"/><Relationship Id="rId27" Type="http://schemas.openxmlformats.org/officeDocument/2006/relationships/hyperlink" Target="https://www.sec.gov/Archives/edgar/data/1653384/000095017023039764/rway-ex4_1.htm" TargetMode="External"/><Relationship Id="rId28" Type="http://schemas.openxmlformats.org/officeDocument/2006/relationships/hyperlink" Target="https://www.sec.gov/Archives/edgar/data/1653384/000119312526043065/rway-ex11.htm" TargetMode="External"/><Relationship Id="rId29" Type="http://schemas.openxmlformats.org/officeDocument/2006/relationships/hyperlink" Target="https://www.sec.gov/Archives/edgar/data/1653384/000155837021010525/rgc-20210630ex1036bb6e0.htm" TargetMode="External"/><Relationship Id="rId30" Type="http://schemas.openxmlformats.org/officeDocument/2006/relationships/hyperlink" Target="https://www.sec.gov/Archives/edgar/data/1653384/000114420416140270/v454968_ex10-3.htm" TargetMode="External"/><Relationship Id="rId31" Type="http://schemas.openxmlformats.org/officeDocument/2006/relationships/hyperlink" Target="https://www.sec.gov/Archives/edgar/data/1653384/000114420416081404/v428811_ex10-5.htm" TargetMode="External"/><Relationship Id="rId32" Type="http://schemas.openxmlformats.org/officeDocument/2006/relationships/hyperlink" Target="https://www.sec.gov/Archives/edgar/data/1653384/000114420417057747/tv478830_ex10-2.htm" TargetMode="External"/><Relationship Id="rId33" Type="http://schemas.openxmlformats.org/officeDocument/2006/relationships/hyperlink" Target="https://www.sec.gov/Archives/edgar/data/1653384/000114420418066500/tv509942_ex10-1.htm" TargetMode="External"/><Relationship Id="rId34" Type="http://schemas.openxmlformats.org/officeDocument/2006/relationships/hyperlink" Target="https://www.sec.gov/Archives/edgar/data/1653384/000165338421000028/rgc-20211213x8k.htm" TargetMode="External"/><Relationship Id="rId35" Type="http://schemas.openxmlformats.org/officeDocument/2006/relationships/hyperlink" Target="https://www.sec.gov/Archives/edgar/data/1653384/000165338421000025/rgc-20211027xex10.htm" TargetMode="External"/><Relationship Id="rId36" Type="http://schemas.openxmlformats.org/officeDocument/2006/relationships/hyperlink" Target="https://www.sec.gov/Archives/edgar/data/1653384/000110465923045577/tm2312875d1_ex10-1.htm" TargetMode="External"/><Relationship Id="rId37" Type="http://schemas.openxmlformats.org/officeDocument/2006/relationships/hyperlink" Target="https://www.sec.gov/Archives/edgar/data/1653384/000110465925033086/tm2511865d1_ex10-1.htm" TargetMode="External"/><Relationship Id="rId38" Type="http://schemas.openxmlformats.org/officeDocument/2006/relationships/hyperlink" Target="https://www.sec.gov/Archives/edgar/data/1653384/000110465922048941/tm2213243d1_8k.htm" TargetMode="External"/><Relationship Id="rId39" Type="http://schemas.openxmlformats.org/officeDocument/2006/relationships/hyperlink" Target="https://www.sec.gov/Archives/edgar/data/1653384/000110465923002333/tm232751d1_ex10-1.htm" TargetMode="External"/><Relationship Id="rId40" Type="http://schemas.openxmlformats.org/officeDocument/2006/relationships/hyperlink" Target="https://www.sec.gov/Archives/edgar/data/1653384/000110465925025185/rway-20250318xex99dk17.htm" TargetMode="External"/><Relationship Id="rId41" Type="http://schemas.openxmlformats.org/officeDocument/2006/relationships/hyperlink" Target="https://www.sec.gov/Archives/edgar/data/1653384/000110465923124036/tm2332294d1_ex10-1.htm" TargetMode="External"/><Relationship Id="rId44" Type="http://schemas.openxmlformats.org/officeDocument/2006/relationships/hyperlink" Target="https://www.sec.gov/Archives/edgar/data/1653384/000110465923124036/tm2332294d1_ex10-2.htm" TargetMode="External"/><Relationship Id="rId45" Type="http://schemas.openxmlformats.org/officeDocument/2006/relationships/hyperlink" Target="https://www.sec.gov/Archives/edgar/data/1653384/000110465925025185/rway-20250318xex99dk18.htm" TargetMode="External"/><Relationship Id="rId46" Type="http://schemas.openxmlformats.org/officeDocument/2006/relationships/hyperlink" Target="https://www.sec.gov/Archives/edgar/data/1653384/000095017025042625/rway-ex10_25.htm" TargetMode="External"/><Relationship Id="rId47" Type="http://schemas.openxmlformats.org/officeDocument/2006/relationships/hyperlink" Target="https://www.sec.gov/Archives/edgar/data/1653384/000119312526083163/rway-ex14_a.htm" TargetMode="External"/><Relationship Id="rId48" Type="http://schemas.openxmlformats.org/officeDocument/2006/relationships/hyperlink" Target="https://www.sec.gov/Archives/edgar/data/1653384/000119312526083163/rway-ex14_b.htm" TargetMode="External"/><Relationship Id="rId49" Type="http://schemas.openxmlformats.org/officeDocument/2006/relationships/hyperlink" Target="https://www.sec.gov/Archives/edgar/data/1653384/000119312526083163/rway-ex14_c.htm" TargetMode="External"/><Relationship Id="rId50" Type="http://schemas.openxmlformats.org/officeDocument/2006/relationships/hyperlink" Target="https://www.sec.gov/Archives/edgar/data/1653384/000119312526083163/rway-ex17_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2026-03-24T16:00:28Z</dcterms:created>
  <dcterms:modified xsi:type="dcterms:W3CDTF">2026-03-24T16:00:28Z</dcterms:modified>
</cp:coreProperties>
</file>