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04"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820" w:right="259" w:hanging="961"/>
        <w:spacing w:after="0" w:line="26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04" w:lineRule="exact"/>
        <w:rPr>
          <w:sz w:val="24"/>
          <w:szCs w:val="24"/>
          <w:color w:val="auto"/>
        </w:rPr>
      </w:pPr>
    </w:p>
    <w:p>
      <w:pPr>
        <w:ind w:left="1820" w:right="259" w:hanging="966"/>
        <w:spacing w:after="0" w:line="282"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552450</wp:posOffset>
            </wp:positionH>
            <wp:positionV relativeFrom="paragraph">
              <wp:posOffset>-281940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814-01180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Runway Growth Credit Fund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700" w:type="dxa"/>
            <w:vAlign w:val="bottom"/>
          </w:tcPr>
          <w:p>
            <w:pPr>
              <w:jc w:val="center"/>
              <w:ind w:right="770"/>
              <w:spacing w:after="0"/>
              <w:rPr>
                <w:sz w:val="20"/>
                <w:szCs w:val="20"/>
                <w:color w:val="auto"/>
              </w:rPr>
            </w:pPr>
            <w:r>
              <w:rPr>
                <w:rFonts w:ascii="Arial" w:cs="Arial" w:eastAsia="Arial" w:hAnsi="Arial"/>
                <w:sz w:val="18"/>
                <w:szCs w:val="18"/>
                <w:b w:val="1"/>
                <w:bCs w:val="1"/>
                <w:color w:val="auto"/>
                <w:w w:val="96"/>
              </w:rPr>
              <w:t>Maryland</w:t>
            </w:r>
          </w:p>
        </w:tc>
        <w:tc>
          <w:tcPr>
            <w:tcW w:w="348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3700" w:type="dxa"/>
            <w:vAlign w:val="bottom"/>
          </w:tcPr>
          <w:p>
            <w:pPr>
              <w:jc w:val="center"/>
              <w:ind w:right="770"/>
              <w:spacing w:after="0"/>
              <w:rPr>
                <w:sz w:val="20"/>
                <w:szCs w:val="20"/>
                <w:color w:val="auto"/>
              </w:rPr>
            </w:pPr>
            <w:r>
              <w:rPr>
                <w:rFonts w:ascii="Arial" w:cs="Arial" w:eastAsia="Arial" w:hAnsi="Arial"/>
                <w:sz w:val="18"/>
                <w:szCs w:val="18"/>
                <w:color w:val="auto"/>
                <w:w w:val="91"/>
              </w:rPr>
              <w:t>(State of incorporation)</w:t>
            </w:r>
          </w:p>
        </w:tc>
        <w:tc>
          <w:tcPr>
            <w:tcW w:w="3480" w:type="dxa"/>
            <w:vAlign w:val="bottom"/>
          </w:tcPr>
          <w:p>
            <w:pPr>
              <w:jc w:val="center"/>
              <w:ind w:left="770"/>
              <w:spacing w:after="0"/>
              <w:rPr>
                <w:sz w:val="20"/>
                <w:szCs w:val="20"/>
                <w:color w:val="auto"/>
              </w:rPr>
            </w:pPr>
            <w:r>
              <w:rPr>
                <w:rFonts w:ascii="Arial" w:cs="Arial" w:eastAsia="Arial" w:hAnsi="Arial"/>
                <w:sz w:val="18"/>
                <w:szCs w:val="18"/>
                <w:color w:val="auto"/>
                <w:w w:val="94"/>
              </w:rPr>
              <w:t>(I.R.S. Employer Identification No.)</w:t>
            </w:r>
          </w:p>
        </w:tc>
      </w:tr>
      <w:tr>
        <w:trPr>
          <w:trHeight w:val="292"/>
        </w:trPr>
        <w:tc>
          <w:tcPr>
            <w:tcW w:w="370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205 N. Michigan Ave., Suite 4200</w:t>
            </w:r>
          </w:p>
        </w:tc>
        <w:tc>
          <w:tcPr>
            <w:tcW w:w="3480" w:type="dxa"/>
            <w:vAlign w:val="bottom"/>
          </w:tcPr>
          <w:p>
            <w:pPr>
              <w:spacing w:after="0"/>
              <w:rPr>
                <w:sz w:val="24"/>
                <w:szCs w:val="24"/>
                <w:color w:val="auto"/>
              </w:rPr>
            </w:pPr>
          </w:p>
        </w:tc>
      </w:tr>
      <w:tr>
        <w:trPr>
          <w:trHeight w:val="220"/>
        </w:trPr>
        <w:tc>
          <w:tcPr>
            <w:tcW w:w="3700" w:type="dxa"/>
            <w:vAlign w:val="bottom"/>
          </w:tcPr>
          <w:p>
            <w:pPr>
              <w:jc w:val="center"/>
              <w:ind w:right="770"/>
              <w:spacing w:after="0"/>
              <w:rPr>
                <w:sz w:val="20"/>
                <w:szCs w:val="20"/>
                <w:color w:val="auto"/>
              </w:rPr>
            </w:pPr>
            <w:r>
              <w:rPr>
                <w:rFonts w:ascii="Arial" w:cs="Arial" w:eastAsia="Arial" w:hAnsi="Arial"/>
                <w:sz w:val="18"/>
                <w:szCs w:val="18"/>
                <w:b w:val="1"/>
                <w:bCs w:val="1"/>
                <w:color w:val="auto"/>
                <w:w w:val="94"/>
              </w:rPr>
              <w:t>Chicago, IL</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37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7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9019"/>
          </w:cols>
          <w:pgMar w:left="1440" w:top="665" w:right="1440" w:bottom="1440" w:gutter="0" w:footer="0" w:header="0"/>
        </w:sectPr>
      </w:pPr>
    </w:p>
    <w:p>
      <w:pPr>
        <w:spacing w:after="0" w:line="100" w:lineRule="exact"/>
        <w:rPr>
          <w:sz w:val="24"/>
          <w:szCs w:val="24"/>
          <w:color w:val="auto"/>
        </w:rPr>
      </w:pPr>
    </w:p>
    <w:p>
      <w:pPr>
        <w:ind w:left="6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ind w:lef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ind w:right="199"/>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44" w:lineRule="exact"/>
        <w:rPr>
          <w:sz w:val="24"/>
          <w:szCs w:val="24"/>
          <w:color w:val="auto"/>
        </w:rPr>
      </w:pPr>
    </w:p>
    <w:p>
      <w:pPr>
        <w:sectPr>
          <w:pgSz w:w="11900" w:h="16838" w:orient="portrait"/>
          <w:cols w:equalWidth="0" w:num="3">
            <w:col w:w="2300" w:space="720"/>
            <w:col w:w="1740" w:space="720"/>
            <w:col w:w="3539"/>
          </w:cols>
          <w:pgMar w:left="1440" w:top="665" w:right="1440" w:bottom="1440" w:gutter="0" w:footer="0" w:header="0"/>
          <w:type w:val="continuous"/>
        </w:sectPr>
      </w:pPr>
    </w:p>
    <w:p>
      <w:pPr>
        <w:jc w:val="both"/>
        <w:ind w:left="60" w:right="59" w:firstLine="324"/>
        <w:spacing w:after="0" w:line="22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left="60" w:right="59" w:firstLine="324"/>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type w:val="continuous"/>
        </w:sectPr>
      </w:pPr>
    </w:p>
    <w:p>
      <w:pPr>
        <w:spacing w:after="0" w:line="11"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6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9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3800" w:space="720"/>
            <w:col w:w="4499"/>
          </w:cols>
          <w:pgMar w:left="1440" w:top="665" w:right="1440" w:bottom="1440" w:gutter="0" w:footer="0" w:header="0"/>
          <w:type w:val="continuous"/>
        </w:sect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left="60" w:right="479" w:firstLine="324"/>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left="380"/>
        <w:spacing w:after="0"/>
        <w:rPr>
          <w:sz w:val="20"/>
          <w:szCs w:val="20"/>
          <w:color w:val="auto"/>
        </w:rPr>
      </w:pPr>
      <w:r>
        <w:rPr>
          <w:rFonts w:ascii="Arial" w:cs="Arial" w:eastAsia="Arial" w:hAnsi="Arial"/>
          <w:sz w:val="16"/>
          <w:szCs w:val="16"/>
          <w:color w:val="auto"/>
        </w:rPr>
        <w:t>The issuer had 26,936,387 shares of common stock, $0.01 par value per share, outstanding as of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586740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29210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72390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 FOR THE QUARTER ENDED JUNE 30, 2020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20" w:type="dxa"/>
            <w:vAlign w:val="bottom"/>
            <w:gridSpan w:val="3"/>
            <w:vMerge w:val="restart"/>
          </w:tcPr>
          <w:p>
            <w:pPr>
              <w:ind w:left="2680"/>
              <w:spacing w:after="0"/>
              <w:rPr>
                <w:sz w:val="20"/>
                <w:szCs w:val="20"/>
                <w:color w:val="auto"/>
              </w:rPr>
            </w:pPr>
            <w:r>
              <w:rPr>
                <w:rFonts w:ascii="Arial" w:cs="Arial" w:eastAsia="Arial" w:hAnsi="Arial"/>
                <w:sz w:val="14"/>
                <w:szCs w:val="14"/>
                <w:b w:val="1"/>
                <w:bCs w:val="1"/>
                <w:color w:val="auto"/>
              </w:rPr>
              <w:t>INDEX</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720" w:type="dxa"/>
            <w:vAlign w:val="bottom"/>
            <w:gridSpan w:val="3"/>
            <w:vMerge w:val="continue"/>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754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Statements of Assets and Liabilities as of June 30, 2020 (unaudited) and December 31, 2019</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w w:val="96"/>
              </w:rPr>
            </w:pPr>
            <w:hyperlink w:anchor="page4">
              <w:r>
                <w:rPr>
                  <w:rFonts w:ascii="Arial" w:cs="Arial" w:eastAsia="Arial" w:hAnsi="Arial"/>
                  <w:sz w:val="18"/>
                  <w:szCs w:val="18"/>
                  <w:u w:val="single" w:color="auto"/>
                  <w:color w:val="0000EE"/>
                  <w:w w:val="96"/>
                </w:rPr>
                <w:t>Statements of Operations for the three and six months ended June 30, 2020 and 2019 (unaudited)</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540" w:type="dxa"/>
            <w:vAlign w:val="bottom"/>
            <w:gridSpan w:val="4"/>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Statements of Changes in Net Assets for the three and six months ended June 30, 2020 and 2019</w:t>
              </w:r>
            </w:hyperlink>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694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60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six months ended June 30, 2020 and 2019 (unaudited)</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Schedule of Investments as of June 30, 2020 (unaudited)</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Schedule of Investments as of December 31, 2019</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Notes to Financial Statements (unaudited)</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2.</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3.</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Controls and Procedures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w:t>
              </w:r>
            </w:hyperlink>
          </w:p>
        </w:tc>
        <w:tc>
          <w:tcPr>
            <w:tcW w:w="7540" w:type="dxa"/>
            <w:vAlign w:val="bottom"/>
            <w:gridSpan w:val="4"/>
            <w:shd w:val="clear" w:color="auto" w:fill="CCEEFF"/>
          </w:tcPr>
          <w:p>
            <w:pPr>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OTHER INFORMATION</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Legal Proceedings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1A.</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Risk Factors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2.</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Unregistered Sales of Equity Securities and Use of Proceeds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3.</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Defaults Upon Senior Securities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4.</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Mine Safety Disclosures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Item 5.</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jc w:val="right"/>
              <w:ind w:right="1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6.</w:t>
              </w:r>
            </w:hyperlink>
          </w:p>
        </w:tc>
        <w:tc>
          <w:tcPr>
            <w:tcW w:w="7540" w:type="dxa"/>
            <w:vAlign w:val="bottom"/>
            <w:gridSpan w:val="4"/>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gridSpan w:val="5"/>
            <w:shd w:val="clear" w:color="auto" w:fill="CCEEFF"/>
          </w:tcPr>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SIGNATURES</w:t>
              </w:r>
            </w:hyperlink>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438"/>
        </w:trPr>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61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Non-control/non-affiliate investments at fair value (cost of $415,190,917 and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$377,018,900, respectively)</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410,489,211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368,016,276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6120" w:type="dxa"/>
            <w:vAlign w:val="bottom"/>
          </w:tcPr>
          <w:p>
            <w:pPr>
              <w:ind w:left="200"/>
              <w:spacing w:after="0" w:line="201" w:lineRule="exact"/>
              <w:rPr>
                <w:sz w:val="20"/>
                <w:szCs w:val="20"/>
                <w:color w:val="auto"/>
              </w:rPr>
            </w:pPr>
            <w:r>
              <w:rPr>
                <w:rFonts w:ascii="Arial" w:cs="Arial" w:eastAsia="Arial" w:hAnsi="Arial"/>
                <w:sz w:val="18"/>
                <w:szCs w:val="18"/>
                <w:color w:val="auto"/>
              </w:rPr>
              <w:t>Investment in U.S. Treasury Bills at fair value (cost of $44,999,250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$99,982,765, respectively)</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44,998,500</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99,965,423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6120" w:type="dxa"/>
            <w:vAlign w:val="bottom"/>
            <w:shd w:val="clear" w:color="auto" w:fill="CCEEFF"/>
          </w:tcPr>
          <w:p>
            <w:pPr>
              <w:ind w:left="200"/>
              <w:spacing w:after="0" w:line="182" w:lineRule="exact"/>
              <w:rPr>
                <w:sz w:val="20"/>
                <w:szCs w:val="20"/>
                <w:color w:val="auto"/>
              </w:rPr>
            </w:pPr>
            <w:r>
              <w:rPr>
                <w:rFonts w:ascii="Arial" w:cs="Arial" w:eastAsia="Arial" w:hAnsi="Arial"/>
                <w:sz w:val="18"/>
                <w:szCs w:val="18"/>
                <w:color w:val="auto"/>
              </w:rPr>
              <w:t>Total investments at fair value (cost of $460,190,167 and $477,001,665,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455,487,711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467,981,699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45,799,672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1,816,032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439,593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460,817,186</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516,292,340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0" w:type="dxa"/>
            <w:vAlign w:val="bottom"/>
            <w:vMerge w:val="restart"/>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Credit facilities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6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Deferred credit facility fees (net of accumulated amortization of $241,151 and</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$129,290, respectively)</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(892,045)</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Total debt, less unamortized deferred financing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24,107,955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60,021,093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Reverse repurchase agreement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44,773,302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74,593,802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Accrued incentive fees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2,780,124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Due to affiliate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756,813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72,563,128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139,979,119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6120" w:type="dxa"/>
            <w:vAlign w:val="bottom"/>
          </w:tcPr>
          <w:p>
            <w:pPr>
              <w:ind w:left="100"/>
              <w:spacing w:after="0" w:line="201" w:lineRule="exact"/>
              <w:rPr>
                <w:sz w:val="20"/>
                <w:szCs w:val="20"/>
                <w:color w:val="auto"/>
              </w:rPr>
            </w:pPr>
            <w:r>
              <w:rPr>
                <w:rFonts w:ascii="Arial" w:cs="Arial" w:eastAsia="Arial" w:hAnsi="Arial"/>
                <w:sz w:val="18"/>
                <w:szCs w:val="18"/>
                <w:color w:val="auto"/>
                <w:w w:val="92"/>
              </w:rPr>
              <w:t>Common stock, $0.01 par value; 100,000,000 shares authorized; 26,936,387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rPr>
              <w:t>25,811,214 shares issued and outstanding, respectively</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269,364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258,112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400,544,970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384,369,854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Distributable (losses) earnings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(12,560,276)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388,254,058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376,313,221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color w:val="auto"/>
              </w:rPr>
              <w:t>See notes to financial statements.</w:t>
            </w: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200" w:type="dxa"/>
            <w:vAlign w:val="bottom"/>
            <w:gridSpan w:val="2"/>
          </w:tcPr>
          <w:p>
            <w:pPr>
              <w:jc w:val="right"/>
              <w:ind w:right="16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w:t>
            </w:r>
          </w:p>
        </w:tc>
        <w:tc>
          <w:tcPr>
            <w:tcW w:w="128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June 30, 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8"/>
              </w:rPr>
              <w:t>June 30, 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From non-control/non-affiliate: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10,944,773</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15,711,234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24,572,149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Payment in-kind 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249,917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388,046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767,847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w w:val="96"/>
              </w:rPr>
              <w:t>Interest income from U.S. Treasury Bills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57,628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ind w:left="200"/>
              <w:spacing w:after="0" w:line="201" w:lineRule="exact"/>
              <w:rPr>
                <w:sz w:val="20"/>
                <w:szCs w:val="20"/>
                <w:color w:val="auto"/>
              </w:rPr>
            </w:pPr>
            <w:r>
              <w:rPr>
                <w:rFonts w:ascii="Arial" w:cs="Arial" w:eastAsia="Arial" w:hAnsi="Arial"/>
                <w:sz w:val="18"/>
                <w:szCs w:val="18"/>
                <w:color w:val="auto"/>
              </w:rPr>
              <w:t>Other income from non-investment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sources</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32,773</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investment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11,801,054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16,395,990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26,621,912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28,546,319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Management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1,758,729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3,295,678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Incentive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Overhead allocation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161,665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217,922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Administration fee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Facility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378,722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Directors’ fees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Consulting fees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expense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Insurance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52,875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268,638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294,287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468,033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3,927,213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5,025,981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9,104,485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7,873,841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11,370,009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17,517,427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19,444,035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tcPr>
          <w:p>
            <w:pPr>
              <w:spacing w:after="0" w:line="198" w:lineRule="exact"/>
              <w:rPr>
                <w:sz w:val="20"/>
                <w:szCs w:val="20"/>
                <w:color w:val="auto"/>
              </w:rPr>
            </w:pPr>
            <w:r>
              <w:rPr>
                <w:rFonts w:ascii="Arial" w:cs="Arial" w:eastAsia="Arial" w:hAnsi="Arial"/>
                <w:sz w:val="18"/>
                <w:szCs w:val="18"/>
                <w:b w:val="1"/>
                <w:bCs w:val="1"/>
                <w:color w:val="auto"/>
              </w:rPr>
              <w:t>Realized and unrealized gain (loss) 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Realized gain (loss) on non-control/non-</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affiliate investments, including U.S.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Treasury Bills</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(6,513,405)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ind w:left="80"/>
              <w:spacing w:after="0" w:line="201" w:lineRule="exact"/>
              <w:rPr>
                <w:sz w:val="20"/>
                <w:szCs w:val="20"/>
                <w:color w:val="auto"/>
              </w:rPr>
            </w:pPr>
            <w:r>
              <w:rPr>
                <w:rFonts w:ascii="Arial" w:cs="Arial" w:eastAsia="Arial" w:hAnsi="Arial"/>
                <w:sz w:val="18"/>
                <w:szCs w:val="18"/>
                <w:color w:val="auto"/>
              </w:rPr>
              <w:t>Net change in unrealized appreciation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w w:val="97"/>
              </w:rPr>
              <w:t>(depreciation) on non-control/non-affiliate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6"/>
              </w:rPr>
              <w:t>investments, including U.S. Treasury Bills</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5,496,594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(3,247,119)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4,317,510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(5,487,631)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Net realized and unrealized gain (loss) on</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5,700,448</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(2,753,811)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(2,195,895)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(4,994,323)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Net increase in net assets resulting from</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13,574,289</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15,321,532</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14,449,712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operations per common share</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w w:val="96"/>
              </w:rPr>
              <w:t>Net investment income per common share</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15,727,990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26,266,501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620"/>
              <w:spacing w:after="0"/>
              <w:rPr>
                <w:sz w:val="20"/>
                <w:szCs w:val="20"/>
                <w:color w:val="auto"/>
              </w:rPr>
            </w:pPr>
            <w:r>
              <w:rPr>
                <w:rFonts w:ascii="Arial" w:cs="Arial" w:eastAsia="Arial" w:hAnsi="Arial"/>
                <w:sz w:val="18"/>
                <w:szCs w:val="18"/>
                <w:color w:val="auto"/>
                <w:w w:val="98"/>
              </w:rPr>
              <w:t>See notes to financial statements.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June 30, 2020</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4"/>
              </w:rPr>
              <w:t>June 30, 2020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increase in net assets from operations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7,873,841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11,370,009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17,517,427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19,444,035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Realized gain (loss) on investments and U.S.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(6,513,405)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spacing w:after="0" w:line="201" w:lineRule="exact"/>
              <w:rPr>
                <w:sz w:val="20"/>
                <w:szCs w:val="20"/>
                <w:color w:val="auto"/>
              </w:rPr>
            </w:pPr>
            <w:r>
              <w:rPr>
                <w:rFonts w:ascii="Arial" w:cs="Arial" w:eastAsia="Arial" w:hAnsi="Arial"/>
                <w:sz w:val="18"/>
                <w:szCs w:val="18"/>
                <w:color w:val="auto"/>
              </w:rPr>
              <w:t>Net change in unrealized appreciation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(depreciation) on investments and U.S.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Treasury Bills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5,496,594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(3,247,119)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4,317,510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(5,487,631)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tcBorders>
              <w:top w:val="single" w:sz="8" w:color="CCEEFF"/>
            </w:tcBorders>
            <w:shd w:val="clear" w:color="auto" w:fill="CCEEFF"/>
          </w:tcPr>
          <w:p>
            <w:pPr>
              <w:ind w:left="80"/>
              <w:spacing w:after="0" w:line="177" w:lineRule="exact"/>
              <w:rPr>
                <w:sz w:val="20"/>
                <w:szCs w:val="20"/>
                <w:color w:val="auto"/>
              </w:rPr>
            </w:pPr>
            <w:r>
              <w:rPr>
                <w:rFonts w:ascii="Arial" w:cs="Arial" w:eastAsia="Arial" w:hAnsi="Arial"/>
                <w:sz w:val="18"/>
                <w:szCs w:val="18"/>
                <w:b w:val="1"/>
                <w:bCs w:val="1"/>
                <w:color w:val="auto"/>
                <w:w w:val="93"/>
              </w:rPr>
              <w:t>Net increase in net assets resulting from</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13,574,289</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15,321,532</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14,449,712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Dividends paid to shareholders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(9,242,578)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(15,971,678)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(19,567,064)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(22,132,302)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distributions to shareholders</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(15,971,678)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(19,567,064)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(22,132,302)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115,000,000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shares of common stock under</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12,707,267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15,923,964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Offering costs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shd w:val="clear" w:color="auto" w:fill="CCEEFF"/>
          </w:tcPr>
          <w:p>
            <w:pPr>
              <w:ind w:left="80"/>
              <w:spacing w:after="0" w:line="177" w:lineRule="exact"/>
              <w:rPr>
                <w:sz w:val="20"/>
                <w:szCs w:val="20"/>
                <w:color w:val="auto"/>
              </w:rPr>
            </w:pPr>
            <w:r>
              <w:rPr>
                <w:rFonts w:ascii="Arial" w:cs="Arial" w:eastAsia="Arial" w:hAnsi="Arial"/>
                <w:sz w:val="18"/>
                <w:szCs w:val="18"/>
                <w:b w:val="1"/>
                <w:bCs w:val="1"/>
                <w:color w:val="auto"/>
                <w:w w:val="93"/>
              </w:rPr>
              <w:t>Net increase in net assets resulting from</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capital share transactions</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7,530,705</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61,707,267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16,186,368</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132,649,435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11,862,416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54,351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11,940,836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124,966,845</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Net assets at beginning of period</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376,391,642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237,984,453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w w:val="95"/>
              </w:rPr>
              <w:t>376,313,221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w w:val="93"/>
              </w:rPr>
              <w:t>167,369,395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assets at end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388,254,058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292,336,240</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388,254,057</w:t>
            </w:r>
          </w:p>
        </w:tc>
        <w:tc>
          <w:tcPr>
            <w:tcW w:w="2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292,336,240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Shares issued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529,020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4,072,062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8,743,457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outstanding at beginning of period</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26,407,367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15,727,990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25,811,214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80"/>
              <w:spacing w:after="0"/>
              <w:rPr>
                <w:sz w:val="20"/>
                <w:szCs w:val="20"/>
                <w:color w:val="auto"/>
              </w:rPr>
            </w:pPr>
            <w:r>
              <w:rPr>
                <w:rFonts w:ascii="Arial" w:cs="Arial" w:eastAsia="Arial" w:hAnsi="Arial"/>
                <w:sz w:val="18"/>
                <w:szCs w:val="18"/>
                <w:b w:val="1"/>
                <w:bCs w:val="1"/>
                <w:color w:val="auto"/>
              </w:rPr>
              <w:t>Shares outstanding at end of period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26,936,387</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19,800,052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26,936,387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19,800,052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Six Months Ended</w:t>
            </w:r>
          </w:p>
        </w:tc>
        <w:tc>
          <w:tcPr>
            <w:tcW w:w="18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Six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89"/>
              </w:rPr>
              <w:t>June 30, 2020</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2"/>
              </w:rPr>
              <w:t>June 30,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Net increase in net assets resulting from operations</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15,321,532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14,449,712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increase in net assets resulting from operations to net cash</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provided by (used in) operating 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4"/>
              </w:rPr>
              <w:t>(100,537,492)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w w:val="96"/>
              </w:rPr>
              <w:t>(141,292,427)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Purchases of U.S. Treasury Bills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(94,999,834)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(155,900,303)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Payment in-kind 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(767,847)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(562,347)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Sales or repayments of 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60,966,345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87,061,671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Sales or maturities of U.S. Treasury Bills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149,986,014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149,977,117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7"/>
              </w:rPr>
              <w:t>Realized (gain) loss on non-control/non-affiliate investments, including U.S. Treasury Bills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6,513,405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w w:val="93"/>
              </w:rPr>
              <w:t>Net change in unrealized (appreciation) depreciation on non-control/non-affiliate investments,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including U.S. Treasury Bills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(4,317,510)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5,487,631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fixed income premiums or accretion of discounts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(4,349,093)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Amortization of deferred credit facility fees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111,862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Accrued interest receivable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125,470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(183,911)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accounts receivable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(469,605)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97,690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Payable for securities purchased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54,004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incentive fees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(802,863)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2,341,306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rPr>
                <w:sz w:val="20"/>
                <w:szCs w:val="20"/>
                <w:color w:val="auto"/>
              </w:rPr>
            </w:pPr>
            <w:r>
              <w:rPr>
                <w:rFonts w:ascii="Arial" w:cs="Arial" w:eastAsia="Arial" w:hAnsi="Arial"/>
                <w:sz w:val="16"/>
                <w:szCs w:val="16"/>
                <w:color w:val="auto"/>
              </w:rPr>
              <w:t>Due to affiliate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payable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(493,558)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(442,833)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26,432,163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(45,774,525)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Deferred offering costs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Deferred credit facility fees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Borrowings under credit facilities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47,000,000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under credit facilities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Proceeds from reverse repurchase 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94,524,501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155,120,560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Repayments of reverse repurchase agreements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(124,345,001)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(149,154,143)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Dividends paid to shareholders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(3,643,100)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(2,625,584)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Offering costs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cash received from common stock issued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315,308</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(69,226,196)</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57,573,083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(42,794,033)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11,798,558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45,799,672</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2,527,474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and cash equivalents at end of period</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3,005,639</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14,326,032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and non-cash financing cash flow information: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Taxes paid</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99,549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paid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681,052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80"/>
              <w:spacing w:after="0"/>
              <w:rPr>
                <w:sz w:val="20"/>
                <w:szCs w:val="20"/>
                <w:color w:val="auto"/>
              </w:rPr>
            </w:pPr>
            <w:r>
              <w:rPr>
                <w:rFonts w:ascii="Arial" w:cs="Arial" w:eastAsia="Arial" w:hAnsi="Arial"/>
                <w:sz w:val="16"/>
                <w:szCs w:val="16"/>
                <w:color w:val="auto"/>
              </w:rPr>
              <w:t>Non-cash portfolio purchases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23,959,450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Non-cash dividend reinvestments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15,923,964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17,649,435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 of</w:t>
            </w:r>
          </w:p>
        </w:tc>
        <w:tc>
          <w:tcPr>
            <w:tcW w:w="0" w:type="dxa"/>
            <w:vAlign w:val="bottom"/>
          </w:tcPr>
          <w:p>
            <w:pPr>
              <w:spacing w:after="0"/>
              <w:rPr>
                <w:sz w:val="1"/>
                <w:szCs w:val="1"/>
                <w:color w:val="auto"/>
              </w:rPr>
            </w:pPr>
          </w:p>
        </w:tc>
      </w:tr>
      <w:tr>
        <w:trPr>
          <w:trHeight w:val="121"/>
        </w:trPr>
        <w:tc>
          <w:tcPr>
            <w:tcW w:w="18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Acquisition</w:t>
            </w:r>
          </w:p>
        </w:tc>
        <w:tc>
          <w:tcPr>
            <w:tcW w:w="5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2"/>
              </w:rPr>
              <w:t>Principal/</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5"/>
        </w:trPr>
        <w:tc>
          <w:tcPr>
            <w:tcW w:w="1880" w:type="dxa"/>
            <w:vAlign w:val="bottom"/>
            <w:gridSpan w:val="2"/>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4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100" w:type="dxa"/>
            <w:vAlign w:val="bottom"/>
          </w:tcPr>
          <w:p>
            <w:pPr>
              <w:spacing w:after="0"/>
              <w:rPr>
                <w:sz w:val="11"/>
                <w:szCs w:val="11"/>
                <w:color w:val="auto"/>
              </w:rPr>
            </w:pPr>
          </w:p>
        </w:tc>
        <w:tc>
          <w:tcPr>
            <w:tcW w:w="1960" w:type="dxa"/>
            <w:vAlign w:val="bottom"/>
            <w:gridSpan w:val="2"/>
          </w:tcPr>
          <w:p>
            <w:pPr>
              <w:ind w:left="16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7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640" w:type="dxa"/>
            <w:vAlign w:val="bottom"/>
          </w:tcPr>
          <w:p>
            <w:pPr>
              <w:jc w:val="right"/>
              <w:ind w:right="166"/>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4"/>
          </w:tcPr>
          <w:p>
            <w:pPr>
              <w:ind w:left="80"/>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(2),(9)</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7"/>
              </w:rPr>
              <w:t>Assets</w:t>
            </w:r>
          </w:p>
        </w:tc>
        <w:tc>
          <w:tcPr>
            <w:tcW w:w="0" w:type="dxa"/>
            <w:vAlign w:val="bottom"/>
          </w:tcPr>
          <w:p>
            <w:pPr>
              <w:spacing w:after="0"/>
              <w:rPr>
                <w:sz w:val="1"/>
                <w:szCs w:val="1"/>
                <w:color w:val="auto"/>
              </w:rPr>
            </w:pPr>
          </w:p>
        </w:tc>
      </w:tr>
      <w:tr>
        <w:trPr>
          <w:trHeight w:val="102"/>
        </w:trPr>
        <w:tc>
          <w:tcPr>
            <w:tcW w:w="17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87"/>
              </w:rPr>
              <w:t>Non-control/non-affiliate investments</w:t>
            </w: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3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8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8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Hercules Capital, Inc.</w:t>
            </w:r>
          </w:p>
        </w:tc>
        <w:tc>
          <w:tcPr>
            <w:tcW w:w="14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Specialty Finance</w:t>
            </w: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0"/>
                <w:szCs w:val="10"/>
                <w:color w:val="auto"/>
              </w:rPr>
              <w:t xml:space="preserve">Common Stock </w:t>
            </w:r>
            <w:r>
              <w:rPr>
                <w:rFonts w:ascii="Arial" w:cs="Arial" w:eastAsia="Arial" w:hAnsi="Arial"/>
                <w:sz w:val="14"/>
                <w:szCs w:val="14"/>
                <w:color w:val="auto"/>
                <w:vertAlign w:val="superscript"/>
              </w:rPr>
              <w:t>(3)</w:t>
            </w:r>
          </w:p>
        </w:tc>
        <w:tc>
          <w:tcPr>
            <w:tcW w:w="70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3/19/2020  $</w:t>
            </w:r>
          </w:p>
        </w:tc>
        <w:tc>
          <w:tcPr>
            <w:tcW w:w="58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284,627</w:t>
            </w:r>
          </w:p>
        </w:tc>
        <w:tc>
          <w:tcPr>
            <w:tcW w:w="7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  1,978,455</w:t>
            </w:r>
          </w:p>
        </w:tc>
        <w:tc>
          <w:tcPr>
            <w:tcW w:w="18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2,980,045</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1"/>
                <w:szCs w:val="11"/>
                <w:color w:val="auto"/>
                <w:w w:val="93"/>
              </w:rPr>
              <w:t>0.77 %</w:t>
            </w:r>
          </w:p>
        </w:tc>
        <w:tc>
          <w:tcPr>
            <w:tcW w:w="0" w:type="dxa"/>
            <w:vAlign w:val="bottom"/>
          </w:tcPr>
          <w:p>
            <w:pPr>
              <w:spacing w:after="0"/>
              <w:rPr>
                <w:sz w:val="1"/>
                <w:szCs w:val="1"/>
                <w:color w:val="auto"/>
              </w:rPr>
            </w:pPr>
          </w:p>
        </w:tc>
      </w:tr>
      <w:tr>
        <w:trPr>
          <w:trHeight w:val="115"/>
        </w:trPr>
        <w:tc>
          <w:tcPr>
            <w:tcW w:w="188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Corporate Bond</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88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w w:val="98"/>
              </w:rPr>
              <w:t>TriplePoint Venture Growth BDC Corp.</w:t>
            </w:r>
          </w:p>
        </w:tc>
        <w:tc>
          <w:tcPr>
            <w:tcW w:w="142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rPr>
              <w:t>Specialty Finance</w:t>
            </w:r>
          </w:p>
        </w:tc>
        <w:tc>
          <w:tcPr>
            <w:tcW w:w="206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1"/>
                <w:szCs w:val="11"/>
                <w:color w:val="auto"/>
                <w:w w:val="94"/>
              </w:rPr>
              <w:t>Bonds, 5.75% Interest rate, due 7/15/2022</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3/23/2020</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13,227</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253,095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318,374</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ind w:left="340"/>
              <w:spacing w:after="0"/>
              <w:rPr>
                <w:sz w:val="20"/>
                <w:szCs w:val="20"/>
                <w:color w:val="auto"/>
              </w:rPr>
            </w:pPr>
            <w:r>
              <w:rPr>
                <w:rFonts w:ascii="Arial" w:cs="Arial" w:eastAsia="Arial" w:hAnsi="Arial"/>
                <w:sz w:val="11"/>
                <w:szCs w:val="11"/>
                <w:color w:val="auto"/>
              </w:rPr>
              <w:t>0.08</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7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8"/>
                <w:szCs w:val="8"/>
                <w:color w:val="auto"/>
              </w:rPr>
              <w:t>(3)</w:t>
            </w:r>
          </w:p>
        </w:tc>
        <w:tc>
          <w:tcPr>
            <w:tcW w:w="8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880" w:type="dxa"/>
            <w:vAlign w:val="bottom"/>
            <w:gridSpan w:val="2"/>
          </w:tcPr>
          <w:p>
            <w:pPr>
              <w:spacing w:after="0" w:line="115" w:lineRule="exact"/>
              <w:rPr>
                <w:sz w:val="20"/>
                <w:szCs w:val="20"/>
                <w:color w:val="auto"/>
              </w:rPr>
            </w:pPr>
            <w:r>
              <w:rPr>
                <w:rFonts w:ascii="Arial" w:cs="Arial" w:eastAsia="Arial" w:hAnsi="Arial"/>
                <w:sz w:val="9"/>
                <w:szCs w:val="9"/>
                <w:b w:val="1"/>
                <w:bCs w:val="1"/>
                <w:color w:val="auto"/>
              </w:rPr>
              <w:t>Senior Secured Term Loans</w:t>
            </w:r>
            <w:r>
              <w:rPr>
                <w:rFonts w:ascii="Arial" w:cs="Arial" w:eastAsia="Arial" w:hAnsi="Arial"/>
                <w:sz w:val="13"/>
                <w:szCs w:val="13"/>
                <w:b w:val="1"/>
                <w:bCs w:val="1"/>
                <w:color w:val="auto"/>
                <w:vertAlign w:val="superscript"/>
              </w:rPr>
              <w:t>(14)</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Aria Systems,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 LIBOR+9.00%, 11.35%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4.50% ETP, due 12/15/2021</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6/29/2018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25,000,000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25,309,091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25,285,607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6.51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9"/>
              </w:rPr>
              <w:t>Tranche II: LIBOR+9.00%, 11.35%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4.50% ETP, due 12/15/2021</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3/31/2020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2,500,000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2,514,959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2,528,561</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0.65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Brilliant Earth, LLC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Internet Retail</w:t>
            </w:r>
          </w:p>
        </w:tc>
        <w:tc>
          <w:tcPr>
            <w:tcW w:w="10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LIBOR+8.25%, 10.40% floor, 4.50%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due 4/15/2023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9/30/2019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35,000,000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34,245,748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34,029,441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8.76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tcPr>
          <w:p>
            <w:pPr>
              <w:spacing w:after="0" w:line="112" w:lineRule="exact"/>
              <w:rPr>
                <w:sz w:val="20"/>
                <w:szCs w:val="20"/>
                <w:color w:val="auto"/>
              </w:rPr>
            </w:pPr>
            <w:r>
              <w:rPr>
                <w:rFonts w:ascii="Arial" w:cs="Arial" w:eastAsia="Arial" w:hAnsi="Arial"/>
                <w:sz w:val="11"/>
                <w:szCs w:val="11"/>
                <w:color w:val="auto"/>
              </w:rPr>
              <w:t>Circadence Corporation</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tcPr>
          <w:p>
            <w:pPr>
              <w:spacing w:after="0"/>
              <w:rPr>
                <w:sz w:val="9"/>
                <w:szCs w:val="9"/>
                <w:color w:val="auto"/>
              </w:rPr>
            </w:pPr>
          </w:p>
        </w:tc>
        <w:tc>
          <w:tcPr>
            <w:tcW w:w="196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4"/>
              </w:rPr>
              <w:t>LIBOR+9.50%, 12.00% floor, 6.50%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due 12/15/2022</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12/20/2018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w w:val="90"/>
              </w:rPr>
              <w:t>18,000,000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15,984,353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15,645,479</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4.03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8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CloudPay Solutions Ltd.</w:t>
            </w:r>
          </w:p>
        </w:tc>
        <w:tc>
          <w:tcPr>
            <w:tcW w:w="142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rPr>
              <w:t>Human Resource &amp;</w:t>
            </w:r>
          </w:p>
        </w:tc>
        <w:tc>
          <w:tcPr>
            <w:tcW w:w="206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1"/>
                <w:szCs w:val="11"/>
                <w:color w:val="auto"/>
                <w:w w:val="98"/>
              </w:rPr>
              <w:t>LIBOR+9.50%, 1.25% PIK, 11.25%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Employment Services</w:t>
            </w:r>
          </w:p>
        </w:tc>
        <w:tc>
          <w:tcPr>
            <w:tcW w:w="2060" w:type="dxa"/>
            <w:vAlign w:val="bottom"/>
            <w:gridSpan w:val="3"/>
            <w:shd w:val="clear" w:color="auto" w:fill="CCEEFF"/>
          </w:tcPr>
          <w:p>
            <w:pPr>
              <w:ind w:left="80"/>
              <w:spacing w:after="0" w:line="132" w:lineRule="exact"/>
              <w:rPr>
                <w:sz w:val="20"/>
                <w:szCs w:val="20"/>
                <w:color w:val="auto"/>
              </w:rPr>
            </w:pPr>
            <w:r>
              <w:rPr>
                <w:rFonts w:ascii="Arial" w:cs="Arial" w:eastAsia="Arial" w:hAnsi="Arial"/>
                <w:sz w:val="10"/>
                <w:szCs w:val="10"/>
                <w:color w:val="auto"/>
              </w:rPr>
              <w:t xml:space="preserve">3.00% ETP, due 12/15/2023 </w:t>
            </w:r>
            <w:r>
              <w:rPr>
                <w:rFonts w:ascii="Arial" w:cs="Arial" w:eastAsia="Arial" w:hAnsi="Arial"/>
                <w:sz w:val="15"/>
                <w:szCs w:val="15"/>
                <w:color w:val="auto"/>
                <w:vertAlign w:val="superscript"/>
              </w:rPr>
              <w:t>(4),(13)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6/30/2020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25,000,000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24,433,513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24,433,513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6.29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80" w:type="dxa"/>
            <w:vAlign w:val="bottom"/>
            <w:gridSpan w:val="2"/>
          </w:tcPr>
          <w:p>
            <w:pPr>
              <w:spacing w:after="0" w:line="111" w:lineRule="exact"/>
              <w:rPr>
                <w:sz w:val="20"/>
                <w:szCs w:val="20"/>
                <w:color w:val="auto"/>
              </w:rPr>
            </w:pPr>
            <w:r>
              <w:rPr>
                <w:rFonts w:ascii="Arial" w:cs="Arial" w:eastAsia="Arial" w:hAnsi="Arial"/>
                <w:sz w:val="11"/>
                <w:szCs w:val="11"/>
                <w:color w:val="auto"/>
              </w:rPr>
              <w:t>CloudPassage, Inc.</w:t>
            </w:r>
          </w:p>
        </w:tc>
        <w:tc>
          <w:tcPr>
            <w:tcW w:w="1420" w:type="dxa"/>
            <w:vAlign w:val="bottom"/>
            <w:gridSpan w:val="2"/>
          </w:tcPr>
          <w:p>
            <w:pPr>
              <w:ind w:left="80"/>
              <w:spacing w:after="0" w:line="111" w:lineRule="exact"/>
              <w:rPr>
                <w:sz w:val="20"/>
                <w:szCs w:val="20"/>
                <w:color w:val="auto"/>
              </w:rPr>
            </w:pPr>
            <w:r>
              <w:rPr>
                <w:rFonts w:ascii="Arial" w:cs="Arial" w:eastAsia="Arial" w:hAnsi="Arial"/>
                <w:sz w:val="11"/>
                <w:szCs w:val="11"/>
                <w:color w:val="auto"/>
                <w:w w:val="87"/>
              </w:rPr>
              <w:t>Data Processing &amp; Outsourced</w:t>
            </w:r>
          </w:p>
        </w:tc>
        <w:tc>
          <w:tcPr>
            <w:tcW w:w="2060" w:type="dxa"/>
            <w:vAlign w:val="bottom"/>
            <w:gridSpan w:val="3"/>
          </w:tcPr>
          <w:p>
            <w:pPr>
              <w:ind w:left="80"/>
              <w:spacing w:after="0" w:line="111" w:lineRule="exact"/>
              <w:rPr>
                <w:sz w:val="20"/>
                <w:szCs w:val="20"/>
                <w:color w:val="auto"/>
              </w:rPr>
            </w:pPr>
            <w:r>
              <w:rPr>
                <w:rFonts w:ascii="Arial" w:cs="Arial" w:eastAsia="Arial" w:hAnsi="Arial"/>
                <w:sz w:val="11"/>
                <w:szCs w:val="11"/>
                <w:color w:val="auto"/>
                <w:w w:val="98"/>
              </w:rPr>
              <w:t>LIBOR+7.50%, 1.00% PIK, 10.00%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2"/>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3"/>
          </w:tcPr>
          <w:p>
            <w:pPr>
              <w:ind w:left="80"/>
              <w:spacing w:after="0" w:line="132" w:lineRule="exact"/>
              <w:rPr>
                <w:sz w:val="20"/>
                <w:szCs w:val="20"/>
                <w:color w:val="auto"/>
              </w:rPr>
            </w:pPr>
            <w:r>
              <w:rPr>
                <w:rFonts w:ascii="Arial" w:cs="Arial" w:eastAsia="Arial" w:hAnsi="Arial"/>
                <w:sz w:val="10"/>
                <w:szCs w:val="10"/>
                <w:color w:val="auto"/>
              </w:rPr>
              <w:t xml:space="preserve">2.75% ETP, due 6/13/2023 </w:t>
            </w:r>
            <w:r>
              <w:rPr>
                <w:rFonts w:ascii="Arial" w:cs="Arial" w:eastAsia="Arial" w:hAnsi="Arial"/>
                <w:sz w:val="15"/>
                <w:szCs w:val="15"/>
                <w:color w:val="auto"/>
                <w:vertAlign w:val="superscript"/>
              </w:rPr>
              <w:t>(4)</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6/13/2019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7,577,027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7,406,865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7,334,042</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1.89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Credit Sesame,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Specialized Consumer</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 LIBOR+8.35%, 10.25%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2.50% ETP, due 12/15/2023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1/7/2020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35,000,000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34,368,192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33,877,426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8.73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6"/>
              </w:rPr>
              <w:t>Tranche II: LIBOR+8.35% , 2.00% PIK on</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60" w:type="dxa"/>
            <w:vAlign w:val="bottom"/>
            <w:gridSpan w:val="3"/>
          </w:tcPr>
          <w:p>
            <w:pPr>
              <w:ind w:left="80"/>
              <w:spacing w:after="0" w:line="121" w:lineRule="exact"/>
              <w:rPr>
                <w:sz w:val="20"/>
                <w:szCs w:val="20"/>
                <w:color w:val="auto"/>
              </w:rPr>
            </w:pPr>
            <w:r>
              <w:rPr>
                <w:rFonts w:ascii="Arial" w:cs="Arial" w:eastAsia="Arial" w:hAnsi="Arial"/>
                <w:sz w:val="11"/>
                <w:szCs w:val="11"/>
                <w:color w:val="auto"/>
                <w:w w:val="94"/>
              </w:rPr>
              <w:t>overadvance, 10.25% floor, due 5/15/2023</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1/7/2020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9,427,751</w:t>
            </w:r>
          </w:p>
        </w:tc>
        <w:tc>
          <w:tcPr>
            <w:tcW w:w="720" w:type="dxa"/>
            <w:vAlign w:val="bottom"/>
            <w:gridSpan w:val="2"/>
            <w:vMerge w:val="restart"/>
          </w:tcPr>
          <w:p>
            <w:pPr>
              <w:jc w:val="right"/>
              <w:spacing w:after="0"/>
              <w:rPr>
                <w:sz w:val="20"/>
                <w:szCs w:val="20"/>
                <w:color w:val="auto"/>
              </w:rPr>
            </w:pPr>
            <w:r>
              <w:rPr>
                <w:rFonts w:ascii="Arial" w:cs="Arial" w:eastAsia="Arial" w:hAnsi="Arial"/>
                <w:sz w:val="11"/>
                <w:szCs w:val="11"/>
                <w:color w:val="auto"/>
              </w:rPr>
              <w:t>9,427,751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9,125,370</w:t>
            </w:r>
          </w:p>
        </w:tc>
        <w:tc>
          <w:tcPr>
            <w:tcW w:w="80" w:type="dxa"/>
            <w:vAlign w:val="bottom"/>
          </w:tcPr>
          <w:p>
            <w:pPr>
              <w:spacing w:after="0"/>
              <w:rPr>
                <w:sz w:val="10"/>
                <w:szCs w:val="10"/>
                <w:color w:val="auto"/>
              </w:rPr>
            </w:pPr>
          </w:p>
        </w:tc>
        <w:tc>
          <w:tcPr>
            <w:tcW w:w="580" w:type="dxa"/>
            <w:vAlign w:val="bottom"/>
            <w:vMerge w:val="restart"/>
          </w:tcPr>
          <w:p>
            <w:pPr>
              <w:ind w:left="340"/>
              <w:spacing w:after="0"/>
              <w:rPr>
                <w:sz w:val="20"/>
                <w:szCs w:val="20"/>
                <w:color w:val="auto"/>
              </w:rPr>
            </w:pPr>
            <w:r>
              <w:rPr>
                <w:rFonts w:ascii="Arial" w:cs="Arial" w:eastAsia="Arial" w:hAnsi="Arial"/>
                <w:sz w:val="11"/>
                <w:szCs w:val="11"/>
                <w:color w:val="auto"/>
              </w:rPr>
              <w:t>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980" w:type="dxa"/>
            <w:vAlign w:val="bottom"/>
            <w:gridSpan w:val="2"/>
          </w:tcPr>
          <w:p>
            <w:pPr>
              <w:ind w:left="80"/>
              <w:spacing w:after="0"/>
              <w:rPr>
                <w:sz w:val="20"/>
                <w:szCs w:val="20"/>
                <w:color w:val="auto"/>
              </w:rPr>
            </w:pPr>
            <w:r>
              <w:rPr>
                <w:rFonts w:ascii="Arial" w:cs="Arial" w:eastAsia="Arial" w:hAnsi="Arial"/>
                <w:sz w:val="8"/>
                <w:szCs w:val="8"/>
                <w:color w:val="auto"/>
              </w:rPr>
              <w:t>(4)</w:t>
            </w: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Dejero Labs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System Software</w:t>
            </w:r>
          </w:p>
        </w:tc>
        <w:tc>
          <w:tcPr>
            <w:tcW w:w="10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LIBOR+9.25%, 11.75% floor, 4.50%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due 5/31/2023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5/31/2019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11,000,000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10,925,114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10,939,451</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tcPr>
          <w:p>
            <w:pPr>
              <w:spacing w:after="0" w:line="112" w:lineRule="exact"/>
              <w:rPr>
                <w:sz w:val="20"/>
                <w:szCs w:val="20"/>
                <w:color w:val="auto"/>
              </w:rPr>
            </w:pPr>
            <w:r>
              <w:rPr>
                <w:rFonts w:ascii="Arial" w:cs="Arial" w:eastAsia="Arial" w:hAnsi="Arial"/>
                <w:sz w:val="11"/>
                <w:szCs w:val="11"/>
                <w:color w:val="auto"/>
              </w:rPr>
              <w:t>Dtex Systems,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tcPr>
          <w:p>
            <w:pPr>
              <w:spacing w:after="0"/>
              <w:rPr>
                <w:sz w:val="9"/>
                <w:szCs w:val="9"/>
                <w:color w:val="auto"/>
              </w:rPr>
            </w:pPr>
          </w:p>
        </w:tc>
        <w:tc>
          <w:tcPr>
            <w:tcW w:w="196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4"/>
              </w:rPr>
              <w:t>LIBOR+9.15%, 11.50% floor, 5.00%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due 11/15/2021</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7,473,782</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7,679,478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7,620,375</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1.96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Echo 360 Holdings,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 LIBOR+9.25%, 12.05%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4.00% ETP, due 5/3/2023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14,000,000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13,923,733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13,935,777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9"/>
              </w:rPr>
              <w:t>Tranche II: LIBOR+9.25%, 12.05%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4.00% ETP, due 5/3/2023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3,000,000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3,000,839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2,986,238</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0.77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INRIX,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7"/>
              </w:rPr>
              <w:t>Internet Software and Services</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 LIBOR+8.00%, 10.50%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2.50% ETP, due 7/15/2023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7/26/2019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20,000,000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19,745,008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19,286,783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4.97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9"/>
              </w:rPr>
              <w:t>Tranche II: LIBOR+8.00%, 10.50%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2.50% ETP, due 7/15/2023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7/26/2019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w w:val="90"/>
              </w:rPr>
              <w:t>10,000,000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9,756,212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9,643,392</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Intact Vascular,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Health Care Supplies</w:t>
            </w:r>
          </w:p>
        </w:tc>
        <w:tc>
          <w:tcPr>
            <w:tcW w:w="10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7"/>
              </w:rPr>
              <w:t>LIBOR+9.50%, 9.97% floor, 1.75%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due 6/25/2024</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6/25/2020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15,000,000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14,829,522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14,829,522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3.82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tcPr>
          <w:p>
            <w:pPr>
              <w:spacing w:after="0" w:line="112" w:lineRule="exact"/>
              <w:rPr>
                <w:sz w:val="20"/>
                <w:szCs w:val="20"/>
                <w:color w:val="auto"/>
              </w:rPr>
            </w:pPr>
            <w:r>
              <w:rPr>
                <w:rFonts w:ascii="Arial" w:cs="Arial" w:eastAsia="Arial" w:hAnsi="Arial"/>
                <w:sz w:val="11"/>
                <w:szCs w:val="11"/>
                <w:color w:val="auto"/>
              </w:rPr>
              <w:t>Longtail Ad Solutions, Inc. (dba JW</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7"/>
              </w:rPr>
              <w:t>Internet Software and Services</w:t>
            </w:r>
          </w:p>
        </w:tc>
        <w:tc>
          <w:tcPr>
            <w:tcW w:w="100" w:type="dxa"/>
            <w:vAlign w:val="bottom"/>
          </w:tcPr>
          <w:p>
            <w:pPr>
              <w:spacing w:after="0"/>
              <w:rPr>
                <w:sz w:val="9"/>
                <w:szCs w:val="9"/>
                <w:color w:val="auto"/>
              </w:rPr>
            </w:pPr>
          </w:p>
        </w:tc>
        <w:tc>
          <w:tcPr>
            <w:tcW w:w="196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4"/>
              </w:rPr>
              <w:t>LIBOR+8.75%, 10.75% floor, 3.00%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80" w:type="dxa"/>
            <w:vAlign w:val="bottom"/>
            <w:gridSpan w:val="2"/>
          </w:tcPr>
          <w:p>
            <w:pPr>
              <w:spacing w:after="0"/>
              <w:rPr>
                <w:sz w:val="20"/>
                <w:szCs w:val="20"/>
                <w:color w:val="auto"/>
              </w:rPr>
            </w:pPr>
            <w:r>
              <w:rPr>
                <w:rFonts w:ascii="Arial" w:cs="Arial" w:eastAsia="Arial" w:hAnsi="Arial"/>
                <w:sz w:val="11"/>
                <w:szCs w:val="11"/>
                <w:color w:val="auto"/>
              </w:rPr>
              <w:t>Player)</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due 6/15/2023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12/12/2019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w w:val="90"/>
              </w:rPr>
              <w:t>30,000,000</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29,848,597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29,902,702</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7.70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88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Massdrop, Inc.</w:t>
            </w:r>
          </w:p>
        </w:tc>
        <w:tc>
          <w:tcPr>
            <w:tcW w:w="142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w w:val="89"/>
              </w:rPr>
              <w:t>Computer &amp; Electronics Retail</w:t>
            </w:r>
          </w:p>
        </w:tc>
        <w:tc>
          <w:tcPr>
            <w:tcW w:w="206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1"/>
                <w:szCs w:val="11"/>
                <w:color w:val="auto"/>
                <w:w w:val="99"/>
              </w:rPr>
              <w:t>LIBOR+8.25% PIK, 10.65% floor, 4.00%</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line="132" w:lineRule="exact"/>
              <w:rPr>
                <w:sz w:val="20"/>
                <w:szCs w:val="20"/>
                <w:color w:val="auto"/>
              </w:rPr>
            </w:pPr>
            <w:r>
              <w:rPr>
                <w:rFonts w:ascii="Arial" w:cs="Arial" w:eastAsia="Arial" w:hAnsi="Arial"/>
                <w:sz w:val="10"/>
                <w:szCs w:val="10"/>
                <w:color w:val="auto"/>
              </w:rPr>
              <w:t xml:space="preserve">ETP, due 1/15/2023 </w:t>
            </w:r>
            <w:r>
              <w:rPr>
                <w:rFonts w:ascii="Arial" w:cs="Arial" w:eastAsia="Arial" w:hAnsi="Arial"/>
                <w:sz w:val="15"/>
                <w:szCs w:val="15"/>
                <w:color w:val="auto"/>
                <w:vertAlign w:val="superscript"/>
              </w:rPr>
              <w:t>(4)</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7/22/2019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17,660,490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17,574,953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17,261,165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4.45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880" w:type="dxa"/>
            <w:vAlign w:val="bottom"/>
            <w:gridSpan w:val="2"/>
          </w:tcPr>
          <w:p>
            <w:pPr>
              <w:spacing w:after="0" w:line="112" w:lineRule="exact"/>
              <w:rPr>
                <w:sz w:val="20"/>
                <w:szCs w:val="20"/>
                <w:color w:val="auto"/>
              </w:rPr>
            </w:pPr>
            <w:r>
              <w:rPr>
                <w:rFonts w:ascii="Arial" w:cs="Arial" w:eastAsia="Arial" w:hAnsi="Arial"/>
                <w:sz w:val="11"/>
                <w:szCs w:val="11"/>
                <w:color w:val="auto"/>
              </w:rPr>
              <w:t>Mingle Healthcare Solutions,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Health Care Technology</w:t>
            </w:r>
          </w:p>
        </w:tc>
        <w:tc>
          <w:tcPr>
            <w:tcW w:w="100" w:type="dxa"/>
            <w:vAlign w:val="bottom"/>
          </w:tcPr>
          <w:p>
            <w:pPr>
              <w:spacing w:after="0"/>
              <w:rPr>
                <w:sz w:val="9"/>
                <w:szCs w:val="9"/>
                <w:color w:val="auto"/>
              </w:rPr>
            </w:pPr>
          </w:p>
        </w:tc>
        <w:tc>
          <w:tcPr>
            <w:tcW w:w="196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4"/>
              </w:rPr>
              <w:t>LIBOR+9.50%, 11.75% floor, 4.00%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due 8/15/2022</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8/15/2018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4,416,667</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4,546,842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4,546,842</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22"/>
        </w:trPr>
        <w:tc>
          <w:tcPr>
            <w:tcW w:w="1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3"/>
              </w:rPr>
              <w:t>Acquisition</w:t>
            </w:r>
          </w:p>
        </w:tc>
        <w:tc>
          <w:tcPr>
            <w:tcW w:w="8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Principal/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5"/>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60" w:type="dxa"/>
            <w:vAlign w:val="bottom"/>
          </w:tcPr>
          <w:p>
            <w:pPr>
              <w:spacing w:after="0"/>
              <w:rPr>
                <w:sz w:val="11"/>
                <w:szCs w:val="11"/>
                <w:color w:val="auto"/>
              </w:rPr>
            </w:pPr>
          </w:p>
        </w:tc>
        <w:tc>
          <w:tcPr>
            <w:tcW w:w="1980" w:type="dxa"/>
            <w:vAlign w:val="bottom"/>
            <w:gridSpan w:val="2"/>
          </w:tcPr>
          <w:p>
            <w:pPr>
              <w:ind w:left="18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64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780" w:type="dxa"/>
            <w:vAlign w:val="bottom"/>
            <w:gridSpan w:val="3"/>
          </w:tcPr>
          <w:p>
            <w:pPr>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(2),(9)</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7"/>
              </w:rPr>
              <w:t>Assets</w:t>
            </w:r>
          </w:p>
        </w:tc>
        <w:tc>
          <w:tcPr>
            <w:tcW w:w="0" w:type="dxa"/>
            <w:vAlign w:val="bottom"/>
          </w:tcPr>
          <w:p>
            <w:pPr>
              <w:spacing w:after="0"/>
              <w:rPr>
                <w:sz w:val="1"/>
                <w:szCs w:val="1"/>
                <w:color w:val="auto"/>
              </w:rPr>
            </w:pP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6"/>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900" w:type="dxa"/>
            <w:vAlign w:val="bottom"/>
            <w:gridSpan w:val="3"/>
          </w:tcPr>
          <w:p>
            <w:pPr>
              <w:spacing w:after="0" w:line="102" w:lineRule="exact"/>
              <w:rPr>
                <w:sz w:val="20"/>
                <w:szCs w:val="20"/>
                <w:color w:val="auto"/>
              </w:rPr>
            </w:pPr>
            <w:r>
              <w:rPr>
                <w:rFonts w:ascii="Arial" w:cs="Arial" w:eastAsia="Arial" w:hAnsi="Arial"/>
                <w:sz w:val="8"/>
                <w:szCs w:val="8"/>
                <w:b w:val="1"/>
                <w:bCs w:val="1"/>
                <w:color w:val="auto"/>
              </w:rPr>
              <w:t>Senior Secured Term Loans</w:t>
            </w:r>
            <w:r>
              <w:rPr>
                <w:rFonts w:ascii="Arial" w:cs="Arial" w:eastAsia="Arial" w:hAnsi="Arial"/>
                <w:sz w:val="11"/>
                <w:szCs w:val="11"/>
                <w:b w:val="1"/>
                <w:bCs w:val="1"/>
                <w:color w:val="auto"/>
                <w:vertAlign w:val="superscript"/>
              </w:rPr>
              <w:t>(14)</w:t>
            </w: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(continued)</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00" w:type="dxa"/>
            <w:vAlign w:val="bottom"/>
            <w:gridSpan w:val="3"/>
            <w:shd w:val="clear" w:color="auto" w:fill="CCEEFF"/>
          </w:tcPr>
          <w:p>
            <w:pPr>
              <w:spacing w:after="0" w:line="111" w:lineRule="exact"/>
              <w:rPr>
                <w:sz w:val="20"/>
                <w:szCs w:val="20"/>
                <w:color w:val="auto"/>
              </w:rPr>
            </w:pPr>
            <w:r>
              <w:rPr>
                <w:rFonts w:ascii="Arial" w:cs="Arial" w:eastAsia="Arial" w:hAnsi="Arial"/>
                <w:sz w:val="11"/>
                <w:szCs w:val="11"/>
                <w:color w:val="auto"/>
              </w:rPr>
              <w:t>Mojix, Inc.</w:t>
            </w:r>
          </w:p>
        </w:tc>
        <w:tc>
          <w:tcPr>
            <w:tcW w:w="1440" w:type="dxa"/>
            <w:vAlign w:val="bottom"/>
            <w:gridSpan w:val="2"/>
            <w:shd w:val="clear" w:color="auto" w:fill="CCEEFF"/>
          </w:tcPr>
          <w:p>
            <w:pPr>
              <w:ind w:left="60"/>
              <w:spacing w:after="0" w:line="111" w:lineRule="exact"/>
              <w:rPr>
                <w:sz w:val="20"/>
                <w:szCs w:val="20"/>
                <w:color w:val="auto"/>
              </w:rPr>
            </w:pPr>
            <w:r>
              <w:rPr>
                <w:rFonts w:ascii="Arial" w:cs="Arial" w:eastAsia="Arial" w:hAnsi="Arial"/>
                <w:sz w:val="11"/>
                <w:szCs w:val="11"/>
                <w:color w:val="auto"/>
              </w:rPr>
              <w:t>Application Software</w:t>
            </w:r>
          </w:p>
        </w:tc>
        <w:tc>
          <w:tcPr>
            <w:tcW w:w="204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1"/>
                <w:szCs w:val="11"/>
                <w:color w:val="auto"/>
              </w:rPr>
              <w:t>Tranche I: LIBOR+12.00% PIK, 12.00%</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0"/>
                <w:szCs w:val="10"/>
                <w:color w:val="auto"/>
              </w:rPr>
              <w:t xml:space="preserve">Floor, 5% ETP, due 5/15/2021 </w:t>
            </w:r>
            <w:r>
              <w:rPr>
                <w:rFonts w:ascii="Arial" w:cs="Arial" w:eastAsia="Arial" w:hAnsi="Arial"/>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5/16/2017</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  6,519,240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6,502,036</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4,885,371</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2.10 %</w:t>
            </w: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11" w:lineRule="exact"/>
              <w:rPr>
                <w:sz w:val="20"/>
                <w:szCs w:val="20"/>
                <w:color w:val="auto"/>
              </w:rPr>
            </w:pPr>
            <w:r>
              <w:rPr>
                <w:rFonts w:ascii="Arial" w:cs="Arial" w:eastAsia="Arial" w:hAnsi="Arial"/>
                <w:sz w:val="11"/>
                <w:szCs w:val="11"/>
                <w:color w:val="auto"/>
                <w:w w:val="99"/>
              </w:rPr>
              <w:t>Tranche II: LIBOR+12% PIK, 11%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2" w:lineRule="exact"/>
              <w:rPr>
                <w:sz w:val="20"/>
                <w:szCs w:val="20"/>
                <w:color w:val="auto"/>
              </w:rPr>
            </w:pPr>
            <w:r>
              <w:rPr>
                <w:rFonts w:ascii="Arial" w:cs="Arial" w:eastAsia="Arial" w:hAnsi="Arial"/>
                <w:sz w:val="10"/>
                <w:szCs w:val="10"/>
                <w:color w:val="auto"/>
              </w:rPr>
              <w:t xml:space="preserve">5% ETP, due 05/15/2021 </w:t>
            </w:r>
            <w:r>
              <w:rPr>
                <w:rFonts w:ascii="Arial" w:cs="Arial" w:eastAsia="Arial" w:hAnsi="Arial"/>
                <w:sz w:val="15"/>
                <w:szCs w:val="15"/>
                <w:color w:val="auto"/>
                <w:vertAlign w:val="superscript"/>
              </w:rPr>
              <w:t>(4)</w:t>
            </w:r>
          </w:p>
        </w:tc>
        <w:tc>
          <w:tcPr>
            <w:tcW w:w="540" w:type="dxa"/>
            <w:vAlign w:val="bottom"/>
          </w:tcPr>
          <w:p>
            <w:pPr>
              <w:jc w:val="right"/>
              <w:spacing w:after="0"/>
              <w:rPr>
                <w:sz w:val="20"/>
                <w:szCs w:val="20"/>
                <w:color w:val="auto"/>
              </w:rPr>
            </w:pPr>
            <w:r>
              <w:rPr>
                <w:rFonts w:ascii="Arial" w:cs="Arial" w:eastAsia="Arial" w:hAnsi="Arial"/>
                <w:sz w:val="11"/>
                <w:szCs w:val="11"/>
                <w:color w:val="auto"/>
              </w:rPr>
              <w:t>8/3/2017</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2,173,080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2,170,069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1,628,457</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1"/>
                <w:szCs w:val="11"/>
                <w:color w:val="auto"/>
                <w:w w:val="97"/>
              </w:rPr>
              <w:t>Tranche III: LIBOR+12% PIK, 11%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0"/>
                <w:szCs w:val="10"/>
                <w:color w:val="auto"/>
              </w:rPr>
              <w:t xml:space="preserve">5% ETP, due 05/15/2021 </w:t>
            </w:r>
            <w:r>
              <w:rPr>
                <w:rFonts w:ascii="Arial" w:cs="Arial" w:eastAsia="Arial" w:hAnsi="Arial"/>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7/6/2018</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542,721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543,783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406,703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11" w:lineRule="exact"/>
              <w:rPr>
                <w:sz w:val="20"/>
                <w:szCs w:val="20"/>
                <w:color w:val="auto"/>
              </w:rPr>
            </w:pPr>
            <w:r>
              <w:rPr>
                <w:rFonts w:ascii="Arial" w:cs="Arial" w:eastAsia="Arial" w:hAnsi="Arial"/>
                <w:sz w:val="11"/>
                <w:szCs w:val="11"/>
                <w:color w:val="auto"/>
                <w:w w:val="97"/>
              </w:rPr>
              <w:t>Tranche IV: LIBOR+12% PIK, 11%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2" w:lineRule="exact"/>
              <w:rPr>
                <w:sz w:val="20"/>
                <w:szCs w:val="20"/>
                <w:color w:val="auto"/>
              </w:rPr>
            </w:pPr>
            <w:r>
              <w:rPr>
                <w:rFonts w:ascii="Arial" w:cs="Arial" w:eastAsia="Arial" w:hAnsi="Arial"/>
                <w:sz w:val="10"/>
                <w:szCs w:val="10"/>
                <w:color w:val="auto"/>
              </w:rPr>
              <w:t xml:space="preserve">5% ETP, due 05/15/2021 </w:t>
            </w:r>
            <w:r>
              <w:rPr>
                <w:rFonts w:ascii="Arial" w:cs="Arial" w:eastAsia="Arial" w:hAnsi="Arial"/>
                <w:sz w:val="15"/>
                <w:szCs w:val="15"/>
                <w:color w:val="auto"/>
                <w:vertAlign w:val="superscript"/>
              </w:rPr>
              <w:t>(4)</w:t>
            </w:r>
          </w:p>
        </w:tc>
        <w:tc>
          <w:tcPr>
            <w:tcW w:w="540" w:type="dxa"/>
            <w:vAlign w:val="bottom"/>
          </w:tcPr>
          <w:p>
            <w:pPr>
              <w:jc w:val="right"/>
              <w:spacing w:after="0"/>
              <w:rPr>
                <w:sz w:val="20"/>
                <w:szCs w:val="20"/>
                <w:color w:val="auto"/>
              </w:rPr>
            </w:pPr>
            <w:r>
              <w:rPr>
                <w:rFonts w:ascii="Arial" w:cs="Arial" w:eastAsia="Arial" w:hAnsi="Arial"/>
                <w:sz w:val="11"/>
                <w:szCs w:val="11"/>
                <w:color w:val="auto"/>
              </w:rPr>
              <w:t>9/5/2018</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541,964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542,215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406,135</w:t>
            </w:r>
          </w:p>
        </w:tc>
        <w:tc>
          <w:tcPr>
            <w:tcW w:w="8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1"/>
                <w:szCs w:val="11"/>
                <w:color w:val="auto"/>
                <w:w w:val="98"/>
              </w:rPr>
              <w:t>Tranche V: LIBOR+12% PIK, 11%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0"/>
                <w:szCs w:val="10"/>
                <w:color w:val="auto"/>
              </w:rPr>
              <w:t xml:space="preserve">5% ETP, due 05/15/2021 </w:t>
            </w:r>
            <w:r>
              <w:rPr>
                <w:rFonts w:ascii="Arial" w:cs="Arial" w:eastAsia="Arial" w:hAnsi="Arial"/>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1/28/2019</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1,079,293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1,073,081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808,798</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1"/>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11" w:lineRule="exact"/>
              <w:rPr>
                <w:sz w:val="20"/>
                <w:szCs w:val="20"/>
                <w:color w:val="auto"/>
              </w:rPr>
            </w:pPr>
            <w:r>
              <w:rPr>
                <w:rFonts w:ascii="Arial" w:cs="Arial" w:eastAsia="Arial" w:hAnsi="Arial"/>
                <w:sz w:val="11"/>
                <w:szCs w:val="11"/>
                <w:color w:val="auto"/>
                <w:w w:val="97"/>
              </w:rPr>
              <w:t>Tranche VI: LIBOR+12.00% PIK, 10.50%</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2" w:lineRule="exact"/>
              <w:rPr>
                <w:sz w:val="20"/>
                <w:szCs w:val="20"/>
                <w:color w:val="auto"/>
              </w:rPr>
            </w:pPr>
            <w:r>
              <w:rPr>
                <w:rFonts w:ascii="Arial" w:cs="Arial" w:eastAsia="Arial" w:hAnsi="Arial"/>
                <w:sz w:val="10"/>
                <w:szCs w:val="10"/>
                <w:color w:val="auto"/>
              </w:rPr>
              <w:t xml:space="preserve">floor, due 9/30/20 </w:t>
            </w:r>
            <w:r>
              <w:rPr>
                <w:rFonts w:ascii="Arial" w:cs="Arial" w:eastAsia="Arial" w:hAnsi="Arial"/>
                <w:sz w:val="15"/>
                <w:szCs w:val="15"/>
                <w:color w:val="auto"/>
                <w:vertAlign w:val="superscript"/>
              </w:rPr>
              <w:t>(4)</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12/18/2019</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1,034,143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1,034,143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1,034,143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1"/>
                <w:szCs w:val="11"/>
                <w:color w:val="auto"/>
                <w:w w:val="96"/>
              </w:rPr>
              <w:t>Tranche VII: LIBOR+12.00% PIK, 10.50%</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line="132" w:lineRule="exact"/>
              <w:rPr>
                <w:sz w:val="20"/>
                <w:szCs w:val="20"/>
                <w:color w:val="auto"/>
              </w:rPr>
            </w:pPr>
            <w:r>
              <w:rPr>
                <w:rFonts w:ascii="Arial" w:cs="Arial" w:eastAsia="Arial" w:hAnsi="Arial"/>
                <w:sz w:val="10"/>
                <w:szCs w:val="10"/>
                <w:color w:val="auto"/>
              </w:rPr>
              <w:t xml:space="preserve">floor, due 9/30/20 </w:t>
            </w:r>
            <w:r>
              <w:rPr>
                <w:rFonts w:ascii="Arial" w:cs="Arial" w:eastAsia="Arial" w:hAnsi="Arial"/>
                <w:sz w:val="15"/>
                <w:szCs w:val="15"/>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5/1/2020</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3DNA Corp. (dba NationBuilder)</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2040" w:type="dxa"/>
            <w:vAlign w:val="bottom"/>
            <w:gridSpan w:val="3"/>
          </w:tcPr>
          <w:p>
            <w:pPr>
              <w:ind w:left="60"/>
              <w:spacing w:after="0" w:line="112" w:lineRule="exact"/>
              <w:rPr>
                <w:sz w:val="20"/>
                <w:szCs w:val="20"/>
                <w:color w:val="auto"/>
              </w:rPr>
            </w:pPr>
            <w:r>
              <w:rPr>
                <w:rFonts w:ascii="Arial" w:cs="Arial" w:eastAsia="Arial" w:hAnsi="Arial"/>
                <w:sz w:val="11"/>
                <w:szCs w:val="11"/>
                <w:color w:val="auto"/>
              </w:rPr>
              <w:t>Tranche I: LIBOR+9.00%, 11.50%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5.50% ETP, due 4/15/2023</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12/28/2018</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7,000,000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7,098,140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6,926,455</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2" w:lineRule="exact"/>
              <w:rPr>
                <w:sz w:val="20"/>
                <w:szCs w:val="20"/>
                <w:color w:val="auto"/>
              </w:rPr>
            </w:pPr>
            <w:r>
              <w:rPr>
                <w:rFonts w:ascii="Arial" w:cs="Arial" w:eastAsia="Arial" w:hAnsi="Arial"/>
                <w:sz w:val="11"/>
                <w:szCs w:val="11"/>
                <w:color w:val="auto"/>
                <w:w w:val="99"/>
              </w:rPr>
              <w:t>Tranche II: LIBOR+9.00%, 11.50%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5.50% ETP, due 4/15/2023</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6/12/2019</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507,874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494,747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Ouster,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89"/>
              </w:rPr>
              <w:t>Technology Hardware, Storage</w:t>
            </w:r>
          </w:p>
        </w:tc>
        <w:tc>
          <w:tcPr>
            <w:tcW w:w="60" w:type="dxa"/>
            <w:vAlign w:val="bottom"/>
          </w:tcPr>
          <w:p>
            <w:pPr>
              <w:spacing w:after="0"/>
              <w:rPr>
                <w:sz w:val="9"/>
                <w:szCs w:val="9"/>
                <w:color w:val="auto"/>
              </w:rPr>
            </w:pPr>
          </w:p>
        </w:tc>
        <w:tc>
          <w:tcPr>
            <w:tcW w:w="19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5"/>
              </w:rPr>
              <w:t>LIBOR+8.50%, 10.75% floor, 3.50% ETP,</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color w:val="auto"/>
              </w:rPr>
              <w:t>&amp; Peripherals</w:t>
            </w: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due 5/15/2021</w:t>
            </w:r>
          </w:p>
        </w:tc>
        <w:tc>
          <w:tcPr>
            <w:tcW w:w="540" w:type="dxa"/>
            <w:vAlign w:val="bottom"/>
          </w:tcPr>
          <w:p>
            <w:pPr>
              <w:jc w:val="right"/>
              <w:spacing w:after="0"/>
              <w:rPr>
                <w:sz w:val="20"/>
                <w:szCs w:val="20"/>
                <w:color w:val="auto"/>
              </w:rPr>
            </w:pPr>
            <w:r>
              <w:rPr>
                <w:rFonts w:ascii="Arial" w:cs="Arial" w:eastAsia="Arial" w:hAnsi="Arial"/>
                <w:sz w:val="11"/>
                <w:szCs w:val="11"/>
                <w:color w:val="auto"/>
                <w:w w:val="87"/>
              </w:rPr>
              <w:t>11/27/2018</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10,000,000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10,155,461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10,197,534</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Pivot3,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0"/>
              </w:rPr>
              <w:t>Data Processing &amp; Outsourced</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5"/>
              </w:rPr>
              <w:t>LIBOR+8.50%, 11.00% floor, 4.00% ETP,</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Services</w:t>
            </w: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due 11/15/2022</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5/13/2019</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20,095,655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19,229,290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Scale Computing,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System Software</w:t>
            </w:r>
          </w:p>
        </w:tc>
        <w:tc>
          <w:tcPr>
            <w:tcW w:w="60" w:type="dxa"/>
            <w:vAlign w:val="bottom"/>
          </w:tcPr>
          <w:p>
            <w:pPr>
              <w:spacing w:after="0"/>
              <w:rPr>
                <w:sz w:val="9"/>
                <w:szCs w:val="9"/>
                <w:color w:val="auto"/>
              </w:rPr>
            </w:pPr>
          </w:p>
        </w:tc>
        <w:tc>
          <w:tcPr>
            <w:tcW w:w="19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5"/>
              </w:rPr>
              <w:t>LIBOR+9.25%, 11.75% floor, 6.00% ETP,</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due 9/15/2022</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3/29/2019</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15,000,000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15,060,474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15,060,474</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ShareThis,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0"/>
              </w:rPr>
              <w:t>Data Processing &amp; Outsourced</w:t>
            </w:r>
          </w:p>
        </w:tc>
        <w:tc>
          <w:tcPr>
            <w:tcW w:w="2040" w:type="dxa"/>
            <w:vAlign w:val="bottom"/>
            <w:gridSpan w:val="3"/>
            <w:shd w:val="clear" w:color="auto" w:fill="CCEEFF"/>
          </w:tcPr>
          <w:p>
            <w:pPr>
              <w:ind w:left="60"/>
              <w:spacing w:after="0" w:line="112" w:lineRule="exact"/>
              <w:rPr>
                <w:sz w:val="20"/>
                <w:szCs w:val="20"/>
                <w:color w:val="auto"/>
              </w:rPr>
            </w:pPr>
            <w:r>
              <w:rPr>
                <w:rFonts w:ascii="Arial" w:cs="Arial" w:eastAsia="Arial" w:hAnsi="Arial"/>
                <w:sz w:val="11"/>
                <w:szCs w:val="11"/>
                <w:color w:val="auto"/>
              </w:rPr>
              <w:t>Tranche I: LIBOR+9.25%, 11.60%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Services</w:t>
            </w: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3.00% ETP, due 12/31/2022</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12/3/2018</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19,250,000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18,523,390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18,364,891</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40" w:type="dxa"/>
            <w:vAlign w:val="bottom"/>
            <w:gridSpan w:val="3"/>
          </w:tcPr>
          <w:p>
            <w:pPr>
              <w:ind w:left="60"/>
              <w:spacing w:after="0" w:line="112" w:lineRule="exact"/>
              <w:rPr>
                <w:sz w:val="20"/>
                <w:szCs w:val="20"/>
                <w:color w:val="auto"/>
              </w:rPr>
            </w:pPr>
            <w:r>
              <w:rPr>
                <w:rFonts w:ascii="Arial" w:cs="Arial" w:eastAsia="Arial" w:hAnsi="Arial"/>
                <w:sz w:val="11"/>
                <w:szCs w:val="11"/>
                <w:color w:val="auto"/>
                <w:w w:val="99"/>
              </w:rPr>
              <w:t>Tranche II: LIBOR+9.25%, 11.60% floor,</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3.00% ETP, due 12/31/2022</w:t>
            </w:r>
          </w:p>
        </w:tc>
        <w:tc>
          <w:tcPr>
            <w:tcW w:w="540" w:type="dxa"/>
            <w:vAlign w:val="bottom"/>
          </w:tcPr>
          <w:p>
            <w:pPr>
              <w:jc w:val="right"/>
              <w:spacing w:after="0"/>
              <w:rPr>
                <w:sz w:val="20"/>
                <w:szCs w:val="20"/>
                <w:color w:val="auto"/>
              </w:rPr>
            </w:pPr>
            <w:r>
              <w:rPr>
                <w:rFonts w:ascii="Arial" w:cs="Arial" w:eastAsia="Arial" w:hAnsi="Arial"/>
                <w:sz w:val="11"/>
                <w:szCs w:val="11"/>
                <w:color w:val="auto"/>
              </w:rPr>
              <w:t>1/7/2019</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750,000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716,348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715,515</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2" w:lineRule="exact"/>
              <w:rPr>
                <w:sz w:val="20"/>
                <w:szCs w:val="20"/>
                <w:color w:val="auto"/>
              </w:rPr>
            </w:pPr>
            <w:r>
              <w:rPr>
                <w:rFonts w:ascii="Arial" w:cs="Arial" w:eastAsia="Arial" w:hAnsi="Arial"/>
                <w:sz w:val="11"/>
                <w:szCs w:val="11"/>
                <w:color w:val="auto"/>
                <w:w w:val="97"/>
              </w:rPr>
              <w:t>Tranche III: LIBOR+9.25%, 11.60% floor,</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3.00% ETP, due 12/31/2022</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7/24/2019</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943,356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954,020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00" w:type="dxa"/>
            <w:vAlign w:val="bottom"/>
            <w:gridSpan w:val="3"/>
          </w:tcPr>
          <w:p>
            <w:pPr>
              <w:spacing w:after="0" w:line="111" w:lineRule="exact"/>
              <w:rPr>
                <w:sz w:val="20"/>
                <w:szCs w:val="20"/>
                <w:color w:val="auto"/>
              </w:rPr>
            </w:pPr>
            <w:r>
              <w:rPr>
                <w:rFonts w:ascii="Arial" w:cs="Arial" w:eastAsia="Arial" w:hAnsi="Arial"/>
                <w:sz w:val="11"/>
                <w:szCs w:val="11"/>
                <w:color w:val="auto"/>
              </w:rPr>
              <w:t>The Kairn Corporation</w:t>
            </w:r>
          </w:p>
        </w:tc>
        <w:tc>
          <w:tcPr>
            <w:tcW w:w="1440" w:type="dxa"/>
            <w:vAlign w:val="bottom"/>
            <w:gridSpan w:val="2"/>
          </w:tcPr>
          <w:p>
            <w:pPr>
              <w:ind w:left="60"/>
              <w:spacing w:after="0" w:line="111" w:lineRule="exact"/>
              <w:rPr>
                <w:sz w:val="20"/>
                <w:szCs w:val="20"/>
                <w:color w:val="auto"/>
              </w:rPr>
            </w:pPr>
            <w:r>
              <w:rPr>
                <w:rFonts w:ascii="Arial" w:cs="Arial" w:eastAsia="Arial" w:hAnsi="Arial"/>
                <w:sz w:val="11"/>
                <w:szCs w:val="11"/>
                <w:color w:val="auto"/>
              </w:rPr>
              <w:t>Application Software</w:t>
            </w:r>
          </w:p>
        </w:tc>
        <w:tc>
          <w:tcPr>
            <w:tcW w:w="2040" w:type="dxa"/>
            <w:vAlign w:val="bottom"/>
            <w:gridSpan w:val="3"/>
          </w:tcPr>
          <w:p>
            <w:pPr>
              <w:ind w:left="60"/>
              <w:spacing w:after="0" w:line="111" w:lineRule="exact"/>
              <w:rPr>
                <w:sz w:val="20"/>
                <w:szCs w:val="20"/>
                <w:color w:val="auto"/>
              </w:rPr>
            </w:pPr>
            <w:r>
              <w:rPr>
                <w:rFonts w:ascii="Arial" w:cs="Arial" w:eastAsia="Arial" w:hAnsi="Arial"/>
                <w:sz w:val="11"/>
                <w:szCs w:val="11"/>
                <w:color w:val="auto"/>
              </w:rPr>
              <w:t>Tranche I: LIBOR+9.50% PIK, 10.81%</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line="132" w:lineRule="exact"/>
              <w:rPr>
                <w:sz w:val="20"/>
                <w:szCs w:val="20"/>
                <w:color w:val="auto"/>
              </w:rPr>
            </w:pPr>
            <w:r>
              <w:rPr>
                <w:rFonts w:ascii="Arial" w:cs="Arial" w:eastAsia="Arial" w:hAnsi="Arial"/>
                <w:sz w:val="10"/>
                <w:szCs w:val="10"/>
                <w:color w:val="auto"/>
              </w:rPr>
              <w:t xml:space="preserve">floor, due 12/15/2022 </w:t>
            </w:r>
            <w:r>
              <w:rPr>
                <w:rFonts w:ascii="Arial" w:cs="Arial" w:eastAsia="Arial" w:hAnsi="Arial"/>
                <w:sz w:val="15"/>
                <w:szCs w:val="15"/>
                <w:color w:val="auto"/>
                <w:vertAlign w:val="superscript"/>
              </w:rPr>
              <w:t>(4)</w:t>
            </w:r>
          </w:p>
        </w:tc>
        <w:tc>
          <w:tcPr>
            <w:tcW w:w="540" w:type="dxa"/>
            <w:vAlign w:val="bottom"/>
          </w:tcPr>
          <w:p>
            <w:pPr>
              <w:jc w:val="right"/>
              <w:spacing w:after="0"/>
              <w:rPr>
                <w:sz w:val="20"/>
                <w:szCs w:val="20"/>
                <w:color w:val="auto"/>
              </w:rPr>
            </w:pPr>
            <w:r>
              <w:rPr>
                <w:rFonts w:ascii="Arial" w:cs="Arial" w:eastAsia="Arial" w:hAnsi="Arial"/>
                <w:sz w:val="11"/>
                <w:szCs w:val="11"/>
                <w:color w:val="auto"/>
                <w:w w:val="97"/>
              </w:rPr>
              <w:t>3/24/2020</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255,404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255,404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255,404</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40" w:type="dxa"/>
            <w:vAlign w:val="bottom"/>
            <w:gridSpan w:val="3"/>
            <w:shd w:val="clear" w:color="auto" w:fill="CCEEFF"/>
          </w:tcPr>
          <w:p>
            <w:pPr>
              <w:ind w:left="60"/>
              <w:spacing w:after="0" w:line="111" w:lineRule="exact"/>
              <w:rPr>
                <w:sz w:val="20"/>
                <w:szCs w:val="20"/>
                <w:color w:val="auto"/>
              </w:rPr>
            </w:pPr>
            <w:r>
              <w:rPr>
                <w:rFonts w:ascii="Arial" w:cs="Arial" w:eastAsia="Arial" w:hAnsi="Arial"/>
                <w:sz w:val="11"/>
                <w:szCs w:val="11"/>
                <w:color w:val="auto"/>
                <w:w w:val="94"/>
              </w:rPr>
              <w:t>Tranche II: Fixed 5.00% PIK, due 3/9/2027</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3/9/2020</w:t>
            </w:r>
          </w:p>
        </w:tc>
        <w:tc>
          <w:tcPr>
            <w:tcW w:w="720" w:type="dxa"/>
            <w:vAlign w:val="bottom"/>
            <w:gridSpan w:val="2"/>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4,054,705</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4,054,705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4,054,705</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8"/>
                <w:szCs w:val="8"/>
                <w:color w:val="auto"/>
              </w:rPr>
              <w:t>(4)</w:t>
            </w:r>
          </w:p>
        </w:tc>
        <w:tc>
          <w:tcPr>
            <w:tcW w:w="80" w:type="dxa"/>
            <w:vAlign w:val="bottom"/>
            <w:shd w:val="clear" w:color="auto" w:fill="CCEEFF"/>
          </w:tcPr>
          <w:p>
            <w:pPr>
              <w:spacing w:after="0"/>
              <w:rPr>
                <w:sz w:val="7"/>
                <w:szCs w:val="7"/>
                <w:color w:val="auto"/>
              </w:rPr>
            </w:pPr>
          </w:p>
        </w:tc>
        <w:tc>
          <w:tcPr>
            <w:tcW w:w="540" w:type="dxa"/>
            <w:vAlign w:val="bottom"/>
            <w:vMerge w:val="continue"/>
            <w:shd w:val="clear" w:color="auto" w:fill="CCEEFF"/>
          </w:tcPr>
          <w:p>
            <w:pPr>
              <w:spacing w:after="0"/>
              <w:rPr>
                <w:sz w:val="7"/>
                <w:szCs w:val="7"/>
                <w:color w:val="auto"/>
              </w:rPr>
            </w:pPr>
          </w:p>
        </w:tc>
        <w:tc>
          <w:tcPr>
            <w:tcW w:w="720" w:type="dxa"/>
            <w:vAlign w:val="bottom"/>
            <w:gridSpan w:val="2"/>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gridSpan w:val="3"/>
          </w:tcPr>
          <w:p>
            <w:pPr>
              <w:spacing w:after="0" w:line="115" w:lineRule="exact"/>
              <w:rPr>
                <w:sz w:val="20"/>
                <w:szCs w:val="20"/>
                <w:color w:val="auto"/>
              </w:rPr>
            </w:pPr>
            <w:r>
              <w:rPr>
                <w:rFonts w:ascii="Arial" w:cs="Arial" w:eastAsia="Arial" w:hAnsi="Arial"/>
                <w:sz w:val="11"/>
                <w:szCs w:val="11"/>
                <w:b w:val="1"/>
                <w:bCs w:val="1"/>
                <w:color w:val="auto"/>
              </w:rPr>
              <w:t>Total Senior Secured Term Loans</w:t>
            </w: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88"/>
              </w:rPr>
              <w:t>375,196,904</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369,034,328</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95.05</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gridSpan w:val="3"/>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Preferred Stock</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gridSpan w:val="3"/>
          </w:tcPr>
          <w:p>
            <w:pPr>
              <w:spacing w:after="0" w:line="122" w:lineRule="exact"/>
              <w:rPr>
                <w:sz w:val="20"/>
                <w:szCs w:val="20"/>
                <w:color w:val="auto"/>
              </w:rPr>
            </w:pPr>
            <w:r>
              <w:rPr>
                <w:rFonts w:ascii="Arial" w:cs="Arial" w:eastAsia="Arial" w:hAnsi="Arial"/>
                <w:sz w:val="11"/>
                <w:szCs w:val="11"/>
                <w:color w:val="auto"/>
              </w:rPr>
              <w:t>Aria Systems, Inc.</w:t>
            </w:r>
          </w:p>
        </w:tc>
        <w:tc>
          <w:tcPr>
            <w:tcW w:w="144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Application Software</w:t>
            </w:r>
          </w:p>
        </w:tc>
        <w:tc>
          <w:tcPr>
            <w:tcW w:w="2040" w:type="dxa"/>
            <w:vAlign w:val="bottom"/>
            <w:gridSpan w:val="3"/>
          </w:tcPr>
          <w:p>
            <w:pPr>
              <w:ind w:left="60"/>
              <w:spacing w:after="0" w:line="122" w:lineRule="exact"/>
              <w:rPr>
                <w:sz w:val="20"/>
                <w:szCs w:val="20"/>
                <w:color w:val="auto"/>
              </w:rPr>
            </w:pPr>
            <w:r>
              <w:rPr>
                <w:rFonts w:ascii="Arial" w:cs="Arial" w:eastAsia="Arial" w:hAnsi="Arial"/>
                <w:sz w:val="10"/>
                <w:szCs w:val="10"/>
                <w:color w:val="auto"/>
              </w:rPr>
              <w:t xml:space="preserve">Series G Preferred Stock </w:t>
            </w:r>
            <w:r>
              <w:rPr>
                <w:rFonts w:ascii="Arial" w:cs="Arial" w:eastAsia="Arial" w:hAnsi="Arial"/>
                <w:sz w:val="14"/>
                <w:szCs w:val="14"/>
                <w:color w:val="auto"/>
                <w:vertAlign w:val="superscript"/>
              </w:rPr>
              <w:t>(8)</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w w:val="97"/>
              </w:rPr>
              <w:t>7/10/2018</w:t>
            </w:r>
          </w:p>
        </w:tc>
        <w:tc>
          <w:tcPr>
            <w:tcW w:w="72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289,419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250,000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451,494</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MTBC,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Health Care Technology</w:t>
            </w:r>
          </w:p>
        </w:tc>
        <w:tc>
          <w:tcPr>
            <w:tcW w:w="2040" w:type="dxa"/>
            <w:vAlign w:val="bottom"/>
            <w:gridSpan w:val="3"/>
            <w:shd w:val="clear" w:color="auto" w:fill="CCEEFF"/>
          </w:tcPr>
          <w:p>
            <w:pPr>
              <w:ind w:left="60"/>
              <w:spacing w:after="0" w:line="112" w:lineRule="exact"/>
              <w:rPr>
                <w:sz w:val="20"/>
                <w:szCs w:val="20"/>
                <w:color w:val="auto"/>
              </w:rPr>
            </w:pPr>
            <w:r>
              <w:rPr>
                <w:rFonts w:ascii="Arial" w:cs="Arial" w:eastAsia="Arial" w:hAnsi="Arial"/>
                <w:sz w:val="11"/>
                <w:szCs w:val="11"/>
                <w:color w:val="auto"/>
              </w:rPr>
              <w:t>11% Series A Cumulative Redeemable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Perpetual Preferred Stock</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1/8/2020</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760,000</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18,687,450</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17,440,000</w:t>
            </w:r>
          </w:p>
        </w:tc>
        <w:tc>
          <w:tcPr>
            <w:tcW w:w="8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CCEEFF"/>
            </w:tcBorders>
            <w:gridSpan w:val="3"/>
          </w:tcPr>
          <w:p>
            <w:pPr>
              <w:spacing w:after="0" w:line="115" w:lineRule="exact"/>
              <w:rPr>
                <w:sz w:val="20"/>
                <w:szCs w:val="20"/>
                <w:color w:val="auto"/>
              </w:rPr>
            </w:pPr>
            <w:r>
              <w:rPr>
                <w:rFonts w:ascii="Arial" w:cs="Arial" w:eastAsia="Arial" w:hAnsi="Arial"/>
                <w:sz w:val="11"/>
                <w:szCs w:val="11"/>
                <w:b w:val="1"/>
                <w:bCs w:val="1"/>
                <w:color w:val="auto"/>
              </w:rPr>
              <w:t>Total Preferred Stock</w:t>
            </w:r>
          </w:p>
        </w:tc>
        <w:tc>
          <w:tcPr>
            <w:tcW w:w="8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8"/>
              </w:rPr>
              <w:t>18,937,450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17,891,494</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4.61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900" w:type="dxa"/>
            <w:vAlign w:val="bottom"/>
            <w:gridSpan w:val="3"/>
            <w:shd w:val="clear" w:color="auto" w:fill="CCEEFF"/>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AllClear ID,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87"/>
              </w:rPr>
              <w:t>Specialized Consumer Services</w:t>
            </w:r>
          </w:p>
        </w:tc>
        <w:tc>
          <w:tcPr>
            <w:tcW w:w="60" w:type="dxa"/>
            <w:vAlign w:val="bottom"/>
          </w:tcPr>
          <w:p>
            <w:pPr>
              <w:spacing w:after="0"/>
              <w:rPr>
                <w:sz w:val="9"/>
                <w:szCs w:val="9"/>
                <w:color w:val="auto"/>
              </w:rPr>
            </w:pPr>
          </w:p>
        </w:tc>
        <w:tc>
          <w:tcPr>
            <w:tcW w:w="198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3"/>
              </w:rPr>
              <w:t>Warrant for Common Stock, exercise price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$0.01/share, expires 9/1/2027</w:t>
            </w:r>
          </w:p>
        </w:tc>
        <w:tc>
          <w:tcPr>
            <w:tcW w:w="540" w:type="dxa"/>
            <w:vAlign w:val="bottom"/>
          </w:tcPr>
          <w:p>
            <w:pPr>
              <w:jc w:val="right"/>
              <w:spacing w:after="0"/>
              <w:rPr>
                <w:sz w:val="20"/>
                <w:szCs w:val="20"/>
                <w:color w:val="auto"/>
              </w:rPr>
            </w:pPr>
            <w:r>
              <w:rPr>
                <w:rFonts w:ascii="Arial" w:cs="Arial" w:eastAsia="Arial" w:hAnsi="Arial"/>
                <w:sz w:val="11"/>
                <w:szCs w:val="11"/>
                <w:color w:val="auto"/>
              </w:rPr>
              <w:t>9/1/2017</w:t>
            </w:r>
          </w:p>
        </w:tc>
        <w:tc>
          <w:tcPr>
            <w:tcW w:w="720" w:type="dxa"/>
            <w:vAlign w:val="bottom"/>
            <w:gridSpan w:val="2"/>
          </w:tcPr>
          <w:p>
            <w:pPr>
              <w:jc w:val="right"/>
              <w:ind w:right="6"/>
              <w:spacing w:after="0"/>
              <w:rPr>
                <w:sz w:val="20"/>
                <w:szCs w:val="20"/>
                <w:color w:val="auto"/>
              </w:rPr>
            </w:pPr>
            <w:r>
              <w:rPr>
                <w:rFonts w:ascii="Arial" w:cs="Arial" w:eastAsia="Arial" w:hAnsi="Arial"/>
                <w:sz w:val="11"/>
                <w:szCs w:val="11"/>
                <w:color w:val="auto"/>
              </w:rPr>
              <w:t>870,514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1,749,733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887,924</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Aria Systems,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Series G Preferred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40" w:type="dxa"/>
            <w:vAlign w:val="bottom"/>
            <w:gridSpan w:val="3"/>
            <w:shd w:val="clear" w:color="auto" w:fill="CCEEFF"/>
          </w:tcPr>
          <w:p>
            <w:pPr>
              <w:ind w:left="60"/>
              <w:spacing w:after="0" w:line="122" w:lineRule="exact"/>
              <w:rPr>
                <w:sz w:val="20"/>
                <w:szCs w:val="20"/>
                <w:color w:val="auto"/>
              </w:rPr>
            </w:pPr>
            <w:r>
              <w:rPr>
                <w:rFonts w:ascii="Arial" w:cs="Arial" w:eastAsia="Arial" w:hAnsi="Arial"/>
                <w:sz w:val="11"/>
                <w:szCs w:val="11"/>
                <w:color w:val="auto"/>
              </w:rPr>
              <w:t>exercise price $0.8638/share, expires</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6/29/2028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6/29/2018</w:t>
            </w:r>
          </w:p>
        </w:tc>
        <w:tc>
          <w:tcPr>
            <w:tcW w:w="72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2,170,641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770,578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2,772,022</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18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Acquisition</w:t>
            </w: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Net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88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4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100" w:type="dxa"/>
            <w:vAlign w:val="bottom"/>
          </w:tcPr>
          <w:p>
            <w:pPr>
              <w:spacing w:after="0"/>
              <w:rPr>
                <w:sz w:val="11"/>
                <w:szCs w:val="11"/>
                <w:color w:val="auto"/>
              </w:rPr>
            </w:pPr>
          </w:p>
        </w:tc>
        <w:tc>
          <w:tcPr>
            <w:tcW w:w="1860" w:type="dxa"/>
            <w:vAlign w:val="bottom"/>
          </w:tcPr>
          <w:p>
            <w:pPr>
              <w:ind w:left="140"/>
              <w:spacing w:after="0" w:line="136" w:lineRule="exact"/>
              <w:rPr>
                <w:sz w:val="20"/>
                <w:szCs w:val="20"/>
                <w:color w:val="auto"/>
              </w:rPr>
            </w:pPr>
            <w:r>
              <w:rPr>
                <w:rFonts w:ascii="Arial" w:cs="Arial" w:eastAsia="Arial" w:hAnsi="Arial"/>
                <w:sz w:val="10"/>
                <w:szCs w:val="10"/>
                <w:b w:val="1"/>
                <w:bCs w:val="1"/>
                <w:color w:val="auto"/>
                <w:w w:val="98"/>
              </w:rPr>
              <w:t>Investment Description</w:t>
            </w:r>
            <w:r>
              <w:rPr>
                <w:rFonts w:ascii="Arial" w:cs="Arial" w:eastAsia="Arial" w:hAnsi="Arial"/>
                <w:sz w:val="15"/>
                <w:szCs w:val="15"/>
                <w:b w:val="1"/>
                <w:bCs w:val="1"/>
                <w:color w:val="auto"/>
                <w:w w:val="98"/>
                <w:vertAlign w:val="superscript"/>
              </w:rPr>
              <w:t>(1),(5),(6),(11)</w:t>
            </w:r>
          </w:p>
        </w:tc>
        <w:tc>
          <w:tcPr>
            <w:tcW w:w="80" w:type="dxa"/>
            <w:vAlign w:val="bottom"/>
          </w:tcPr>
          <w:p>
            <w:pPr>
              <w:spacing w:after="0"/>
              <w:rPr>
                <w:sz w:val="11"/>
                <w:szCs w:val="11"/>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4"/>
          </w:tcPr>
          <w:p>
            <w:pPr>
              <w:ind w:left="80"/>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(2),(9)</w:t>
            </w: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auto"/>
              </w:rPr>
              <w:t>Assets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2"/>
        </w:trPr>
        <w:tc>
          <w:tcPr>
            <w:tcW w:w="188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5"/>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880" w:type="dxa"/>
            <w:vAlign w:val="bottom"/>
            <w:gridSpan w:val="3"/>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Aspen Group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price $6.87/share, expires 7/25/2022</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7/25/2017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224,174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583,301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914,000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Brilliant Earth, LLC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Internet Retail</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1"/>
              </w:rPr>
              <w:t>Warrant for Class P Units, exercise price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$5.25/share, expires 9/30/2029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9/30/2019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333,333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973,000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Circadence Corporation</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Warrant for Series A-5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$1.08/share,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12/20/2028</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12/20/2018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1,666,667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3,630,000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3,203,115</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4"/>
              </w:rPr>
              <w:t>Warrant for Series A-5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$1.08/share,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10/31/2029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10/31/2019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416,667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845,540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800,779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0.21</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CloudPassage,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7"/>
              </w:rPr>
              <w:t>Data Processing &amp; Outsourced</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Warrant for Series D-1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Services</w:t>
            </w: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$1.60/share,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6/13/2029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6/13/2019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210,938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273,798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224,860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CloudPay Solutions Ltd.</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Human Resource &amp;</w:t>
            </w:r>
          </w:p>
        </w:tc>
        <w:tc>
          <w:tcPr>
            <w:tcW w:w="196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Warrant for Series B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Employment Services</w:t>
            </w:r>
          </w:p>
        </w:tc>
        <w:tc>
          <w:tcPr>
            <w:tcW w:w="19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exercise price $66.53/share,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line="132" w:lineRule="exact"/>
              <w:rPr>
                <w:sz w:val="20"/>
                <w:szCs w:val="20"/>
                <w:color w:val="auto"/>
              </w:rPr>
            </w:pPr>
            <w:r>
              <w:rPr>
                <w:rFonts w:ascii="Arial" w:cs="Arial" w:eastAsia="Arial" w:hAnsi="Arial"/>
                <w:sz w:val="10"/>
                <w:szCs w:val="10"/>
                <w:color w:val="auto"/>
              </w:rPr>
              <w:t xml:space="preserve">6/30/2030 </w:t>
            </w:r>
            <w:r>
              <w:rPr>
                <w:rFonts w:ascii="Arial" w:cs="Arial" w:eastAsia="Arial" w:hAnsi="Arial"/>
                <w:sz w:val="15"/>
                <w:szCs w:val="15"/>
                <w:color w:val="auto"/>
                <w:vertAlign w:val="superscript"/>
              </w:rPr>
              <w:t>(13)</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6/30/2020</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11,273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217,500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217,500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Credit Sesame,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Specialized Consumer</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price $0.01/share, expires 1/7/2030</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1/7/2020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191,601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424,800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402,413</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1"/>
        </w:trPr>
        <w:tc>
          <w:tcPr>
            <w:tcW w:w="1880" w:type="dxa"/>
            <w:vAlign w:val="bottom"/>
            <w:gridSpan w:val="3"/>
          </w:tcPr>
          <w:p>
            <w:pPr>
              <w:spacing w:after="0" w:line="111" w:lineRule="exact"/>
              <w:rPr>
                <w:sz w:val="20"/>
                <w:szCs w:val="20"/>
                <w:color w:val="auto"/>
              </w:rPr>
            </w:pPr>
            <w:r>
              <w:rPr>
                <w:rFonts w:ascii="Arial" w:cs="Arial" w:eastAsia="Arial" w:hAnsi="Arial"/>
                <w:sz w:val="11"/>
                <w:szCs w:val="11"/>
                <w:color w:val="auto"/>
              </w:rPr>
              <w:t>Dejero Labs Inc.</w:t>
            </w:r>
          </w:p>
        </w:tc>
        <w:tc>
          <w:tcPr>
            <w:tcW w:w="1420" w:type="dxa"/>
            <w:vAlign w:val="bottom"/>
            <w:gridSpan w:val="2"/>
          </w:tcPr>
          <w:p>
            <w:pPr>
              <w:ind w:left="80"/>
              <w:spacing w:after="0" w:line="111" w:lineRule="exact"/>
              <w:rPr>
                <w:sz w:val="20"/>
                <w:szCs w:val="20"/>
                <w:color w:val="auto"/>
              </w:rPr>
            </w:pPr>
            <w:r>
              <w:rPr>
                <w:rFonts w:ascii="Arial" w:cs="Arial" w:eastAsia="Arial" w:hAnsi="Arial"/>
                <w:sz w:val="11"/>
                <w:szCs w:val="11"/>
                <w:color w:val="auto"/>
              </w:rPr>
              <w:t>System Software</w:t>
            </w:r>
          </w:p>
        </w:tc>
        <w:tc>
          <w:tcPr>
            <w:tcW w:w="1960" w:type="dxa"/>
            <w:vAlign w:val="bottom"/>
            <w:gridSpan w:val="2"/>
          </w:tcPr>
          <w:p>
            <w:pPr>
              <w:ind w:left="80"/>
              <w:spacing w:after="0" w:line="111" w:lineRule="exact"/>
              <w:rPr>
                <w:sz w:val="20"/>
                <w:szCs w:val="20"/>
                <w:color w:val="auto"/>
              </w:rPr>
            </w:pPr>
            <w:r>
              <w:rPr>
                <w:rFonts w:ascii="Arial" w:cs="Arial" w:eastAsia="Arial" w:hAnsi="Arial"/>
                <w:sz w:val="11"/>
                <w:szCs w:val="11"/>
                <w:color w:val="auto"/>
                <w:w w:val="89"/>
              </w:rPr>
              <w:t>Warrant for Common Stock, exercise price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line="132" w:lineRule="exact"/>
              <w:rPr>
                <w:sz w:val="20"/>
                <w:szCs w:val="20"/>
                <w:color w:val="auto"/>
              </w:rPr>
            </w:pPr>
            <w:r>
              <w:rPr>
                <w:rFonts w:ascii="Arial" w:cs="Arial" w:eastAsia="Arial" w:hAnsi="Arial"/>
                <w:sz w:val="10"/>
                <w:szCs w:val="10"/>
                <w:color w:val="auto"/>
              </w:rPr>
              <w:t xml:space="preserve">$0.01/share, expires 5/31/2029 </w:t>
            </w:r>
            <w:r>
              <w:rPr>
                <w:rFonts w:ascii="Arial" w:cs="Arial" w:eastAsia="Arial" w:hAnsi="Arial"/>
                <w:sz w:val="15"/>
                <w:szCs w:val="15"/>
                <w:color w:val="auto"/>
                <w:vertAlign w:val="superscript"/>
              </w:rPr>
              <w:t>(7)</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5/31/2019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333,621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192,499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200,373</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Dtex Systems,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Series C-Prime Preferred</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Stock, exercise price $0.6000/share,</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expires 6/1/2025</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6/1/2018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272,682</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Series C-Prime Preferred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Stock, exercise price $0.6000/share,</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expires 7/11/2026</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7/11/2019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833,333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114,719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454,470</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Echo 360 Holdings,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9"/>
              </w:rPr>
              <w:t>Warrant for Series E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$1.5963/share,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5/3/2029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1,066,767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629,630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INRIX,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7"/>
              </w:rPr>
              <w:t>Internet Software and Services</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price $9.29/share, expires 7/26/2029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7/26/2019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150,804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522,083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480,612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1880" w:type="dxa"/>
            <w:vAlign w:val="bottom"/>
            <w:gridSpan w:val="3"/>
            <w:shd w:val="clear" w:color="auto" w:fill="CCEEFF"/>
          </w:tcPr>
          <w:p>
            <w:pPr>
              <w:spacing w:after="0" w:line="122" w:lineRule="exact"/>
              <w:rPr>
                <w:sz w:val="20"/>
                <w:szCs w:val="20"/>
                <w:color w:val="auto"/>
              </w:rPr>
            </w:pPr>
            <w:r>
              <w:rPr>
                <w:rFonts w:ascii="Arial" w:cs="Arial" w:eastAsia="Arial" w:hAnsi="Arial"/>
                <w:sz w:val="11"/>
                <w:szCs w:val="11"/>
                <w:color w:val="auto"/>
              </w:rPr>
              <w:t>Intact Vascular, Inc.</w:t>
            </w:r>
          </w:p>
        </w:tc>
        <w:tc>
          <w:tcPr>
            <w:tcW w:w="14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Health Care Supplies</w:t>
            </w: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0"/>
                <w:szCs w:val="10"/>
                <w:color w:val="auto"/>
              </w:rPr>
              <w:t xml:space="preserve">Success fee, expires 6/25/2027 </w:t>
            </w:r>
            <w:r>
              <w:rPr>
                <w:rFonts w:ascii="Arial" w:cs="Arial" w:eastAsia="Arial" w:hAnsi="Arial"/>
                <w:sz w:val="14"/>
                <w:szCs w:val="14"/>
                <w:color w:val="auto"/>
                <w:vertAlign w:val="superscript"/>
              </w:rPr>
              <w:t>(12)</w:t>
            </w:r>
          </w:p>
        </w:tc>
        <w:tc>
          <w:tcPr>
            <w:tcW w:w="66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6/25/2020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97,100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97,100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0.03</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Longtail Ad Solutions, Inc. (dba JW</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7"/>
              </w:rPr>
              <w:t>Internet Software and Services</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1880" w:type="dxa"/>
            <w:vAlign w:val="bottom"/>
            <w:gridSpan w:val="3"/>
          </w:tcPr>
          <w:p>
            <w:pPr>
              <w:spacing w:after="0"/>
              <w:rPr>
                <w:sz w:val="20"/>
                <w:szCs w:val="20"/>
                <w:color w:val="auto"/>
              </w:rPr>
            </w:pPr>
            <w:r>
              <w:rPr>
                <w:rFonts w:ascii="Arial" w:cs="Arial" w:eastAsia="Arial" w:hAnsi="Arial"/>
                <w:sz w:val="11"/>
                <w:szCs w:val="11"/>
                <w:color w:val="auto"/>
              </w:rPr>
              <w:t>Player)</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price $1.49/share, expires 12/12/2029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12/12/2019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322,997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38,800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145,349</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0.04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Massdrop,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9"/>
              </w:rPr>
              <w:t>Computer &amp; Electronics Retail</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9"/>
              </w:rPr>
              <w:t>Warrant for B Series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$1.1938/share,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7/22/2019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7/22/2019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848,093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183,188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201,846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Mingle Healthcare Solutions,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Health Care Technology</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6"/>
              </w:rPr>
              <w:t>Warrant for Series AA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$0.24/share,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6"/>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8/15/2028</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8/15/2018</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1,625,000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492,375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b w:val="1"/>
                <w:bCs w:val="1"/>
                <w:color w:val="auto"/>
              </w:rPr>
              <w:t>% of</w:t>
            </w:r>
          </w:p>
        </w:tc>
      </w:tr>
      <w:tr>
        <w:trPr>
          <w:trHeight w:val="122"/>
        </w:trPr>
        <w:tc>
          <w:tcPr>
            <w:tcW w:w="18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4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Acquisition</w:t>
            </w: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Net</w:t>
            </w:r>
          </w:p>
        </w:tc>
      </w:tr>
      <w:tr>
        <w:trPr>
          <w:trHeight w:val="135"/>
        </w:trPr>
        <w:tc>
          <w:tcPr>
            <w:tcW w:w="188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4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100" w:type="dxa"/>
            <w:vAlign w:val="bottom"/>
          </w:tcPr>
          <w:p>
            <w:pPr>
              <w:spacing w:after="0"/>
              <w:rPr>
                <w:sz w:val="11"/>
                <w:szCs w:val="11"/>
                <w:color w:val="auto"/>
              </w:rPr>
            </w:pPr>
          </w:p>
        </w:tc>
        <w:tc>
          <w:tcPr>
            <w:tcW w:w="1860" w:type="dxa"/>
            <w:vAlign w:val="bottom"/>
          </w:tcPr>
          <w:p>
            <w:pPr>
              <w:ind w:left="140"/>
              <w:spacing w:after="0" w:line="136" w:lineRule="exact"/>
              <w:rPr>
                <w:sz w:val="20"/>
                <w:szCs w:val="20"/>
                <w:color w:val="auto"/>
              </w:rPr>
            </w:pPr>
            <w:r>
              <w:rPr>
                <w:rFonts w:ascii="Arial" w:cs="Arial" w:eastAsia="Arial" w:hAnsi="Arial"/>
                <w:sz w:val="10"/>
                <w:szCs w:val="10"/>
                <w:b w:val="1"/>
                <w:bCs w:val="1"/>
                <w:color w:val="auto"/>
                <w:w w:val="98"/>
              </w:rPr>
              <w:t>Investment Description</w:t>
            </w:r>
            <w:r>
              <w:rPr>
                <w:rFonts w:ascii="Arial" w:cs="Arial" w:eastAsia="Arial" w:hAnsi="Arial"/>
                <w:sz w:val="15"/>
                <w:szCs w:val="15"/>
                <w:b w:val="1"/>
                <w:bCs w:val="1"/>
                <w:color w:val="auto"/>
                <w:w w:val="98"/>
                <w:vertAlign w:val="superscript"/>
              </w:rPr>
              <w:t>(1),(5),(6),(11)</w:t>
            </w:r>
          </w:p>
        </w:tc>
        <w:tc>
          <w:tcPr>
            <w:tcW w:w="80" w:type="dxa"/>
            <w:vAlign w:val="bottom"/>
          </w:tcPr>
          <w:p>
            <w:pPr>
              <w:spacing w:after="0"/>
              <w:rPr>
                <w:sz w:val="11"/>
                <w:szCs w:val="11"/>
                <w:color w:val="auto"/>
              </w:rPr>
            </w:pPr>
          </w:p>
        </w:tc>
        <w:tc>
          <w:tcPr>
            <w:tcW w:w="66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4"/>
          </w:tcPr>
          <w:p>
            <w:pPr>
              <w:ind w:left="80"/>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(2),(9)</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Assets</w:t>
            </w:r>
          </w:p>
        </w:tc>
      </w:tr>
      <w:tr>
        <w:trPr>
          <w:trHeight w:val="102"/>
        </w:trPr>
        <w:tc>
          <w:tcPr>
            <w:tcW w:w="188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5"/>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2"/>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880" w:type="dxa"/>
            <w:vAlign w:val="bottom"/>
            <w:gridSpan w:val="3"/>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Mojix,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price $10.64/share, expires 5/16/2027</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5/16/2017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164,427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417,645</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 %</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Series 1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12/17/2029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12/17/2019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358,849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Series 1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5/30/2029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5/30/2019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358,849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21,531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Series 1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12/20/28</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12/20/2018</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7,176,973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806,991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MTBC,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Health Care Technology</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price $7.50/share, expires 1/8/2022</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1/8/2020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2,580,000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0.66</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rPr>
              <w:t>Warrant for Common Stock, exercise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price $10.00/share, expires 1/8/2023</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1/8/2020</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837,000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2,385,000</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3DNA Corp. (dba NationBuilder)</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Warrant for Series C-1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$1.4643/share,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12/28/2028</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12/28/2018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273,164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104,138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49,130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0.01</w:t>
            </w:r>
          </w:p>
        </w:tc>
        <w:tc>
          <w:tcPr>
            <w:tcW w:w="100" w:type="dxa"/>
            <w:vAlign w:val="bottom"/>
            <w:shd w:val="clear" w:color="auto" w:fill="CCEEFF"/>
          </w:tcPr>
          <w:p>
            <w:pPr>
              <w:spacing w:after="0"/>
              <w:rPr>
                <w:sz w:val="11"/>
                <w:szCs w:val="11"/>
                <w:color w:val="auto"/>
              </w:rPr>
            </w:pP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Ouster,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6"/>
              </w:rPr>
              <w:t>Technology Hardware, Storage</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9"/>
              </w:rPr>
              <w:t>Warrant for Series B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&amp; Peripherals</w:t>
            </w: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w w:val="98"/>
              </w:rPr>
              <w:t>exercise price $11.3158/share,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11/27/2028</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11/27/2018</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1,805,597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103,010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151,165</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Pivot3,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7"/>
              </w:rPr>
              <w:t>Data Processing &amp; Outsourced</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9"/>
              </w:rPr>
              <w:t>Warrant for Series D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Services</w:t>
            </w: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$0.59/share,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5/13/2029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5/13/2019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2,033,898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216,610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RealWear,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6"/>
              </w:rPr>
              <w:t>Technology Hardware, Storage</w:t>
            </w: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9"/>
              </w:rPr>
              <w:t>Warrant for Series A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&amp; Peripherals</w:t>
            </w: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$4.4464/share,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10/5/2028</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10/5/2018</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112,451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135,841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9"/>
              </w:rPr>
              <w:t>Warrant for Series A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$4.4464/share,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12/28/2028</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12/28/2018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22,491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25,248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60" w:type="dxa"/>
            <w:vAlign w:val="bottom"/>
          </w:tcPr>
          <w:p>
            <w:pPr>
              <w:ind w:left="20"/>
              <w:spacing w:after="0" w:line="112" w:lineRule="exact"/>
              <w:rPr>
                <w:sz w:val="20"/>
                <w:szCs w:val="20"/>
                <w:color w:val="auto"/>
              </w:rPr>
            </w:pPr>
            <w:r>
              <w:rPr>
                <w:rFonts w:ascii="Arial" w:cs="Arial" w:eastAsia="Arial" w:hAnsi="Arial"/>
                <w:sz w:val="11"/>
                <w:szCs w:val="11"/>
                <w:color w:val="auto"/>
                <w:w w:val="99"/>
              </w:rPr>
              <w:t>Warrant for Series A Preferred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exercise price $6.78/share,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rPr>
                <w:sz w:val="20"/>
                <w:szCs w:val="20"/>
                <w:color w:val="auto"/>
              </w:rPr>
            </w:pPr>
            <w:r>
              <w:rPr>
                <w:rFonts w:ascii="Arial" w:cs="Arial" w:eastAsia="Arial" w:hAnsi="Arial"/>
                <w:sz w:val="11"/>
                <w:szCs w:val="11"/>
                <w:color w:val="auto"/>
              </w:rPr>
              <w:t>6/27/2029</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6/27/2019</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123,894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380,850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Scale Computing,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System Software</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5"/>
              </w:rPr>
              <w:t>Warrant for Series F-1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$0.8031/share,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3/29/2029</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3/29/2019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2,147,926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345,816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r>
      <w:tr>
        <w:trPr>
          <w:trHeight w:val="112"/>
        </w:trPr>
        <w:tc>
          <w:tcPr>
            <w:tcW w:w="1880" w:type="dxa"/>
            <w:vAlign w:val="bottom"/>
            <w:gridSpan w:val="3"/>
          </w:tcPr>
          <w:p>
            <w:pPr>
              <w:spacing w:after="0" w:line="112" w:lineRule="exact"/>
              <w:rPr>
                <w:sz w:val="20"/>
                <w:szCs w:val="20"/>
                <w:color w:val="auto"/>
              </w:rPr>
            </w:pPr>
            <w:r>
              <w:rPr>
                <w:rFonts w:ascii="Arial" w:cs="Arial" w:eastAsia="Arial" w:hAnsi="Arial"/>
                <w:sz w:val="11"/>
                <w:szCs w:val="11"/>
                <w:color w:val="auto"/>
              </w:rPr>
              <w:t>SendtoNews Video, Inc.</w:t>
            </w:r>
          </w:p>
        </w:tc>
        <w:tc>
          <w:tcPr>
            <w:tcW w:w="14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Advertising</w:t>
            </w:r>
          </w:p>
        </w:tc>
        <w:tc>
          <w:tcPr>
            <w:tcW w:w="196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99"/>
              </w:rPr>
              <w:t>Warrant for Class B Non-Voting Stock,</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60" w:type="dxa"/>
            <w:vAlign w:val="bottom"/>
            <w:gridSpan w:val="2"/>
          </w:tcPr>
          <w:p>
            <w:pPr>
              <w:ind w:left="80"/>
              <w:spacing w:after="0" w:line="121" w:lineRule="exact"/>
              <w:rPr>
                <w:sz w:val="20"/>
                <w:szCs w:val="20"/>
                <w:color w:val="auto"/>
              </w:rPr>
            </w:pPr>
            <w:r>
              <w:rPr>
                <w:rFonts w:ascii="Arial" w:cs="Arial" w:eastAsia="Arial" w:hAnsi="Arial"/>
                <w:sz w:val="11"/>
                <w:szCs w:val="11"/>
                <w:color w:val="auto"/>
              </w:rPr>
              <w:t>exercise price $0.67/share, expires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960" w:type="dxa"/>
            <w:vAlign w:val="bottom"/>
            <w:gridSpan w:val="2"/>
          </w:tcPr>
          <w:p>
            <w:pPr>
              <w:ind w:left="80"/>
              <w:spacing w:after="0" w:line="132" w:lineRule="exact"/>
              <w:rPr>
                <w:sz w:val="20"/>
                <w:szCs w:val="20"/>
                <w:color w:val="auto"/>
              </w:rPr>
            </w:pPr>
            <w:r>
              <w:rPr>
                <w:rFonts w:ascii="Arial" w:cs="Arial" w:eastAsia="Arial" w:hAnsi="Arial"/>
                <w:sz w:val="10"/>
                <w:szCs w:val="10"/>
                <w:color w:val="auto"/>
              </w:rPr>
              <w:t xml:space="preserve">6/30/2027 </w:t>
            </w:r>
            <w:r>
              <w:rPr>
                <w:rFonts w:ascii="Arial" w:cs="Arial" w:eastAsia="Arial" w:hAnsi="Arial"/>
                <w:sz w:val="15"/>
                <w:szCs w:val="15"/>
                <w:color w:val="auto"/>
                <w:vertAlign w:val="superscript"/>
              </w:rPr>
              <w:t>(3),(7)</w:t>
            </w:r>
          </w:p>
        </w:tc>
        <w:tc>
          <w:tcPr>
            <w:tcW w:w="660" w:type="dxa"/>
            <w:vAlign w:val="bottom"/>
            <w:gridSpan w:val="2"/>
          </w:tcPr>
          <w:p>
            <w:pPr>
              <w:jc w:val="right"/>
              <w:ind w:right="6"/>
              <w:spacing w:after="0"/>
              <w:rPr>
                <w:sz w:val="20"/>
                <w:szCs w:val="20"/>
                <w:color w:val="auto"/>
              </w:rPr>
            </w:pPr>
            <w:r>
              <w:rPr>
                <w:rFonts w:ascii="Arial" w:cs="Arial" w:eastAsia="Arial" w:hAnsi="Arial"/>
                <w:sz w:val="11"/>
                <w:szCs w:val="11"/>
                <w:color w:val="auto"/>
              </w:rPr>
              <w:t>6/30/2017</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191,500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246,461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33,000</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100" w:type="dxa"/>
            <w:vAlign w:val="bottom"/>
          </w:tcPr>
          <w:p>
            <w:pPr>
              <w:spacing w:after="0"/>
              <w:rPr>
                <w:sz w:val="11"/>
                <w:szCs w:val="11"/>
                <w:color w:val="auto"/>
              </w:rPr>
            </w:pPr>
          </w:p>
        </w:tc>
      </w:tr>
      <w:tr>
        <w:trPr>
          <w:trHeight w:val="112"/>
        </w:trPr>
        <w:tc>
          <w:tcPr>
            <w:tcW w:w="1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ShareThis, Inc.</w:t>
            </w:r>
          </w:p>
        </w:tc>
        <w:tc>
          <w:tcPr>
            <w:tcW w:w="14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7"/>
              </w:rPr>
              <w:t>Data Processing &amp; Outsourced</w:t>
            </w:r>
          </w:p>
        </w:tc>
        <w:tc>
          <w:tcPr>
            <w:tcW w:w="100" w:type="dxa"/>
            <w:vAlign w:val="bottom"/>
            <w:shd w:val="clear" w:color="auto" w:fill="CCEEFF"/>
          </w:tcPr>
          <w:p>
            <w:pPr>
              <w:spacing w:after="0"/>
              <w:rPr>
                <w:sz w:val="9"/>
                <w:szCs w:val="9"/>
                <w:color w:val="auto"/>
              </w:rPr>
            </w:pPr>
          </w:p>
        </w:tc>
        <w:tc>
          <w:tcPr>
            <w:tcW w:w="18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4"/>
              </w:rPr>
              <w:t>Warrant for Series D-3 Preferred Stock,</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Services</w:t>
            </w:r>
          </w:p>
        </w:tc>
        <w:tc>
          <w:tcPr>
            <w:tcW w:w="196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$2.4320/share, expires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12/3/2028</w:t>
            </w:r>
          </w:p>
        </w:tc>
        <w:tc>
          <w:tcPr>
            <w:tcW w:w="6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12/3/2018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647,615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2,162,000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2,162,000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0.56</w:t>
            </w:r>
          </w:p>
        </w:tc>
        <w:tc>
          <w:tcPr>
            <w:tcW w:w="100" w:type="dxa"/>
            <w:vAlign w:val="bottom"/>
            <w:shd w:val="clear" w:color="auto" w:fill="CCEEFF"/>
          </w:tcPr>
          <w:p>
            <w:pPr>
              <w:spacing w:after="0"/>
              <w:rPr>
                <w:sz w:val="11"/>
                <w:szCs w:val="1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9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Acquisition</w:t>
            </w: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Principal/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00" w:type="dxa"/>
            <w:vAlign w:val="bottom"/>
            <w:gridSpan w:val="4"/>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Sub-Industry</w:t>
            </w:r>
          </w:p>
        </w:tc>
        <w:tc>
          <w:tcPr>
            <w:tcW w:w="60" w:type="dxa"/>
            <w:vAlign w:val="bottom"/>
          </w:tcPr>
          <w:p>
            <w:pPr>
              <w:spacing w:after="0"/>
              <w:rPr>
                <w:sz w:val="11"/>
                <w:szCs w:val="11"/>
                <w:color w:val="auto"/>
              </w:rPr>
            </w:pPr>
          </w:p>
        </w:tc>
        <w:tc>
          <w:tcPr>
            <w:tcW w:w="1980" w:type="dxa"/>
            <w:vAlign w:val="bottom"/>
            <w:gridSpan w:val="2"/>
          </w:tcPr>
          <w:p>
            <w:pPr>
              <w:ind w:left="18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62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780" w:type="dxa"/>
            <w:vAlign w:val="bottom"/>
            <w:gridSpan w:val="3"/>
          </w:tcPr>
          <w:p>
            <w:pPr>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(2),(9)</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Assets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900" w:type="dxa"/>
            <w:vAlign w:val="bottom"/>
            <w:tcBorders>
              <w:top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6"/>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2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gridSpan w:val="4"/>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00" w:type="dxa"/>
            <w:vAlign w:val="bottom"/>
            <w:gridSpan w:val="4"/>
            <w:shd w:val="clear" w:color="auto" w:fill="CCEEFF"/>
          </w:tcPr>
          <w:p>
            <w:pPr>
              <w:spacing w:after="0" w:line="112" w:lineRule="exact"/>
              <w:rPr>
                <w:sz w:val="20"/>
                <w:szCs w:val="20"/>
                <w:color w:val="auto"/>
              </w:rPr>
            </w:pPr>
            <w:r>
              <w:rPr>
                <w:rFonts w:ascii="Arial" w:cs="Arial" w:eastAsia="Arial" w:hAnsi="Arial"/>
                <w:sz w:val="11"/>
                <w:szCs w:val="11"/>
                <w:color w:val="auto"/>
              </w:rPr>
              <w:t>The Kairn Corporation</w:t>
            </w:r>
          </w:p>
        </w:tc>
        <w:tc>
          <w:tcPr>
            <w:tcW w:w="1440" w:type="dxa"/>
            <w:vAlign w:val="bottom"/>
            <w:gridSpan w:val="3"/>
            <w:shd w:val="clear" w:color="auto" w:fill="CCEEFF"/>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3"/>
              </w:rPr>
              <w:t>Warrant for Common Stock, exercise price</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4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$0.01/share, expires 3/9/2030</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3/9/2020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81,177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00" w:type="dxa"/>
            <w:vAlign w:val="bottom"/>
            <w:gridSpan w:val="4"/>
          </w:tcPr>
          <w:p>
            <w:pPr>
              <w:spacing w:after="0" w:line="112" w:lineRule="exact"/>
              <w:rPr>
                <w:sz w:val="20"/>
                <w:szCs w:val="20"/>
                <w:color w:val="auto"/>
              </w:rPr>
            </w:pPr>
            <w:r>
              <w:rPr>
                <w:rFonts w:ascii="Arial" w:cs="Arial" w:eastAsia="Arial" w:hAnsi="Arial"/>
                <w:sz w:val="11"/>
                <w:szCs w:val="11"/>
                <w:color w:val="auto"/>
              </w:rPr>
              <w:t>zSpace, Inc.</w:t>
            </w:r>
          </w:p>
        </w:tc>
        <w:tc>
          <w:tcPr>
            <w:tcW w:w="1440" w:type="dxa"/>
            <w:vAlign w:val="bottom"/>
            <w:gridSpan w:val="3"/>
          </w:tcPr>
          <w:p>
            <w:pPr>
              <w:ind w:left="60"/>
              <w:spacing w:after="0" w:line="112" w:lineRule="exact"/>
              <w:rPr>
                <w:sz w:val="20"/>
                <w:szCs w:val="20"/>
                <w:color w:val="auto"/>
              </w:rPr>
            </w:pPr>
            <w:r>
              <w:rPr>
                <w:rFonts w:ascii="Arial" w:cs="Arial" w:eastAsia="Arial" w:hAnsi="Arial"/>
                <w:sz w:val="11"/>
                <w:szCs w:val="11"/>
                <w:color w:val="auto"/>
                <w:w w:val="89"/>
              </w:rPr>
              <w:t>Technology Hardware, Storage</w:t>
            </w:r>
          </w:p>
        </w:tc>
        <w:tc>
          <w:tcPr>
            <w:tcW w:w="60" w:type="dxa"/>
            <w:vAlign w:val="bottom"/>
          </w:tcPr>
          <w:p>
            <w:pPr>
              <w:spacing w:after="0"/>
              <w:rPr>
                <w:sz w:val="9"/>
                <w:szCs w:val="9"/>
                <w:color w:val="auto"/>
              </w:rPr>
            </w:pPr>
          </w:p>
        </w:tc>
        <w:tc>
          <w:tcPr>
            <w:tcW w:w="19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Warrant for Series E Preferred 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3"/>
          </w:tcPr>
          <w:p>
            <w:pPr>
              <w:ind w:left="60"/>
              <w:spacing w:after="0" w:line="122" w:lineRule="exact"/>
              <w:rPr>
                <w:sz w:val="20"/>
                <w:szCs w:val="20"/>
                <w:color w:val="auto"/>
              </w:rPr>
            </w:pPr>
            <w:r>
              <w:rPr>
                <w:rFonts w:ascii="Arial" w:cs="Arial" w:eastAsia="Arial" w:hAnsi="Arial"/>
                <w:sz w:val="11"/>
                <w:szCs w:val="11"/>
                <w:color w:val="auto"/>
              </w:rPr>
              <w:t>&amp; Peripherals</w:t>
            </w:r>
          </w:p>
        </w:tc>
        <w:tc>
          <w:tcPr>
            <w:tcW w:w="2040" w:type="dxa"/>
            <w:vAlign w:val="bottom"/>
            <w:gridSpan w:val="3"/>
          </w:tcPr>
          <w:p>
            <w:pPr>
              <w:ind w:left="60"/>
              <w:spacing w:after="0" w:line="122" w:lineRule="exact"/>
              <w:rPr>
                <w:sz w:val="20"/>
                <w:szCs w:val="20"/>
                <w:color w:val="auto"/>
              </w:rPr>
            </w:pPr>
            <w:r>
              <w:rPr>
                <w:rFonts w:ascii="Arial" w:cs="Arial" w:eastAsia="Arial" w:hAnsi="Arial"/>
                <w:sz w:val="11"/>
                <w:szCs w:val="11"/>
                <w:color w:val="auto"/>
              </w:rPr>
              <w:t>exercise price $0.90/share, expires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12/29/2027</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7"/>
              </w:rPr>
              <w:t>12/29/2017</w:t>
            </w:r>
          </w:p>
        </w:tc>
        <w:tc>
          <w:tcPr>
            <w:tcW w:w="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1,896,966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707,568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 w:type="dxa"/>
            <w:vAlign w:val="bottom"/>
            <w:tcBorders>
              <w:right w:val="single" w:sz="8" w:color="CCEEFF"/>
            </w:tcBorders>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Warrant for Series E Preferred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2040" w:type="dxa"/>
            <w:vAlign w:val="bottom"/>
            <w:gridSpan w:val="3"/>
            <w:shd w:val="clear" w:color="auto" w:fill="CCEEFF"/>
          </w:tcPr>
          <w:p>
            <w:pPr>
              <w:ind w:left="60"/>
              <w:spacing w:after="0" w:line="122" w:lineRule="exact"/>
              <w:rPr>
                <w:sz w:val="20"/>
                <w:szCs w:val="20"/>
                <w:color w:val="auto"/>
              </w:rPr>
            </w:pPr>
            <w:r>
              <w:rPr>
                <w:rFonts w:ascii="Arial" w:cs="Arial" w:eastAsia="Arial" w:hAnsi="Arial"/>
                <w:sz w:val="11"/>
                <w:szCs w:val="11"/>
                <w:color w:val="auto"/>
              </w:rPr>
              <w:t>exercise price $0.90/share, expires</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2/11/2029</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2/11/2019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2,806,830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411,528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00" w:type="dxa"/>
            <w:vAlign w:val="bottom"/>
            <w:tcBorders>
              <w:bottom w:val="single" w:sz="8" w:color="CCEEFF"/>
            </w:tcBorders>
            <w:gridSpan w:val="4"/>
          </w:tcPr>
          <w:p>
            <w:pPr>
              <w:spacing w:after="0" w:line="115" w:lineRule="exact"/>
              <w:rPr>
                <w:sz w:val="20"/>
                <w:szCs w:val="20"/>
                <w:color w:val="auto"/>
              </w:rPr>
            </w:pPr>
            <w:r>
              <w:rPr>
                <w:rFonts w:ascii="Arial" w:cs="Arial" w:eastAsia="Arial" w:hAnsi="Arial"/>
                <w:sz w:val="11"/>
                <w:szCs w:val="11"/>
                <w:b w:val="1"/>
                <w:bCs w:val="1"/>
                <w:color w:val="auto"/>
              </w:rPr>
              <w:t>Total Warrants</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8"/>
              </w:rPr>
              <w:t>18,825,013</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20,264,970</w:t>
            </w:r>
          </w:p>
        </w:tc>
        <w:tc>
          <w:tcPr>
            <w:tcW w:w="8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5.22</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900" w:type="dxa"/>
            <w:vAlign w:val="bottom"/>
            <w:gridSpan w:val="4"/>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non-control/non-affiliate</w:t>
            </w: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88"/>
              </w:rPr>
              <w:t>415,190,917</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1"/>
              </w:rPr>
              <w:t>410,489,211</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105.73</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investments</w:t>
            </w:r>
          </w:p>
        </w:tc>
        <w:tc>
          <w:tcPr>
            <w:tcW w:w="500" w:type="dxa"/>
            <w:vAlign w:val="bottom"/>
            <w:tcBorders>
              <w:top w:val="single" w:sz="8" w:color="CCEEFF"/>
            </w:tcBorders>
            <w:gridSpan w:val="2"/>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vMerge w:val="continue"/>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vMerge w:val="continue"/>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vMerge w:val="continue"/>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CCEEFF"/>
          </w:tcPr>
          <w:p>
            <w:pPr>
              <w:spacing w:after="0" w:line="20" w:lineRule="exact"/>
              <w:rPr>
                <w:sz w:val="1"/>
                <w:szCs w:val="1"/>
                <w:color w:val="auto"/>
              </w:rPr>
            </w:pPr>
          </w:p>
        </w:tc>
        <w:tc>
          <w:tcPr>
            <w:tcW w:w="600" w:type="dxa"/>
            <w:vAlign w:val="bottom"/>
            <w:tcBorders>
              <w:bottom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CCEEFF"/>
          </w:tcPr>
          <w:p>
            <w:pPr>
              <w:spacing w:after="0" w:line="20" w:lineRule="exact"/>
              <w:rPr>
                <w:sz w:val="1"/>
                <w:szCs w:val="1"/>
                <w:color w:val="auto"/>
              </w:rPr>
            </w:pPr>
          </w:p>
        </w:tc>
        <w:tc>
          <w:tcPr>
            <w:tcW w:w="620" w:type="dxa"/>
            <w:vAlign w:val="bottom"/>
            <w:tcBorders>
              <w:bottom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bottom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1900" w:type="dxa"/>
            <w:vAlign w:val="bottom"/>
            <w:gridSpan w:val="4"/>
          </w:tcPr>
          <w:p>
            <w:pPr>
              <w:spacing w:after="0" w:line="85" w:lineRule="exact"/>
              <w:rPr>
                <w:sz w:val="20"/>
                <w:szCs w:val="20"/>
                <w:color w:val="auto"/>
              </w:rPr>
            </w:pPr>
            <w:r>
              <w:rPr>
                <w:rFonts w:ascii="Arial" w:cs="Arial" w:eastAsia="Arial" w:hAnsi="Arial"/>
                <w:sz w:val="9"/>
                <w:szCs w:val="9"/>
                <w:b w:val="1"/>
                <w:bCs w:val="1"/>
                <w:color w:val="auto"/>
              </w:rPr>
              <w:t>U.S. Treasury</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40" w:type="dxa"/>
            <w:vAlign w:val="bottom"/>
            <w:gridSpan w:val="3"/>
          </w:tcPr>
          <w:p>
            <w:pPr>
              <w:ind w:left="60"/>
              <w:spacing w:after="0" w:line="85" w:lineRule="exact"/>
              <w:rPr>
                <w:sz w:val="20"/>
                <w:szCs w:val="20"/>
                <w:color w:val="auto"/>
              </w:rPr>
            </w:pPr>
            <w:r>
              <w:rPr>
                <w:rFonts w:ascii="Arial" w:cs="Arial" w:eastAsia="Arial" w:hAnsi="Arial"/>
                <w:sz w:val="9"/>
                <w:szCs w:val="9"/>
                <w:color w:val="auto"/>
              </w:rPr>
              <w:t>U.S. Treasury Bill, 0.50%, due 7/7/2020</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w w:val="97"/>
              </w:rPr>
              <w:t>6/25/2020</w:t>
            </w:r>
          </w:p>
        </w:tc>
        <w:tc>
          <w:tcPr>
            <w:tcW w:w="8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45,000,000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w w:val="98"/>
              </w:rPr>
              <w:t>44,999,250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44,998,500</w:t>
            </w: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11.59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960" w:type="dxa"/>
            <w:vAlign w:val="bottom"/>
            <w:gridSpan w:val="2"/>
          </w:tcPr>
          <w:p>
            <w:pPr>
              <w:ind w:left="60"/>
              <w:spacing w:after="0"/>
              <w:rPr>
                <w:sz w:val="20"/>
                <w:szCs w:val="20"/>
                <w:color w:val="auto"/>
              </w:rPr>
            </w:pPr>
            <w:r>
              <w:rPr>
                <w:rFonts w:ascii="Arial" w:cs="Arial" w:eastAsia="Arial" w:hAnsi="Arial"/>
                <w:sz w:val="8"/>
                <w:szCs w:val="8"/>
                <w:color w:val="auto"/>
              </w:rPr>
              <w:t>(10)</w:t>
            </w:r>
          </w:p>
        </w:tc>
        <w:tc>
          <w:tcPr>
            <w:tcW w:w="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00" w:type="dxa"/>
            <w:vAlign w:val="bottom"/>
            <w:gridSpan w:val="4"/>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Total Investments</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8"/>
              </w:rPr>
              <w:t>460,190,167</w:t>
            </w:r>
          </w:p>
        </w:tc>
        <w:tc>
          <w:tcPr>
            <w:tcW w:w="16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1"/>
              </w:rPr>
              <w:t>455,487,711</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117.32 %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700" w:right="79" w:hanging="326"/>
        <w:spacing w:after="0" w:line="233"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June 30, 2020, the 3-Month LIBOR was 0.30% and the U.S. Prime Rate was 3.25%.</w:t>
      </w:r>
    </w:p>
    <w:p>
      <w:pPr>
        <w:spacing w:after="0" w:line="103" w:lineRule="exact"/>
        <w:rPr>
          <w:rFonts w:ascii="Arial" w:cs="Arial" w:eastAsia="Arial" w:hAnsi="Arial"/>
          <w:sz w:val="11"/>
          <w:szCs w:val="11"/>
          <w:color w:val="auto"/>
        </w:rPr>
      </w:pPr>
    </w:p>
    <w:p>
      <w:pPr>
        <w:ind w:left="700" w:right="79" w:hanging="326"/>
        <w:spacing w:after="0" w:line="253"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in portfolio companies, which as of June 30, 2020 represented 105.73% of the Company’s net assets, are restricted as to resale and were valued at fair value as determined in good faith by the Company’s Board of Directors.</w:t>
      </w:r>
    </w:p>
    <w:p>
      <w:pPr>
        <w:spacing w:after="0" w:line="106" w:lineRule="exact"/>
        <w:rPr>
          <w:rFonts w:ascii="Arial" w:cs="Arial" w:eastAsia="Arial" w:hAnsi="Arial"/>
          <w:sz w:val="11"/>
          <w:szCs w:val="11"/>
          <w:color w:val="auto"/>
        </w:rPr>
      </w:pPr>
    </w:p>
    <w:p>
      <w:pPr>
        <w:jc w:val="both"/>
        <w:ind w:left="700" w:right="79" w:hanging="326"/>
        <w:spacing w:after="0" w:line="231"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not a qualifying investment as defined under Section 55(a) of the Investment Company Act of 1940, as amended (the “1940 Act”). Non-qualifying assets represent 8.59% of total investments at fair value as of June 30,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1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Represents a PIK security. PIK interest is accrued and will be paid at maturity.</w:t>
      </w:r>
    </w:p>
    <w:p>
      <w:pPr>
        <w:spacing w:after="0" w:line="122" w:lineRule="exact"/>
        <w:rPr>
          <w:rFonts w:ascii="Arial" w:cs="Arial" w:eastAsia="Arial" w:hAnsi="Arial"/>
          <w:sz w:val="11"/>
          <w:szCs w:val="11"/>
          <w:color w:val="auto"/>
        </w:rPr>
      </w:pPr>
    </w:p>
    <w:p>
      <w:pPr>
        <w:ind w:left="700" w:right="79" w:hanging="326"/>
        <w:spacing w:after="0" w:line="253"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are valued using unobservable inputs, except Common Stock, Corporate Bonds and U.S. Treasury Bills, which are valued using observable inputs.</w:t>
      </w:r>
    </w:p>
    <w:p>
      <w:pPr>
        <w:spacing w:after="0" w:line="10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All investments are domiciled in the United States, unless otherwise noted.</w:t>
      </w:r>
    </w:p>
    <w:p>
      <w:pPr>
        <w:spacing w:after="0" w:line="13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Canada.</w:t>
      </w:r>
    </w:p>
    <w:p>
      <w:pPr>
        <w:spacing w:after="0" w:line="122"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non-income producing.</w:t>
      </w:r>
    </w:p>
    <w:p>
      <w:pPr>
        <w:spacing w:after="0" w:line="13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Investments are held at Fair Value net of the Fair Value of Unfunded Commitments. See Note 3 for additional detail.</w:t>
      </w:r>
    </w:p>
    <w:p>
      <w:pPr>
        <w:spacing w:after="0" w:line="136" w:lineRule="exact"/>
        <w:rPr>
          <w:rFonts w:ascii="Arial" w:cs="Arial" w:eastAsia="Arial" w:hAnsi="Arial"/>
          <w:sz w:val="11"/>
          <w:szCs w:val="11"/>
          <w:color w:val="auto"/>
        </w:rPr>
      </w:pPr>
    </w:p>
    <w:p>
      <w:pPr>
        <w:jc w:val="both"/>
        <w:ind w:left="700" w:right="79" w:hanging="326"/>
        <w:spacing w:after="0" w:line="238"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Treasury bills with $45,000,000 in aggregate of par value were purchased pursuant to a 0.50% reverse repurchase agreement with Goldman Sachs, dated June 25, 2020, due July 2, 2020, with a repurchase price of $44,773,302 and collateralized by a 0.50% U.S. Treasury Bill due July 7, 2020 with a par value of $45,000,000 and fair value of $44,998,500.</w:t>
      </w:r>
    </w:p>
    <w:p>
      <w:pPr>
        <w:spacing w:after="0" w:line="101"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Disclosures of end-of-term-payments (“ETP”) are one-time payments stated as a percentage of original principal amount.</w:t>
      </w:r>
    </w:p>
    <w:p>
      <w:pPr>
        <w:spacing w:after="0" w:line="13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a cash success fee payable on the consummation of certain trigger events.</w:t>
      </w:r>
    </w:p>
    <w:p>
      <w:pPr>
        <w:spacing w:after="0" w:line="136" w:lineRule="exact"/>
        <w:rPr>
          <w:rFonts w:ascii="Arial" w:cs="Arial" w:eastAsia="Arial" w:hAnsi="Arial"/>
          <w:sz w:val="11"/>
          <w:szCs w:val="11"/>
          <w:color w:val="auto"/>
        </w:rPr>
      </w:pPr>
    </w:p>
    <w:p>
      <w:pPr>
        <w:ind w:left="700" w:hanging="326"/>
        <w:spacing w:after="0"/>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Investment is domiciled in the United Kingdom.</w:t>
      </w:r>
    </w:p>
    <w:p>
      <w:pPr>
        <w:spacing w:after="0" w:line="122" w:lineRule="exact"/>
        <w:rPr>
          <w:rFonts w:ascii="Arial" w:cs="Arial" w:eastAsia="Arial" w:hAnsi="Arial"/>
          <w:sz w:val="11"/>
          <w:szCs w:val="11"/>
          <w:color w:val="auto"/>
        </w:rPr>
      </w:pPr>
    </w:p>
    <w:p>
      <w:pPr>
        <w:ind w:left="700" w:right="79" w:hanging="326"/>
        <w:spacing w:after="0" w:line="253" w:lineRule="auto"/>
        <w:tabs>
          <w:tab w:leader="none" w:pos="700" w:val="left"/>
        </w:tabs>
        <w:numPr>
          <w:ilvl w:val="0"/>
          <w:numId w:val="3"/>
        </w:numPr>
        <w:rPr>
          <w:rFonts w:ascii="Arial" w:cs="Arial" w:eastAsia="Arial" w:hAnsi="Arial"/>
          <w:sz w:val="11"/>
          <w:szCs w:val="11"/>
          <w:color w:val="auto"/>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the Mojix, Inc. senior secured term loans.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tables show the fair value of our portfolio of investments (excluding any U.S. Treasury Bills held)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geographic region and industry as of June 30, 2020:</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19"/>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16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225,145,581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84,931,318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Northwestern United States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29,410,787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24,651,013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South Central United States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20,117,214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Midwestern United States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15,060,474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11,172,824</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410,489,211</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4"/>
          </w:tcPr>
          <w:p>
            <w:pPr>
              <w:jc w:val="right"/>
              <w:ind w:right="73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19"/>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10"/>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80,384,632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Internet Software &amp; Services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59,458,838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&amp; Outsourced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48,984,618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Specialized Consumer Services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44,293,133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Internet Retail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35,029,441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Healthcare Technology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26,951,842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System Software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26,200,298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Human Resource &amp; Employment Services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24,651,013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Education Services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18,465,645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Computer &amp; Electronics Retail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17,463,011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Healthcare Supplies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14,926,622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Technology Hardware, Storage &amp; Peripherals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10,348,699</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Specialty Finance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3,298,419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Advertising</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410,489,211</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 of</w:t>
            </w:r>
          </w:p>
        </w:tc>
        <w:tc>
          <w:tcPr>
            <w:tcW w:w="0" w:type="dxa"/>
            <w:vAlign w:val="bottom"/>
          </w:tcPr>
          <w:p>
            <w:pPr>
              <w:spacing w:after="0"/>
              <w:rPr>
                <w:sz w:val="1"/>
                <w:szCs w:val="1"/>
                <w:color w:val="auto"/>
              </w:rPr>
            </w:pPr>
          </w:p>
        </w:tc>
      </w:tr>
      <w:tr>
        <w:trPr>
          <w:trHeight w:val="121"/>
        </w:trPr>
        <w:tc>
          <w:tcPr>
            <w:tcW w:w="19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Acquisition</w:t>
            </w:r>
          </w:p>
        </w:tc>
        <w:tc>
          <w:tcPr>
            <w:tcW w:w="5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w w:val="88"/>
              </w:rPr>
              <w:t>Principal/</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Net</w:t>
            </w:r>
          </w:p>
        </w:tc>
        <w:tc>
          <w:tcPr>
            <w:tcW w:w="0" w:type="dxa"/>
            <w:vAlign w:val="bottom"/>
          </w:tcPr>
          <w:p>
            <w:pPr>
              <w:spacing w:after="0"/>
              <w:rPr>
                <w:sz w:val="1"/>
                <w:szCs w:val="1"/>
                <w:color w:val="auto"/>
              </w:rPr>
            </w:pPr>
          </w:p>
        </w:tc>
      </w:tr>
      <w:tr>
        <w:trPr>
          <w:trHeight w:val="135"/>
        </w:trPr>
        <w:tc>
          <w:tcPr>
            <w:tcW w:w="1900" w:type="dxa"/>
            <w:vAlign w:val="bottom"/>
            <w:gridSpan w:val="2"/>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2"/>
          </w:tcPr>
          <w:p>
            <w:pPr>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7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Assets</w:t>
            </w:r>
          </w:p>
        </w:tc>
        <w:tc>
          <w:tcPr>
            <w:tcW w:w="0" w:type="dxa"/>
            <w:vAlign w:val="bottom"/>
          </w:tcPr>
          <w:p>
            <w:pPr>
              <w:spacing w:after="0"/>
              <w:rPr>
                <w:sz w:val="1"/>
                <w:szCs w:val="1"/>
                <w:color w:val="auto"/>
              </w:rPr>
            </w:pPr>
          </w:p>
        </w:tc>
      </w:tr>
      <w:tr>
        <w:trPr>
          <w:trHeight w:val="102"/>
        </w:trPr>
        <w:tc>
          <w:tcPr>
            <w:tcW w:w="1720" w:type="dxa"/>
            <w:vAlign w:val="bottom"/>
            <w:tcBorders>
              <w:top w:val="single" w:sz="8" w:color="auto"/>
              <w:bottom w:val="single" w:sz="8" w:color="auto"/>
            </w:tcBorders>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87"/>
              </w:rPr>
              <w:t>Non-control/non-affiliate investments</w:t>
            </w:r>
          </w:p>
        </w:tc>
        <w:tc>
          <w:tcPr>
            <w:tcW w:w="1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3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CCEEFF"/>
            </w:tcBorders>
            <w:shd w:val="clear" w:color="auto" w:fill="CCEEFF"/>
          </w:tcPr>
          <w:p>
            <w:pPr>
              <w:spacing w:after="0"/>
              <w:rPr>
                <w:sz w:val="8"/>
                <w:szCs w:val="8"/>
                <w:color w:val="auto"/>
              </w:rPr>
            </w:pPr>
          </w:p>
        </w:tc>
        <w:tc>
          <w:tcPr>
            <w:tcW w:w="17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64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8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90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Senior Secured Term Loans</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90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Aginity, Inc.</w:t>
            </w:r>
          </w:p>
        </w:tc>
        <w:tc>
          <w:tcPr>
            <w:tcW w:w="144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rPr>
              <w:t>Application Software</w:t>
            </w:r>
          </w:p>
        </w:tc>
        <w:tc>
          <w:tcPr>
            <w:tcW w:w="2060" w:type="dxa"/>
            <w:vAlign w:val="bottom"/>
            <w:gridSpan w:val="4"/>
            <w:shd w:val="clear" w:color="auto" w:fill="CCEEFF"/>
          </w:tcPr>
          <w:p>
            <w:pPr>
              <w:ind w:left="80"/>
              <w:spacing w:after="0" w:line="111" w:lineRule="exact"/>
              <w:rPr>
                <w:sz w:val="20"/>
                <w:szCs w:val="20"/>
                <w:color w:val="auto"/>
              </w:rPr>
            </w:pPr>
            <w:r>
              <w:rPr>
                <w:rFonts w:ascii="Arial" w:cs="Arial" w:eastAsia="Arial" w:hAnsi="Arial"/>
                <w:sz w:val="11"/>
                <w:szCs w:val="11"/>
                <w:color w:val="auto"/>
              </w:rPr>
              <w:t>Tranche I: LIBOR+10.5% PIK, 11.50%</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line="132" w:lineRule="exact"/>
              <w:rPr>
                <w:sz w:val="20"/>
                <w:szCs w:val="20"/>
                <w:color w:val="auto"/>
              </w:rPr>
            </w:pPr>
            <w:r>
              <w:rPr>
                <w:rFonts w:ascii="Arial" w:cs="Arial" w:eastAsia="Arial" w:hAnsi="Arial"/>
                <w:sz w:val="10"/>
                <w:szCs w:val="10"/>
                <w:color w:val="auto"/>
              </w:rPr>
              <w:t>floor, 5% ETP, due 2/15/2020</w:t>
            </w:r>
            <w:r>
              <w:rPr>
                <w:rFonts w:ascii="Arial" w:cs="Arial" w:eastAsia="Arial" w:hAnsi="Arial"/>
                <w:sz w:val="15"/>
                <w:szCs w:val="15"/>
                <w:color w:val="auto"/>
                <w:vertAlign w:val="superscript"/>
              </w:rPr>
              <w:t>(4),(8),(12)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5/25/2018  $</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7,386,026</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  7,232,349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2,511,589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auto"/>
                <w:w w:val="93"/>
              </w:rPr>
              <w:t>0.67 %</w:t>
            </w:r>
          </w:p>
        </w:tc>
        <w:tc>
          <w:tcPr>
            <w:tcW w:w="0" w:type="dxa"/>
            <w:vAlign w:val="bottom"/>
          </w:tcPr>
          <w:p>
            <w:pPr>
              <w:spacing w:after="0"/>
              <w:rPr>
                <w:sz w:val="1"/>
                <w:szCs w:val="1"/>
                <w:color w:val="auto"/>
              </w:rPr>
            </w:pPr>
          </w:p>
        </w:tc>
      </w:tr>
      <w:tr>
        <w:trPr>
          <w:trHeight w:val="111"/>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4"/>
          </w:tcPr>
          <w:p>
            <w:pPr>
              <w:ind w:left="80"/>
              <w:spacing w:after="0" w:line="111" w:lineRule="exact"/>
              <w:rPr>
                <w:sz w:val="20"/>
                <w:szCs w:val="20"/>
                <w:color w:val="auto"/>
              </w:rPr>
            </w:pPr>
            <w:r>
              <w:rPr>
                <w:rFonts w:ascii="Arial" w:cs="Arial" w:eastAsia="Arial" w:hAnsi="Arial"/>
                <w:sz w:val="11"/>
                <w:szCs w:val="11"/>
                <w:color w:val="auto"/>
              </w:rPr>
              <w:t>Tranche II: LIBOR+10.5% PIK, 11.50%</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4"/>
          </w:tcPr>
          <w:p>
            <w:pPr>
              <w:ind w:left="80"/>
              <w:spacing w:after="0" w:line="122" w:lineRule="exact"/>
              <w:rPr>
                <w:sz w:val="20"/>
                <w:szCs w:val="20"/>
                <w:color w:val="auto"/>
              </w:rPr>
            </w:pPr>
            <w:r>
              <w:rPr>
                <w:rFonts w:ascii="Arial" w:cs="Arial" w:eastAsia="Arial" w:hAnsi="Arial"/>
                <w:sz w:val="10"/>
                <w:szCs w:val="10"/>
                <w:color w:val="auto"/>
              </w:rPr>
              <w:t>floor, Extension line, due 2/15/2020</w:t>
            </w:r>
            <w:r>
              <w:rPr>
                <w:rFonts w:ascii="Arial" w:cs="Arial" w:eastAsia="Arial" w:hAnsi="Arial"/>
                <w:sz w:val="14"/>
                <w:szCs w:val="14"/>
                <w:color w:val="auto"/>
                <w:vertAlign w:val="superscript"/>
              </w:rPr>
              <w:t>(4),(8),</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w w:val="97"/>
              </w:rPr>
              <w:t>7/25/2019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2,000,000</w:t>
            </w:r>
          </w:p>
        </w:tc>
        <w:tc>
          <w:tcPr>
            <w:tcW w:w="740" w:type="dxa"/>
            <w:vAlign w:val="bottom"/>
            <w:gridSpan w:val="2"/>
            <w:vMerge w:val="restart"/>
          </w:tcPr>
          <w:p>
            <w:pPr>
              <w:jc w:val="right"/>
              <w:ind w:right="6"/>
              <w:spacing w:after="0"/>
              <w:rPr>
                <w:sz w:val="20"/>
                <w:szCs w:val="20"/>
                <w:color w:val="auto"/>
              </w:rPr>
            </w:pPr>
            <w:r>
              <w:rPr>
                <w:rFonts w:ascii="Arial" w:cs="Arial" w:eastAsia="Arial" w:hAnsi="Arial"/>
                <w:sz w:val="11"/>
                <w:szCs w:val="11"/>
                <w:color w:val="auto"/>
              </w:rPr>
              <w:t>2,000,000</w:t>
            </w:r>
          </w:p>
        </w:tc>
        <w:tc>
          <w:tcPr>
            <w:tcW w:w="720" w:type="dxa"/>
            <w:vAlign w:val="bottom"/>
            <w:gridSpan w:val="2"/>
            <w:vMerge w:val="restart"/>
          </w:tcPr>
          <w:p>
            <w:pPr>
              <w:jc w:val="right"/>
              <w:spacing w:after="0"/>
              <w:rPr>
                <w:sz w:val="20"/>
                <w:szCs w:val="20"/>
                <w:color w:val="auto"/>
              </w:rPr>
            </w:pPr>
            <w:r>
              <w:rPr>
                <w:rFonts w:ascii="Arial" w:cs="Arial" w:eastAsia="Arial" w:hAnsi="Arial"/>
                <w:sz w:val="11"/>
                <w:szCs w:val="11"/>
                <w:color w:val="auto"/>
              </w:rPr>
              <w:t>1,800,000</w:t>
            </w:r>
          </w:p>
        </w:tc>
        <w:tc>
          <w:tcPr>
            <w:tcW w:w="80" w:type="dxa"/>
            <w:vAlign w:val="bottom"/>
          </w:tcPr>
          <w:p>
            <w:pPr>
              <w:spacing w:after="0"/>
              <w:rPr>
                <w:sz w:val="10"/>
                <w:szCs w:val="10"/>
                <w:color w:val="auto"/>
              </w:rPr>
            </w:pPr>
          </w:p>
        </w:tc>
        <w:tc>
          <w:tcPr>
            <w:tcW w:w="580" w:type="dxa"/>
            <w:vAlign w:val="bottom"/>
            <w:vMerge w:val="restart"/>
          </w:tcPr>
          <w:p>
            <w:pPr>
              <w:ind w:left="340"/>
              <w:spacing w:after="0"/>
              <w:rPr>
                <w:sz w:val="20"/>
                <w:szCs w:val="20"/>
                <w:color w:val="auto"/>
              </w:rPr>
            </w:pPr>
            <w:r>
              <w:rPr>
                <w:rFonts w:ascii="Arial" w:cs="Arial" w:eastAsia="Arial" w:hAnsi="Arial"/>
                <w:sz w:val="11"/>
                <w:szCs w:val="11"/>
                <w:color w:val="auto"/>
              </w:rPr>
              <w:t>0.48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1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gridSpan w:val="2"/>
          </w:tcPr>
          <w:p>
            <w:pPr>
              <w:ind w:left="80"/>
              <w:spacing w:after="0"/>
              <w:rPr>
                <w:sz w:val="20"/>
                <w:szCs w:val="20"/>
                <w:color w:val="auto"/>
              </w:rPr>
            </w:pPr>
            <w:r>
              <w:rPr>
                <w:rFonts w:ascii="Arial" w:cs="Arial" w:eastAsia="Arial" w:hAnsi="Arial"/>
                <w:sz w:val="8"/>
                <w:szCs w:val="8"/>
                <w:color w:val="auto"/>
                <w:w w:val="98"/>
              </w:rPr>
              <w:t>(12)</w:t>
            </w:r>
          </w:p>
        </w:tc>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1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Aria Systems,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rPr>
              <w:t>LIBOR+9.0%, 11.35% floor, 4.5% ETP,</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due 12/15/2021</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6/29/2018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25,000,000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25,016,698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24,863,442</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6.61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Brilliant Earth, LLC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Internet Retail</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w w:val="99"/>
              </w:rPr>
              <w:t>LIBOR+8.25%, 10.40% floor, 4.5%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due 4/15/2023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9/30/2019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35,000,000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33,795,605</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33,795,605</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8.98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CareCloud Corporation</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 Technology</w:t>
            </w: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w w:val="94"/>
              </w:rPr>
              <w:t>Prime+7.0%, 11.75% floor, 3.5% ETP, due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6/15/2022</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6/19/2018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25,000,000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24,994,734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22,320,627</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6.20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Circadence Corporation</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w w:val="96"/>
              </w:rPr>
              <w:t>LIBOR+9.50%, 12.0% floor, 6% ETP, due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3"/>
          </w:tcPr>
          <w:p>
            <w:pPr>
              <w:ind w:left="80"/>
              <w:spacing w:after="0"/>
              <w:rPr>
                <w:sz w:val="20"/>
                <w:szCs w:val="20"/>
                <w:color w:val="auto"/>
              </w:rPr>
            </w:pPr>
            <w:r>
              <w:rPr>
                <w:rFonts w:ascii="Arial" w:cs="Arial" w:eastAsia="Arial" w:hAnsi="Arial"/>
                <w:sz w:val="11"/>
                <w:szCs w:val="11"/>
                <w:color w:val="auto"/>
              </w:rPr>
              <w:t>12/15/2022</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12/20/2018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18,000,000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15,038,641</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15,485,065</w:t>
            </w:r>
          </w:p>
        </w:tc>
        <w:tc>
          <w:tcPr>
            <w:tcW w:w="80" w:type="dxa"/>
            <w:vAlign w:val="bottom"/>
          </w:tcPr>
          <w:p>
            <w:pPr>
              <w:spacing w:after="0"/>
              <w:rPr>
                <w:sz w:val="11"/>
                <w:szCs w:val="11"/>
                <w:color w:val="auto"/>
              </w:rPr>
            </w:pPr>
          </w:p>
        </w:tc>
        <w:tc>
          <w:tcPr>
            <w:tcW w:w="580" w:type="dxa"/>
            <w:vAlign w:val="bottom"/>
          </w:tcPr>
          <w:p>
            <w:pPr>
              <w:ind w:left="360"/>
              <w:spacing w:after="0"/>
              <w:rPr>
                <w:sz w:val="20"/>
                <w:szCs w:val="20"/>
                <w:color w:val="auto"/>
              </w:rPr>
            </w:pPr>
            <w:r>
              <w:rPr>
                <w:rFonts w:ascii="Arial" w:cs="Arial" w:eastAsia="Arial" w:hAnsi="Arial"/>
                <w:sz w:val="11"/>
                <w:szCs w:val="11"/>
                <w:color w:val="auto"/>
                <w:w w:val="93"/>
              </w:rPr>
              <w:t>4.11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00" w:type="dxa"/>
            <w:vAlign w:val="bottom"/>
            <w:gridSpan w:val="2"/>
            <w:shd w:val="clear" w:color="auto" w:fill="CCEEFF"/>
          </w:tcPr>
          <w:p>
            <w:pPr>
              <w:spacing w:after="0" w:line="111" w:lineRule="exact"/>
              <w:rPr>
                <w:sz w:val="20"/>
                <w:szCs w:val="20"/>
                <w:color w:val="auto"/>
              </w:rPr>
            </w:pPr>
            <w:r>
              <w:rPr>
                <w:rFonts w:ascii="Arial" w:cs="Arial" w:eastAsia="Arial" w:hAnsi="Arial"/>
                <w:sz w:val="11"/>
                <w:szCs w:val="11"/>
                <w:color w:val="auto"/>
              </w:rPr>
              <w:t>Cloud Passage, Inc.</w:t>
            </w:r>
          </w:p>
        </w:tc>
        <w:tc>
          <w:tcPr>
            <w:tcW w:w="144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w w:val="88"/>
              </w:rPr>
              <w:t>Data Processing &amp; Outsourced</w:t>
            </w:r>
          </w:p>
        </w:tc>
        <w:tc>
          <w:tcPr>
            <w:tcW w:w="2060" w:type="dxa"/>
            <w:vAlign w:val="bottom"/>
            <w:gridSpan w:val="4"/>
            <w:shd w:val="clear" w:color="auto" w:fill="CCEEFF"/>
          </w:tcPr>
          <w:p>
            <w:pPr>
              <w:ind w:left="80"/>
              <w:spacing w:after="0" w:line="111" w:lineRule="exact"/>
              <w:rPr>
                <w:sz w:val="20"/>
                <w:szCs w:val="20"/>
                <w:color w:val="auto"/>
              </w:rPr>
            </w:pPr>
            <w:r>
              <w:rPr>
                <w:rFonts w:ascii="Arial" w:cs="Arial" w:eastAsia="Arial" w:hAnsi="Arial"/>
                <w:sz w:val="11"/>
                <w:szCs w:val="11"/>
                <w:color w:val="auto"/>
              </w:rPr>
              <w:t>LIBOR+7.50%, 1% PIK, 10.00%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4"/>
            <w:shd w:val="clear" w:color="auto" w:fill="CCEEFF"/>
          </w:tcPr>
          <w:p>
            <w:pPr>
              <w:ind w:left="80"/>
              <w:spacing w:after="0" w:line="132" w:lineRule="exact"/>
              <w:rPr>
                <w:sz w:val="20"/>
                <w:szCs w:val="20"/>
                <w:color w:val="auto"/>
              </w:rPr>
            </w:pPr>
            <w:r>
              <w:rPr>
                <w:rFonts w:ascii="Arial" w:cs="Arial" w:eastAsia="Arial" w:hAnsi="Arial"/>
                <w:sz w:val="10"/>
                <w:szCs w:val="10"/>
                <w:color w:val="auto"/>
              </w:rPr>
              <w:t>2.75% ETP, due 6/13/2023</w:t>
            </w:r>
            <w:r>
              <w:rPr>
                <w:rFonts w:ascii="Arial" w:cs="Arial" w:eastAsia="Arial" w:hAnsi="Arial"/>
                <w:sz w:val="15"/>
                <w:szCs w:val="15"/>
                <w:color w:val="auto"/>
                <w:vertAlign w:val="superscript"/>
              </w:rPr>
              <w:t>(4)</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6/13/2019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7,538,624</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7,280,486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7,280,486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1.93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00" w:type="dxa"/>
            <w:vAlign w:val="bottom"/>
            <w:gridSpan w:val="2"/>
          </w:tcPr>
          <w:p>
            <w:pPr>
              <w:spacing w:after="0" w:line="111" w:lineRule="exact"/>
              <w:rPr>
                <w:sz w:val="20"/>
                <w:szCs w:val="20"/>
                <w:color w:val="auto"/>
              </w:rPr>
            </w:pPr>
            <w:r>
              <w:rPr>
                <w:rFonts w:ascii="Arial" w:cs="Arial" w:eastAsia="Arial" w:hAnsi="Arial"/>
                <w:sz w:val="11"/>
                <w:szCs w:val="11"/>
                <w:color w:val="auto"/>
              </w:rPr>
              <w:t>Dejero Labs Inc.</w:t>
            </w:r>
          </w:p>
        </w:tc>
        <w:tc>
          <w:tcPr>
            <w:tcW w:w="1440" w:type="dxa"/>
            <w:vAlign w:val="bottom"/>
            <w:gridSpan w:val="2"/>
          </w:tcPr>
          <w:p>
            <w:pPr>
              <w:ind w:left="80"/>
              <w:spacing w:after="0" w:line="111" w:lineRule="exact"/>
              <w:rPr>
                <w:sz w:val="20"/>
                <w:szCs w:val="20"/>
                <w:color w:val="auto"/>
              </w:rPr>
            </w:pPr>
            <w:r>
              <w:rPr>
                <w:rFonts w:ascii="Arial" w:cs="Arial" w:eastAsia="Arial" w:hAnsi="Arial"/>
                <w:sz w:val="11"/>
                <w:szCs w:val="11"/>
                <w:color w:val="auto"/>
                <w:w w:val="88"/>
              </w:rPr>
              <w:t>Data Processing &amp; Outsourced</w:t>
            </w:r>
          </w:p>
        </w:tc>
        <w:tc>
          <w:tcPr>
            <w:tcW w:w="2060" w:type="dxa"/>
            <w:vAlign w:val="bottom"/>
            <w:gridSpan w:val="4"/>
          </w:tcPr>
          <w:p>
            <w:pPr>
              <w:ind w:left="80"/>
              <w:spacing w:after="0" w:line="111" w:lineRule="exact"/>
              <w:rPr>
                <w:sz w:val="20"/>
                <w:szCs w:val="20"/>
                <w:color w:val="auto"/>
              </w:rPr>
            </w:pPr>
            <w:r>
              <w:rPr>
                <w:rFonts w:ascii="Arial" w:cs="Arial" w:eastAsia="Arial" w:hAnsi="Arial"/>
                <w:sz w:val="11"/>
                <w:szCs w:val="11"/>
                <w:color w:val="auto"/>
                <w:w w:val="99"/>
              </w:rPr>
              <w:t>LIBOR+9.25%, 11.75% floor, 4.5%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4"/>
          </w:tcPr>
          <w:p>
            <w:pPr>
              <w:ind w:left="80"/>
              <w:spacing w:after="0" w:line="132" w:lineRule="exact"/>
              <w:rPr>
                <w:sz w:val="20"/>
                <w:szCs w:val="20"/>
                <w:color w:val="auto"/>
              </w:rPr>
            </w:pPr>
            <w:r>
              <w:rPr>
                <w:rFonts w:ascii="Arial" w:cs="Arial" w:eastAsia="Arial" w:hAnsi="Arial"/>
                <w:sz w:val="10"/>
                <w:szCs w:val="10"/>
                <w:color w:val="auto"/>
              </w:rPr>
              <w:t>due 5/31/2023</w:t>
            </w:r>
            <w:r>
              <w:rPr>
                <w:rFonts w:ascii="Arial" w:cs="Arial" w:eastAsia="Arial" w:hAnsi="Arial"/>
                <w:sz w:val="15"/>
                <w:szCs w:val="15"/>
                <w:color w:val="auto"/>
                <w:vertAlign w:val="superscript"/>
              </w:rPr>
              <w:t>(3),(7)</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5/31/2019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11,000,000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10797612</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10,797,612</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Dtex Systems,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rPr>
              <w:t>LIBOR+10.65% PIK, 13% floor, 4.875%</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ETP, due 11/15/2021</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8,130,147</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8233588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8,436,559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Echo 360 Holdings,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rPr>
              <w:t>Tranche I: LIBOR+9.25%, 12.05%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4.0% ETP, due 5/3/2023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14,000,000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13773561</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11,773,561</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3.66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Tranche II: LIBOR+9.25%, 12.05%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4.0% ETP, due 5/3/2023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2,973,193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2,970,709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eSilicon Corporation</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Semiconductors</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w w:val="96"/>
              </w:rPr>
              <w:t>Tranche I: LIBOR+10.50%, 13% floor, 5%</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ETP, due 7/15/2020</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7/31/2017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2,916,667</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3,323,305</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3,442,998</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0.91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II: LIBOR+10.50%, 13%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5% ETP, due 1/15/2021</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2,708,333</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2,886,855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2,982,784</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rPr>
              <w:t>Tranche III: LIBOR+10.50%, 13%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5% ETP, due 6/15/2020</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6/21/2019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10,000,000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10,177,163</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11,063,021</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w w:val="96"/>
              </w:rPr>
              <w:t>Tranche IV: Prime+2.75%, Revolving line,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w w:val="76"/>
              </w:rPr>
              <w:t>due</w:t>
            </w:r>
          </w:p>
        </w:tc>
        <w:tc>
          <w:tcPr>
            <w:tcW w:w="1740" w:type="dxa"/>
            <w:vAlign w:val="bottom"/>
            <w:shd w:val="clear" w:color="auto" w:fill="CCEEFF"/>
          </w:tcPr>
          <w:p>
            <w:pPr>
              <w:jc w:val="right"/>
              <w:ind w:right="1208"/>
              <w:spacing w:after="0"/>
              <w:rPr>
                <w:sz w:val="20"/>
                <w:szCs w:val="20"/>
                <w:color w:val="auto"/>
              </w:rPr>
            </w:pPr>
            <w:r>
              <w:rPr>
                <w:rFonts w:ascii="Arial" w:cs="Arial" w:eastAsia="Arial" w:hAnsi="Arial"/>
                <w:sz w:val="11"/>
                <w:szCs w:val="11"/>
                <w:color w:val="auto"/>
                <w:w w:val="93"/>
              </w:rPr>
              <w:t>6/15/2020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6/21/2019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11,000,000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11,000,000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10,590,278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INRIX,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9"/>
              </w:rPr>
              <w:t>Internet Software and Services</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rPr>
              <w:t>Tranche I: LIBOR+8.0%, 10.5% floor,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2.5% ETP, due 7/15/2023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7/26/2019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20,000,000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19,600,991</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19,600,991</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5.21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I: LIBOR+8.0%, 10.5% floor,</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4"/>
            <w:shd w:val="clear" w:color="auto" w:fill="CCEEFF"/>
          </w:tcPr>
          <w:p>
            <w:pPr>
              <w:ind w:left="80"/>
              <w:spacing w:after="0"/>
              <w:rPr>
                <w:sz w:val="20"/>
                <w:szCs w:val="20"/>
                <w:color w:val="auto"/>
              </w:rPr>
            </w:pPr>
            <w:r>
              <w:rPr>
                <w:rFonts w:ascii="Arial" w:cs="Arial" w:eastAsia="Arial" w:hAnsi="Arial"/>
                <w:sz w:val="11"/>
                <w:szCs w:val="11"/>
                <w:color w:val="auto"/>
              </w:rPr>
              <w:t>2.5% ETP, due 7/15/2023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7/26/2019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4,703,249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4,703,249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tcPr>
          <w:p>
            <w:pPr>
              <w:spacing w:after="0" w:line="112" w:lineRule="exact"/>
              <w:rPr>
                <w:sz w:val="20"/>
                <w:szCs w:val="20"/>
                <w:color w:val="auto"/>
              </w:rPr>
            </w:pPr>
            <w:r>
              <w:rPr>
                <w:rFonts w:ascii="Arial" w:cs="Arial" w:eastAsia="Arial" w:hAnsi="Arial"/>
                <w:sz w:val="11"/>
                <w:szCs w:val="11"/>
                <w:color w:val="auto"/>
              </w:rPr>
              <w:t>Longtail Ad Solutions, Inc. (dba JW</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9"/>
              </w:rPr>
              <w:t>Internet Software and Services</w:t>
            </w:r>
          </w:p>
        </w:tc>
        <w:tc>
          <w:tcPr>
            <w:tcW w:w="2060" w:type="dxa"/>
            <w:vAlign w:val="bottom"/>
            <w:gridSpan w:val="4"/>
          </w:tcPr>
          <w:p>
            <w:pPr>
              <w:ind w:left="80"/>
              <w:spacing w:after="0" w:line="112" w:lineRule="exact"/>
              <w:rPr>
                <w:sz w:val="20"/>
                <w:szCs w:val="20"/>
                <w:color w:val="auto"/>
              </w:rPr>
            </w:pPr>
            <w:r>
              <w:rPr>
                <w:rFonts w:ascii="Arial" w:cs="Arial" w:eastAsia="Arial" w:hAnsi="Arial"/>
                <w:sz w:val="11"/>
                <w:szCs w:val="11"/>
                <w:color w:val="auto"/>
              </w:rPr>
              <w:t>LIBOR+8.75%. 10.75% Floor, 3% ETP,</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Player)</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4"/>
          </w:tcPr>
          <w:p>
            <w:pPr>
              <w:ind w:left="80"/>
              <w:spacing w:after="0"/>
              <w:rPr>
                <w:sz w:val="20"/>
                <w:szCs w:val="20"/>
                <w:color w:val="auto"/>
              </w:rPr>
            </w:pPr>
            <w:r>
              <w:rPr>
                <w:rFonts w:ascii="Arial" w:cs="Arial" w:eastAsia="Arial" w:hAnsi="Arial"/>
                <w:sz w:val="11"/>
                <w:szCs w:val="11"/>
                <w:color w:val="auto"/>
              </w:rPr>
              <w:t>due 6/15/2023</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12/12/2019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25,000,000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4,703,249</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24,655,194</w:t>
            </w:r>
          </w:p>
        </w:tc>
        <w:tc>
          <w:tcPr>
            <w:tcW w:w="80" w:type="dxa"/>
            <w:vAlign w:val="bottom"/>
          </w:tcPr>
          <w:p>
            <w:pPr>
              <w:spacing w:after="0"/>
              <w:rPr>
                <w:sz w:val="11"/>
                <w:szCs w:val="11"/>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6.55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Massdrop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91"/>
              </w:rPr>
              <w:t>Computer &amp; Electronics Retail</w:t>
            </w:r>
          </w:p>
        </w:tc>
        <w:tc>
          <w:tcPr>
            <w:tcW w:w="2060" w:type="dxa"/>
            <w:vAlign w:val="bottom"/>
            <w:gridSpan w:val="4"/>
            <w:shd w:val="clear" w:color="auto" w:fill="CCEEFF"/>
          </w:tcPr>
          <w:p>
            <w:pPr>
              <w:ind w:left="80"/>
              <w:spacing w:after="0" w:line="112" w:lineRule="exact"/>
              <w:rPr>
                <w:sz w:val="20"/>
                <w:szCs w:val="20"/>
                <w:color w:val="auto"/>
              </w:rPr>
            </w:pPr>
            <w:r>
              <w:rPr>
                <w:rFonts w:ascii="Arial" w:cs="Arial" w:eastAsia="Arial" w:hAnsi="Arial"/>
                <w:sz w:val="11"/>
                <w:szCs w:val="11"/>
                <w:color w:val="auto"/>
                <w:w w:val="93"/>
              </w:rPr>
              <w:t>LIBOR+8.25%, 10.65% floor, 4% ETP, due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1/15/2023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7/22/2019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17,500,000</w:t>
            </w:r>
          </w:p>
        </w:tc>
        <w:tc>
          <w:tcPr>
            <w:tcW w:w="74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24,655,194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17,220,865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900" w:type="dxa"/>
            <w:vAlign w:val="bottom"/>
            <w:gridSpan w:val="2"/>
          </w:tcPr>
          <w:p>
            <w:pPr>
              <w:spacing w:after="0" w:line="111" w:lineRule="exact"/>
              <w:rPr>
                <w:sz w:val="20"/>
                <w:szCs w:val="20"/>
                <w:color w:val="auto"/>
              </w:rPr>
            </w:pPr>
            <w:r>
              <w:rPr>
                <w:rFonts w:ascii="Arial" w:cs="Arial" w:eastAsia="Arial" w:hAnsi="Arial"/>
                <w:sz w:val="11"/>
                <w:szCs w:val="11"/>
                <w:color w:val="auto"/>
              </w:rPr>
              <w:t>MingleHealth Care Solutions, Inc.</w:t>
            </w:r>
          </w:p>
        </w:tc>
        <w:tc>
          <w:tcPr>
            <w:tcW w:w="1440" w:type="dxa"/>
            <w:vAlign w:val="bottom"/>
            <w:gridSpan w:val="2"/>
          </w:tcPr>
          <w:p>
            <w:pPr>
              <w:ind w:left="80"/>
              <w:spacing w:after="0" w:line="111" w:lineRule="exact"/>
              <w:rPr>
                <w:sz w:val="20"/>
                <w:szCs w:val="20"/>
                <w:color w:val="auto"/>
              </w:rPr>
            </w:pPr>
            <w:r>
              <w:rPr>
                <w:rFonts w:ascii="Arial" w:cs="Arial" w:eastAsia="Arial" w:hAnsi="Arial"/>
                <w:sz w:val="11"/>
                <w:szCs w:val="11"/>
                <w:color w:val="auto"/>
              </w:rPr>
              <w:t>Healthcare Technology</w:t>
            </w:r>
          </w:p>
        </w:tc>
        <w:tc>
          <w:tcPr>
            <w:tcW w:w="2060" w:type="dxa"/>
            <w:vAlign w:val="bottom"/>
            <w:gridSpan w:val="4"/>
          </w:tcPr>
          <w:p>
            <w:pPr>
              <w:ind w:left="80"/>
              <w:spacing w:after="0" w:line="111" w:lineRule="exact"/>
              <w:rPr>
                <w:sz w:val="20"/>
                <w:szCs w:val="20"/>
                <w:color w:val="auto"/>
              </w:rPr>
            </w:pPr>
            <w:r>
              <w:rPr>
                <w:rFonts w:ascii="Arial" w:cs="Arial" w:eastAsia="Arial" w:hAnsi="Arial"/>
                <w:sz w:val="11"/>
                <w:szCs w:val="11"/>
                <w:color w:val="auto"/>
                <w:w w:val="96"/>
              </w:rPr>
              <w:t>LIBOR+9.5%, 11.75% floor, 4% ETP, due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ind w:left="80"/>
              <w:spacing w:after="0"/>
              <w:rPr>
                <w:sz w:val="20"/>
                <w:szCs w:val="20"/>
                <w:color w:val="auto"/>
              </w:rPr>
            </w:pPr>
            <w:r>
              <w:rPr>
                <w:rFonts w:ascii="Arial" w:cs="Arial" w:eastAsia="Arial" w:hAnsi="Arial"/>
                <w:sz w:val="11"/>
                <w:szCs w:val="11"/>
                <w:color w:val="auto"/>
              </w:rPr>
              <w:t>8/15/2022</w:t>
            </w:r>
            <w:r>
              <w:rPr>
                <w:rFonts w:ascii="Arial" w:cs="Arial" w:eastAsia="Arial" w:hAnsi="Arial"/>
                <w:sz w:val="16"/>
                <w:szCs w:val="16"/>
                <w:color w:val="auto"/>
                <w:vertAlign w:val="superscript"/>
              </w:rPr>
              <w:t>(12)</w:t>
            </w:r>
          </w:p>
        </w:tc>
        <w:tc>
          <w:tcPr>
            <w:tcW w:w="80" w:type="dxa"/>
            <w:vAlign w:val="bottom"/>
          </w:tcPr>
          <w:p>
            <w:pPr>
              <w:spacing w:after="0"/>
              <w:rPr>
                <w:sz w:val="18"/>
                <w:szCs w:val="18"/>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8/15/2018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6,000,000</w:t>
            </w:r>
          </w:p>
        </w:tc>
        <w:tc>
          <w:tcPr>
            <w:tcW w:w="740" w:type="dxa"/>
            <w:vAlign w:val="bottom"/>
            <w:gridSpan w:val="2"/>
          </w:tcPr>
          <w:p>
            <w:pPr>
              <w:jc w:val="right"/>
              <w:ind w:right="6"/>
              <w:spacing w:after="0"/>
              <w:rPr>
                <w:sz w:val="20"/>
                <w:szCs w:val="20"/>
                <w:color w:val="auto"/>
              </w:rPr>
            </w:pPr>
            <w:r>
              <w:rPr>
                <w:rFonts w:ascii="Arial" w:cs="Arial" w:eastAsia="Arial" w:hAnsi="Arial"/>
                <w:sz w:val="11"/>
                <w:szCs w:val="11"/>
                <w:color w:val="auto"/>
              </w:rPr>
              <w:t>17,220,865</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5,417,339</w:t>
            </w:r>
          </w:p>
        </w:tc>
        <w:tc>
          <w:tcPr>
            <w:tcW w:w="80" w:type="dxa"/>
            <w:vAlign w:val="bottom"/>
          </w:tcPr>
          <w:p>
            <w:pPr>
              <w:spacing w:after="0"/>
              <w:rPr>
                <w:sz w:val="18"/>
                <w:szCs w:val="18"/>
                <w:color w:val="auto"/>
              </w:rPr>
            </w:pPr>
          </w:p>
        </w:tc>
        <w:tc>
          <w:tcPr>
            <w:tcW w:w="580" w:type="dxa"/>
            <w:vAlign w:val="bottom"/>
          </w:tcPr>
          <w:p>
            <w:pPr>
              <w:ind w:left="340"/>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rPr>
              <w:t>% of</w:t>
            </w:r>
          </w:p>
        </w:tc>
      </w:tr>
      <w:tr>
        <w:trPr>
          <w:trHeight w:val="121"/>
        </w:trPr>
        <w:tc>
          <w:tcPr>
            <w:tcW w:w="1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6"/>
              </w:rPr>
              <w:t>Acquisition</w:t>
            </w:r>
          </w:p>
        </w:tc>
        <w:tc>
          <w:tcPr>
            <w:tcW w:w="60" w:type="dxa"/>
            <w:vAlign w:val="bottom"/>
          </w:tcPr>
          <w:p>
            <w:pPr>
              <w:spacing w:after="0"/>
              <w:rPr>
                <w:sz w:val="10"/>
                <w:szCs w:val="10"/>
                <w:color w:val="auto"/>
              </w:rPr>
            </w:pPr>
          </w:p>
        </w:tc>
        <w:tc>
          <w:tcPr>
            <w:tcW w:w="6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Net</w:t>
            </w:r>
          </w:p>
        </w:tc>
      </w:tr>
      <w:tr>
        <w:trPr>
          <w:trHeight w:val="135"/>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60" w:type="dxa"/>
            <w:vAlign w:val="bottom"/>
          </w:tcPr>
          <w:p>
            <w:pPr>
              <w:spacing w:after="0"/>
              <w:rPr>
                <w:sz w:val="11"/>
                <w:szCs w:val="11"/>
                <w:color w:val="auto"/>
              </w:rPr>
            </w:pPr>
          </w:p>
        </w:tc>
        <w:tc>
          <w:tcPr>
            <w:tcW w:w="1900" w:type="dxa"/>
            <w:vAlign w:val="bottom"/>
          </w:tcPr>
          <w:p>
            <w:pPr>
              <w:ind w:left="180"/>
              <w:spacing w:after="0" w:line="136" w:lineRule="exact"/>
              <w:rPr>
                <w:sz w:val="20"/>
                <w:szCs w:val="20"/>
                <w:color w:val="auto"/>
              </w:rPr>
            </w:pPr>
            <w:r>
              <w:rPr>
                <w:rFonts w:ascii="Arial" w:cs="Arial" w:eastAsia="Arial" w:hAnsi="Arial"/>
                <w:sz w:val="10"/>
                <w:szCs w:val="10"/>
                <w:b w:val="1"/>
                <w:bCs w:val="1"/>
                <w:color w:val="auto"/>
                <w:w w:val="98"/>
              </w:rPr>
              <w:t>Investment Description</w:t>
            </w:r>
            <w:r>
              <w:rPr>
                <w:rFonts w:ascii="Arial" w:cs="Arial" w:eastAsia="Arial" w:hAnsi="Arial"/>
                <w:sz w:val="15"/>
                <w:szCs w:val="15"/>
                <w:b w:val="1"/>
                <w:bCs w:val="1"/>
                <w:color w:val="auto"/>
                <w:w w:val="98"/>
                <w:vertAlign w:val="superscript"/>
              </w:rPr>
              <w:t>(1),(5),(6),(11)</w:t>
            </w:r>
          </w:p>
        </w:tc>
        <w:tc>
          <w:tcPr>
            <w:tcW w:w="80" w:type="dxa"/>
            <w:vAlign w:val="bottom"/>
          </w:tcPr>
          <w:p>
            <w:pPr>
              <w:spacing w:after="0"/>
              <w:rPr>
                <w:sz w:val="11"/>
                <w:szCs w:val="11"/>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1"/>
                <w:szCs w:val="1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60" w:type="dxa"/>
            <w:vAlign w:val="bottom"/>
          </w:tcPr>
          <w:p>
            <w:pPr>
              <w:spacing w:after="0"/>
              <w:rPr>
                <w:sz w:val="11"/>
                <w:szCs w:val="11"/>
                <w:color w:val="auto"/>
              </w:rPr>
            </w:pPr>
          </w:p>
        </w:tc>
        <w:tc>
          <w:tcPr>
            <w:tcW w:w="780" w:type="dxa"/>
            <w:vAlign w:val="bottom"/>
            <w:gridSpan w:val="2"/>
          </w:tcPr>
          <w:p>
            <w:pPr>
              <w:ind w:left="60"/>
              <w:spacing w:after="0" w:line="136" w:lineRule="exact"/>
              <w:rPr>
                <w:sz w:val="20"/>
                <w:szCs w:val="20"/>
                <w:color w:val="auto"/>
              </w:rPr>
            </w:pPr>
            <w:r>
              <w:rPr>
                <w:rFonts w:ascii="Arial" w:cs="Arial" w:eastAsia="Arial" w:hAnsi="Arial"/>
                <w:sz w:val="10"/>
                <w:szCs w:val="10"/>
                <w:b w:val="1"/>
                <w:bCs w:val="1"/>
                <w:color w:val="auto"/>
              </w:rPr>
              <w:t>Fair Value</w:t>
            </w:r>
            <w:r>
              <w:rPr>
                <w:rFonts w:ascii="Arial" w:cs="Arial" w:eastAsia="Arial" w:hAnsi="Arial"/>
                <w:sz w:val="15"/>
                <w:szCs w:val="15"/>
                <w:b w:val="1"/>
                <w:bCs w:val="1"/>
                <w:color w:val="auto"/>
                <w:vertAlign w:val="superscript"/>
              </w:rPr>
              <w:t>(2)</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77"/>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6"/>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w w:val="89"/>
              </w:rPr>
              <w:t>Senior Secured Term Loans (continued)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Mojix,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1"/>
              </w:rPr>
              <w:t>Tranche I: LIBOR+12% PIK, 11.00%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5% ETP, due 5/15/2021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5/16/2017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6,296,833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6,161,982</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   4,726,334</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1.26 %</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Tranche II: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floor, 5% ETP, due 5/15/2021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8/3/2017</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2,098,944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2,067,505</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1,575,445</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0.42</w:t>
            </w: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Tranche III: LIBOR+12% PIK, 11.00%</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floor, 5% ETP, due 5/15/2021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7/6/2018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524,206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518,864</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393,914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Tranche IV: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floor, 5% ETP, due 5/15/2021</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9/5/2018</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523,474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516,902</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392,469</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Tranche V: LIBOR+12% PIK, 11.00%</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floor, 5% ETP, due 5/15/2021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1/28/2019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1,042,472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1,020,642</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782,469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Tranche VI: LIBOR+12% PIK, 11.00%</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floor, due 1/31/2020</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12/18/2019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1,000,000</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1,000,000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0.27</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3DNA Corp.(dba NationBuilder)</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6"/>
              </w:rPr>
              <w:t>Tranche I: LIBOR+9.00%, 11.50%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5% ETP, due 4/28/2022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12/28/2018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7,016,888</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6,942,703</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95"/>
              </w:rPr>
              <w:t>Tranche II: LIBOR+9.00%, 11.50% floor,</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5% ETP, due 4/28/2022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6/12/2019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502,374</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497,063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0.13</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Ouster,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89"/>
              </w:rPr>
              <w:t>Technology Hardware, Storage</w:t>
            </w: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2"/>
              </w:rPr>
              <w:t>LIBOR+8.50%, 10.75% floor, 3.50% ETP,</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&amp; Peripherals</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due 5/15/2021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11/27/2018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10,007,056</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10,007,056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2.66</w:t>
            </w: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Pivot3,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90"/>
              </w:rPr>
              <w:t>Data Processing &amp; Outsourced</w:t>
            </w: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89"/>
              </w:rPr>
              <w:t>LIBOR+8.50%, 11.00% floor, 4% ETP, due</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Arial" w:cs="Arial" w:eastAsia="Arial" w:hAnsi="Arial"/>
                <w:sz w:val="11"/>
                <w:szCs w:val="11"/>
                <w:color w:val="auto"/>
              </w:rPr>
              <w:t>Services</w:t>
            </w: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11/15/2022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5/13/2019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20,000,000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19,863,175</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19,728,122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5.24</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RealWear,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89"/>
              </w:rPr>
              <w:t>Technology Hardware, Storage</w:t>
            </w: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6"/>
              </w:rPr>
              <w:t>LIBOR+8%, 10.35% floor, 5% ETP, due</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&amp; Peripherals</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6/28/2023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6/28/2018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24,653,512</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24,653,512</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w:t>
            </w: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Scale Computing,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System Software</w:t>
            </w: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95"/>
              </w:rPr>
              <w:t>LIBOR+9.25%, 11.75% floor, 4.5% ETP,</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due 9/15/2022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3/29/2019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15,000,000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14,798,210</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14,418,842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ShareThis, Inc.</w:t>
            </w:r>
          </w:p>
        </w:tc>
        <w:tc>
          <w:tcPr>
            <w:tcW w:w="144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0"/>
              </w:rPr>
              <w:t>Data Processing &amp; Outsourced</w:t>
            </w: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6"/>
              </w:rPr>
              <w:t>Tranche I: LIBOR+9.25%, 11.60%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Services</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5% ETP, due 6/15/2022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12/3/2018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19,250,000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18,123,758</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18,123,758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w w:val="95"/>
              </w:rPr>
              <w:t>Tranche II: LIBOR+9.25%, 11.60% floor,</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rPr>
                <w:sz w:val="20"/>
                <w:szCs w:val="20"/>
                <w:color w:val="auto"/>
              </w:rPr>
            </w:pPr>
            <w:r>
              <w:rPr>
                <w:rFonts w:ascii="Arial" w:cs="Arial" w:eastAsia="Arial" w:hAnsi="Arial"/>
                <w:sz w:val="11"/>
                <w:szCs w:val="11"/>
                <w:color w:val="auto"/>
              </w:rPr>
              <w:t>5% ETP, due 6/15/2022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1/17/2019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750,000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699,312</w:t>
            </w:r>
          </w:p>
        </w:tc>
        <w:tc>
          <w:tcPr>
            <w:tcW w:w="760" w:type="dxa"/>
            <w:vAlign w:val="bottom"/>
            <w:gridSpan w:val="2"/>
          </w:tcPr>
          <w:p>
            <w:pPr>
              <w:jc w:val="right"/>
              <w:ind w:right="7"/>
              <w:spacing w:after="0"/>
              <w:rPr>
                <w:sz w:val="20"/>
                <w:szCs w:val="20"/>
                <w:color w:val="auto"/>
              </w:rPr>
            </w:pPr>
            <w:r>
              <w:rPr>
                <w:rFonts w:ascii="Arial" w:cs="Arial" w:eastAsia="Arial" w:hAnsi="Arial"/>
                <w:sz w:val="11"/>
                <w:szCs w:val="11"/>
                <w:color w:val="auto"/>
              </w:rPr>
              <w:t>699,312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0.19</w:t>
            </w: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3"/>
              </w:rPr>
              <w:t>Tranche III: LIBOR+9.25%, 11.60% floor,</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5% ETP, due 6/15/2022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7/24/2019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10,000,000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917,457</w:t>
            </w:r>
          </w:p>
        </w:tc>
        <w:tc>
          <w:tcPr>
            <w:tcW w:w="760" w:type="dxa"/>
            <w:vAlign w:val="bottom"/>
            <w:gridSpan w:val="2"/>
            <w:shd w:val="clear" w:color="auto" w:fill="CCEEFF"/>
          </w:tcPr>
          <w:p>
            <w:pPr>
              <w:jc w:val="right"/>
              <w:ind w:right="7"/>
              <w:spacing w:after="0"/>
              <w:rPr>
                <w:sz w:val="20"/>
                <w:szCs w:val="20"/>
                <w:color w:val="auto"/>
              </w:rPr>
            </w:pPr>
            <w:r>
              <w:rPr>
                <w:rFonts w:ascii="Arial" w:cs="Arial" w:eastAsia="Arial" w:hAnsi="Arial"/>
                <w:sz w:val="11"/>
                <w:szCs w:val="11"/>
                <w:color w:val="auto"/>
              </w:rPr>
              <w:t>971,457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0.25</w:t>
            </w:r>
          </w:p>
        </w:tc>
        <w:tc>
          <w:tcPr>
            <w:tcW w:w="100" w:type="dxa"/>
            <w:vAlign w:val="bottom"/>
            <w:shd w:val="clear" w:color="auto" w:fill="CCEEFF"/>
          </w:tcPr>
          <w:p>
            <w:pPr>
              <w:spacing w:after="0"/>
              <w:rPr>
                <w:sz w:val="11"/>
                <w:szCs w:val="11"/>
                <w:color w:val="auto"/>
              </w:rPr>
            </w:pPr>
          </w:p>
        </w:tc>
      </w:tr>
      <w:tr>
        <w:trPr>
          <w:trHeight w:val="155"/>
        </w:trPr>
        <w:tc>
          <w:tcPr>
            <w:tcW w:w="1900" w:type="dxa"/>
            <w:vAlign w:val="bottom"/>
            <w:tcBorders>
              <w:bottom w:val="single" w:sz="8" w:color="CCEEFF"/>
            </w:tcBorders>
            <w:gridSpan w:val="3"/>
          </w:tcPr>
          <w:p>
            <w:pPr>
              <w:spacing w:after="0" w:line="115" w:lineRule="exact"/>
              <w:rPr>
                <w:sz w:val="20"/>
                <w:szCs w:val="20"/>
                <w:color w:val="auto"/>
              </w:rPr>
            </w:pPr>
            <w:r>
              <w:rPr>
                <w:rFonts w:ascii="Arial" w:cs="Arial" w:eastAsia="Arial" w:hAnsi="Arial"/>
                <w:sz w:val="11"/>
                <w:szCs w:val="11"/>
                <w:b w:val="1"/>
                <w:bCs w:val="1"/>
                <w:color w:val="auto"/>
              </w:rPr>
              <w:t>Total Senior Secured Term Loans</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1"/>
              </w:rPr>
              <w:t>358,385,089</w:t>
            </w:r>
          </w:p>
        </w:tc>
        <w:tc>
          <w:tcPr>
            <w:tcW w:w="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
              <w:spacing w:after="0" w:line="115" w:lineRule="exact"/>
              <w:rPr>
                <w:sz w:val="20"/>
                <w:szCs w:val="20"/>
                <w:color w:val="auto"/>
              </w:rPr>
            </w:pPr>
            <w:r>
              <w:rPr>
                <w:rFonts w:ascii="Arial" w:cs="Arial" w:eastAsia="Arial" w:hAnsi="Arial"/>
                <w:sz w:val="11"/>
                <w:szCs w:val="11"/>
                <w:color w:val="auto"/>
              </w:rPr>
              <w:t>349,570,424</w:t>
            </w:r>
          </w:p>
        </w:tc>
        <w:tc>
          <w:tcPr>
            <w:tcW w:w="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92.89</w:t>
            </w:r>
          </w:p>
        </w:tc>
        <w:tc>
          <w:tcPr>
            <w:tcW w:w="100" w:type="dxa"/>
            <w:vAlign w:val="bottom"/>
            <w:tcBorders>
              <w:bottom w:val="single" w:sz="8" w:color="CCEEFF"/>
            </w:tcBorders>
          </w:tcPr>
          <w:p>
            <w:pPr>
              <w:spacing w:after="0"/>
              <w:rPr>
                <w:sz w:val="13"/>
                <w:szCs w:val="13"/>
                <w:color w:val="auto"/>
              </w:rPr>
            </w:pPr>
          </w:p>
        </w:tc>
      </w:tr>
      <w:tr>
        <w:trPr>
          <w:trHeight w:val="102"/>
        </w:trPr>
        <w:tc>
          <w:tcPr>
            <w:tcW w:w="1900" w:type="dxa"/>
            <w:vAlign w:val="bottom"/>
            <w:gridSpan w:val="3"/>
            <w:shd w:val="clear" w:color="auto" w:fill="CCEEFF"/>
          </w:tcPr>
          <w:p>
            <w:pPr>
              <w:spacing w:after="0" w:line="102" w:lineRule="exact"/>
              <w:rPr>
                <w:sz w:val="20"/>
                <w:szCs w:val="20"/>
                <w:color w:val="auto"/>
              </w:rPr>
            </w:pPr>
            <w:r>
              <w:rPr>
                <w:rFonts w:ascii="Arial" w:cs="Arial" w:eastAsia="Arial" w:hAnsi="Arial"/>
                <w:sz w:val="8"/>
                <w:szCs w:val="8"/>
                <w:b w:val="1"/>
                <w:bCs w:val="1"/>
                <w:color w:val="auto"/>
              </w:rPr>
              <w:t>Preferred Stock</w:t>
            </w:r>
            <w:r>
              <w:rPr>
                <w:rFonts w:ascii="Arial" w:cs="Arial" w:eastAsia="Arial" w:hAnsi="Arial"/>
                <w:sz w:val="11"/>
                <w:szCs w:val="11"/>
                <w:b w:val="1"/>
                <w:bCs w:val="1"/>
                <w:color w:val="auto"/>
                <w:vertAlign w:val="superscript"/>
              </w:rPr>
              <w:t>(8)</w:t>
            </w:r>
          </w:p>
        </w:tc>
        <w:tc>
          <w:tcPr>
            <w:tcW w:w="8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1900" w:type="dxa"/>
            <w:vAlign w:val="bottom"/>
            <w:gridSpan w:val="3"/>
          </w:tcPr>
          <w:p>
            <w:pPr>
              <w:spacing w:after="0" w:line="122" w:lineRule="exact"/>
              <w:rPr>
                <w:sz w:val="20"/>
                <w:szCs w:val="20"/>
                <w:color w:val="auto"/>
              </w:rPr>
            </w:pPr>
            <w:r>
              <w:rPr>
                <w:rFonts w:ascii="Arial" w:cs="Arial" w:eastAsia="Arial" w:hAnsi="Arial"/>
                <w:sz w:val="11"/>
                <w:szCs w:val="11"/>
                <w:color w:val="auto"/>
              </w:rPr>
              <w:t>Aria Systems, Inc.</w:t>
            </w:r>
          </w:p>
        </w:tc>
        <w:tc>
          <w:tcPr>
            <w:tcW w:w="144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Application Software</w:t>
            </w:r>
          </w:p>
        </w:tc>
        <w:tc>
          <w:tcPr>
            <w:tcW w:w="196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Series G Preferred Stock</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7/10/2018</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289,419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250,000</w:t>
            </w:r>
          </w:p>
        </w:tc>
        <w:tc>
          <w:tcPr>
            <w:tcW w:w="760" w:type="dxa"/>
            <w:vAlign w:val="bottom"/>
            <w:gridSpan w:val="2"/>
          </w:tcPr>
          <w:p>
            <w:pPr>
              <w:jc w:val="right"/>
              <w:ind w:right="7"/>
              <w:spacing w:after="0" w:line="122" w:lineRule="exact"/>
              <w:rPr>
                <w:sz w:val="20"/>
                <w:szCs w:val="20"/>
                <w:color w:val="auto"/>
              </w:rPr>
            </w:pPr>
            <w:r>
              <w:rPr>
                <w:rFonts w:ascii="Arial" w:cs="Arial" w:eastAsia="Arial" w:hAnsi="Arial"/>
                <w:sz w:val="11"/>
                <w:szCs w:val="11"/>
                <w:color w:val="auto"/>
              </w:rPr>
              <w:t>437,515</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0.12</w:t>
            </w:r>
          </w:p>
        </w:tc>
        <w:tc>
          <w:tcPr>
            <w:tcW w:w="100" w:type="dxa"/>
            <w:vAlign w:val="bottom"/>
          </w:tcPr>
          <w:p>
            <w:pPr>
              <w:spacing w:after="0"/>
              <w:rPr>
                <w:sz w:val="10"/>
                <w:szCs w:val="10"/>
                <w:color w:val="auto"/>
              </w:rPr>
            </w:pPr>
          </w:p>
        </w:tc>
      </w:tr>
      <w:tr>
        <w:trPr>
          <w:trHeight w:val="122"/>
        </w:trPr>
        <w:tc>
          <w:tcPr>
            <w:tcW w:w="1900" w:type="dxa"/>
            <w:vAlign w:val="bottom"/>
            <w:gridSpan w:val="3"/>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Warrants</w:t>
            </w:r>
            <w:r>
              <w:rPr>
                <w:rFonts w:ascii="Arial" w:cs="Arial" w:eastAsia="Arial" w:hAnsi="Arial"/>
                <w:sz w:val="14"/>
                <w:szCs w:val="14"/>
                <w:b w:val="1"/>
                <w:bCs w:val="1"/>
                <w:color w:val="auto"/>
                <w:vertAlign w:val="superscript"/>
              </w:rPr>
              <w:t>(8)</w:t>
            </w: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Aginity, Inc.</w:t>
            </w:r>
          </w:p>
        </w:tc>
        <w:tc>
          <w:tcPr>
            <w:tcW w:w="144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Application Software</w:t>
            </w:r>
          </w:p>
        </w:tc>
        <w:tc>
          <w:tcPr>
            <w:tcW w:w="1960" w:type="dxa"/>
            <w:vAlign w:val="bottom"/>
            <w:gridSpan w:val="2"/>
          </w:tcPr>
          <w:p>
            <w:pPr>
              <w:ind w:left="60"/>
              <w:spacing w:after="0" w:line="112" w:lineRule="exact"/>
              <w:rPr>
                <w:sz w:val="20"/>
                <w:szCs w:val="20"/>
                <w:color w:val="auto"/>
              </w:rPr>
            </w:pPr>
            <w:r>
              <w:rPr>
                <w:rFonts w:ascii="Arial" w:cs="Arial" w:eastAsia="Arial" w:hAnsi="Arial"/>
                <w:sz w:val="11"/>
                <w:szCs w:val="11"/>
                <w:color w:val="auto"/>
              </w:rPr>
              <w:t>Warrant for Series A Preferred Stock,</w:t>
            </w: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960" w:type="dxa"/>
            <w:vAlign w:val="bottom"/>
            <w:gridSpan w:val="2"/>
          </w:tcPr>
          <w:p>
            <w:pPr>
              <w:ind w:left="60"/>
              <w:spacing w:after="0" w:line="121" w:lineRule="exact"/>
              <w:rPr>
                <w:sz w:val="20"/>
                <w:szCs w:val="20"/>
                <w:color w:val="auto"/>
              </w:rPr>
            </w:pPr>
            <w:r>
              <w:rPr>
                <w:rFonts w:ascii="Arial" w:cs="Arial" w:eastAsia="Arial" w:hAnsi="Arial"/>
                <w:sz w:val="11"/>
                <w:szCs w:val="11"/>
                <w:color w:val="auto"/>
              </w:rPr>
              <w:t>exercise price $1.949/share, expires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60" w:type="dxa"/>
            <w:vAlign w:val="bottom"/>
            <w:gridSpan w:val="2"/>
          </w:tcPr>
          <w:p>
            <w:pPr>
              <w:ind w:left="60"/>
              <w:spacing w:after="0" w:line="132" w:lineRule="exact"/>
              <w:rPr>
                <w:sz w:val="20"/>
                <w:szCs w:val="20"/>
                <w:color w:val="auto"/>
              </w:rPr>
            </w:pPr>
            <w:r>
              <w:rPr>
                <w:rFonts w:ascii="Arial" w:cs="Arial" w:eastAsia="Arial" w:hAnsi="Arial"/>
                <w:sz w:val="10"/>
                <w:szCs w:val="10"/>
                <w:color w:val="auto"/>
              </w:rPr>
              <w:t>5/25/2028</w:t>
            </w:r>
            <w:r>
              <w:rPr>
                <w:rFonts w:ascii="Arial" w:cs="Arial" w:eastAsia="Arial" w:hAnsi="Arial"/>
                <w:sz w:val="15"/>
                <w:szCs w:val="15"/>
                <w:color w:val="auto"/>
                <w:vertAlign w:val="superscript"/>
              </w:rPr>
              <w:t>(12)</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5/25/2018</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359,158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167,727</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960" w:type="dxa"/>
            <w:vAlign w:val="bottom"/>
            <w:gridSpan w:val="2"/>
            <w:shd w:val="clear" w:color="auto" w:fill="CCEEFF"/>
          </w:tcPr>
          <w:p>
            <w:pPr>
              <w:ind w:left="60"/>
              <w:spacing w:after="0" w:line="112" w:lineRule="exact"/>
              <w:rPr>
                <w:sz w:val="20"/>
                <w:szCs w:val="20"/>
                <w:color w:val="auto"/>
              </w:rPr>
            </w:pPr>
            <w:r>
              <w:rPr>
                <w:rFonts w:ascii="Arial" w:cs="Arial" w:eastAsia="Arial" w:hAnsi="Arial"/>
                <w:sz w:val="11"/>
                <w:szCs w:val="11"/>
                <w:color w:val="auto"/>
                <w:w w:val="97"/>
              </w:rPr>
              <w:t>Warrant for Series A-1 Preferred Stock,</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96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color w:val="auto"/>
              </w:rPr>
              <w:t>exercise price $0.01/share, expires</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2/25/2029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2/25/2019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205,234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151,873</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06"/>
              <w:spacing w:after="0"/>
              <w:rPr>
                <w:sz w:val="20"/>
                <w:szCs w:val="20"/>
                <w:color w:val="auto"/>
              </w:rPr>
            </w:pPr>
            <w:r>
              <w:rPr>
                <w:rFonts w:ascii="Arial" w:cs="Arial" w:eastAsia="Arial" w:hAnsi="Arial"/>
                <w:sz w:val="11"/>
                <w:szCs w:val="11"/>
                <w:b w:val="1"/>
                <w:bCs w:val="1"/>
                <w:color w:val="auto"/>
              </w:rPr>
              <w:t>%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1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Acquisition</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2"/>
              </w:rPr>
              <w:t>Principal/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Fair</w:t>
            </w:r>
          </w:p>
        </w:tc>
        <w:tc>
          <w:tcPr>
            <w:tcW w:w="56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Net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80" w:type="dxa"/>
            <w:vAlign w:val="bottom"/>
          </w:tcPr>
          <w:p>
            <w:pPr>
              <w:spacing w:after="0"/>
              <w:rPr>
                <w:sz w:val="11"/>
                <w:szCs w:val="11"/>
                <w:color w:val="auto"/>
              </w:rPr>
            </w:pPr>
          </w:p>
        </w:tc>
        <w:tc>
          <w:tcPr>
            <w:tcW w:w="1980" w:type="dxa"/>
            <w:vAlign w:val="bottom"/>
            <w:gridSpan w:val="2"/>
          </w:tcPr>
          <w:p>
            <w:pPr>
              <w:ind w:left="16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6" w:lineRule="exact"/>
              <w:rPr>
                <w:sz w:val="20"/>
                <w:szCs w:val="20"/>
                <w:color w:val="auto"/>
              </w:rPr>
            </w:pPr>
            <w:r>
              <w:rPr>
                <w:rFonts w:ascii="Arial" w:cs="Arial" w:eastAsia="Arial" w:hAnsi="Arial"/>
                <w:sz w:val="10"/>
                <w:szCs w:val="10"/>
                <w:b w:val="1"/>
                <w:bCs w:val="1"/>
                <w:color w:val="auto"/>
                <w:w w:val="87"/>
              </w:rPr>
              <w:t>Value</w:t>
            </w:r>
            <w:r>
              <w:rPr>
                <w:rFonts w:ascii="Arial" w:cs="Arial" w:eastAsia="Arial" w:hAnsi="Arial"/>
                <w:sz w:val="15"/>
                <w:szCs w:val="15"/>
                <w:b w:val="1"/>
                <w:bCs w:val="1"/>
                <w:color w:val="auto"/>
                <w:w w:val="87"/>
                <w:vertAlign w:val="superscript"/>
              </w:rPr>
              <w:t>(2)</w:t>
            </w: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Assets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6"/>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AllClear ID,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Specialized Consumer</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w w:val="94"/>
              </w:rPr>
              <w:t>Warrant for Common Stock, exercise price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$0.01/share, expires 9/1/2027</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9/1/2017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870,514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3"/>
              </w:rPr>
              <w:t>1,749,733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906,205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81"/>
              </w:rPr>
              <w:t>%</w:t>
            </w: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Aria Systems,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G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$0.8638/share,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6/29/2028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6/29/2018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2,170,641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770,578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2,633,681</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0.69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Aspen Group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w w:val="94"/>
              </w:rPr>
              <w:t>Warrant for Common Stock, exercise price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$6.87/share, expires 7/25/2022</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7/25/2017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224,174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583,301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Brilliant Earth, LLC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Internet Retail</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8"/>
              </w:rPr>
              <w:t>Warrant for Class P Units, exercise price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$5.25/share, expires 9/30/2029</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9/30/2019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333,333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973,000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955,667</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0.25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CareCloud Corporation</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 Technology</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A-1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$0.8287/share,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6/16/2025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4/17/2019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2,262,579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394,163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Circadence Corporation</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A-5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$1.08/share,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12/20/2028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12/20/2018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166,667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3"/>
              </w:rPr>
              <w:t>3,630,000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3,393,522</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0.90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A-5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$1.08/share,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10/31/2029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7"/>
              </w:rPr>
              <w:t>10/31/2019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416,667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845,540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848,580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Cloud Passage,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Data Processing &amp;</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D-1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Outsourced Services</w:t>
            </w: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$1.60/share,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6/13/2029</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6/13/2019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210,938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273,798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266,626</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1"/>
        </w:trPr>
        <w:tc>
          <w:tcPr>
            <w:tcW w:w="1900" w:type="dxa"/>
            <w:vAlign w:val="bottom"/>
            <w:gridSpan w:val="3"/>
            <w:shd w:val="clear" w:color="auto" w:fill="CCEEFF"/>
          </w:tcPr>
          <w:p>
            <w:pPr>
              <w:spacing w:after="0" w:line="111" w:lineRule="exact"/>
              <w:rPr>
                <w:sz w:val="20"/>
                <w:szCs w:val="20"/>
                <w:color w:val="auto"/>
              </w:rPr>
            </w:pPr>
            <w:r>
              <w:rPr>
                <w:rFonts w:ascii="Arial" w:cs="Arial" w:eastAsia="Arial" w:hAnsi="Arial"/>
                <w:sz w:val="11"/>
                <w:szCs w:val="11"/>
                <w:color w:val="auto"/>
              </w:rPr>
              <w:t>Dejero Labs Inc.</w:t>
            </w:r>
          </w:p>
        </w:tc>
        <w:tc>
          <w:tcPr>
            <w:tcW w:w="1440" w:type="dxa"/>
            <w:vAlign w:val="bottom"/>
            <w:gridSpan w:val="2"/>
            <w:shd w:val="clear" w:color="auto" w:fill="CCEEFF"/>
          </w:tcPr>
          <w:p>
            <w:pPr>
              <w:ind w:left="80"/>
              <w:spacing w:after="0" w:line="111" w:lineRule="exact"/>
              <w:rPr>
                <w:sz w:val="20"/>
                <w:szCs w:val="20"/>
                <w:color w:val="auto"/>
              </w:rPr>
            </w:pPr>
            <w:r>
              <w:rPr>
                <w:rFonts w:ascii="Arial" w:cs="Arial" w:eastAsia="Arial" w:hAnsi="Arial"/>
                <w:sz w:val="11"/>
                <w:szCs w:val="11"/>
                <w:color w:val="auto"/>
              </w:rPr>
              <w:t>Data Processing &amp;</w:t>
            </w:r>
          </w:p>
        </w:tc>
        <w:tc>
          <w:tcPr>
            <w:tcW w:w="2060" w:type="dxa"/>
            <w:vAlign w:val="bottom"/>
            <w:gridSpan w:val="3"/>
            <w:shd w:val="clear" w:color="auto" w:fill="CCEEFF"/>
          </w:tcPr>
          <w:p>
            <w:pPr>
              <w:ind w:left="80"/>
              <w:spacing w:after="0" w:line="111" w:lineRule="exact"/>
              <w:rPr>
                <w:sz w:val="20"/>
                <w:szCs w:val="20"/>
                <w:color w:val="auto"/>
              </w:rPr>
            </w:pPr>
            <w:r>
              <w:rPr>
                <w:rFonts w:ascii="Arial" w:cs="Arial" w:eastAsia="Arial" w:hAnsi="Arial"/>
                <w:sz w:val="11"/>
                <w:szCs w:val="11"/>
                <w:color w:val="auto"/>
                <w:w w:val="94"/>
              </w:rPr>
              <w:t>Warrant for Common Stock, exercise price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2"/>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Outsourced Services</w:t>
            </w:r>
          </w:p>
        </w:tc>
        <w:tc>
          <w:tcPr>
            <w:tcW w:w="2060" w:type="dxa"/>
            <w:vAlign w:val="bottom"/>
            <w:gridSpan w:val="3"/>
            <w:shd w:val="clear" w:color="auto" w:fill="CCEEFF"/>
          </w:tcPr>
          <w:p>
            <w:pPr>
              <w:ind w:left="80"/>
              <w:spacing w:after="0" w:line="132" w:lineRule="exact"/>
              <w:rPr>
                <w:sz w:val="20"/>
                <w:szCs w:val="20"/>
                <w:color w:val="auto"/>
              </w:rPr>
            </w:pPr>
            <w:r>
              <w:rPr>
                <w:rFonts w:ascii="Arial" w:cs="Arial" w:eastAsia="Arial" w:hAnsi="Arial"/>
                <w:sz w:val="10"/>
                <w:szCs w:val="10"/>
                <w:color w:val="auto"/>
              </w:rPr>
              <w:t>$0.01/share, expires 5/31/2029</w:t>
            </w:r>
            <w:r>
              <w:rPr>
                <w:rFonts w:ascii="Arial" w:cs="Arial" w:eastAsia="Arial" w:hAnsi="Arial"/>
                <w:sz w:val="15"/>
                <w:szCs w:val="15"/>
                <w:color w:val="auto"/>
                <w:vertAlign w:val="superscript"/>
              </w:rPr>
              <w:t>(3),(7)</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5/31/2019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333,621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192,499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198,664</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Dtex Systems,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C-Prime Preferred</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w w:val="90"/>
              </w:rPr>
              <w:t>Stock, exercise price $0.6000/share,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6/1/2025</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6/1/2018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500,000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59,000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575,000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C-Prime Preferred</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w w:val="90"/>
              </w:rPr>
              <w:t>Stock, exercise price $0.6000/share,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7/11/2026</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7/11/2019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833,333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114,719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Echo 360 Holdings,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Education Services</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E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$1.5963/share,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5/3/2029</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5/3/2019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1,066,767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299,762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318,963</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eSilicon Corporation</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Semiconductors</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H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$1.01/share,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7/31/2027</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7/31/2017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1,485,149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543,564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2,249,999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H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$1.01/share,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6/21/2029</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6/21/2019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990,099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312,871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500,000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0.13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INRIX,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Internet Software and</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w w:val="94"/>
              </w:rPr>
              <w:t>Warrant for Common Stock, exercise price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$9.29/share, expires 7/26/2029</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7/26/2019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150,804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522,083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475,485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Longtail Ad Solutions, Inc. (dba JW</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Internet Software and</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4"/>
              </w:rPr>
              <w:t>Warrant for Common Stock, exercise price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6"/>
        </w:trPr>
        <w:tc>
          <w:tcPr>
            <w:tcW w:w="1900" w:type="dxa"/>
            <w:vAlign w:val="bottom"/>
            <w:gridSpan w:val="3"/>
          </w:tcPr>
          <w:p>
            <w:pPr>
              <w:spacing w:after="0"/>
              <w:rPr>
                <w:sz w:val="20"/>
                <w:szCs w:val="20"/>
                <w:color w:val="auto"/>
              </w:rPr>
            </w:pPr>
            <w:r>
              <w:rPr>
                <w:rFonts w:ascii="Arial" w:cs="Arial" w:eastAsia="Arial" w:hAnsi="Arial"/>
                <w:sz w:val="11"/>
                <w:szCs w:val="11"/>
                <w:color w:val="auto"/>
              </w:rPr>
              <w:t>Player)</w:t>
            </w:r>
          </w:p>
        </w:tc>
        <w:tc>
          <w:tcPr>
            <w:tcW w:w="1440" w:type="dxa"/>
            <w:vAlign w:val="bottom"/>
            <w:gridSpan w:val="2"/>
          </w:tcPr>
          <w:p>
            <w:pPr>
              <w:ind w:left="80"/>
              <w:spacing w:after="0"/>
              <w:rPr>
                <w:sz w:val="20"/>
                <w:szCs w:val="20"/>
                <w:color w:val="auto"/>
              </w:rPr>
            </w:pPr>
            <w:r>
              <w:rPr>
                <w:rFonts w:ascii="Arial" w:cs="Arial" w:eastAsia="Arial" w:hAnsi="Arial"/>
                <w:sz w:val="11"/>
                <w:szCs w:val="11"/>
                <w:color w:val="auto"/>
              </w:rPr>
              <w:t>Services</w:t>
            </w: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$1.49/share, expires 12/12/2029</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12/12/2019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332,997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38,800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38,800</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0.01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 of</w:t>
            </w:r>
          </w:p>
        </w:tc>
      </w:tr>
      <w:tr>
        <w:trPr>
          <w:trHeight w:val="122"/>
        </w:trPr>
        <w:tc>
          <w:tcPr>
            <w:tcW w:w="1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Acquisition</w:t>
            </w:r>
          </w:p>
        </w:tc>
        <w:tc>
          <w:tcPr>
            <w:tcW w:w="5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2"/>
              </w:rPr>
              <w:t>Principal/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Fair</w:t>
            </w:r>
          </w:p>
        </w:tc>
        <w:tc>
          <w:tcPr>
            <w:tcW w:w="6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Net</w:t>
            </w:r>
          </w:p>
        </w:tc>
      </w:tr>
      <w:tr>
        <w:trPr>
          <w:trHeight w:val="135"/>
        </w:trPr>
        <w:tc>
          <w:tcPr>
            <w:tcW w:w="1900" w:type="dxa"/>
            <w:vAlign w:val="bottom"/>
            <w:gridSpan w:val="3"/>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1360" w:type="dxa"/>
            <w:vAlign w:val="bottom"/>
          </w:tcPr>
          <w:p>
            <w:pPr>
              <w:ind w:left="360"/>
              <w:spacing w:after="0"/>
              <w:rPr>
                <w:sz w:val="20"/>
                <w:szCs w:val="20"/>
                <w:color w:val="auto"/>
              </w:rPr>
            </w:pPr>
            <w:r>
              <w:rPr>
                <w:rFonts w:ascii="Arial" w:cs="Arial" w:eastAsia="Arial" w:hAnsi="Arial"/>
                <w:sz w:val="11"/>
                <w:szCs w:val="11"/>
                <w:b w:val="1"/>
                <w:bCs w:val="1"/>
                <w:color w:val="auto"/>
              </w:rPr>
              <w:t>Sub-Industry</w:t>
            </w:r>
          </w:p>
        </w:tc>
        <w:tc>
          <w:tcPr>
            <w:tcW w:w="80" w:type="dxa"/>
            <w:vAlign w:val="bottom"/>
          </w:tcPr>
          <w:p>
            <w:pPr>
              <w:spacing w:after="0"/>
              <w:rPr>
                <w:sz w:val="11"/>
                <w:szCs w:val="11"/>
                <w:color w:val="auto"/>
              </w:rPr>
            </w:pPr>
          </w:p>
        </w:tc>
        <w:tc>
          <w:tcPr>
            <w:tcW w:w="1980" w:type="dxa"/>
            <w:vAlign w:val="bottom"/>
            <w:gridSpan w:val="2"/>
          </w:tcPr>
          <w:p>
            <w:pPr>
              <w:ind w:left="16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70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w w:val="92"/>
              </w:rPr>
              <w:t>Date</w:t>
            </w: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6" w:lineRule="exact"/>
              <w:rPr>
                <w:sz w:val="20"/>
                <w:szCs w:val="20"/>
                <w:color w:val="auto"/>
              </w:rPr>
            </w:pPr>
            <w:r>
              <w:rPr>
                <w:rFonts w:ascii="Arial" w:cs="Arial" w:eastAsia="Arial" w:hAnsi="Arial"/>
                <w:sz w:val="10"/>
                <w:szCs w:val="10"/>
                <w:b w:val="1"/>
                <w:bCs w:val="1"/>
                <w:color w:val="auto"/>
                <w:w w:val="87"/>
              </w:rPr>
              <w:t>Value</w:t>
            </w:r>
            <w:r>
              <w:rPr>
                <w:rFonts w:ascii="Arial" w:cs="Arial" w:eastAsia="Arial" w:hAnsi="Arial"/>
                <w:sz w:val="15"/>
                <w:szCs w:val="15"/>
                <w:b w:val="1"/>
                <w:bCs w:val="1"/>
                <w:color w:val="auto"/>
                <w:w w:val="87"/>
                <w:vertAlign w:val="superscript"/>
              </w:rPr>
              <w:t>(2)</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Assets</w:t>
            </w:r>
          </w:p>
        </w:tc>
      </w:tr>
      <w:tr>
        <w:trPr>
          <w:trHeight w:val="102"/>
        </w:trPr>
        <w:tc>
          <w:tcPr>
            <w:tcW w:w="190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6"/>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101"/>
        </w:trPr>
        <w:tc>
          <w:tcPr>
            <w:tcW w:w="1720" w:type="dxa"/>
            <w:vAlign w:val="bottom"/>
            <w:tcBorders>
              <w:top w:val="single" w:sz="8" w:color="auto"/>
            </w:tcBorders>
            <w:gridSpan w:val="2"/>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3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9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15"/>
        </w:trPr>
        <w:tc>
          <w:tcPr>
            <w:tcW w:w="1900" w:type="dxa"/>
            <w:vAlign w:val="bottom"/>
            <w:gridSpan w:val="3"/>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Massdrop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91"/>
              </w:rPr>
              <w:t>Computer &amp; Electronics Retail</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B Series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$1.1938/share,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7/22/2019</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7/22/2019  $</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848,093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183,188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190,821</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0.05 %</w:t>
            </w: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MingleHealth Care Solutions,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Healthcare Technology</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AA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$0.24/share,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8/15/2028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8/15/2018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1,625,000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492,375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Mojix,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w w:val="95"/>
              </w:rPr>
              <w:t>Warrant for Common Stock exercise price</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0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$10.64/share, expires 5/16/2027</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5/16/2017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417,645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1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12/20/2028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12/20/2018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7,176,973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806,991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1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5/30/2029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5/30/2019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358,849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21,531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1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$0.28/share,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12/17/2029</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12/17/2029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358,849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3DNA Corp.(dba NationBuilder)</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Application Software</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C-1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$1.4643/share,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12/28/2028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7"/>
              </w:rPr>
              <w:t>12/28/2018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273,164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104,138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87,959</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Ouster,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7"/>
              </w:rPr>
              <w:t>Technology Hardware, Storage</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A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&amp; Peripherals</w:t>
            </w: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$11.3158/share,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11/27/2028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87"/>
              </w:rPr>
              <w:t>11/27/2018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53,023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103,010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134,837</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Pivot3,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8"/>
              </w:rPr>
              <w:t>Data Processing &amp; Outsourced</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D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Services</w:t>
            </w: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$0.59/share,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5/13/2029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5/13/2029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2,033,898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216,610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141,966</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RealWear,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w w:val="87"/>
              </w:rPr>
              <w:t>Technology Hardware, Storage</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A Preferred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ind w:left="80"/>
              <w:spacing w:after="0" w:line="122" w:lineRule="exact"/>
              <w:rPr>
                <w:sz w:val="20"/>
                <w:szCs w:val="20"/>
                <w:color w:val="auto"/>
              </w:rPr>
            </w:pPr>
            <w:r>
              <w:rPr>
                <w:rFonts w:ascii="Arial" w:cs="Arial" w:eastAsia="Arial" w:hAnsi="Arial"/>
                <w:sz w:val="11"/>
                <w:szCs w:val="11"/>
                <w:color w:val="auto"/>
              </w:rPr>
              <w:t>&amp; Peripherals</w:t>
            </w:r>
          </w:p>
        </w:tc>
        <w:tc>
          <w:tcPr>
            <w:tcW w:w="206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$4.4464/share,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rPr>
                <w:sz w:val="20"/>
                <w:szCs w:val="20"/>
                <w:color w:val="auto"/>
              </w:rPr>
            </w:pPr>
            <w:r>
              <w:rPr>
                <w:rFonts w:ascii="Arial" w:cs="Arial" w:eastAsia="Arial" w:hAnsi="Arial"/>
                <w:sz w:val="11"/>
                <w:szCs w:val="11"/>
                <w:color w:val="auto"/>
              </w:rPr>
              <w:t>10/5/2028</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10/5/2018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112,451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135,841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393,129</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0.10</w:t>
            </w:r>
          </w:p>
        </w:tc>
        <w:tc>
          <w:tcPr>
            <w:tcW w:w="100" w:type="dxa"/>
            <w:vAlign w:val="bottom"/>
          </w:tcPr>
          <w:p>
            <w:pPr>
              <w:spacing w:after="0"/>
              <w:rPr>
                <w:sz w:val="11"/>
                <w:szCs w:val="11"/>
                <w:color w:val="auto"/>
              </w:rPr>
            </w:pPr>
          </w:p>
        </w:tc>
      </w:tr>
      <w:tr>
        <w:trPr>
          <w:trHeight w:val="112"/>
        </w:trPr>
        <w:tc>
          <w:tcPr>
            <w:tcW w:w="5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A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$4.4464/share,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12/28/2028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7"/>
              </w:rPr>
              <w:t>12/28/2018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22,491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25,248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78,628</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100" w:type="dxa"/>
            <w:vAlign w:val="bottom"/>
            <w:shd w:val="clear" w:color="auto" w:fill="CCEEFF"/>
          </w:tcPr>
          <w:p>
            <w:pPr>
              <w:spacing w:after="0"/>
              <w:rPr>
                <w:sz w:val="11"/>
                <w:szCs w:val="11"/>
                <w:color w:val="auto"/>
              </w:rPr>
            </w:pPr>
          </w:p>
        </w:tc>
      </w:tr>
      <w:tr>
        <w:trPr>
          <w:trHeight w:val="112"/>
        </w:trPr>
        <w:tc>
          <w:tcPr>
            <w:tcW w:w="5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3"/>
              </w:rPr>
              <w:t>Warrant Series A Preferred Stock, exercise</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60" w:type="dxa"/>
            <w:vAlign w:val="bottom"/>
            <w:gridSpan w:val="3"/>
          </w:tcPr>
          <w:p>
            <w:pPr>
              <w:ind w:left="80"/>
              <w:spacing w:after="0"/>
              <w:rPr>
                <w:sz w:val="20"/>
                <w:szCs w:val="20"/>
                <w:color w:val="auto"/>
              </w:rPr>
            </w:pPr>
            <w:r>
              <w:rPr>
                <w:rFonts w:ascii="Arial" w:cs="Arial" w:eastAsia="Arial" w:hAnsi="Arial"/>
                <w:sz w:val="11"/>
                <w:szCs w:val="11"/>
                <w:color w:val="auto"/>
              </w:rPr>
              <w:t>price $6.78/share, expires 6/27/2029</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6/27/2019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123,894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380,850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336,372</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Scale Computing,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rPr>
              <w:t>System Software</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F-1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$0.8031/share,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3/29/2029</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3/29/2019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2,147,926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345,816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317,893</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0.08</w:t>
            </w:r>
          </w:p>
        </w:tc>
        <w:tc>
          <w:tcPr>
            <w:tcW w:w="100" w:type="dxa"/>
            <w:vAlign w:val="bottom"/>
            <w:shd w:val="clear" w:color="auto" w:fill="CCEEFF"/>
          </w:tcPr>
          <w:p>
            <w:pPr>
              <w:spacing w:after="0"/>
              <w:rPr>
                <w:sz w:val="11"/>
                <w:szCs w:val="11"/>
                <w:color w:val="auto"/>
              </w:rPr>
            </w:pPr>
          </w:p>
        </w:tc>
      </w:tr>
      <w:tr>
        <w:trPr>
          <w:trHeight w:val="112"/>
        </w:trPr>
        <w:tc>
          <w:tcPr>
            <w:tcW w:w="1900" w:type="dxa"/>
            <w:vAlign w:val="bottom"/>
            <w:gridSpan w:val="3"/>
          </w:tcPr>
          <w:p>
            <w:pPr>
              <w:spacing w:after="0" w:line="112" w:lineRule="exact"/>
              <w:rPr>
                <w:sz w:val="20"/>
                <w:szCs w:val="20"/>
                <w:color w:val="auto"/>
              </w:rPr>
            </w:pPr>
            <w:r>
              <w:rPr>
                <w:rFonts w:ascii="Arial" w:cs="Arial" w:eastAsia="Arial" w:hAnsi="Arial"/>
                <w:sz w:val="11"/>
                <w:szCs w:val="11"/>
                <w:color w:val="auto"/>
              </w:rPr>
              <w:t>SendtoNews Video, Inc.</w:t>
            </w:r>
          </w:p>
        </w:tc>
        <w:tc>
          <w:tcPr>
            <w:tcW w:w="144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Advertising</w:t>
            </w:r>
          </w:p>
        </w:tc>
        <w:tc>
          <w:tcPr>
            <w:tcW w:w="206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Class B Non-Voting Stock,</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1"/>
        </w:trPr>
        <w:tc>
          <w:tcPr>
            <w:tcW w:w="5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60" w:type="dxa"/>
            <w:vAlign w:val="bottom"/>
            <w:gridSpan w:val="3"/>
          </w:tcPr>
          <w:p>
            <w:pPr>
              <w:ind w:left="80"/>
              <w:spacing w:after="0" w:line="121" w:lineRule="exact"/>
              <w:rPr>
                <w:sz w:val="20"/>
                <w:szCs w:val="20"/>
                <w:color w:val="auto"/>
              </w:rPr>
            </w:pPr>
            <w:r>
              <w:rPr>
                <w:rFonts w:ascii="Arial" w:cs="Arial" w:eastAsia="Arial" w:hAnsi="Arial"/>
                <w:sz w:val="11"/>
                <w:szCs w:val="11"/>
                <w:color w:val="auto"/>
              </w:rPr>
              <w:t>exercise price $0.67/share, expires</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2"/>
        </w:trPr>
        <w:tc>
          <w:tcPr>
            <w:tcW w:w="5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980" w:type="dxa"/>
            <w:vAlign w:val="bottom"/>
            <w:gridSpan w:val="2"/>
          </w:tcPr>
          <w:p>
            <w:pPr>
              <w:ind w:left="80"/>
              <w:spacing w:after="0" w:line="132" w:lineRule="exact"/>
              <w:rPr>
                <w:sz w:val="20"/>
                <w:szCs w:val="20"/>
                <w:color w:val="auto"/>
              </w:rPr>
            </w:pPr>
            <w:r>
              <w:rPr>
                <w:rFonts w:ascii="Arial" w:cs="Arial" w:eastAsia="Arial" w:hAnsi="Arial"/>
                <w:sz w:val="10"/>
                <w:szCs w:val="10"/>
                <w:color w:val="auto"/>
              </w:rPr>
              <w:t>6/30/2027</w:t>
            </w:r>
            <w:r>
              <w:rPr>
                <w:rFonts w:ascii="Arial" w:cs="Arial" w:eastAsia="Arial" w:hAnsi="Arial"/>
                <w:sz w:val="15"/>
                <w:szCs w:val="15"/>
                <w:color w:val="auto"/>
                <w:vertAlign w:val="superscript"/>
              </w:rPr>
              <w:t>(3),(7)</w:t>
            </w:r>
          </w:p>
        </w:tc>
        <w:tc>
          <w:tcPr>
            <w:tcW w:w="80" w:type="dxa"/>
            <w:vAlign w:val="bottom"/>
          </w:tcPr>
          <w:p>
            <w:pPr>
              <w:spacing w:after="0"/>
              <w:rPr>
                <w:sz w:val="11"/>
                <w:szCs w:val="1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6/30/2017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191,500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246,461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58,000</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0.02</w:t>
            </w:r>
          </w:p>
        </w:tc>
        <w:tc>
          <w:tcPr>
            <w:tcW w:w="100" w:type="dxa"/>
            <w:vAlign w:val="bottom"/>
          </w:tcPr>
          <w:p>
            <w:pPr>
              <w:spacing w:after="0"/>
              <w:rPr>
                <w:sz w:val="11"/>
                <w:szCs w:val="11"/>
                <w:color w:val="auto"/>
              </w:rPr>
            </w:pPr>
          </w:p>
        </w:tc>
      </w:tr>
      <w:tr>
        <w:trPr>
          <w:trHeight w:val="112"/>
        </w:trPr>
        <w:tc>
          <w:tcPr>
            <w:tcW w:w="1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ShareThis Inc.</w:t>
            </w:r>
          </w:p>
        </w:tc>
        <w:tc>
          <w:tcPr>
            <w:tcW w:w="144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color w:val="auto"/>
                <w:w w:val="88"/>
              </w:rPr>
              <w:t>Data Processing &amp; Outsourced</w:t>
            </w:r>
          </w:p>
        </w:tc>
        <w:tc>
          <w:tcPr>
            <w:tcW w:w="206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D-3 Preferred Stock,</w:t>
            </w: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5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4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1"/>
                <w:szCs w:val="11"/>
                <w:color w:val="auto"/>
              </w:rPr>
              <w:t>Services</w:t>
            </w:r>
          </w:p>
        </w:tc>
        <w:tc>
          <w:tcPr>
            <w:tcW w:w="206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$2.4320/share, expires</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5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12/3/2028</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12/3/2018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647,615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3"/>
              </w:rPr>
              <w:t>2,162,000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2,162,000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0.57</w:t>
            </w:r>
          </w:p>
        </w:tc>
        <w:tc>
          <w:tcPr>
            <w:tcW w:w="100" w:type="dxa"/>
            <w:vAlign w:val="bottom"/>
            <w:shd w:val="clear" w:color="auto" w:fill="CCEEFF"/>
          </w:tcPr>
          <w:p>
            <w:pPr>
              <w:spacing w:after="0"/>
              <w:rPr>
                <w:sz w:val="11"/>
                <w:szCs w:val="1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Portfolio</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3"/>
              </w:rPr>
              <w:t>Acquisition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Principal/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8"/>
              </w:rPr>
              <w:t>Fair</w:t>
            </w:r>
          </w:p>
        </w:tc>
        <w:tc>
          <w:tcPr>
            <w:tcW w:w="5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gridSpan w:val="4"/>
          </w:tcPr>
          <w:p>
            <w:pPr>
              <w:spacing w:after="0"/>
              <w:rPr>
                <w:sz w:val="20"/>
                <w:szCs w:val="20"/>
                <w:color w:val="auto"/>
              </w:rPr>
            </w:pPr>
            <w:r>
              <w:rPr>
                <w:rFonts w:ascii="Arial" w:cs="Arial" w:eastAsia="Arial" w:hAnsi="Arial"/>
                <w:sz w:val="11"/>
                <w:szCs w:val="11"/>
                <w:b w:val="1"/>
                <w:bCs w:val="1"/>
                <w:color w:val="auto"/>
              </w:rPr>
              <w:t>Companies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Sub-Industry</w:t>
            </w:r>
          </w:p>
        </w:tc>
        <w:tc>
          <w:tcPr>
            <w:tcW w:w="80" w:type="dxa"/>
            <w:vAlign w:val="bottom"/>
          </w:tcPr>
          <w:p>
            <w:pPr>
              <w:spacing w:after="0"/>
              <w:rPr>
                <w:sz w:val="11"/>
                <w:szCs w:val="11"/>
                <w:color w:val="auto"/>
              </w:rPr>
            </w:pPr>
          </w:p>
        </w:tc>
        <w:tc>
          <w:tcPr>
            <w:tcW w:w="1960" w:type="dxa"/>
            <w:vAlign w:val="bottom"/>
            <w:gridSpan w:val="2"/>
          </w:tcPr>
          <w:p>
            <w:pPr>
              <w:ind w:left="160"/>
              <w:spacing w:after="0" w:line="136" w:lineRule="exact"/>
              <w:rPr>
                <w:sz w:val="20"/>
                <w:szCs w:val="20"/>
                <w:color w:val="auto"/>
              </w:rPr>
            </w:pPr>
            <w:r>
              <w:rPr>
                <w:rFonts w:ascii="Arial" w:cs="Arial" w:eastAsia="Arial" w:hAnsi="Arial"/>
                <w:sz w:val="10"/>
                <w:szCs w:val="10"/>
                <w:b w:val="1"/>
                <w:bCs w:val="1"/>
                <w:color w:val="auto"/>
              </w:rPr>
              <w:t>Investment Description</w:t>
            </w:r>
            <w:r>
              <w:rPr>
                <w:rFonts w:ascii="Arial" w:cs="Arial" w:eastAsia="Arial" w:hAnsi="Arial"/>
                <w:sz w:val="15"/>
                <w:szCs w:val="15"/>
                <w:b w:val="1"/>
                <w:bCs w:val="1"/>
                <w:color w:val="auto"/>
                <w:vertAlign w:val="superscript"/>
              </w:rPr>
              <w:t>(1),(5),(6),(11)</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6" w:lineRule="exact"/>
              <w:rPr>
                <w:sz w:val="20"/>
                <w:szCs w:val="20"/>
                <w:color w:val="auto"/>
              </w:rPr>
            </w:pPr>
            <w:r>
              <w:rPr>
                <w:rFonts w:ascii="Arial" w:cs="Arial" w:eastAsia="Arial" w:hAnsi="Arial"/>
                <w:sz w:val="10"/>
                <w:szCs w:val="10"/>
                <w:b w:val="1"/>
                <w:bCs w:val="1"/>
                <w:color w:val="auto"/>
                <w:w w:val="92"/>
              </w:rPr>
              <w:t>Value</w:t>
            </w:r>
            <w:r>
              <w:rPr>
                <w:rFonts w:ascii="Arial" w:cs="Arial" w:eastAsia="Arial" w:hAnsi="Arial"/>
                <w:sz w:val="15"/>
                <w:szCs w:val="15"/>
                <w:b w:val="1"/>
                <w:bCs w:val="1"/>
                <w:color w:val="auto"/>
                <w:w w:val="92"/>
                <w:vertAlign w:val="superscript"/>
              </w:rPr>
              <w:t>(2)</w:t>
            </w: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auto"/>
              </w:rPr>
              <w:t>Assets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Borders>
              <w:top w:val="single" w:sz="8" w:color="auto"/>
            </w:tcBorders>
            <w:gridSpan w:val="4"/>
            <w:shd w:val="clear" w:color="auto" w:fill="CCEEFF"/>
          </w:tcPr>
          <w:p>
            <w:pPr>
              <w:spacing w:after="0" w:line="102" w:lineRule="exact"/>
              <w:rPr>
                <w:sz w:val="20"/>
                <w:szCs w:val="20"/>
                <w:color w:val="auto"/>
              </w:rPr>
            </w:pPr>
            <w:r>
              <w:rPr>
                <w:rFonts w:ascii="Arial" w:cs="Arial" w:eastAsia="Arial" w:hAnsi="Arial"/>
                <w:sz w:val="11"/>
                <w:szCs w:val="11"/>
                <w:b w:val="1"/>
                <w:bCs w:val="1"/>
                <w:color w:val="auto"/>
                <w:w w:val="95"/>
              </w:rPr>
              <w:t>Non-control/non-affiliate investments</w:t>
            </w: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72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b w:val="1"/>
                <w:bCs w:val="1"/>
                <w:color w:val="auto"/>
              </w:rPr>
              <w:t>(continued)</w:t>
            </w:r>
          </w:p>
        </w:tc>
        <w:tc>
          <w:tcPr>
            <w:tcW w:w="1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10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8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4"/>
          </w:tcPr>
          <w:p>
            <w:pPr>
              <w:spacing w:after="0" w:line="115" w:lineRule="exact"/>
              <w:rPr>
                <w:sz w:val="20"/>
                <w:szCs w:val="20"/>
                <w:color w:val="auto"/>
              </w:rPr>
            </w:pPr>
            <w:r>
              <w:rPr>
                <w:rFonts w:ascii="Arial" w:cs="Arial" w:eastAsia="Arial" w:hAnsi="Arial"/>
                <w:sz w:val="9"/>
                <w:szCs w:val="9"/>
                <w:b w:val="1"/>
                <w:bCs w:val="1"/>
                <w:color w:val="auto"/>
              </w:rPr>
              <w:t>Warrants</w:t>
            </w:r>
            <w:r>
              <w:rPr>
                <w:rFonts w:ascii="Arial" w:cs="Arial" w:eastAsia="Arial" w:hAnsi="Arial"/>
                <w:sz w:val="13"/>
                <w:szCs w:val="13"/>
                <w:b w:val="1"/>
                <w:bCs w:val="1"/>
                <w:color w:val="auto"/>
                <w:vertAlign w:val="superscript"/>
              </w:rPr>
              <w:t>(8)</w:t>
            </w:r>
            <w:r>
              <w:rPr>
                <w:rFonts w:ascii="Arial" w:cs="Arial" w:eastAsia="Arial" w:hAnsi="Arial"/>
                <w:sz w:val="9"/>
                <w:szCs w:val="9"/>
                <w:b w:val="1"/>
                <w:bCs w:val="1"/>
                <w:color w:val="auto"/>
              </w:rPr>
              <w:t xml:space="preserve"> (continued)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80" w:type="dxa"/>
            <w:vAlign w:val="bottom"/>
            <w:gridSpan w:val="4"/>
            <w:shd w:val="clear" w:color="auto" w:fill="CCEEFF"/>
          </w:tcPr>
          <w:p>
            <w:pPr>
              <w:spacing w:after="0" w:line="112" w:lineRule="exact"/>
              <w:rPr>
                <w:sz w:val="20"/>
                <w:szCs w:val="20"/>
                <w:color w:val="auto"/>
              </w:rPr>
            </w:pPr>
            <w:r>
              <w:rPr>
                <w:rFonts w:ascii="Arial" w:cs="Arial" w:eastAsia="Arial" w:hAnsi="Arial"/>
                <w:sz w:val="11"/>
                <w:szCs w:val="11"/>
                <w:color w:val="auto"/>
              </w:rPr>
              <w:t>zSpace, Inc.</w:t>
            </w:r>
          </w:p>
        </w:tc>
        <w:tc>
          <w:tcPr>
            <w:tcW w:w="142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Technology Hardware,</w:t>
            </w:r>
          </w:p>
        </w:tc>
        <w:tc>
          <w:tcPr>
            <w:tcW w:w="204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1"/>
                <w:szCs w:val="11"/>
                <w:color w:val="auto"/>
              </w:rPr>
              <w:t>Warrant for Series E Preferred Stock,</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Storage &amp; Peripherals</w:t>
            </w:r>
          </w:p>
        </w:tc>
        <w:tc>
          <w:tcPr>
            <w:tcW w:w="204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1"/>
                <w:szCs w:val="11"/>
                <w:color w:val="auto"/>
              </w:rPr>
              <w:t>exercise price $0.90/share, expires</w:t>
            </w: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12/29/2027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7"/>
              </w:rPr>
              <w:t>12/29/2017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1"/>
                <w:szCs w:val="11"/>
                <w:color w:val="auto"/>
                <w:w w:val="93"/>
              </w:rPr>
              <w:t>1,896,966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707,568</w:t>
            </w:r>
          </w:p>
        </w:tc>
        <w:tc>
          <w:tcPr>
            <w:tcW w:w="160" w:type="dxa"/>
            <w:vAlign w:val="bottom"/>
            <w:gridSpan w:val="2"/>
            <w:shd w:val="clear" w:color="auto" w:fill="CCEEFF"/>
          </w:tcPr>
          <w:p>
            <w:pPr>
              <w:jc w:val="right"/>
              <w:ind w:right="13"/>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208,595</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4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Warrant for Series E Preferred 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40" w:type="dxa"/>
            <w:vAlign w:val="bottom"/>
            <w:gridSpan w:val="3"/>
          </w:tcPr>
          <w:p>
            <w:pPr>
              <w:ind w:left="80"/>
              <w:spacing w:after="0" w:line="122" w:lineRule="exact"/>
              <w:rPr>
                <w:sz w:val="20"/>
                <w:szCs w:val="20"/>
                <w:color w:val="auto"/>
              </w:rPr>
            </w:pPr>
            <w:r>
              <w:rPr>
                <w:rFonts w:ascii="Arial" w:cs="Arial" w:eastAsia="Arial" w:hAnsi="Arial"/>
                <w:sz w:val="11"/>
                <w:szCs w:val="11"/>
                <w:color w:val="auto"/>
              </w:rPr>
              <w:t>exercise price $0.90/share, expires</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196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2/11/2029</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w w:val="97"/>
              </w:rPr>
              <w:t>2/11/2019</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tcPr>
          <w:p>
            <w:pPr>
              <w:ind w:left="80"/>
              <w:spacing w:after="0"/>
              <w:rPr>
                <w:sz w:val="20"/>
                <w:szCs w:val="20"/>
                <w:color w:val="auto"/>
              </w:rPr>
            </w:pPr>
            <w:r>
              <w:rPr>
                <w:rFonts w:ascii="Arial" w:cs="Arial" w:eastAsia="Arial" w:hAnsi="Arial"/>
                <w:sz w:val="11"/>
                <w:szCs w:val="11"/>
                <w:color w:val="auto"/>
                <w:w w:val="93"/>
              </w:rPr>
              <w:t>2,806,830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411,528</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308,645</w:t>
            </w: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4"/>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Warrants</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w w:val="98"/>
              </w:rPr>
              <w:t>18,383,811</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w w:val="98"/>
              </w:rPr>
              <w:t>18,008,337</w:t>
            </w: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880" w:type="dxa"/>
            <w:vAlign w:val="bottom"/>
            <w:gridSpan w:val="4"/>
          </w:tcPr>
          <w:p>
            <w:pPr>
              <w:spacing w:after="0" w:line="88" w:lineRule="exact"/>
              <w:rPr>
                <w:sz w:val="20"/>
                <w:szCs w:val="20"/>
                <w:color w:val="auto"/>
              </w:rPr>
            </w:pPr>
            <w:r>
              <w:rPr>
                <w:rFonts w:ascii="Arial" w:cs="Arial" w:eastAsia="Arial" w:hAnsi="Arial"/>
                <w:sz w:val="10"/>
                <w:szCs w:val="10"/>
                <w:b w:val="1"/>
                <w:bCs w:val="1"/>
                <w:color w:val="auto"/>
              </w:rPr>
              <w:t>Total non-control/non-affiliate</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88"/>
              </w:rPr>
              <w:t>377,018,900</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w w:val="88"/>
              </w:rPr>
              <w:t>368,016,276</w:t>
            </w:r>
          </w:p>
        </w:tc>
        <w:tc>
          <w:tcPr>
            <w:tcW w:w="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97.67</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0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b w:val="1"/>
                <w:bCs w:val="1"/>
                <w:color w:val="auto"/>
              </w:rPr>
              <w:t>investments</w:t>
            </w:r>
          </w:p>
        </w:tc>
        <w:tc>
          <w:tcPr>
            <w:tcW w:w="4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Pr>
          <w:p>
            <w:pPr>
              <w:spacing w:after="0"/>
              <w:rPr>
                <w:sz w:val="7"/>
                <w:szCs w:val="7"/>
                <w:color w:val="auto"/>
              </w:rPr>
            </w:pPr>
          </w:p>
        </w:tc>
        <w:tc>
          <w:tcPr>
            <w:tcW w:w="1880" w:type="dxa"/>
            <w:vAlign w:val="bottom"/>
            <w:gridSpan w:val="4"/>
            <w:shd w:val="clear" w:color="auto" w:fill="CCEEFF"/>
          </w:tcPr>
          <w:p>
            <w:pPr>
              <w:spacing w:after="0" w:line="85" w:lineRule="exact"/>
              <w:rPr>
                <w:sz w:val="20"/>
                <w:szCs w:val="20"/>
                <w:color w:val="auto"/>
              </w:rPr>
            </w:pPr>
            <w:r>
              <w:rPr>
                <w:rFonts w:ascii="Arial" w:cs="Arial" w:eastAsia="Arial" w:hAnsi="Arial"/>
                <w:sz w:val="9"/>
                <w:szCs w:val="9"/>
                <w:b w:val="1"/>
                <w:bCs w:val="1"/>
                <w:color w:val="auto"/>
              </w:rPr>
              <w:t>U.S. Treasury</w:t>
            </w: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2040" w:type="dxa"/>
            <w:vAlign w:val="bottom"/>
            <w:gridSpan w:val="3"/>
            <w:shd w:val="clear" w:color="auto" w:fill="CCEEFF"/>
          </w:tcPr>
          <w:p>
            <w:pPr>
              <w:ind w:left="80"/>
              <w:spacing w:after="0" w:line="85" w:lineRule="exact"/>
              <w:rPr>
                <w:sz w:val="20"/>
                <w:szCs w:val="20"/>
                <w:color w:val="auto"/>
              </w:rPr>
            </w:pPr>
            <w:r>
              <w:rPr>
                <w:rFonts w:ascii="Arial" w:cs="Arial" w:eastAsia="Arial" w:hAnsi="Arial"/>
                <w:sz w:val="9"/>
                <w:szCs w:val="9"/>
                <w:color w:val="auto"/>
              </w:rPr>
              <w:t>U.S. Treasury Bill, 1.33%, due</w:t>
            </w: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ind w:left="80"/>
              <w:spacing w:after="0" w:line="132" w:lineRule="exact"/>
              <w:rPr>
                <w:sz w:val="20"/>
                <w:szCs w:val="20"/>
                <w:color w:val="auto"/>
              </w:rPr>
            </w:pPr>
            <w:r>
              <w:rPr>
                <w:rFonts w:ascii="Arial" w:cs="Arial" w:eastAsia="Arial" w:hAnsi="Arial"/>
                <w:sz w:val="10"/>
                <w:szCs w:val="10"/>
                <w:color w:val="auto"/>
              </w:rPr>
              <w:t>1/7/2020</w:t>
            </w:r>
            <w:r>
              <w:rPr>
                <w:rFonts w:ascii="Arial" w:cs="Arial" w:eastAsia="Arial" w:hAnsi="Arial"/>
                <w:sz w:val="15"/>
                <w:szCs w:val="15"/>
                <w:color w:val="auto"/>
                <w:vertAlign w:val="superscript"/>
              </w:rPr>
              <w:t>(10)</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74,983,437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8"/>
              </w:rPr>
              <w:t>74,966,770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2040" w:type="dxa"/>
            <w:vAlign w:val="bottom"/>
            <w:tcBorders>
              <w:bottom w:val="single" w:sz="8" w:color="CCEEFF"/>
            </w:tcBorders>
            <w:gridSpan w:val="3"/>
          </w:tcPr>
          <w:p>
            <w:pPr>
              <w:ind w:left="80"/>
              <w:spacing w:after="0" w:line="122" w:lineRule="exact"/>
              <w:rPr>
                <w:sz w:val="20"/>
                <w:szCs w:val="20"/>
                <w:color w:val="auto"/>
              </w:rPr>
            </w:pPr>
            <w:r>
              <w:rPr>
                <w:rFonts w:ascii="Arial" w:cs="Arial" w:eastAsia="Arial" w:hAnsi="Arial"/>
                <w:sz w:val="11"/>
                <w:szCs w:val="11"/>
                <w:color w:val="auto"/>
              </w:rPr>
              <w:t>U.S. Treasury Bill, 0.97%, due 1/2/2020</w:t>
            </w:r>
          </w:p>
        </w:tc>
        <w:tc>
          <w:tcPr>
            <w:tcW w:w="5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w w:val="98"/>
              </w:rPr>
              <w:t>24,999,328</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color w:val="auto"/>
                <w:w w:val="98"/>
              </w:rPr>
              <w:t>24,998,653</w:t>
            </w: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6.64</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4"/>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Total U.S. Treasury</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w w:val="98"/>
              </w:rPr>
              <w:t>99,982,765</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w w:val="98"/>
              </w:rPr>
              <w:t>99,965,423</w:t>
            </w:r>
          </w:p>
        </w:tc>
        <w:tc>
          <w:tcPr>
            <w:tcW w:w="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26.56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88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Total Investments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w w:val="88"/>
              </w:rPr>
              <w:t>477,001,665</w:t>
            </w:r>
          </w:p>
        </w:tc>
        <w:tc>
          <w:tcPr>
            <w:tcW w:w="80" w:type="dxa"/>
            <w:vAlign w:val="bottom"/>
          </w:tcPr>
          <w:p>
            <w:pPr>
              <w:spacing w:after="0"/>
              <w:rPr>
                <w:sz w:val="10"/>
                <w:szCs w:val="10"/>
                <w:color w:val="auto"/>
              </w:rPr>
            </w:pPr>
          </w:p>
        </w:tc>
        <w:tc>
          <w:tcPr>
            <w:tcW w:w="80" w:type="dxa"/>
            <w:vAlign w:val="bottom"/>
            <w:tcBorders>
              <w:bottom w:val="single" w:sz="8" w:color="auto"/>
            </w:tcBorders>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w w:val="88"/>
              </w:rPr>
              <w:t>467,981,699</w:t>
            </w:r>
          </w:p>
        </w:tc>
        <w:tc>
          <w:tcPr>
            <w:tcW w:w="8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124.36</w:t>
            </w:r>
          </w:p>
        </w:tc>
        <w:tc>
          <w:tcPr>
            <w:tcW w:w="100" w:type="dxa"/>
            <w:vAlign w:val="bottom"/>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700" w:right="79" w:hanging="326"/>
        <w:spacing w:after="0" w:line="235"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2019, the 3-Month LIBOR was 1.91% and the U.S. Prime Rate was 4.75%.</w:t>
      </w:r>
    </w:p>
    <w:p>
      <w:pPr>
        <w:spacing w:after="0" w:line="134" w:lineRule="exact"/>
        <w:rPr>
          <w:rFonts w:ascii="Arial" w:cs="Arial" w:eastAsia="Arial" w:hAnsi="Arial"/>
          <w:sz w:val="24"/>
          <w:szCs w:val="24"/>
          <w:color w:val="auto"/>
          <w:vertAlign w:val="superscript"/>
        </w:rPr>
      </w:pPr>
    </w:p>
    <w:p>
      <w:pPr>
        <w:ind w:left="700" w:right="79" w:hanging="326"/>
        <w:spacing w:after="0" w:line="230" w:lineRule="auto"/>
        <w:tabs>
          <w:tab w:leader="none" w:pos="70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All investments in portfolio companies, which as of December 31, 2019 represented 97.80% of the Company’s net assets, are restricted as to resale and were valued at fair value as determined in good faith by the Company’s Board of Directors.</w:t>
      </w:r>
    </w:p>
    <w:p>
      <w:pPr>
        <w:spacing w:after="0" w:line="145" w:lineRule="exact"/>
        <w:rPr>
          <w:rFonts w:ascii="Arial" w:cs="Arial" w:eastAsia="Arial" w:hAnsi="Arial"/>
          <w:sz w:val="22"/>
          <w:szCs w:val="22"/>
          <w:color w:val="auto"/>
          <w:vertAlign w:val="superscript"/>
        </w:rPr>
      </w:pPr>
    </w:p>
    <w:p>
      <w:pPr>
        <w:jc w:val="both"/>
        <w:ind w:left="700" w:right="79" w:hanging="326"/>
        <w:spacing w:after="0" w:line="262" w:lineRule="auto"/>
        <w:tabs>
          <w:tab w:leader="none" w:pos="70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Investment is not a qualifying investment as defined under Section 55(a) of the Investment Company Act of 1940, as amended. Non-qualifying assets represent 4.25% of total investments at fair value as of December 31, 2019.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62" w:lineRule="exact"/>
        <w:rPr>
          <w:rFonts w:ascii="Arial" w:cs="Arial" w:eastAsia="Arial" w:hAnsi="Arial"/>
          <w:sz w:val="22"/>
          <w:szCs w:val="22"/>
          <w:color w:val="auto"/>
          <w:vertAlign w:val="superscript"/>
        </w:rPr>
      </w:pPr>
    </w:p>
    <w:p>
      <w:pPr>
        <w:ind w:left="700" w:hanging="326"/>
        <w:spacing w:after="0"/>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Represents a PIK security. PIK interest will be accrued and paid at maturity.</w:t>
      </w:r>
    </w:p>
    <w:p>
      <w:pPr>
        <w:spacing w:after="0" w:line="131" w:lineRule="exact"/>
        <w:rPr>
          <w:rFonts w:ascii="Arial" w:cs="Arial" w:eastAsia="Arial" w:hAnsi="Arial"/>
          <w:sz w:val="24"/>
          <w:szCs w:val="24"/>
          <w:color w:val="auto"/>
          <w:vertAlign w:val="superscript"/>
        </w:rPr>
      </w:pPr>
    </w:p>
    <w:p>
      <w:pPr>
        <w:ind w:left="700" w:right="79" w:hanging="326"/>
        <w:spacing w:after="0" w:line="213"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All investments are valued using unobservable inputs, except the U.S. Treasury Bills which are valued using observable inputs.</w:t>
      </w:r>
    </w:p>
    <w:p>
      <w:pPr>
        <w:spacing w:after="0" w:line="75" w:lineRule="exact"/>
        <w:rPr>
          <w:rFonts w:ascii="Arial" w:cs="Arial" w:eastAsia="Arial" w:hAnsi="Arial"/>
          <w:sz w:val="24"/>
          <w:szCs w:val="24"/>
          <w:color w:val="auto"/>
          <w:vertAlign w:val="superscript"/>
        </w:rPr>
      </w:pPr>
    </w:p>
    <w:p>
      <w:pPr>
        <w:ind w:left="700" w:hanging="326"/>
        <w:spacing w:after="0"/>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All investments are domiciled in the United States, unless otherwise noted.</w:t>
      </w:r>
    </w:p>
    <w:p>
      <w:pPr>
        <w:spacing w:after="0" w:line="109" w:lineRule="exact"/>
        <w:rPr>
          <w:rFonts w:ascii="Arial" w:cs="Arial" w:eastAsia="Arial" w:hAnsi="Arial"/>
          <w:sz w:val="24"/>
          <w:szCs w:val="24"/>
          <w:color w:val="auto"/>
          <w:vertAlign w:val="superscript"/>
        </w:rPr>
      </w:pPr>
    </w:p>
    <w:p>
      <w:pPr>
        <w:ind w:left="700" w:hanging="326"/>
        <w:spacing w:after="0" w:line="209"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Investment is domiciled in Canada.</w:t>
      </w:r>
    </w:p>
    <w:p>
      <w:pPr>
        <w:spacing w:after="0" w:line="110" w:lineRule="exact"/>
        <w:rPr>
          <w:rFonts w:ascii="Arial" w:cs="Arial" w:eastAsia="Arial" w:hAnsi="Arial"/>
          <w:sz w:val="24"/>
          <w:szCs w:val="24"/>
          <w:color w:val="auto"/>
          <w:vertAlign w:val="superscript"/>
        </w:rPr>
      </w:pPr>
    </w:p>
    <w:p>
      <w:pPr>
        <w:ind w:left="700" w:hanging="326"/>
        <w:spacing w:after="0" w:line="197"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Investments are non-income producing.</w:t>
      </w:r>
    </w:p>
    <w:p>
      <w:pPr>
        <w:spacing w:after="0" w:line="110" w:lineRule="exact"/>
        <w:rPr>
          <w:rFonts w:ascii="Arial" w:cs="Arial" w:eastAsia="Arial" w:hAnsi="Arial"/>
          <w:sz w:val="24"/>
          <w:szCs w:val="24"/>
          <w:color w:val="auto"/>
          <w:vertAlign w:val="superscript"/>
        </w:rPr>
      </w:pPr>
    </w:p>
    <w:p>
      <w:pPr>
        <w:ind w:left="700" w:hanging="326"/>
        <w:spacing w:after="0" w:line="209"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Investments are held at Fair Value net of the Fair Value of Unfunded Commitments. See Note 3 for additional detail.</w:t>
      </w:r>
    </w:p>
    <w:p>
      <w:pPr>
        <w:spacing w:after="0" w:line="145" w:lineRule="exact"/>
        <w:rPr>
          <w:rFonts w:ascii="Arial" w:cs="Arial" w:eastAsia="Arial" w:hAnsi="Arial"/>
          <w:sz w:val="24"/>
          <w:szCs w:val="24"/>
          <w:color w:val="auto"/>
          <w:vertAlign w:val="superscript"/>
        </w:rPr>
      </w:pPr>
    </w:p>
    <w:p>
      <w:pPr>
        <w:jc w:val="both"/>
        <w:ind w:left="700" w:right="79" w:hanging="326"/>
        <w:spacing w:after="0" w:line="235"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Treasury bills with $75,000,000 in aggregate of par value were purchased pursuant to a 5.00% reverse repurchase agreement with Goldman Sachs, dated December 27, 2019, due January 3, 2020, with a repurchase price of $75,000,000 and collateralized by a 1.45% U.S. Treasury Bill due January 7, 2020 with a par value of $75,000,000 and fair value of $74,966,771.</w:t>
      </w:r>
    </w:p>
    <w:p>
      <w:pPr>
        <w:spacing w:after="0" w:line="87" w:lineRule="exact"/>
        <w:rPr>
          <w:rFonts w:ascii="Arial" w:cs="Arial" w:eastAsia="Arial" w:hAnsi="Arial"/>
          <w:sz w:val="24"/>
          <w:szCs w:val="24"/>
          <w:color w:val="auto"/>
          <w:vertAlign w:val="superscript"/>
        </w:rPr>
      </w:pPr>
    </w:p>
    <w:p>
      <w:pPr>
        <w:ind w:left="700" w:hanging="326"/>
        <w:spacing w:after="0"/>
        <w:tabs>
          <w:tab w:leader="none" w:pos="70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Disclosures of end-of-term-payments (“ETP”) are one-time payments stated as a percentage of original principal amount.</w:t>
      </w:r>
    </w:p>
    <w:p>
      <w:pPr>
        <w:spacing w:after="0" w:line="144" w:lineRule="exact"/>
        <w:rPr>
          <w:rFonts w:ascii="Arial" w:cs="Arial" w:eastAsia="Arial" w:hAnsi="Arial"/>
          <w:sz w:val="22"/>
          <w:szCs w:val="22"/>
          <w:color w:val="auto"/>
          <w:vertAlign w:val="superscript"/>
        </w:rPr>
      </w:pPr>
    </w:p>
    <w:p>
      <w:pPr>
        <w:ind w:left="700" w:right="79" w:hanging="326"/>
        <w:spacing w:after="0" w:line="213" w:lineRule="auto"/>
        <w:tabs>
          <w:tab w:leader="none" w:pos="700" w:val="left"/>
        </w:tabs>
        <w:numPr>
          <w:ilvl w:val="0"/>
          <w:numId w:val="4"/>
        </w:numPr>
        <w:rPr>
          <w:rFonts w:ascii="Arial" w:cs="Arial" w:eastAsia="Arial" w:hAnsi="Arial"/>
          <w:sz w:val="24"/>
          <w:szCs w:val="24"/>
          <w:color w:val="auto"/>
          <w:vertAlign w:val="superscript"/>
        </w:rPr>
      </w:pPr>
      <w:r>
        <w:rPr>
          <w:rFonts w:ascii="Arial" w:cs="Arial" w:eastAsia="Arial" w:hAnsi="Arial"/>
          <w:sz w:val="16"/>
          <w:szCs w:val="16"/>
          <w:color w:val="auto"/>
        </w:rPr>
        <w:t>In the occurrence of a sale by the borrower, Aginity, Inc. will satisfy the repayment of the Extension line first from the proceeds available to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tables show the fair value of our portfolio of investments (excluding any U.S. Treasury Bills held)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geographic region and industry as of December 31, 2019:</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6"/>
          </w:tcPr>
          <w:p>
            <w:pPr>
              <w:jc w:val="right"/>
              <w:ind w:right="55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Geographic Region</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Investments at</w:t>
            </w: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9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Western United States</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$ 226,473,356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Northwestern United States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50,241,366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Southeastern United States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23,320,627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South Central United States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20,776,293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Midwestern United States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19,048,324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Northeastern United States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17,102,034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11,054,276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$ 368,016,276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97.80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6"/>
          </w:tcPr>
          <w:p>
            <w:pPr>
              <w:jc w:val="right"/>
              <w:ind w:right="53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Borders>
              <w:top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Investments at</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6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9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09"/>
        </w:trPr>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Application Software</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$ 101,674,597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Data Processing &amp; Outsourced Services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60,316,003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Technology Hardware, Storage &amp; Peripherals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36,120,776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Internet Retail</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34,751,272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Semiconductors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30,829,079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Healthcare Technology</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28,737,966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Internet Software &amp; Services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24,779,724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Education Services</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17,694,233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Computer &amp; Electronics Retail</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17,411,686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231F20"/>
              </w:rPr>
              <w:t>System Software</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14,736,735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Specialized Consumer Services</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906,205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Advertising</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$ 368,016,276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left="60" w:right="79" w:firstLine="648"/>
        <w:spacing w:after="0" w:line="255" w:lineRule="auto"/>
        <w:rPr>
          <w:sz w:val="20"/>
          <w:szCs w:val="20"/>
          <w:color w:val="auto"/>
        </w:rPr>
      </w:pPr>
      <w:r>
        <w:rPr>
          <w:rFonts w:ascii="Arial" w:cs="Arial" w:eastAsia="Arial" w:hAnsi="Arial"/>
          <w:sz w:val="18"/>
          <w:szCs w:val="18"/>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qualify annually as a regulated investment company (“RIC”) under Subchapter M of the Internal Revenue Code of 1986, as amended (the “Code”).</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June 30, 2020, in connection with the Initial Private Offering, the Company had total capital commitments of $275,000,000 and had issued 18,241,157 shares of its common stock for a total purchase price of $275,000,000. The Company has issued an additional 3,672,543 shares as part of the dividend reinvestment program. Refer to Note 6 for further detail.</w:t>
      </w:r>
    </w:p>
    <w:p>
      <w:pPr>
        <w:spacing w:after="0" w:line="18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 of June 30, 2020, the Company had completed multiple closings under its second private offering (the “Second Private Offering”) and had accepted aggregate capital commitments of $174,523,500. The Company has issued 5,018,918 shares of its common stock for a total purchase price of $75,283,766 in connection with the Second Private Offering. In March 2020, the Company issued 2,103 shares as an additional direct investment by Runway Growth Holdings LLC, an affiliate of RGC, at a per-share price of $15.00 for total proceeds of $31,542.</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2020, including the impact of the recent novel strain of</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coronavirus (“COVID-19”) pandemic thereon. The interim unaudited financial statements and notes hereto should be read in conjunction with the audited financial statements and notes thereto contained in the Company’s annual report on Form 10-K for the year ended December 31, 2019 filed with the SEC on March 19,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fees and expenses associated with opening the KeyBank loan facilities or Credit Agreement (each as defined below in Note 10)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61"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fees and expenses associated with opening the CIBC USA Credit Facilities (as defined below in Note 10) are being deferred and amortized as part of interest expense using the effective interest method over the term of the Credit Facilities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6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Pursuant to a reverse repurchase agreement with Goldman Sachs, which expired on July 2, 2020, the Company purchased a U.S. Treasury Bill, due July 7, 2020. The fair value of the related collateral that the Company received for this agreement was $44,998,500 at June 30, 2020. Pursuant to a reverse repurchase agreement with Goldman Sachs which expired on January 3, 2020, the Company purchased a U.S. Treasury Bill, due January 7, 2020. The value of the related collateral that the Company received for this agreement was $74,966,771 at December 31, 2019. At June 30, 2020 and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December 31, 2019, the repurchase liability is $44,773,302 and $74,593,802, respectively, which is reflected as Reverse repurchase agreement on the Statement of Assets and Liabilities.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61"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cash interest, PIK interest, and dividend income on that loan for financial reporting purposes until all principal and interest have been brought current through payment or through a restructuring such that the interest and dividend income is deemed to be collectible. As of June 30, 2020, and December 31, 2019, the Company has not written off any accrued and uncollected PIK interest and dividends. As of June 30, 2020, the Company had one loan on non-accrual status with total interest of $549,984 that would have been accrued into income. Had the loan not been on non-accrual status, $396,371 would be payable, and $153,613 would constitute original issue discount. For the three and six months ended June 30, 2020, approximately 2.1% and 2.9%, respectively, of the Company’s total investment income was attributable to non-cash PIK interest and dividend income. For the three and six months ended June 30, 2019, approximately 2.4% and 2.0%, respectively, of the Company’s total investment income was attributable to non-cash PIK interest and dividend income.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 xml:space="preserve">The Company measures the value of its investments at fair value in accordance with ASC </w:t>
      </w:r>
      <w:r>
        <w:rPr>
          <w:rFonts w:ascii="Arial" w:cs="Arial" w:eastAsia="Arial" w:hAnsi="Arial"/>
          <w:sz w:val="16"/>
          <w:szCs w:val="16"/>
          <w:i w:val="1"/>
          <w:iCs w:val="1"/>
          <w:color w:val="auto"/>
        </w:rPr>
        <w:t>Topic 820,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and Disclosure </w:t>
      </w:r>
      <w:r>
        <w:rPr>
          <w:rFonts w:ascii="Arial" w:cs="Arial" w:eastAsia="Arial" w:hAnsi="Arial"/>
          <w:sz w:val="16"/>
          <w:szCs w:val="16"/>
          <w:color w:val="auto"/>
        </w:rPr>
        <w:t>(“ASC Topic 820”), issued by the FASB. Fair value is the price that would be received to</w:t>
      </w:r>
      <w:r>
        <w:rPr>
          <w:rFonts w:ascii="Arial" w:cs="Arial" w:eastAsia="Arial" w:hAnsi="Arial"/>
          <w:sz w:val="16"/>
          <w:szCs w:val="16"/>
          <w:i w:val="1"/>
          <w:iCs w:val="1"/>
          <w:color w:val="auto"/>
        </w:rPr>
        <w:t xml:space="preserve"> </w:t>
      </w:r>
      <w:r>
        <w:rPr>
          <w:rFonts w:ascii="Arial" w:cs="Arial" w:eastAsia="Arial" w:hAnsi="Arial"/>
          <w:sz w:val="16"/>
          <w:szCs w:val="16"/>
          <w:color w:val="auto"/>
        </w:rPr>
        <w:t>sell an asset or paid to transfer a liability in an orderly transaction between market participants at the measurement date. The COVID-19 pandemic and its resultant impact on economic activity and capital market volatility has impacted and may continue to have an impact on the fair market values of our portfolio investments. As a result, the fair market values of our portfolio investments may be negatively impacted after June 30, 2020 by circumstances and events that are not yet known, including the complete or continuing impact of the COVID-19 pandemic and the resulting measures taken in response thereto. Our valuation process carefully considers the impact of COVID-19-related uncertainties in the various inputs utilized in the determination of the fair market value of our portfolio investments.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7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6" w:lineRule="exact"/>
        <w:rPr>
          <w:sz w:val="20"/>
          <w:szCs w:val="20"/>
          <w:color w:val="auto"/>
        </w:rPr>
      </w:pPr>
    </w:p>
    <w:p>
      <w:pPr>
        <w:ind w:left="640" w:right="79" w:hanging="333"/>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jc w:val="both"/>
        <w:ind w:left="640" w:right="79" w:hanging="333"/>
        <w:spacing w:after="0" w:line="263"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43" w:lineRule="exact"/>
        <w:rPr>
          <w:rFonts w:ascii="Arial" w:cs="Arial" w:eastAsia="Arial" w:hAnsi="Arial"/>
          <w:sz w:val="18"/>
          <w:szCs w:val="18"/>
          <w:color w:val="auto"/>
        </w:rPr>
      </w:pPr>
    </w:p>
    <w:p>
      <w:pPr>
        <w:jc w:val="both"/>
        <w:ind w:left="640" w:right="79" w:hanging="333"/>
        <w:spacing w:after="0" w:line="25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640" w:right="79" w:hanging="333"/>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43" w:lineRule="exact"/>
        <w:rPr>
          <w:rFonts w:ascii="Arial" w:cs="Arial" w:eastAsia="Arial" w:hAnsi="Arial"/>
          <w:sz w:val="18"/>
          <w:szCs w:val="18"/>
          <w:color w:val="auto"/>
        </w:rPr>
      </w:pPr>
    </w:p>
    <w:p>
      <w:pPr>
        <w:ind w:left="640" w:hanging="333"/>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RGC’s senior investment team;</w:t>
      </w:r>
    </w:p>
    <w:p>
      <w:pPr>
        <w:spacing w:after="0" w:line="196" w:lineRule="exact"/>
        <w:rPr>
          <w:rFonts w:ascii="Arial" w:cs="Arial" w:eastAsia="Arial" w:hAnsi="Arial"/>
          <w:sz w:val="17"/>
          <w:szCs w:val="17"/>
          <w:color w:val="auto"/>
        </w:rPr>
      </w:pPr>
    </w:p>
    <w:p>
      <w:pPr>
        <w:jc w:val="both"/>
        <w:ind w:left="640" w:right="79" w:hanging="333"/>
        <w:spacing w:after="0" w:line="311"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08" w:lineRule="exact"/>
        <w:rPr>
          <w:rFonts w:ascii="Arial" w:cs="Arial" w:eastAsia="Arial" w:hAnsi="Arial"/>
          <w:sz w:val="16"/>
          <w:szCs w:val="16"/>
          <w:color w:val="auto"/>
        </w:rPr>
      </w:pPr>
    </w:p>
    <w:p>
      <w:pPr>
        <w:jc w:val="both"/>
        <w:ind w:left="640" w:right="79" w:hanging="333"/>
        <w:spacing w:after="0" w:line="26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56" w:lineRule="exact"/>
        <w:rPr>
          <w:rFonts w:ascii="Arial" w:cs="Arial" w:eastAsia="Arial" w:hAnsi="Arial"/>
          <w:sz w:val="18"/>
          <w:szCs w:val="18"/>
          <w:color w:val="auto"/>
        </w:rPr>
      </w:pPr>
    </w:p>
    <w:p>
      <w:pPr>
        <w:jc w:val="both"/>
        <w:ind w:left="640" w:right="79" w:hanging="333"/>
        <w:spacing w:after="0" w:line="26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231F20"/>
        </w:rPr>
        <w:t>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the Company’s debt investments, the Company compares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cost basis of the debt investment, 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w:t>
      </w:r>
      <w:r>
        <w:rPr>
          <w:rFonts w:ascii="Arial" w:cs="Arial" w:eastAsia="Arial" w:hAnsi="Arial"/>
          <w:sz w:val="18"/>
          <w:szCs w:val="18"/>
          <w:i w:val="1"/>
          <w:iCs w:val="1"/>
          <w:color w:val="auto"/>
        </w:rPr>
        <w:t xml:space="preserve"> </w:t>
      </w:r>
      <w:r>
        <w:rPr>
          <w:rFonts w:ascii="Arial" w:cs="Arial" w:eastAsia="Arial" w:hAnsi="Arial"/>
          <w:sz w:val="18"/>
          <w:szCs w:val="18"/>
          <w:color w:val="auto"/>
        </w:rPr>
        <w:t>held warrants and equity-related securities are valued based on an analysis of various factors including, but not limited to, the following:</w:t>
      </w:r>
    </w:p>
    <w:p>
      <w:pPr>
        <w:spacing w:after="0" w:line="184" w:lineRule="exact"/>
        <w:rPr>
          <w:sz w:val="20"/>
          <w:szCs w:val="20"/>
          <w:color w:val="auto"/>
        </w:rPr>
      </w:pPr>
    </w:p>
    <w:p>
      <w:pPr>
        <w:jc w:val="both"/>
        <w:ind w:left="640" w:right="79" w:hanging="333"/>
        <w:spacing w:after="0" w:line="269"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8" w:lineRule="exact"/>
        <w:rPr>
          <w:rFonts w:ascii="Arial" w:cs="Arial" w:eastAsia="Arial" w:hAnsi="Arial"/>
          <w:sz w:val="17"/>
          <w:szCs w:val="17"/>
          <w:color w:val="auto"/>
        </w:rPr>
      </w:pPr>
    </w:p>
    <w:p>
      <w:pPr>
        <w:jc w:val="both"/>
        <w:ind w:left="640" w:right="79" w:hanging="333"/>
        <w:spacing w:after="0" w:line="29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20" w:lineRule="exact"/>
        <w:rPr>
          <w:rFonts w:ascii="Arial" w:cs="Arial" w:eastAsia="Arial" w:hAnsi="Arial"/>
          <w:sz w:val="16"/>
          <w:szCs w:val="16"/>
          <w:color w:val="auto"/>
        </w:rPr>
      </w:pPr>
    </w:p>
    <w:p>
      <w:pPr>
        <w:jc w:val="both"/>
        <w:ind w:left="640" w:right="79" w:hanging="333"/>
        <w:spacing w:after="0" w:line="29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20" w:lineRule="exact"/>
        <w:rPr>
          <w:rFonts w:ascii="Arial" w:cs="Arial" w:eastAsia="Arial" w:hAnsi="Arial"/>
          <w:sz w:val="16"/>
          <w:szCs w:val="16"/>
          <w:color w:val="auto"/>
        </w:rPr>
      </w:pPr>
    </w:p>
    <w:p>
      <w:pPr>
        <w:jc w:val="both"/>
        <w:ind w:left="640" w:right="79" w:hanging="333"/>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60" w:lineRule="exact"/>
        <w:rPr>
          <w:rFonts w:ascii="Arial" w:cs="Arial" w:eastAsia="Arial" w:hAnsi="Arial"/>
          <w:sz w:val="18"/>
          <w:szCs w:val="18"/>
          <w:color w:val="auto"/>
        </w:rPr>
      </w:pPr>
    </w:p>
    <w:p>
      <w:pPr>
        <w:jc w:val="both"/>
        <w:ind w:left="640" w:right="79" w:hanging="333"/>
        <w:spacing w:after="0" w:line="254"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6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 xml:space="preserve">Equity Investments. </w:t>
      </w:r>
      <w:r>
        <w:rPr>
          <w:rFonts w:ascii="Arial" w:cs="Arial" w:eastAsia="Arial" w:hAnsi="Arial"/>
          <w:sz w:val="17"/>
          <w:szCs w:val="17"/>
          <w:color w:val="auto"/>
        </w:rPr>
        <w:t>The fair value of an equity investment in a privately held company is initially the face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amount invested. The 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Company elected to be treated as a RIC under Subchapter M of the Code starting with its taxable year ended December 31, 2016, and currently qualifies and intends to qualify annually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and six months ended June 30, 2020 and 2019, basic and diluted earnings per share of common stock were the same because there were no potentially dilutive securities outstanding. Per share data is based on the weighted-average shares outstanding.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and six months ended June 30, 2020, the Company declared dividends in the amount of $9,242,578 and $19,567,064, respectively, of which $1,704,037 and $3,643,100, respectively, was distributed in cash and the remainder distributed in shares to stockholders pursuant to the Company’s dividend reinvestment plan. For the three and six months ended June 30, 2019, the Company declared dividends in the amount of $15,971,678 and $22,132,302, respectively, of which $3,264,411 and $4,482,867, respectively, was distributed in cash and the remainder distributed in shares to stockholders pursuant to the Company’s dividend reinvestment plan. Of the distributions for the three and six months ended June 30, 2019, $7,077,595 and $13,328,219, respectively, was paid as of June 30, 2019, of which $1,407,128 and $2,625,584, respectively, was cash distributed and the remainder distributed in shares to stockholders pursuant to the Company’s dividend reinvestment plan. The remainder of the distributions declared during the three months ended June 30, 2019 was paid on July 16, 2019 in the amount of $1,857,283 in cash and $7,036,800 in common stock.</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6"/>
          <w:szCs w:val="16"/>
          <w:color w:val="231F20"/>
        </w:rPr>
        <w:t>As a result, for the quarter ended June 30, 2020, the Company did not incur</w:t>
      </w:r>
      <w:r>
        <w:rPr>
          <w:rFonts w:ascii="Arial" w:cs="Arial" w:eastAsia="Arial" w:hAnsi="Arial"/>
          <w:sz w:val="16"/>
          <w:szCs w:val="16"/>
          <w:color w:val="auto"/>
        </w:rPr>
        <w:t xml:space="preserve"> </w:t>
      </w:r>
      <w:r>
        <w:rPr>
          <w:rFonts w:ascii="Arial" w:cs="Arial" w:eastAsia="Arial" w:hAnsi="Arial"/>
          <w:sz w:val="16"/>
          <w:szCs w:val="16"/>
          <w:color w:val="231F20"/>
        </w:rPr>
        <w:t>any organization or offering expenses in connection with the Initial Private Offering.</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Offering costs related to new or follow-on offerings were accumulated and charged to additional paid in capital at the time of closing beginning in 2019. These offering costs are subject to a cap of $600,000, excluding placement agent fees which have no cap, and of which the Company will bear the cost. As of June 30, 2020 and December 31, 2019, respectively, the Company had accumulated and recorded $562,932 and $510,027 of deferred offering costs. As of June 30, 2020 and December 31, 2019, respectively, $123,009 and $123,009 in placement agent fees had been incurred. Under the terms of the Second Private Offering, offering costs in excess of $600,000, excluding placement agent fees, will be reimbursed by RGC.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to replace the incurred loss model for loans and other financial assets with an expected loss model, which is referred to as the current expected credit loss (CECL) model. The CECL model is applicable to the measurement of credit losses on financial assets measured at amortized cost, including loan receivables and held-to maturity debt securities. It also applies to off-balance sheet credit exposures not accounted for as insurance (loan commitments, stand-by letters of credit, financial guarantees and other similar instruments) and net investments in certain leases recognized by a lessor. Effective January 1, 2020, the Company adopted ASU 2016-13 under a modified retrospective approach for all financial assets measured at amortized cost. There was no adjustment recorded to distributable losses for the cumulative effect of adopting ASU 2016-13 as amortized cost has approximated fair value.</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which changes the fair value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of ASC 820. The key provisions include new, eliminated and modified disclosure requirements. The new guidance is effective for fiscal years beginning after December 15, 2019, including interim periods therein. Early application is permitted. The Company adopted ASU 2018-13 effective January 1, 2020. The adoption of this accounting standard had no material effect on the Company’s financial statements.</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March 2020, the FASB issued ASU 2020-04 Reference Rate Reform (Topic 848) - Facilitation of the effects of reference rate reform on financial reporting. The amendments in this update provide optional expedients and exceptions for applying U.S. GAAP to certain contracts and hedging relationships that reference LIBOR or another reference rate expected to be discontinued due to reference rate reform and became effective upon issuance for all entities. The Company has agreements that have LIBOR as a reference rate with certain portfolio companies and also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The new guidance is effective as of March 12, 2020 through December 21, 2022. The Company is currently evaluating its effective date for adoption and the impact the adoption of this new accounting standard will have on its financial statements, however the impact of the adoption is not expected to be material.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At June 30, 2020, the Company had $45,835,569 in unfunded loan commitments to provide debt financing to its portfolio companies. The balance of unfunded commitments to extend financing as of June 30, 2020 was as follows: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Company</w:t>
            </w:r>
          </w:p>
        </w:tc>
        <w:tc>
          <w:tcPr>
            <w:tcW w:w="240" w:type="dxa"/>
            <w:vAlign w:val="bottom"/>
            <w:tcBorders>
              <w:bottom w:val="single" w:sz="8" w:color="CCEEFF"/>
            </w:tcBorders>
          </w:tcPr>
          <w:p>
            <w:pPr>
              <w:spacing w:after="0"/>
              <w:rPr>
                <w:sz w:val="14"/>
                <w:szCs w:val="14"/>
                <w:color w:val="auto"/>
              </w:rPr>
            </w:pPr>
          </w:p>
        </w:tc>
        <w:tc>
          <w:tcPr>
            <w:tcW w:w="24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Investment Type</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Brilliant Earth, LLC</w:t>
            </w:r>
          </w:p>
        </w:tc>
        <w:tc>
          <w:tcPr>
            <w:tcW w:w="24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CloudPassage, Inc.</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CloudPay Solutions Ltd.</w:t>
            </w:r>
          </w:p>
        </w:tc>
        <w:tc>
          <w:tcPr>
            <w:tcW w:w="2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Credit Sesame, Inc.</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Revolving Line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585,569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2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INRIX, Inc.</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3,000,000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Intact Vascular, Inc.</w:t>
            </w:r>
          </w:p>
        </w:tc>
        <w:tc>
          <w:tcPr>
            <w:tcW w:w="2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Massdrop, Inc.</w:t>
            </w:r>
          </w:p>
        </w:tc>
        <w:tc>
          <w:tcPr>
            <w:tcW w:w="2660" w:type="dxa"/>
            <w:vAlign w:val="bottom"/>
            <w:gridSpan w:val="2"/>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ShareThis, Inc.</w:t>
            </w:r>
          </w:p>
        </w:tc>
        <w:tc>
          <w:tcPr>
            <w:tcW w:w="2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 Kairn Corporation</w:t>
            </w:r>
          </w:p>
        </w:tc>
        <w:tc>
          <w:tcPr>
            <w:tcW w:w="2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w:t>
            </w: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24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45,835,569</w:t>
            </w: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the date hereof, the amount of unfunded commitments that the Company’s portfolio companies are eligible to borrow under terms of the applicable loan and security agreements equals $19,100,000.</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At December 31, 2019, the Company had $40,000,000 in unfunded loan commitments to provide debt financing to its portfolio companies.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and/or ability to drawdown capital from investors provides sufficient funds to cover its unfunded commitments as of June 30, 2020. The Company has evaluated the expected net future cash flows related to unfunded commitments and determined the fair value to be zero as of June 30, 2020 and December 31, 2019.</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information sets forth the computation of basic income per common share for the three and six months ended June 30, 2020 and 2019:</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397"/>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Net increase in net assets resulting from</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15,321,532</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14,449,729</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w w:val="91"/>
              </w:rPr>
              <w:t>Weighted-average shares outstanding for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the 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26,645,717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15,727,990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26,266,501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16,280,773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26,645,717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15,727,990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26,266,501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16,280,773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5"/>
                <w:szCs w:val="25"/>
                <w:b w:val="1"/>
                <w:bCs w:val="1"/>
                <w:color w:val="auto"/>
                <w:vertAlign w:val="superscript"/>
              </w:rPr>
              <w:t>(1)</w:t>
            </w:r>
            <w:r>
              <w:rPr>
                <w:rFonts w:ascii="Arial" w:cs="Arial" w:eastAsia="Arial" w:hAnsi="Arial"/>
                <w:sz w:val="17"/>
                <w:szCs w:val="17"/>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40" w:type="dxa"/>
            <w:vAlign w:val="bottom"/>
            <w:gridSpan w:val="2"/>
          </w:tcPr>
          <w:p>
            <w:pPr>
              <w:spacing w:after="0" w:line="201" w:lineRule="exact"/>
              <w:rPr>
                <w:sz w:val="20"/>
                <w:szCs w:val="20"/>
                <w:color w:val="auto"/>
              </w:rPr>
            </w:pPr>
            <w:r>
              <w:rPr>
                <w:rFonts w:ascii="Arial" w:cs="Arial" w:eastAsia="Arial" w:hAnsi="Arial"/>
                <w:sz w:val="18"/>
                <w:szCs w:val="18"/>
                <w:color w:val="auto"/>
                <w:w w:val="98"/>
              </w:rPr>
              <w:t>Basic and diluted income per 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ind w:left="700" w:hanging="326"/>
        <w:spacing w:after="0" w:line="229" w:lineRule="auto"/>
        <w:tabs>
          <w:tab w:leader="none" w:pos="70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Per share data is based on average weighted shares outstanding.</w:t>
      </w: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00" w:lineRule="exact"/>
        <w:rPr>
          <w:rFonts w:ascii="Arial" w:cs="Arial" w:eastAsia="Arial" w:hAnsi="Arial"/>
          <w:sz w:val="27"/>
          <w:szCs w:val="27"/>
          <w:color w:val="auto"/>
          <w:vertAlign w:val="superscript"/>
        </w:rPr>
      </w:pPr>
    </w:p>
    <w:p>
      <w:pPr>
        <w:spacing w:after="0" w:line="298" w:lineRule="exact"/>
        <w:rPr>
          <w:rFonts w:ascii="Arial" w:cs="Arial" w:eastAsia="Arial" w:hAnsi="Arial"/>
          <w:sz w:val="27"/>
          <w:szCs w:val="27"/>
          <w:color w:val="auto"/>
          <w:vertAlign w:val="superscript"/>
        </w:rPr>
      </w:pPr>
    </w:p>
    <w:p>
      <w:pPr>
        <w:ind w:left="4420"/>
        <w:spacing w:after="0"/>
        <w:rPr>
          <w:rFonts w:ascii="Arial" w:cs="Arial" w:eastAsia="Arial" w:hAnsi="Arial"/>
          <w:sz w:val="27"/>
          <w:szCs w:val="27"/>
          <w:color w:val="auto"/>
          <w:vertAlign w:val="superscript"/>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shares of common stock issued, the price per share and the proceeds raised, since inception, are detailed in the following table: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Price Per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71"/>
        </w:trPr>
        <w:tc>
          <w:tcPr>
            <w:tcW w:w="5880" w:type="dxa"/>
            <w:vAlign w:val="bottom"/>
            <w:gridSpan w:val="4"/>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December 22, 2016</w:t>
            </w:r>
          </w:p>
        </w:tc>
        <w:tc>
          <w:tcPr>
            <w:tcW w:w="940" w:type="dxa"/>
            <w:vAlign w:val="bottom"/>
          </w:tcPr>
          <w:p>
            <w:pPr>
              <w:jc w:val="right"/>
              <w:spacing w:after="0"/>
              <w:rPr>
                <w:sz w:val="20"/>
                <w:szCs w:val="20"/>
                <w:color w:val="auto"/>
              </w:rPr>
            </w:pPr>
            <w:r>
              <w:rPr>
                <w:rFonts w:ascii="Arial" w:cs="Arial" w:eastAsia="Arial" w:hAnsi="Arial"/>
                <w:sz w:val="18"/>
                <w:szCs w:val="18"/>
                <w:color w:val="auto"/>
              </w:rPr>
              <w:t>333,333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June 26, 2017</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December 22, 2017</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117,582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202,779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4,344,964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326,431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May 24, 2019</w:t>
            </w:r>
          </w:p>
        </w:tc>
        <w:tc>
          <w:tcPr>
            <w:tcW w:w="940" w:type="dxa"/>
            <w:vAlign w:val="bottom"/>
          </w:tcPr>
          <w:p>
            <w:pPr>
              <w:jc w:val="right"/>
              <w:spacing w:after="0"/>
              <w:rPr>
                <w:sz w:val="20"/>
                <w:szCs w:val="20"/>
                <w:color w:val="auto"/>
              </w:rPr>
            </w:pPr>
            <w:r>
              <w:rPr>
                <w:rFonts w:ascii="Arial" w:cs="Arial" w:eastAsia="Arial" w:hAnsi="Arial"/>
                <w:sz w:val="18"/>
                <w:szCs w:val="18"/>
                <w:color w:val="auto"/>
              </w:rPr>
              <w:t>3,232,189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480,121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43,979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487,166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rPr>
              <w:t>21,021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10"/>
        </w:trPr>
        <w:tc>
          <w:tcPr>
            <w:tcW w:w="588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26,936,387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404,578,371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 xml:space="preserve">At June 30, 2020 and December 31, 2019, the Company had total commitments of $275,000,000 under the Company’s Initial Private Offering, all of which had been drawn as of June 30, 2020 and December 31, 2019. Between June 14, 2019 and June 30, 2020, the Company accepted $174,523,500 in capital commitments under its Second Private Offering. As of June 30, 2020 and December 31, 2019, respectively, $75,283,766 and $75,000,000 of capital commitments under the Second Private Offering had been drawn. </w:t>
      </w:r>
      <w:r>
        <w:rPr>
          <w:rFonts w:ascii="Arial" w:cs="Arial" w:eastAsia="Arial" w:hAnsi="Arial"/>
          <w:sz w:val="16"/>
          <w:szCs w:val="16"/>
          <w:color w:val="231F20"/>
        </w:rPr>
        <w:t>In March 2020, the Company issued 2,103 shares as an additional</w:t>
      </w:r>
      <w:r>
        <w:rPr>
          <w:rFonts w:ascii="Arial" w:cs="Arial" w:eastAsia="Arial" w:hAnsi="Arial"/>
          <w:sz w:val="16"/>
          <w:szCs w:val="16"/>
          <w:color w:val="auto"/>
        </w:rPr>
        <w:t xml:space="preserve"> </w:t>
      </w:r>
      <w:r>
        <w:rPr>
          <w:rFonts w:ascii="Arial" w:cs="Arial" w:eastAsia="Arial" w:hAnsi="Arial"/>
          <w:sz w:val="16"/>
          <w:szCs w:val="16"/>
          <w:color w:val="231F20"/>
        </w:rPr>
        <w:t>direct investment of $15.00 per share for total proceeds of $31,542 by Runway Growth Holdings LLC, an affiliate of RGC.</w:t>
      </w:r>
    </w:p>
    <w:p>
      <w:pPr>
        <w:spacing w:after="0" w:line="164"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Capital commitments may be drawn down from investors by the Company on a pro rata basis, as needed, upon not less than ten (10) days’ prior written notice for the purposes of funding the Company’s investments (including follow-on investments), paying the Company’s expenses, including fees under the Amended Advisory Agreement, by and between the Company and RGC, and/or maintaining a reserve account for the payment of future expenses or liabilities.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approved the Amended Advisory Agreement and recommended that the Company’s stockholders approve the Amended Advisory Agreement. The Amended Advisory Agreement became effective on September 12, 2017 upon approval by the stockholders at a special meeting of stockholders of the Company and was most recently renewed by the Company’s Board of Directors at a virtual meeting on August 5, 2020. In reliance upon certain exemptive relief granted by the SEC in connection with the global COVID-19 pandemic, the Board of Directors undertook to ratify the Amended Advisory Agreement at its next in-person meeting. Under the terms of the Amended Advisory Agreement, RGC:</w:t>
      </w:r>
    </w:p>
    <w:p>
      <w:pPr>
        <w:spacing w:after="0" w:line="164" w:lineRule="exact"/>
        <w:rPr>
          <w:sz w:val="20"/>
          <w:szCs w:val="20"/>
          <w:color w:val="auto"/>
        </w:rPr>
      </w:pPr>
    </w:p>
    <w:p>
      <w:pPr>
        <w:ind w:left="640" w:right="79" w:hanging="33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43" w:lineRule="exact"/>
        <w:rPr>
          <w:rFonts w:ascii="Arial" w:cs="Arial" w:eastAsia="Arial" w:hAnsi="Arial"/>
          <w:sz w:val="18"/>
          <w:szCs w:val="18"/>
          <w:color w:val="auto"/>
        </w:rPr>
      </w:pPr>
    </w:p>
    <w:p>
      <w:pPr>
        <w:ind w:left="640" w:hanging="3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84" w:lineRule="exact"/>
        <w:rPr>
          <w:rFonts w:ascii="Arial" w:cs="Arial" w:eastAsia="Arial" w:hAnsi="Arial"/>
          <w:sz w:val="18"/>
          <w:szCs w:val="18"/>
          <w:color w:val="auto"/>
        </w:rPr>
      </w:pPr>
    </w:p>
    <w:p>
      <w:pPr>
        <w:ind w:left="640" w:hanging="3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84" w:lineRule="exact"/>
        <w:rPr>
          <w:rFonts w:ascii="Arial" w:cs="Arial" w:eastAsia="Arial" w:hAnsi="Arial"/>
          <w:sz w:val="18"/>
          <w:szCs w:val="18"/>
          <w:color w:val="auto"/>
        </w:rPr>
      </w:pPr>
    </w:p>
    <w:p>
      <w:pPr>
        <w:ind w:left="640" w:hanging="3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98" w:lineRule="exact"/>
        <w:rPr>
          <w:rFonts w:ascii="Arial" w:cs="Arial" w:eastAsia="Arial" w:hAnsi="Arial"/>
          <w:sz w:val="18"/>
          <w:szCs w:val="18"/>
          <w:color w:val="auto"/>
        </w:rPr>
      </w:pPr>
    </w:p>
    <w:p>
      <w:pPr>
        <w:ind w:left="640" w:hanging="33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84" w:lineRule="exact"/>
        <w:rPr>
          <w:rFonts w:ascii="Arial" w:cs="Arial" w:eastAsia="Arial" w:hAnsi="Arial"/>
          <w:sz w:val="18"/>
          <w:szCs w:val="18"/>
          <w:color w:val="auto"/>
        </w:rPr>
      </w:pPr>
    </w:p>
    <w:p>
      <w:pPr>
        <w:ind w:left="640" w:right="79" w:hanging="333"/>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3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17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operating expenses of RGC for a particular year will not include any reduction in base management fees as a result of Excess Fees paid by the Company.</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w:t>
      </w:r>
    </w:p>
    <w:p>
      <w:pPr>
        <w:spacing w:after="0" w:line="4" w:lineRule="exact"/>
        <w:rPr>
          <w:sz w:val="20"/>
          <w:szCs w:val="20"/>
          <w:color w:val="auto"/>
        </w:rPr>
      </w:pPr>
    </w:p>
    <w:p>
      <w:pPr>
        <w:jc w:val="both"/>
        <w:ind w:left="60" w:right="59" w:hanging="10"/>
        <w:spacing w:after="0" w:line="255"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9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7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RGC earned base management fees of $1,758,729 and $3,295,678 for the three and six months ended June 30, 2020, respectively and $1,203,125 and $2,406,250 for the three and six months ended June 30, 2019,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6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 (2) 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Until the consummation of an IPO of the Public Fund in connection with a Spin-Off transaction, in the event that</w:t>
      </w:r>
    </w:p>
    <w:p>
      <w:pPr>
        <w:spacing w:after="0" w:line="46" w:lineRule="exact"/>
        <w:rPr>
          <w:sz w:val="20"/>
          <w:szCs w:val="20"/>
          <w:color w:val="auto"/>
        </w:rPr>
      </w:pPr>
    </w:p>
    <w:p>
      <w:pPr>
        <w:jc w:val="both"/>
        <w:ind w:left="60" w:right="59" w:hanging="10"/>
        <w:spacing w:after="0" w:line="284" w:lineRule="auto"/>
        <w:tabs>
          <w:tab w:leader="none" w:pos="3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After the consummation of an IPO of the Public Fund in connection with a Spin-Off transaction, in the event that</w:t>
      </w:r>
    </w:p>
    <w:p>
      <w:pPr>
        <w:spacing w:after="0" w:line="46" w:lineRule="exact"/>
        <w:rPr>
          <w:sz w:val="20"/>
          <w:szCs w:val="20"/>
          <w:color w:val="auto"/>
        </w:rPr>
      </w:pPr>
    </w:p>
    <w:p>
      <w:pPr>
        <w:jc w:val="both"/>
        <w:ind w:left="60" w:right="79" w:hanging="10"/>
        <w:spacing w:after="0" w:line="281"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w:t>
      </w:r>
    </w:p>
    <w:p>
      <w:pPr>
        <w:spacing w:after="0" w:line="1" w:lineRule="exact"/>
        <w:rPr>
          <w:rFonts w:ascii="Arial" w:cs="Arial" w:eastAsia="Arial" w:hAnsi="Arial"/>
          <w:sz w:val="16"/>
          <w:szCs w:val="16"/>
          <w:color w:val="auto"/>
        </w:rPr>
      </w:pPr>
    </w:p>
    <w:p>
      <w:pPr>
        <w:jc w:val="both"/>
        <w:ind w:left="60" w:right="59" w:hanging="10"/>
        <w:spacing w:after="0" w:line="251" w:lineRule="auto"/>
        <w:tabs>
          <w:tab w:leader="none" w:pos="3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7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RGC earned incentive fees of $905,858 and $3,220,976, respectively, for the three and six months ended June 30, 2020; $686,221 and $3,018,748, respectively, of the incentive fees for the three and six months ended June 30, 2020 were earned, payable in cash, and $219,637 and $202,228, respectively, of the incentive fees for the three and six months ended June 30, 2020 were accrued and generated from deferred interest (i.e., PIK interest and certain discount accretion) and are only payable pending receipt of cash by the Company. RGC earned incentive fees of $2,734,626 and $4,615,995, respectively, for the three and six months ended June 30, 2019; $2,442,435 and $4,005,256, respectively, of the incentive fees for the three and six months ended June 30, 2019 were earned, payable in cash, and $292,191 and $610,739, respectively, of the incentive fees for the three and six months ended June 30, 2019 were accrued and deferred (i.e., PIK interest and certain discount accretion) and are only payable pending receipt of cash by the Company.</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June 30, 2020 and December 31, 2019, there was no capital gains incentive fee accrued, earned or payable to RGC under the Amended Advisory Agreement.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w:t>
      </w:r>
    </w:p>
    <w:p>
      <w:pPr>
        <w:spacing w:after="0" w:line="4" w:lineRule="exact"/>
        <w:rPr>
          <w:sz w:val="20"/>
          <w:szCs w:val="20"/>
          <w:color w:val="auto"/>
        </w:rPr>
      </w:pPr>
    </w:p>
    <w:p>
      <w:pPr>
        <w:jc w:val="both"/>
        <w:ind w:left="60" w:right="59" w:hanging="10"/>
        <w:spacing w:after="0" w:line="286" w:lineRule="auto"/>
        <w:tabs>
          <w:tab w:leader="none" w:pos="3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8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Company reimbursed the Administrator $144,206 and $306,329 during the three and six months ended June 30, 2020, respectively. As of June 30, 2020, the Company had accrued a payable to the Administrator of $84,432. Of the total amount reimbursed and accrued during the three and six months ended June 30, 2020, $141,901 and $274,694, respectively, was related to overhead allocation expense. As of June 30, 2019, the Company accrued a payable to the Administrator of $127,310. Of the total amount reimbursed and accrued during the three and six months ended June 30, 2019, $175,725 and $359,776, respectively, was related to overhead allocation expense. The Company reimbursed the Administrator $1,168,188 during the year ended December 31, 2019 and the Company had accrued a net payable to the Administrator of $81,537 as of December 31, 2019. Administration fees, which include fees payable by the Administrator to third-party service providers who provide additional administration services for the Company were $121,369 and $245,680 for the three and six months ended June 30, 2020, respectively. Administration fees, which include fees payable by the Administrator to third-party service providers who provide additional administration services for the Company were $103,291 and $284,865 for the three and six months ended June 30, 2019,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in connection with the Second Private Offering,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appointee to RGC’s board of managers and investment committee.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valuation policies.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June 30, 2020 and December 31, 2019, respectively: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3"/>
              </w:rPr>
              <w:t>As of June 30, 2020 (Unaudited)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2,980,045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2,980,045</w:t>
            </w:r>
          </w:p>
        </w:tc>
      </w:tr>
      <w:tr>
        <w:trPr>
          <w:trHeight w:val="216"/>
        </w:trPr>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318,374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318,374</w:t>
            </w: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369,034,328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369,034,328</w:t>
            </w:r>
          </w:p>
        </w:tc>
      </w:tr>
      <w:tr>
        <w:trPr>
          <w:trHeight w:val="216"/>
        </w:trPr>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17,891,494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17,891,494</w:t>
            </w: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20,264,970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20,264,970</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2,980,045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318,374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410,489,211</w:t>
            </w: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44,998,500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44,998,500</w:t>
            </w:r>
          </w:p>
        </w:tc>
      </w:tr>
      <w:tr>
        <w:trPr>
          <w:trHeight w:val="210"/>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$ 47,978,545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318,374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455,487,711</w:t>
            </w:r>
          </w:p>
        </w:tc>
      </w:tr>
      <w:tr>
        <w:trPr>
          <w:trHeight w:val="20"/>
        </w:trPr>
        <w:tc>
          <w:tcPr>
            <w:tcW w:w="3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3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349,570,424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349,570,424</w:t>
            </w:r>
          </w:p>
        </w:tc>
      </w:tr>
      <w:tr>
        <w:trPr>
          <w:trHeight w:val="216"/>
        </w:trPr>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r>
      <w:tr>
        <w:trPr>
          <w:trHeight w:val="216"/>
        </w:trPr>
        <w:tc>
          <w:tcPr>
            <w:tcW w:w="3180" w:type="dxa"/>
            <w:vAlign w:val="bottom"/>
          </w:tcPr>
          <w:p>
            <w:pPr>
              <w:ind w:left="100"/>
              <w:spacing w:after="0"/>
              <w:rPr>
                <w:sz w:val="20"/>
                <w:szCs w:val="20"/>
                <w:color w:val="auto"/>
              </w:rPr>
            </w:pPr>
            <w:r>
              <w:rPr>
                <w:rFonts w:ascii="Arial" w:cs="Arial" w:eastAsia="Arial" w:hAnsi="Arial"/>
                <w:sz w:val="18"/>
                <w:szCs w:val="18"/>
                <w:color w:val="auto"/>
              </w:rPr>
              <w:t>Warrants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18,008,337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18,008,337</w:t>
            </w:r>
          </w:p>
        </w:tc>
      </w:tr>
      <w:tr>
        <w:trPr>
          <w:trHeight w:val="20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99,965,423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99,965,423</w:t>
            </w:r>
          </w:p>
        </w:tc>
      </w:tr>
      <w:tr>
        <w:trPr>
          <w:trHeight w:val="210"/>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9"/>
              </w:rPr>
              <w:t>$ 99,965,423</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467,981,699</w:t>
            </w:r>
          </w:p>
        </w:tc>
      </w:tr>
      <w:tr>
        <w:trPr>
          <w:trHeight w:val="20"/>
        </w:trPr>
        <w:tc>
          <w:tcPr>
            <w:tcW w:w="3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There were no transfers into or out of the levels during the period ended June 30, 2020 and the year ended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2020:</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11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5"/>
              </w:rPr>
              <w:t>Senior 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Term Loans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349,570,424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18,008,337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96"/>
              </w:rPr>
              <w:t>Amortization of fixed income premiums or accretion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of discounts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4,331,997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18,687,450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77,680,287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(57,316,891)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(2,749,949)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(60,066,840)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(7,883,584)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Change in unrealized appreciation (depreciation)</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(1,233,471)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2,652,095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1,815,431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at June 30, 2020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17,891,494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369,034,328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20,264,970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5"/>
              </w:rPr>
              <w:t>Change in unrealized appreciation (depreciation) 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13,979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3,431,640</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5"/>
              </w:rPr>
              <w:t>(1,855,184)</w:t>
            </w:r>
          </w:p>
        </w:tc>
        <w:tc>
          <w:tcPr>
            <w:tcW w:w="140" w:type="dxa"/>
            <w:vAlign w:val="bottom"/>
          </w:tcPr>
          <w:p>
            <w:pPr>
              <w:spacing w:after="0"/>
              <w:rPr>
                <w:sz w:val="13"/>
                <w:szCs w:val="13"/>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1,590,435</w:t>
            </w:r>
          </w:p>
        </w:tc>
        <w:tc>
          <w:tcPr>
            <w:tcW w:w="0" w:type="dxa"/>
            <w:vAlign w:val="bottom"/>
          </w:tcPr>
          <w:p>
            <w:pPr>
              <w:spacing w:after="0"/>
              <w:rPr>
                <w:sz w:val="1"/>
                <w:szCs w:val="1"/>
                <w:color w:val="auto"/>
              </w:rPr>
            </w:pPr>
          </w:p>
        </w:tc>
      </w:tr>
      <w:tr>
        <w:trPr>
          <w:trHeight w:val="217"/>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Level 3 investments still held as of June 30, 2020</w:t>
            </w:r>
          </w:p>
        </w:tc>
        <w:tc>
          <w:tcPr>
            <w:tcW w:w="2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rFonts w:ascii="Arial" w:cs="Arial" w:eastAsia="Arial" w:hAnsi="Arial"/>
          <w:sz w:val="27"/>
          <w:szCs w:val="27"/>
          <w:color w:val="auto"/>
          <w:vertAlign w:val="superscript"/>
        </w:rPr>
      </w:pPr>
    </w:p>
    <w:p>
      <w:pPr>
        <w:ind w:left="70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table presents a rollforward of Level 3 assets measured at fair value as of June 30, 2019:</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12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Senior Secured</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Term Loans</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461,826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208,539,353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15,247,210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224,248,389</w:t>
            </w:r>
          </w:p>
        </w:tc>
        <w:tc>
          <w:tcPr>
            <w:tcW w:w="0" w:type="dxa"/>
            <w:vAlign w:val="bottom"/>
          </w:tcPr>
          <w:p>
            <w:pPr>
              <w:spacing w:after="0"/>
              <w:rPr>
                <w:sz w:val="1"/>
                <w:szCs w:val="1"/>
                <w:color w:val="auto"/>
              </w:rPr>
            </w:pPr>
          </w:p>
        </w:tc>
      </w:tr>
      <w:tr>
        <w:trPr>
          <w:trHeight w:val="202"/>
        </w:trPr>
        <w:tc>
          <w:tcPr>
            <w:tcW w:w="43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Amortization of fixed income premiums or accretion of</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3,118,238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3,118,238</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33,746,337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34,824,119</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Sales or repayments of investments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(17,374,776)</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(92,353)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(17,467,129)</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Realized gain</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Change in unrealized appreciation (depreciation)</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(670,639)</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(1,569,871)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(2,240,510)</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at June 30,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461,826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227,358,513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14,662,768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242,483,107</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20"/>
              <w:spacing w:after="0" w:line="195" w:lineRule="exact"/>
              <w:rPr>
                <w:sz w:val="20"/>
                <w:szCs w:val="20"/>
                <w:color w:val="auto"/>
              </w:rPr>
            </w:pPr>
            <w:r>
              <w:rPr>
                <w:rFonts w:ascii="Arial" w:cs="Arial" w:eastAsia="Arial" w:hAnsi="Arial"/>
                <w:sz w:val="18"/>
                <w:szCs w:val="18"/>
                <w:color w:val="auto"/>
                <w:w w:val="94"/>
              </w:rPr>
              <w:t>Change in unrealized appreciation (depreciation) on Level</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80" w:type="dxa"/>
            <w:vAlign w:val="bottom"/>
            <w:gridSpan w:val="2"/>
            <w:vMerge w:val="continue"/>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(92,109)</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5"/>
              </w:rPr>
              <w:t>(1,122,860)</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(1,214,969)</w:t>
            </w:r>
          </w:p>
        </w:tc>
        <w:tc>
          <w:tcPr>
            <w:tcW w:w="0" w:type="dxa"/>
            <w:vAlign w:val="bottom"/>
          </w:tcPr>
          <w:p>
            <w:pPr>
              <w:spacing w:after="0"/>
              <w:rPr>
                <w:sz w:val="1"/>
                <w:szCs w:val="1"/>
                <w:color w:val="auto"/>
              </w:rPr>
            </w:pPr>
          </w:p>
        </w:tc>
      </w:tr>
      <w:tr>
        <w:trPr>
          <w:trHeight w:val="21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3 investments still held as of June 30, 2019</w:t>
            </w:r>
          </w:p>
        </w:tc>
        <w:tc>
          <w:tcPr>
            <w:tcW w:w="1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provides quantitative information regarding Level 3 fair value measurements as of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Unobservable Inputs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w:t>
            </w:r>
          </w:p>
        </w:tc>
        <w:tc>
          <w:tcPr>
            <w:tcW w:w="16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market and merger</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and acquisition</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17,891,494</w:t>
            </w: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N/A</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1440" w:type="dxa"/>
            <w:vAlign w:val="bottom"/>
          </w:tcPr>
          <w:p>
            <w:pPr>
              <w:spacing w:after="0" w:line="198" w:lineRule="exact"/>
              <w:rPr>
                <w:sz w:val="20"/>
                <w:szCs w:val="20"/>
                <w:color w:val="auto"/>
              </w:rPr>
            </w:pPr>
            <w:r>
              <w:rPr>
                <w:rFonts w:ascii="Arial" w:cs="Arial" w:eastAsia="Arial" w:hAnsi="Arial"/>
                <w:sz w:val="18"/>
                <w:szCs w:val="18"/>
                <w:b w:val="1"/>
                <w:bCs w:val="1"/>
                <w:color w:val="auto"/>
              </w:rPr>
              <w:t>Senior Secured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160"/>
              <w:spacing w:after="0" w:line="198" w:lineRule="exact"/>
              <w:rPr>
                <w:sz w:val="20"/>
                <w:szCs w:val="20"/>
                <w:color w:val="auto"/>
              </w:rPr>
            </w:pPr>
            <w:r>
              <w:rPr>
                <w:rFonts w:ascii="Arial" w:cs="Arial" w:eastAsia="Arial" w:hAnsi="Arial"/>
                <w:sz w:val="18"/>
                <w:szCs w:val="18"/>
                <w:color w:val="auto"/>
                <w:w w:val="88"/>
              </w:rPr>
              <w:t>Discounted Cash</w:t>
            </w: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line="235" w:lineRule="exact"/>
              <w:rPr>
                <w:sz w:val="20"/>
                <w:szCs w:val="20"/>
                <w:color w:val="auto"/>
              </w:rPr>
            </w:pPr>
            <w:r>
              <w:rPr>
                <w:rFonts w:ascii="Arial" w:cs="Arial" w:eastAsia="Arial" w:hAnsi="Arial"/>
                <w:sz w:val="18"/>
                <w:szCs w:val="18"/>
                <w:b w:val="1"/>
                <w:bCs w:val="1"/>
                <w:color w:val="auto"/>
              </w:rPr>
              <w:t>Term Loans</w:t>
            </w:r>
            <w:r>
              <w:rPr>
                <w:rFonts w:ascii="Arial" w:cs="Arial" w:eastAsia="Arial" w:hAnsi="Arial"/>
                <w:sz w:val="26"/>
                <w:szCs w:val="26"/>
                <w:b w:val="1"/>
                <w:bCs w:val="1"/>
                <w:color w:val="auto"/>
                <w:vertAlign w:val="superscript"/>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359,464,721</w:t>
            </w:r>
          </w:p>
        </w:tc>
        <w:tc>
          <w:tcPr>
            <w:tcW w:w="140" w:type="dxa"/>
            <w:vAlign w:val="bottom"/>
          </w:tcPr>
          <w:p>
            <w:pPr>
              <w:spacing w:after="0"/>
              <w:rPr>
                <w:sz w:val="20"/>
                <w:szCs w:val="20"/>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Flow analysis</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Discount Rate</w:t>
            </w: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10.7%-102.2% (16.9%)</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Origination yield</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10.7%-100.1% (15.1%)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9,569,607</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Discount Rate</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20.0%-25.0% (22.5%)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14,604,218</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Black Scholes model</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0.2%-2.4% (0.2%)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Average industry volatility</w:t>
            </w: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30.0%-70.0% (49.5%)</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Estimated time to exit</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 years-9.7 years (1.8 years)</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5,660,752</w:t>
            </w:r>
          </w:p>
        </w:tc>
        <w:tc>
          <w:tcPr>
            <w:tcW w:w="1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90"/>
              </w:rPr>
              <w:t>Discount Rate</w:t>
            </w:r>
          </w:p>
        </w:tc>
        <w:tc>
          <w:tcPr>
            <w:tcW w:w="22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19.5%-35.0% (26.9%)</w:t>
            </w:r>
          </w:p>
        </w:tc>
        <w:tc>
          <w:tcPr>
            <w:tcW w:w="0" w:type="dxa"/>
            <w:vAlign w:val="bottom"/>
          </w:tcPr>
          <w:p>
            <w:pPr>
              <w:spacing w:after="0"/>
              <w:rPr>
                <w:sz w:val="1"/>
                <w:szCs w:val="1"/>
                <w:color w:val="auto"/>
              </w:rPr>
            </w:pPr>
          </w:p>
        </w:tc>
      </w:tr>
      <w:tr>
        <w:trPr>
          <w:trHeight w:val="178"/>
        </w:trPr>
        <w:tc>
          <w:tcPr>
            <w:tcW w:w="14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Level 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407,190,792</w:t>
            </w:r>
          </w:p>
        </w:tc>
        <w:tc>
          <w:tcPr>
            <w:tcW w:w="1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28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Valuation Technique</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Unobservable Inputs</w:t>
            </w:r>
          </w:p>
        </w:tc>
        <w:tc>
          <w:tcPr>
            <w:tcW w:w="2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71"/>
        </w:trPr>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3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9"/>
              </w:rPr>
              <w:t>Preferred Stock</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w:t>
            </w:r>
          </w:p>
        </w:tc>
        <w:tc>
          <w:tcPr>
            <w:tcW w:w="14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and merger and</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acquisition</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437,515</w:t>
            </w:r>
          </w:p>
        </w:tc>
        <w:tc>
          <w:tcPr>
            <w:tcW w:w="1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transaction prices</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N/A</w:t>
            </w:r>
          </w:p>
        </w:tc>
        <w:tc>
          <w:tcPr>
            <w:tcW w:w="2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tcPr>
          <w:p>
            <w:pPr>
              <w:spacing w:after="0" w:line="198" w:lineRule="exact"/>
              <w:rPr>
                <w:sz w:val="20"/>
                <w:szCs w:val="20"/>
                <w:color w:val="auto"/>
              </w:rPr>
            </w:pPr>
            <w:r>
              <w:rPr>
                <w:rFonts w:ascii="Arial" w:cs="Arial" w:eastAsia="Arial" w:hAnsi="Arial"/>
                <w:sz w:val="18"/>
                <w:szCs w:val="18"/>
                <w:b w:val="1"/>
                <w:bCs w:val="1"/>
                <w:color w:val="auto"/>
              </w:rPr>
              <w:t>Senior Secured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160"/>
              <w:spacing w:after="0" w:line="198" w:lineRule="exact"/>
              <w:rPr>
                <w:sz w:val="20"/>
                <w:szCs w:val="20"/>
                <w:color w:val="auto"/>
              </w:rPr>
            </w:pPr>
            <w:r>
              <w:rPr>
                <w:rFonts w:ascii="Arial" w:cs="Arial" w:eastAsia="Arial" w:hAnsi="Arial"/>
                <w:sz w:val="18"/>
                <w:szCs w:val="18"/>
                <w:color w:val="auto"/>
                <w:w w:val="88"/>
              </w:rPr>
              <w:t>Discounted Cash</w:t>
            </w: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380" w:type="dxa"/>
            <w:vAlign w:val="bottom"/>
            <w:gridSpan w:val="2"/>
          </w:tcPr>
          <w:p>
            <w:pPr>
              <w:ind w:left="20"/>
              <w:spacing w:after="0" w:line="220" w:lineRule="exact"/>
              <w:rPr>
                <w:sz w:val="20"/>
                <w:szCs w:val="20"/>
                <w:color w:val="auto"/>
              </w:rPr>
            </w:pPr>
            <w:r>
              <w:rPr>
                <w:rFonts w:ascii="Arial" w:cs="Arial" w:eastAsia="Arial" w:hAnsi="Arial"/>
                <w:sz w:val="17"/>
                <w:szCs w:val="17"/>
                <w:b w:val="1"/>
                <w:bCs w:val="1"/>
                <w:color w:val="auto"/>
              </w:rPr>
              <w:t>Term Loans</w:t>
            </w:r>
            <w:r>
              <w:rPr>
                <w:rFonts w:ascii="Arial" w:cs="Arial" w:eastAsia="Arial" w:hAnsi="Arial"/>
                <w:sz w:val="25"/>
                <w:szCs w:val="25"/>
                <w:b w:val="1"/>
                <w:bCs w:val="1"/>
                <w:color w:val="auto"/>
                <w:vertAlign w:val="superscript"/>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Flow</w:t>
            </w: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336,388,211</w:t>
            </w:r>
          </w:p>
        </w:tc>
        <w:tc>
          <w:tcPr>
            <w:tcW w:w="140" w:type="dxa"/>
            <w:vAlign w:val="bottom"/>
          </w:tcPr>
          <w:p>
            <w:pPr>
              <w:spacing w:after="0"/>
              <w:rPr>
                <w:sz w:val="20"/>
                <w:szCs w:val="20"/>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analysis</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12.3%–28.0% (16.8%)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Market approach</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6"/>
              </w:rPr>
              <w:t>Origination yield</w:t>
            </w:r>
          </w:p>
        </w:tc>
        <w:tc>
          <w:tcPr>
            <w:tcW w:w="2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12.3%–26.0% (14.5%)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13,182,213</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Discount rate</w:t>
            </w:r>
          </w:p>
        </w:tc>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30.5%–36.2% (32.6%)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Warrants</w:t>
            </w:r>
            <w:r>
              <w:rPr>
                <w:rFonts w:ascii="Arial" w:cs="Arial" w:eastAsia="Arial" w:hAnsi="Arial"/>
                <w:sz w:val="25"/>
                <w:szCs w:val="25"/>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12,695,414</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Black-Scholes model</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Risk-free interest rate</w:t>
            </w:r>
          </w:p>
        </w:tc>
        <w:tc>
          <w:tcPr>
            <w:tcW w:w="23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1.6%–1.8% (1.6%)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Average industry volatility</w:t>
            </w:r>
          </w:p>
        </w:tc>
        <w:tc>
          <w:tcPr>
            <w:tcW w:w="230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30.0%–60.0% (41.2%)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Estimated time to exit</w:t>
            </w:r>
          </w:p>
        </w:tc>
        <w:tc>
          <w:tcPr>
            <w:tcW w:w="2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0.5 years–5.9 years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5,312,923</w:t>
            </w:r>
          </w:p>
        </w:tc>
        <w:tc>
          <w:tcPr>
            <w:tcW w:w="1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PWERM</w:t>
            </w:r>
          </w:p>
        </w:tc>
        <w:tc>
          <w:tcPr>
            <w:tcW w:w="2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20.7% - 45.0% (32.6%)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Level 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368,016,276</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28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700" w:right="79" w:hanging="326"/>
        <w:spacing w:after="0" w:line="271" w:lineRule="auto"/>
        <w:tabs>
          <w:tab w:leader="none" w:pos="700" w:val="left"/>
        </w:tabs>
        <w:numPr>
          <w:ilvl w:val="0"/>
          <w:numId w:val="18"/>
        </w:numPr>
        <w:rPr>
          <w:rFonts w:ascii="Arial" w:cs="Arial" w:eastAsia="Arial" w:hAnsi="Arial"/>
          <w:sz w:val="24"/>
          <w:szCs w:val="24"/>
          <w:color w:val="auto"/>
          <w:vertAlign w:val="superscript"/>
        </w:rPr>
      </w:pPr>
      <w:r>
        <w:rPr>
          <w:rFonts w:ascii="Arial" w:cs="Arial" w:eastAsia="Arial" w:hAnsi="Arial"/>
          <w:sz w:val="16"/>
          <w:szCs w:val="16"/>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137" w:lineRule="exact"/>
        <w:rPr>
          <w:rFonts w:ascii="Arial" w:cs="Arial" w:eastAsia="Arial" w:hAnsi="Arial"/>
          <w:sz w:val="24"/>
          <w:szCs w:val="24"/>
          <w:color w:val="auto"/>
          <w:vertAlign w:val="superscript"/>
        </w:rPr>
      </w:pPr>
    </w:p>
    <w:p>
      <w:pPr>
        <w:jc w:val="both"/>
        <w:ind w:left="700" w:right="79" w:hanging="326"/>
        <w:spacing w:after="0" w:line="252" w:lineRule="auto"/>
        <w:tabs>
          <w:tab w:leader="none" w:pos="700" w:val="left"/>
        </w:tabs>
        <w:numPr>
          <w:ilvl w:val="0"/>
          <w:numId w:val="18"/>
        </w:numPr>
        <w:rPr>
          <w:rFonts w:ascii="Arial" w:cs="Arial" w:eastAsia="Arial" w:hAnsi="Arial"/>
          <w:sz w:val="26"/>
          <w:szCs w:val="26"/>
          <w:color w:val="auto"/>
          <w:vertAlign w:val="superscript"/>
        </w:rPr>
      </w:pPr>
      <w:r>
        <w:rPr>
          <w:rFonts w:ascii="Arial" w:cs="Arial" w:eastAsia="Arial" w:hAnsi="Arial"/>
          <w:sz w:val="17"/>
          <w:szCs w:val="17"/>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warrant on the expiration date, the warrant will expire worthless. As a result, there is the potential for the entire value of an investment in a warrant to be lost.</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May 31, 2019, the Company entered into a Credit Agreement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7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8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the three and six months ended June 30, 2020, the weighted average outstanding debt balance was $274,725 and $3,906,593 respectively, and the weighted average effective interest rate under the Credit Agreement was 3.98% and 4.88%,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June 30, 2020, the Company had $25,000,000 outstanding under the Credit Agreement with maturity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Loan Facility</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 of</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Due Date</w:t>
            </w:r>
          </w:p>
        </w:tc>
        <w:tc>
          <w:tcPr>
            <w:tcW w:w="102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Advance</w:t>
            </w:r>
          </w:p>
        </w:tc>
        <w:tc>
          <w:tcPr>
            <w:tcW w:w="94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6/30/2020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5/31/2022</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$ 25,000,000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6"/>
              </w:rPr>
              <w:t>3.98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$ 25,000,000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As of December 31, 2019, the Company had $61,000,000 outstanding under the Credit Agreement with maturity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Loan Facility</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14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Due Date</w:t>
            </w:r>
          </w:p>
        </w:tc>
        <w:tc>
          <w:tcPr>
            <w:tcW w:w="1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Rate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Advance</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12/31/2019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5/31/2022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$ 61,000,000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5.10%</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$ 61,000,000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June 22, 2018, the Company entered into a demand loan agreement (the “Uncommitted Facility”) and a revolving loan agreement (the “Committed Facility,” and together with the Uncommitted Facility, the “Credit Facilities”) with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Note 11 – Financial Highlights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w w:val="92"/>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0"/>
        </w:trPr>
        <w:tc>
          <w:tcPr>
            <w:tcW w:w="16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line="201" w:lineRule="exact"/>
              <w:rPr>
                <w:sz w:val="20"/>
                <w:szCs w:val="20"/>
                <w:color w:val="auto"/>
              </w:rPr>
            </w:pPr>
            <w:r>
              <w:rPr>
                <w:rFonts w:ascii="Arial" w:cs="Arial" w:eastAsia="Arial" w:hAnsi="Arial"/>
                <w:sz w:val="18"/>
                <w:szCs w:val="18"/>
                <w:color w:val="auto"/>
              </w:rPr>
              <w:t>Net asset value at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20"/>
                <w:szCs w:val="20"/>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15.14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investment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income</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Realized gain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Change in unrealized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appreciation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tcPr>
          <w:p>
            <w:pPr>
              <w:spacing w:after="0" w:line="201" w:lineRule="exact"/>
              <w:rPr>
                <w:sz w:val="20"/>
                <w:szCs w:val="20"/>
                <w:color w:val="auto"/>
              </w:rPr>
            </w:pPr>
            <w:r>
              <w:rPr>
                <w:rFonts w:ascii="Arial" w:cs="Arial" w:eastAsia="Arial" w:hAnsi="Arial"/>
                <w:sz w:val="18"/>
                <w:szCs w:val="18"/>
                <w:color w:val="auto"/>
                <w:w w:val="97"/>
              </w:rPr>
              <w:t>Issuance of common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bottom w:val="single" w:sz="8" w:color="CCEEFF"/>
            </w:tcBorders>
          </w:tcPr>
          <w:p>
            <w:pPr>
              <w:spacing w:after="0" w:line="216" w:lineRule="exact"/>
              <w:rPr>
                <w:sz w:val="20"/>
                <w:szCs w:val="20"/>
                <w:color w:val="auto"/>
              </w:rPr>
            </w:pPr>
            <w:r>
              <w:rPr>
                <w:rFonts w:ascii="Arial" w:cs="Arial" w:eastAsia="Arial" w:hAnsi="Arial"/>
                <w:sz w:val="17"/>
                <w:szCs w:val="17"/>
                <w:color w:val="auto"/>
              </w:rPr>
              <w:t>Accretion</w:t>
            </w:r>
            <w:r>
              <w:rPr>
                <w:rFonts w:ascii="Arial" w:cs="Arial" w:eastAsia="Arial" w:hAnsi="Arial"/>
                <w:sz w:val="25"/>
                <w:szCs w:val="25"/>
                <w:color w:val="auto"/>
                <w:vertAlign w:val="superscript"/>
              </w:rPr>
              <w:t>(4)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asset value at</w:t>
            </w:r>
          </w:p>
        </w:tc>
        <w:tc>
          <w:tcPr>
            <w:tcW w:w="34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20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40" w:type="dxa"/>
            <w:vAlign w:val="bottom"/>
            <w:gridSpan w:val="2"/>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4"/>
              </w:rPr>
              <w:t>Total return based on</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line="230" w:lineRule="exact"/>
              <w:rPr>
                <w:sz w:val="20"/>
                <w:szCs w:val="20"/>
                <w:color w:val="auto"/>
              </w:rPr>
            </w:pPr>
            <w:r>
              <w:rPr>
                <w:rFonts w:ascii="Arial" w:cs="Arial" w:eastAsia="Arial" w:hAnsi="Arial"/>
                <w:sz w:val="18"/>
                <w:szCs w:val="18"/>
                <w:color w:val="auto"/>
              </w:rPr>
              <w:t>net asset value</w:t>
            </w:r>
            <w:r>
              <w:rPr>
                <w:rFonts w:ascii="Arial" w:cs="Arial" w:eastAsia="Arial" w:hAnsi="Arial"/>
                <w:sz w:val="26"/>
                <w:szCs w:val="26"/>
                <w:color w:val="auto"/>
                <w:vertAlign w:val="superscript"/>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for period, basic</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26,645,717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15,727,990</w:t>
            </w: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26,266,501</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16,280,773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Ratio/Supplemental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r>
              <w:rPr>
                <w:rFonts w:ascii="Arial" w:cs="Arial" w:eastAsia="Arial" w:hAnsi="Arial"/>
                <w:sz w:val="18"/>
                <w:szCs w:val="18"/>
                <w:b w:val="1"/>
                <w:bCs w:val="1"/>
                <w:color w:val="auto"/>
              </w:rPr>
              <w:t>Data: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assets at end of</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388,254,058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292,336,240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388,254,058</w:t>
            </w:r>
          </w:p>
        </w:tc>
        <w:tc>
          <w:tcPr>
            <w:tcW w:w="2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292,336,240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line="216" w:lineRule="exact"/>
              <w:rPr>
                <w:sz w:val="20"/>
                <w:szCs w:val="20"/>
                <w:color w:val="auto"/>
              </w:rPr>
            </w:pPr>
            <w:r>
              <w:rPr>
                <w:rFonts w:ascii="Arial" w:cs="Arial" w:eastAsia="Arial" w:hAnsi="Arial"/>
                <w:sz w:val="17"/>
                <w:szCs w:val="17"/>
                <w:color w:val="auto"/>
                <w:w w:val="97"/>
              </w:rPr>
              <w:t>Average net assets</w:t>
            </w:r>
            <w:r>
              <w:rPr>
                <w:rFonts w:ascii="Arial" w:cs="Arial" w:eastAsia="Arial" w:hAnsi="Arial"/>
                <w:sz w:val="25"/>
                <w:szCs w:val="25"/>
                <w:color w:val="auto"/>
                <w:w w:val="97"/>
                <w:vertAlign w:val="superscript"/>
              </w:rPr>
              <w:t>(5)</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382,569,050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271,294,464</w:t>
            </w:r>
          </w:p>
        </w:tc>
        <w:tc>
          <w:tcPr>
            <w:tcW w:w="1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382,389,927</w:t>
            </w:r>
          </w:p>
        </w:tc>
        <w:tc>
          <w:tcPr>
            <w:tcW w:w="2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249,634,072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Annualized ratio of</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net operating</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expenses to average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net assets</w:t>
            </w:r>
            <w:r>
              <w:rPr>
                <w:rFonts w:ascii="Arial" w:cs="Arial" w:eastAsia="Arial" w:hAnsi="Arial"/>
                <w:sz w:val="26"/>
                <w:szCs w:val="26"/>
                <w:color w:val="auto"/>
                <w:vertAlign w:val="superscript"/>
              </w:rPr>
              <w:t>(6),(7)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4.40 %</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5.47 %</w:t>
            </w:r>
          </w:p>
        </w:tc>
        <w:tc>
          <w:tcPr>
            <w:tcW w:w="0" w:type="dxa"/>
            <w:vAlign w:val="bottom"/>
          </w:tcPr>
          <w:p>
            <w:pPr>
              <w:spacing w:after="0"/>
              <w:rPr>
                <w:sz w:val="1"/>
                <w:szCs w:val="1"/>
                <w:color w:val="auto"/>
              </w:rPr>
            </w:pPr>
          </w:p>
        </w:tc>
      </w:tr>
      <w:tr>
        <w:trPr>
          <w:trHeight w:val="202"/>
        </w:trPr>
        <w:tc>
          <w:tcPr>
            <w:tcW w:w="1640" w:type="dxa"/>
            <w:vAlign w:val="bottom"/>
          </w:tcPr>
          <w:p>
            <w:pPr>
              <w:spacing w:after="0" w:line="201" w:lineRule="exact"/>
              <w:rPr>
                <w:sz w:val="20"/>
                <w:szCs w:val="20"/>
                <w:color w:val="auto"/>
              </w:rPr>
            </w:pPr>
            <w:r>
              <w:rPr>
                <w:rFonts w:ascii="Arial" w:cs="Arial" w:eastAsia="Arial" w:hAnsi="Arial"/>
                <w:sz w:val="18"/>
                <w:szCs w:val="18"/>
                <w:color w:val="auto"/>
              </w:rPr>
              <w:t>Annualized ratio of</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net increase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(decrease) in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assets resulting from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3"/>
              </w:rPr>
              <w:t>operations to average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640" w:type="dxa"/>
            <w:vAlign w:val="bottom"/>
          </w:tcPr>
          <w:p>
            <w:pPr>
              <w:spacing w:after="0"/>
              <w:rPr>
                <w:sz w:val="20"/>
                <w:szCs w:val="20"/>
                <w:color w:val="auto"/>
              </w:rPr>
            </w:pPr>
            <w:r>
              <w:rPr>
                <w:rFonts w:ascii="Arial" w:cs="Arial" w:eastAsia="Arial" w:hAnsi="Arial"/>
                <w:sz w:val="18"/>
                <w:szCs w:val="18"/>
                <w:color w:val="auto"/>
              </w:rPr>
              <w:t>net assets</w:t>
            </w:r>
            <w:r>
              <w:rPr>
                <w:rFonts w:ascii="Arial" w:cs="Arial" w:eastAsia="Arial" w:hAnsi="Arial"/>
                <w:sz w:val="26"/>
                <w:szCs w:val="26"/>
                <w:color w:val="auto"/>
                <w:vertAlign w:val="superscript"/>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14.94 %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15.77 %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8.88 %</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13.55 %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700" w:hanging="326"/>
        <w:spacing w:after="0" w:line="236" w:lineRule="auto"/>
        <w:tabs>
          <w:tab w:leader="none" w:pos="70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Financial highlights are based on weighted-average shares outstanding.</w:t>
      </w:r>
    </w:p>
    <w:p>
      <w:pPr>
        <w:spacing w:after="0" w:line="175" w:lineRule="exact"/>
        <w:rPr>
          <w:rFonts w:ascii="Arial" w:cs="Arial" w:eastAsia="Arial" w:hAnsi="Arial"/>
          <w:sz w:val="27"/>
          <w:szCs w:val="27"/>
          <w:color w:val="auto"/>
          <w:vertAlign w:val="superscript"/>
        </w:rPr>
      </w:pPr>
    </w:p>
    <w:p>
      <w:pPr>
        <w:ind w:left="700" w:right="79" w:hanging="326"/>
        <w:spacing w:after="0" w:line="207" w:lineRule="auto"/>
        <w:tabs>
          <w:tab w:leader="none" w:pos="70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 The total returns are not annualized.</w:t>
      </w:r>
    </w:p>
    <w:p>
      <w:pPr>
        <w:spacing w:after="0" w:line="161" w:lineRule="exact"/>
        <w:rPr>
          <w:rFonts w:ascii="Arial" w:cs="Arial" w:eastAsia="Arial" w:hAnsi="Arial"/>
          <w:sz w:val="27"/>
          <w:szCs w:val="27"/>
          <w:color w:val="auto"/>
          <w:vertAlign w:val="superscript"/>
        </w:rPr>
      </w:pPr>
    </w:p>
    <w:p>
      <w:pPr>
        <w:jc w:val="both"/>
        <w:ind w:left="700" w:right="79" w:hanging="326"/>
        <w:spacing w:after="0" w:line="226" w:lineRule="auto"/>
        <w:tabs>
          <w:tab w:leader="none" w:pos="70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Return from investment operations was 2.11% and 4.76% for the three months ended June 30, 2020 and 2019, respectively. Return from investment operations was 4.60% and 7.86% for the six months ended June 30, 2020 and 2019, respectively. Return from investment operations represents returns on net investment income (loss) from operations.</w:t>
      </w:r>
    </w:p>
    <w:p>
      <w:pPr>
        <w:spacing w:after="0" w:line="162" w:lineRule="exact"/>
        <w:rPr>
          <w:rFonts w:ascii="Arial" w:cs="Arial" w:eastAsia="Arial" w:hAnsi="Arial"/>
          <w:sz w:val="27"/>
          <w:szCs w:val="27"/>
          <w:color w:val="auto"/>
          <w:vertAlign w:val="superscript"/>
        </w:rPr>
      </w:pPr>
    </w:p>
    <w:p>
      <w:pPr>
        <w:ind w:left="700" w:right="79" w:hanging="326"/>
        <w:spacing w:after="0" w:line="232" w:lineRule="auto"/>
        <w:tabs>
          <w:tab w:leader="none" w:pos="70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Return from accretion was (0.07)% and 0.73% for the three months ended June 30, 2020 and 2019, respectively. Return from accretion was (0.06)% and 0.68% for the six months ended June 30, 2020 and 2019,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26" w:lineRule="auto"/>
        <w:tabs>
          <w:tab w:leader="none" w:pos="70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annualized ratio of net investment income to average net assets was 8.97% and 19.85% for the three months ended June 30, 2020 and 2019, respectively. The annualized ratio of net investment income to average net assets was 10.03% and 17.59% for the six months ended June 30, 2020 and 2019, respectively. Incentive fees are not annualized.</w:t>
      </w:r>
    </w:p>
    <w:p>
      <w:pPr>
        <w:spacing w:after="0" w:line="175" w:lineRule="exact"/>
        <w:rPr>
          <w:rFonts w:ascii="Arial" w:cs="Arial" w:eastAsia="Arial" w:hAnsi="Arial"/>
          <w:sz w:val="27"/>
          <w:szCs w:val="27"/>
          <w:color w:val="auto"/>
          <w:vertAlign w:val="superscript"/>
        </w:rPr>
      </w:pPr>
    </w:p>
    <w:p>
      <w:pPr>
        <w:jc w:val="both"/>
        <w:ind w:left="700" w:right="79" w:hanging="326"/>
        <w:spacing w:after="0" w:line="226" w:lineRule="auto"/>
        <w:tabs>
          <w:tab w:leader="none" w:pos="70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annualized ratio of net operating expenses excluding incentive fees, to average net assets was 3.17% and 3.39% for the three months ended June 30, 2020 and 2019, respectively. The annualized ratio of net operating expenses excluding incentive fees, to average net assets was 3.09% and 3.62% for the six months ended June 30, 2020 and 2019, respectively.</w:t>
      </w:r>
    </w:p>
    <w:p>
      <w:pPr>
        <w:spacing w:after="0" w:line="82" w:lineRule="exact"/>
        <w:rPr>
          <w:rFonts w:ascii="Arial" w:cs="Arial" w:eastAsia="Arial" w:hAnsi="Arial"/>
          <w:sz w:val="27"/>
          <w:szCs w:val="27"/>
          <w:color w:val="auto"/>
          <w:vertAlign w:val="superscript"/>
        </w:rPr>
      </w:pPr>
    </w:p>
    <w:p>
      <w:pPr>
        <w:ind w:left="700" w:hanging="326"/>
        <w:spacing w:after="0"/>
        <w:tabs>
          <w:tab w:leader="none" w:pos="70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Incentive fees are not annualized.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evaluated events subsequent to June 30, 2020 through August 13,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1, 2020, the Company funded $250,000 to The Kairn Corporation.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22, 2020, the Company funded an investment of $40,000,000 to Porch.com, Inc.</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August 5, 2020 the Company declared a dividend of $0.36 per share payable on August 20, 2020 to shareholders of record as of August 6, 2020. The Company set June 30, 2020 as the valuation date for shares issued in connection with the dividend pursuant to the Company’s dividend reinvestment plan.</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August 10, 2020, Ouster, Inc. prepaid $3,000,000 on it’s outstanding principal balance. In addition the Company received cash proceeds of $233,292 in conjunction with ETP, prepayment fees, and interest for total proceeds of $3,233,292.</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August 10, 2020, RGC, the Company, and certain other funds and accounts sponsored or managed by RGC and/or its affiliates were granted an order (the “Order”) that permits the Company greater flexibility than the 1940 Act permits to negotiate the terms of co-investments if the Board determines that it would be advantageous for the Company to co-invest with other accounts sponsored or managed by RGC or its affiliates in a manner consistent with the Company’s investment objective, positions, policies, strategies and restrictions as well as regulatory requirements and other pertinent factors. The Company believes that the ability to co-invest with similar investment structures and accounts sponsored or managed by RGC or its affiliates will provide additional investment opportunities and the ability to achieve greater diversification. Under the terms of the Order, a majority of the Company’s independent directors are required to make certain determinations in connection with a co-investment transaction, including that (1) the terms of the proposed transaction are reasonable and fair to the Company and the Company’s shareholders and do not involve overreaching of the Company or the Company’s shareholders on the part of any person concerned and (2) the transaction is consistent with the interests of the Company’s shareholders and is consistent with the Company’s investment strategies and policies.</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March 11, 2020, the World Health Organization declared the outbreak of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the Company’s portfolio companies, the Company’s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pace of our investment activity, which may have a material adverse impact on our results of operations. Such volatility and disruption have also led to the increased credit spreads in the private debt capital markets. Further, the operational and financial performance of the portfolio companies in which we make investments may continue to be significantly impacted by the COVID-19 pandemic, which may in turn continue to impact the valuation of our investments. As a result, the long term impacts of the COVID-19 pandemic may not yet be fully reflected in the valuation of our investments and the fair value of our portfolio investments may be further negatively impacted after June 30, 2020 by circumstances and events that are not yet known, including the complete or continuing impact of the COVID-19 pandemic and the resulting measures taken in response thereto. In addition, write downs in the value of our investments have reduced, and any additional write downs may further reduce, our net asset value (and, as a result, our asset coverage calculation). Accordingly, we may continue to incur additional net unrealized losses or may incur realized losses after June 30, 2020, which could have a material adverse effect on our business, financial condition and results of operations.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Accordingly, the Company cannot predict the extent to which its financial condition and results of operations will be affected at this time. The potential impact to the Company’s results will depend to a large extent on future developments and new information that may emerge regarding the duration and severity of the COVID-19 pandemic and the actions taken by authorities and other entities to contain COVID-19 or treat its impact, all of which are beyond our control.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634"/>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5" w:lineRule="exact"/>
        <w:rPr>
          <w:sz w:val="20"/>
          <w:szCs w:val="20"/>
          <w:color w:val="auto"/>
        </w:rPr>
      </w:pPr>
    </w:p>
    <w:p>
      <w:pPr>
        <w:ind w:left="700" w:right="79" w:hanging="326"/>
        <w:spacing w:after="0" w:line="308"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political, economic or industry conditions, the interest rate environment or conditions affecting the financial and capital markets, including changes from the impact of the current COVID-19 pandemic;</w:t>
      </w:r>
    </w:p>
    <w:p>
      <w:pPr>
        <w:spacing w:after="0" w:line="119"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disruptions caused by the current COVID-19 pandemic;</w:t>
      </w:r>
    </w:p>
    <w:p>
      <w:pPr>
        <w:spacing w:after="0" w:line="129"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29"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56"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29"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volatility that could adversely affect our results, particularly to the extent that we use leverage as part of our investment strategy;</w:t>
      </w:r>
    </w:p>
    <w:p>
      <w:pPr>
        <w:spacing w:after="0" w:line="129"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currency fluctuations could adversely affect the results of our investments in foreign companies, particularly to the extent that we receive payments denominated in foreign currency rather than U.S. dollars;</w:t>
      </w:r>
    </w:p>
    <w:p>
      <w:pPr>
        <w:spacing w:after="0" w:line="119" w:lineRule="exact"/>
        <w:rPr>
          <w:rFonts w:ascii="Arial" w:cs="Arial" w:eastAsia="Arial" w:hAnsi="Arial"/>
          <w:sz w:val="17"/>
          <w:szCs w:val="17"/>
          <w:color w:val="auto"/>
        </w:rPr>
      </w:pPr>
    </w:p>
    <w:p>
      <w:pPr>
        <w:ind w:left="700" w:hanging="326"/>
        <w:spacing w:after="0"/>
        <w:tabs>
          <w:tab w:leader="none" w:pos="7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future operating results, including our ability to achieve objectives as a result of the COVID-19 pandemic;</w:t>
      </w:r>
    </w:p>
    <w:p>
      <w:pPr>
        <w:spacing w:after="0" w:line="19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the impact of the COVID-19 pandemic thereon;</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98"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98"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w:t>
      </w:r>
    </w:p>
    <w:p>
      <w:pPr>
        <w:spacing w:after="0" w:line="14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43" w:lineRule="exact"/>
        <w:rPr>
          <w:rFonts w:ascii="Arial" w:cs="Arial" w:eastAsia="Arial" w:hAnsi="Arial"/>
          <w:sz w:val="18"/>
          <w:szCs w:val="18"/>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184" w:lineRule="exact"/>
        <w:rPr>
          <w:rFonts w:ascii="Arial" w:cs="Arial" w:eastAsia="Arial" w:hAnsi="Arial"/>
          <w:sz w:val="18"/>
          <w:szCs w:val="18"/>
          <w:color w:val="auto"/>
        </w:rPr>
      </w:pPr>
    </w:p>
    <w:p>
      <w:pPr>
        <w:ind w:left="700" w:right="79" w:hanging="326"/>
        <w:spacing w:after="0" w:line="34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maintain our qualification as a regulated investment company (“RIC”) under Subchapter M of the Internal Revenue Code of 1986, as amended (the “Code”), and as a business development company (“BDC”);</w:t>
      </w:r>
    </w:p>
    <w:p>
      <w:pPr>
        <w:spacing w:after="0" w:line="96" w:lineRule="exact"/>
        <w:rPr>
          <w:rFonts w:ascii="Arial" w:cs="Arial" w:eastAsia="Arial" w:hAnsi="Arial"/>
          <w:sz w:val="16"/>
          <w:szCs w:val="16"/>
          <w:color w:val="auto"/>
        </w:rPr>
      </w:pPr>
    </w:p>
    <w:p>
      <w:pPr>
        <w:jc w:val="both"/>
        <w:ind w:left="700" w:right="79" w:hanging="326"/>
        <w:spacing w:after="0" w:line="263"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error;the effect of legal, tax and regulatory changes; and</w:t>
      </w:r>
    </w:p>
    <w:p>
      <w:pPr>
        <w:spacing w:after="0" w:line="14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for the fiscal year ended December 31, 2019 and in our other filings with the Securities and Exchange Commission (the “SEC”).</w:t>
      </w:r>
    </w:p>
    <w:p>
      <w:pPr>
        <w:spacing w:after="0" w:line="143"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2019 filed with the SEC on March 20, 2020.</w:t>
      </w:r>
    </w:p>
    <w:p>
      <w:pPr>
        <w:spacing w:after="0" w:line="16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9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9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June 30, 2020, in connection with the Initial Private Offering, we had total capital commitments of $275,000,000 and had issued 18,241,157 shares of our common stock to stockholders for a total purchase price of $275,000,000.</w:t>
      </w:r>
    </w:p>
    <w:p>
      <w:pPr>
        <w:spacing w:after="0" w:line="18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June 30, 2020, we had completed multiple closings under the Company’s second private offering (the “Second Private Offering”) and had accepted capital commitments of $174,523,500. As of June 30, 2020, in connection with the Second Private Offering, we have issued an aggregate of 5,018,918 shares for a total purchase price of $75,283,766. In March 2020, we issued 2,103 shares as an additional direct investment of $31,542 by Runway Growth Holdings LLC, an affiliate of RGC.</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At June 30, 2020, we had investments in 29 portfolio companies, representing 21 companies where we held loan and warrant investments, six companies where we held warrant investments only, one company where we held bonds, one company where we held common stock only, and we held one U.S. Treasury Bill. At December 31, 2019, we had investments in 25 portfolio companies, representing 21 companies where we held loan and warrant investments, four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companies where we held warrant interest only, and held two U.S. Treasury Bills. The following table shows the fair value of our investments, by asset class, as of June 30, 2020 and December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8"/>
              </w:rPr>
              <w:t>June 30, 2020 (Unaudited)</w:t>
            </w: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2019</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2"/>
                <w:szCs w:val="12"/>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100" w:type="dxa"/>
            <w:vAlign w:val="bottom"/>
            <w:gridSpan w:val="3"/>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of Total</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71"/>
        </w:trPr>
        <w:tc>
          <w:tcPr>
            <w:tcW w:w="1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0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3"/>
              </w:rPr>
              <w:t>Portfolio</w:t>
            </w: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9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8"/>
              </w:rPr>
              <w:t>Portfolio Investments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tcPr>
          <w:p>
            <w:pPr>
              <w:ind w:left="100"/>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1,978,455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2,980,045</w:t>
            </w:r>
          </w:p>
        </w:tc>
        <w:tc>
          <w:tcPr>
            <w:tcW w:w="1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0.7% $</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Senior Secured Term</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ind w:left="100"/>
              <w:spacing w:after="0"/>
              <w:rPr>
                <w:sz w:val="20"/>
                <w:szCs w:val="20"/>
                <w:color w:val="auto"/>
              </w:rPr>
            </w:pPr>
            <w:r>
              <w:rPr>
                <w:rFonts w:ascii="Arial" w:cs="Arial" w:eastAsia="Arial" w:hAnsi="Arial"/>
                <w:sz w:val="18"/>
                <w:szCs w:val="18"/>
                <w:color w:val="auto"/>
              </w:rPr>
              <w:t>Loans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375,196,904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369,034,328</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9"/>
              </w:rPr>
              <w:t>358,385,089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349,570,424</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18,937,450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17,891,494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Warrants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18,825,013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20,264,970</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18,383,811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80" w:type="dxa"/>
            <w:vAlign w:val="bottom"/>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Portfolio</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415,190,917</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410,489,211</w:t>
            </w:r>
          </w:p>
        </w:tc>
        <w:tc>
          <w:tcPr>
            <w:tcW w:w="16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377,018,900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14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44,999,250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44,998,500</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99,982,765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460,190,167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455,487,711</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477,001,665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467,981,699</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six months ended June 30, 2020, the Company funded $110.6 million in seven new portfolio companies and $13.9 million in five existing portfolio companies. The Company also received $56.6 million in loan repayments from four portfolio companies and $2.7 million in proceeds from the termination of warrants.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is a reconciliation of our investment portfolio, including U.S. Treasury Bills, for the six months ended June 30, 2020 and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June 30, 2019</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467,981,699</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304,208,317</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line="216"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5"/>
                <w:szCs w:val="25"/>
                <w:color w:val="auto"/>
                <w:vertAlign w:val="superscript"/>
              </w:rPr>
              <w:t>(1)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101,305,339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5"/>
              </w:rPr>
              <w:t>141,472,138</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94,999,834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155,900,303</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Amortization of Fixed Income Premiums or Accretion of Discounts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4,349,093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6,076,426</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(58,635,634)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(83,136,368)</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(2,330,711)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(3,542,667)</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(149,986,014)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(149,977,117)</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(6,513,405)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493,308</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4,317,510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(5,487,631)</w:t>
            </w:r>
          </w:p>
        </w:tc>
      </w:tr>
      <w:tr>
        <w:trPr>
          <w:trHeight w:val="210"/>
        </w:trPr>
        <w:tc>
          <w:tcPr>
            <w:tcW w:w="5760" w:type="dxa"/>
            <w:vAlign w:val="bottom"/>
            <w:gridSpan w:val="3"/>
          </w:tcPr>
          <w:p>
            <w:pPr>
              <w:ind w:left="20"/>
              <w:spacing w:after="0"/>
              <w:rPr>
                <w:sz w:val="20"/>
                <w:szCs w:val="20"/>
                <w:color w:val="auto"/>
              </w:rPr>
            </w:pPr>
            <w:r>
              <w:rPr>
                <w:rFonts w:ascii="Arial" w:cs="Arial" w:eastAsia="Arial" w:hAnsi="Arial"/>
                <w:sz w:val="18"/>
                <w:szCs w:val="18"/>
                <w:color w:val="auto"/>
              </w:rPr>
              <w:t>Ending Investment Portfolio</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455,487,711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366,006,709</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ind w:left="380"/>
        <w:spacing w:after="0" w:line="229" w:lineRule="auto"/>
        <w:tabs>
          <w:tab w:leader="none" w:pos="68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Includes PIK interest.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In addition to various risk management and monitoring tools, RGC uses an investment rating system to characterize and monitor the quality of our debt investment portfolio. Equity securities and Treasury Bills are not rated.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This debt investment rating system uses a five-level numeric scale. The following is a description of the conditions associated with each investment rating:</w:t>
      </w:r>
    </w:p>
    <w:p>
      <w:pPr>
        <w:spacing w:after="0" w:line="14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80" w:type="dxa"/>
            <w:vAlign w:val="bottom"/>
          </w:tcPr>
          <w:p>
            <w:pPr>
              <w:jc w:val="center"/>
              <w:ind w:right="1728"/>
              <w:spacing w:after="0"/>
              <w:rPr>
                <w:sz w:val="20"/>
                <w:szCs w:val="20"/>
                <w:color w:val="auto"/>
              </w:rPr>
            </w:pPr>
            <w:r>
              <w:rPr>
                <w:rFonts w:ascii="Arial" w:cs="Arial" w:eastAsia="Arial" w:hAnsi="Arial"/>
                <w:sz w:val="14"/>
                <w:szCs w:val="14"/>
                <w:b w:val="1"/>
                <w:bCs w:val="1"/>
                <w:color w:val="auto"/>
                <w:w w:val="91"/>
              </w:rPr>
              <w:t>Investment</w:t>
            </w:r>
          </w:p>
        </w:tc>
        <w:tc>
          <w:tcPr>
            <w:tcW w:w="2880" w:type="dxa"/>
            <w:vAlign w:val="bottom"/>
            <w:vMerge w:val="restart"/>
          </w:tcPr>
          <w:p>
            <w:pPr>
              <w:ind w:left="1800"/>
              <w:spacing w:after="0"/>
              <w:rPr>
                <w:sz w:val="20"/>
                <w:szCs w:val="20"/>
                <w:color w:val="auto"/>
              </w:rPr>
            </w:pPr>
            <w:r>
              <w:rPr>
                <w:rFonts w:ascii="Arial" w:cs="Arial" w:eastAsia="Arial" w:hAnsi="Arial"/>
                <w:sz w:val="14"/>
                <w:szCs w:val="14"/>
                <w:b w:val="1"/>
                <w:bCs w:val="1"/>
                <w:color w:val="auto"/>
                <w:w w:val="94"/>
              </w:rPr>
              <w:t>Rating Definition</w:t>
            </w:r>
          </w:p>
        </w:tc>
        <w:tc>
          <w:tcPr>
            <w:tcW w:w="0" w:type="dxa"/>
            <w:vAlign w:val="bottom"/>
          </w:tcPr>
          <w:p>
            <w:pPr>
              <w:spacing w:after="0"/>
              <w:rPr>
                <w:sz w:val="1"/>
                <w:szCs w:val="1"/>
                <w:color w:val="auto"/>
              </w:rPr>
            </w:pPr>
          </w:p>
        </w:tc>
      </w:tr>
      <w:tr>
        <w:trPr>
          <w:trHeight w:val="186"/>
        </w:trPr>
        <w:tc>
          <w:tcPr>
            <w:tcW w:w="24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6"/>
              </w:rPr>
              <w:t>Rating</w:t>
            </w:r>
          </w:p>
        </w:tc>
        <w:tc>
          <w:tcPr>
            <w:tcW w:w="2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94" w:lineRule="exact"/>
        <w:rPr>
          <w:sz w:val="20"/>
          <w:szCs w:val="20"/>
          <w:color w:val="auto"/>
        </w:rPr>
      </w:pPr>
    </w:p>
    <w:p>
      <w:pPr>
        <w:ind w:left="1020" w:right="59" w:hanging="570"/>
        <w:spacing w:after="0" w:line="258"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-273050</wp:posOffset>
            </wp:positionV>
            <wp:extent cx="564896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1020" w:hanging="570"/>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Performing at or reasonably close to plan. Acceptable business prospects, enterprise value, financial</w:t>
      </w:r>
    </w:p>
    <w:p>
      <w:pPr>
        <w:spacing w:after="0" w:line="21" w:lineRule="exact"/>
        <w:rPr>
          <w:sz w:val="20"/>
          <w:szCs w:val="20"/>
          <w:color w:val="auto"/>
        </w:rPr>
      </w:pPr>
    </w:p>
    <w:p>
      <w:pPr>
        <w:ind w:left="1020" w:right="79"/>
        <w:spacing w:after="0" w:line="250" w:lineRule="auto"/>
        <w:rPr>
          <w:sz w:val="20"/>
          <w:szCs w:val="20"/>
          <w:color w:val="auto"/>
        </w:rPr>
      </w:pPr>
      <w:r>
        <w:rPr>
          <w:rFonts w:ascii="Arial" w:cs="Arial" w:eastAsia="Arial" w:hAnsi="Arial"/>
          <w:sz w:val="18"/>
          <w:szCs w:val="18"/>
          <w:color w:val="auto"/>
        </w:rPr>
        <w:t>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1020" w:right="79" w:hanging="570"/>
        <w:spacing w:after="0" w:line="281" w:lineRule="auto"/>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ind w:left="1020" w:hanging="570"/>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Performing materially below plan. Non-compliant with material financial covenants. Payment default/deferral</w:t>
      </w:r>
    </w:p>
    <w:p>
      <w:pPr>
        <w:spacing w:after="0" w:line="32" w:lineRule="exact"/>
        <w:rPr>
          <w:sz w:val="20"/>
          <w:szCs w:val="20"/>
          <w:color w:val="auto"/>
        </w:rPr>
      </w:pPr>
    </w:p>
    <w:p>
      <w:pPr>
        <w:jc w:val="both"/>
        <w:ind w:left="1020" w:right="79"/>
        <w:spacing w:after="0" w:line="250" w:lineRule="auto"/>
        <w:rPr>
          <w:sz w:val="20"/>
          <w:szCs w:val="20"/>
          <w:color w:val="auto"/>
        </w:rPr>
      </w:pPr>
      <w:r>
        <w:rPr>
          <w:rFonts w:ascii="Arial" w:cs="Arial" w:eastAsia="Arial" w:hAnsi="Arial"/>
          <w:sz w:val="18"/>
          <w:szCs w:val="18"/>
          <w:color w:val="auto"/>
        </w:rPr>
        <w:t>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411480"/>
                    </a:xfrm>
                    <a:prstGeom prst="rect">
                      <a:avLst/>
                    </a:prstGeom>
                    <a:noFill/>
                  </pic:spPr>
                </pic:pic>
              </a:graphicData>
            </a:graphic>
          </wp:anchor>
        </w:drawing>
      </w:r>
    </w:p>
    <w:p>
      <w:pPr>
        <w:jc w:val="both"/>
        <w:ind w:left="1020" w:right="59" w:hanging="570"/>
        <w:spacing w:after="0" w:line="255"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the investment rankings of our debt investments at fair value as of June 30,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6"/>
          </w:tcPr>
          <w:p>
            <w:pPr>
              <w:jc w:val="right"/>
              <w:ind w:right="657"/>
              <w:spacing w:after="0"/>
              <w:rPr>
                <w:sz w:val="20"/>
                <w:szCs w:val="20"/>
                <w:color w:val="auto"/>
              </w:rPr>
            </w:pPr>
            <w:r>
              <w:rPr>
                <w:rFonts w:ascii="Arial" w:cs="Arial" w:eastAsia="Arial" w:hAnsi="Arial"/>
                <w:sz w:val="14"/>
                <w:szCs w:val="14"/>
                <w:b w:val="1"/>
                <w:bCs w:val="1"/>
                <w:color w:val="auto"/>
              </w:rPr>
              <w:t>As of June 30, 2020 (Unaudited)</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As of December 31, 2019</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71"/>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Rating</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Companies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Companies</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236,977,462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217,278,446</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122,487,259</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119,109,762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9,569,607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8,870,625</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4,311,591</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0.9 %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369,034,328</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349,570,424</w:t>
            </w:r>
          </w:p>
        </w:tc>
        <w:tc>
          <w:tcPr>
            <w:tcW w:w="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The global COVID-19 pandemic, to date, has had limited impact on the investment rankings of our debt investments, taken as a whole.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June 30, 2020, we had three loans to Mojix, Inc. representing an aggregate principal funded of $11,400,000 at a fair market value of $9,569,607 on non-accrual status. </w:t>
      </w:r>
      <w:r>
        <w:rPr>
          <w:rFonts w:ascii="Arial" w:cs="Arial" w:eastAsia="Arial" w:hAnsi="Arial"/>
          <w:sz w:val="18"/>
          <w:szCs w:val="18"/>
          <w:color w:val="231F20"/>
        </w:rPr>
        <w:t>As of December 31, 2019, we had two loans to</w:t>
      </w:r>
      <w:r>
        <w:rPr>
          <w:rFonts w:ascii="Arial" w:cs="Arial" w:eastAsia="Arial" w:hAnsi="Arial"/>
          <w:sz w:val="18"/>
          <w:szCs w:val="18"/>
          <w:color w:val="auto"/>
        </w:rPr>
        <w:t xml:space="preserve"> </w:t>
      </w:r>
      <w:r>
        <w:rPr>
          <w:rFonts w:ascii="Arial" w:cs="Arial" w:eastAsia="Arial" w:hAnsi="Arial"/>
          <w:sz w:val="18"/>
          <w:szCs w:val="18"/>
          <w:color w:val="231F20"/>
        </w:rPr>
        <w:t>Aginity, Inc. representing an aggregate principal funded of $9,000,000 at a fair market value of $4,311,589 on non-accrual status.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An important measure of our financial performance is net increase/(decrease) in net assets resulting from operations, which includes net investment income, net realized gain/(loss) and net unrealized appreciation/(depreciation). Net investment income is the difference between our income from interest, dividends, fees and other investment income and our operating expenses, including interest on borrowed funds. Net realized gain/(loss) on investments is the difference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between the proceeds received from dispositions of portfolio investments and their amortized cost. Net unrealized appreciation/(depreciation) on investments is the net change in the fair value of our investment portfolio.</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0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r>
      <w:tr>
        <w:trPr>
          <w:trHeight w:val="148"/>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2"/>
                <w:szCs w:val="12"/>
                <w:color w:val="auto"/>
              </w:rPr>
            </w:pPr>
          </w:p>
        </w:tc>
        <w:tc>
          <w:tcPr>
            <w:tcW w:w="2040" w:type="dxa"/>
            <w:vAlign w:val="bottom"/>
            <w:gridSpan w:val="4"/>
          </w:tcPr>
          <w:p>
            <w:pPr>
              <w:jc w:val="right"/>
              <w:ind w:right="572"/>
              <w:spacing w:after="0" w:line="149" w:lineRule="exact"/>
              <w:rPr>
                <w:sz w:val="20"/>
                <w:szCs w:val="20"/>
                <w:color w:val="auto"/>
              </w:rPr>
            </w:pPr>
            <w:r>
              <w:rPr>
                <w:rFonts w:ascii="Arial" w:cs="Arial" w:eastAsia="Arial" w:hAnsi="Arial"/>
                <w:sz w:val="14"/>
                <w:szCs w:val="14"/>
                <w:b w:val="1"/>
                <w:bCs w:val="1"/>
                <w:color w:val="auto"/>
              </w:rPr>
              <w:t>June 30, 2019</w:t>
            </w:r>
          </w:p>
        </w:tc>
      </w:tr>
      <w:tr>
        <w:trPr>
          <w:trHeight w:val="149"/>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Per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Per</w:t>
            </w:r>
          </w:p>
        </w:tc>
      </w:tr>
      <w:tr>
        <w:trPr>
          <w:trHeight w:val="165"/>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120" w:type="dxa"/>
            <w:vAlign w:val="bottom"/>
          </w:tcPr>
          <w:p>
            <w:pPr>
              <w:spacing w:after="0"/>
              <w:rPr>
                <w:sz w:val="14"/>
                <w:szCs w:val="14"/>
                <w:color w:val="auto"/>
              </w:rPr>
            </w:pPr>
          </w:p>
        </w:tc>
        <w:tc>
          <w:tcPr>
            <w:tcW w:w="1120" w:type="dxa"/>
            <w:vAlign w:val="bottom"/>
            <w:gridSpan w:val="2"/>
          </w:tcPr>
          <w:p>
            <w:pPr>
              <w:jc w:val="right"/>
              <w:ind w:right="580"/>
              <w:spacing w:after="0" w:line="158"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76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Interest and dividend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11,633,251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16,156,908</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239,082</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09"/>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11,801,054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16,395,990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Management fees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1,758,729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1,203,125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2,734,626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274,255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Overhead allocation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217,922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Credit facility fees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199,993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Consulting fees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ind w:left="120"/>
              <w:spacing w:after="0"/>
              <w:rPr>
                <w:sz w:val="20"/>
                <w:szCs w:val="20"/>
                <w:color w:val="auto"/>
              </w:rPr>
            </w:pPr>
            <w:r>
              <w:rPr>
                <w:rFonts w:ascii="Arial" w:cs="Arial" w:eastAsia="Arial" w:hAnsi="Arial"/>
                <w:sz w:val="18"/>
                <w:szCs w:val="18"/>
                <w:color w:val="auto"/>
              </w:rPr>
              <w:t>Insurance expense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26,438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294,287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3,927,213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5,025,981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7,873,841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11,370,009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 on investments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7"/>
              </w:rPr>
              <w:t>Net change in unrealized appreciation (depreciation)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4"/>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on investments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5,496,594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(3,247,119)</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10"/>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Net increase in net assets resulting from operations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13,574,289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8,616,198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700" w:right="79" w:hanging="326"/>
        <w:spacing w:after="0" w:line="207" w:lineRule="auto"/>
        <w:tabs>
          <w:tab w:leader="none" w:pos="70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26,645,717 and 15,727,990 shares outstanding for the three months ended June 30, 2020 and 2019, respectively.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17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prepayment premiums on loans and debt securities as interest income. Dividend income, if any, will be recognized on an accrual basis to the extent that we expect to collect such amounts.</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Investment income for the three months ended June 30, 2020 was $11,801,054 due primarily to interest income earned on our portfolio investments. Investment income for the three months ended June 30, 2019 was $16,395,990 due primarily to interest income earned on our portfolio investments. The decrease in interest income for the three months ended June 30, 2020 compared to the three months ended June 30, 2019 was a result of a decrease in prepayment fees and end of term payments received during the three months ended June 30,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7" w:lineRule="exact"/>
        <w:rPr>
          <w:sz w:val="20"/>
          <w:szCs w:val="20"/>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43"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84"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59"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98"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98"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84"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98"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the SEC, the Financial Industry Regulatory Authority or other regulators;</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84"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allocable portion of any fidelity bond, directors’ and officers’ errors and omissions liability insurance, and any other insurance premiums;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43" w:lineRule="exact"/>
        <w:rPr>
          <w:rFonts w:ascii="Arial" w:cs="Arial" w:eastAsia="Arial" w:hAnsi="Arial"/>
          <w:sz w:val="18"/>
          <w:szCs w:val="18"/>
          <w:color w:val="auto"/>
        </w:rPr>
      </w:pPr>
    </w:p>
    <w:p>
      <w:pPr>
        <w:jc w:val="both"/>
        <w:ind w:left="700" w:right="79" w:hanging="326"/>
        <w:spacing w:after="0" w:line="279" w:lineRule="auto"/>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Operating expenses for the three months ended June 30, 2020 and 2019 were $3,927,213 and $5,025,981, respectively. Operating expenses decreased for the three months ended June 30, 2020 from the three months ended June 30, 2019 primarily due to decreased portfolio activity, which resulted in decreased incentive fees paid to RGC and interest expense from credit facilities. Operating expenses per share for the three months ended June 30, 2020 and 2019 were $0.15 per share and $0.32 per share,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Incentive fees for the three months ended June 30, 2020 and 2019 were $905,858 and $2,734,626, respectively, incurred primarily due to investment income. Incentive fees decreased for the three months ended June 30, 2020 from the three months ended June 30, 2019 primarily due to a decrease in net investment income. $686,221 of the incentive fees for the three months ended June 30, 2020 were earned, payable in cash, and included in accrued incentive fees in the statement of assets and liabilities as of June 30, 2020. $219,637 of the incentive fees for the three months ended June 30, 2020 were deferred and accrued, and included in accrued incentive fees in the statement of assets and liabilities as of June 30, 2020. $2,442,435 of the incentive fees for the three months ended June 30, 2019 were earned, payable in cash, and included in accrued incentive fees in the statement of assets and liabilities as of June 30, 2019. $292,191 of the incentive fees for the three months ended June 30, 2019 were deferred and accrued, and included in accrued incentive fees in the statement of assets and liabilities as of June 30, 2019. Incentive fees related to PIK or deferred interest are accrued and payment is deferred until such interest is collected in cash. Incentive fees per share for the three months ended June 30, 2020 and June 30, 2019 were $0.03 and $0.17 per share,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Net investment income for the three months ended June 30, 2020 and 2019 was $7,873,841 and $11,370,009, respectively. Net investment income decreased for the three months ended June 30, 2020 from the three months ended June 30, 2019 primarily due to a decrease in prepayment fees and end of term payments received during the three months ended June 30, 2020. The decrease in early terminations and accompanying decrease in prepayment fees and associated income, may have been negatively impacted by the COVID-19 pandemic and the associated disruption in the capital markets and merger and acquisition markets. Net investment income per share for the three months ended June 30, 2020 and 2019 was $0.30 per share and $0.72 per share,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 on Investment</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net realized gain on investments of $203,854 for the three months ended June 30, 2020 was primarily due to the gain on our common stock on TriplePoint Venture Growth BDC Corp. There were $493,308 in net realized gains on investments for the three months ended June 30, 2019, primarily due to the gains on our warrants for preferred stock on Drawbridge, Inc. and Jibe, Inc.</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change in unrealized appreciation on investments of $5,496,594 for the three months ended June 30, 2020 was primarily due to increases in the fair value of our senior secured loan to Scale Computing, Inc., our preferred stock and warrants in MTBC, Inc. and our common stock in Hercules Capital, Inc. The net change in unrealized depreciation on investments of $3,247,119 for the three months ended June 30, 2019 was primarily due to a decrease in the fair value of our senior secured loan to Aginity,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COVID-19 pandemic and its resultant impact on economic activity and capital market volatility has impacted and may continue to have impact on the fair market values of our investments. As of June 30, 2020 numerous variables used in the valuation process reflected the impact of the COVID-19 pandemic, such as market comparables, market volatility, discount rates and credit spreads; however, the dynamic nature of the COVID-19 pandemic and ability of portfolio companies to assess its impact on future performance may not be fully incorporated into our assumptions. As a result, the fair market values of our portfolio investments may be negatively impacted after June 30, 2020 by circumstances and events that are not yet known, including the complete or continuing impact of the COVID-19 pandemic and the resulting measures taken in response thereto. Our valuation process carefully considers the impact of the COVID-19 pandemic-related uncertainties in the various inputs utilized in the determination of the fair market value of investments.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We had a net increase in net assets resulting from operations of $13,574,289 for the three months ended June 30, 2020, as compared to a net increase in net assets resulting from operations of $8,616,198 for the three months ended June 30, 2019. The net increase in net assets resulting from operations for the three months ended June 30, 2020 was primarily due to interest and other income earned from portfolio investments, increases in the fair value of our preferred stock and warrants in MTBC, Inc. and our common stock in Hercules Capital, Inc. The net increase in net assets resulting from operations for the three months ended June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June 30, 2020</w:t>
            </w:r>
          </w:p>
        </w:tc>
        <w:tc>
          <w:tcPr>
            <w:tcW w:w="140" w:type="dxa"/>
            <w:vAlign w:val="bottom"/>
          </w:tcPr>
          <w:p>
            <w:pPr>
              <w:spacing w:after="0"/>
              <w:rPr>
                <w:sz w:val="14"/>
                <w:szCs w:val="14"/>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4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92"/>
              <w:spacing w:after="0" w:line="133" w:lineRule="exact"/>
              <w:rPr>
                <w:sz w:val="20"/>
                <w:szCs w:val="20"/>
                <w:color w:val="auto"/>
              </w:rPr>
            </w:pPr>
            <w:r>
              <w:rPr>
                <w:rFonts w:ascii="Arial" w:cs="Arial" w:eastAsia="Arial" w:hAnsi="Arial"/>
                <w:sz w:val="14"/>
                <w:szCs w:val="14"/>
                <w:b w:val="1"/>
                <w:bCs w:val="1"/>
                <w:color w:val="auto"/>
                <w:w w:val="97"/>
              </w:rPr>
              <w:t>Per</w:t>
            </w: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72"/>
              <w:spacing w:after="0" w:line="133" w:lineRule="exact"/>
              <w:rPr>
                <w:sz w:val="20"/>
                <w:szCs w:val="20"/>
                <w:color w:val="auto"/>
              </w:rPr>
            </w:pPr>
            <w:r>
              <w:rPr>
                <w:rFonts w:ascii="Arial" w:cs="Arial" w:eastAsia="Arial" w:hAnsi="Arial"/>
                <w:sz w:val="14"/>
                <w:szCs w:val="14"/>
                <w:b w:val="1"/>
                <w:bCs w:val="1"/>
                <w:color w:val="auto"/>
              </w:rPr>
              <w:t>Per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(1)</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income</w:t>
            </w: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Interest and dividend income</w:t>
            </w:r>
          </w:p>
        </w:tc>
        <w:tc>
          <w:tcPr>
            <w:tcW w:w="1040" w:type="dxa"/>
            <w:vAlign w:val="bottom"/>
          </w:tcPr>
          <w:p>
            <w:pPr>
              <w:jc w:val="right"/>
              <w:spacing w:after="0"/>
              <w:rPr>
                <w:sz w:val="20"/>
                <w:szCs w:val="20"/>
                <w:color w:val="auto"/>
              </w:rPr>
            </w:pPr>
            <w:r>
              <w:rPr>
                <w:rFonts w:ascii="Arial" w:cs="Arial" w:eastAsia="Arial" w:hAnsi="Arial"/>
                <w:sz w:val="18"/>
                <w:szCs w:val="18"/>
                <w:color w:val="auto"/>
                <w:w w:val="91"/>
              </w:rPr>
              <w:t>$ 26,024,296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0.98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28,245,242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301,077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investment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26,621,912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28,546,319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Management fees</w:t>
            </w:r>
          </w:p>
        </w:tc>
        <w:tc>
          <w:tcPr>
            <w:tcW w:w="1040" w:type="dxa"/>
            <w:vAlign w:val="bottom"/>
          </w:tcPr>
          <w:p>
            <w:pPr>
              <w:jc w:val="right"/>
              <w:spacing w:after="0"/>
              <w:rPr>
                <w:sz w:val="20"/>
                <w:szCs w:val="20"/>
                <w:color w:val="auto"/>
              </w:rPr>
            </w:pPr>
            <w:r>
              <w:rPr>
                <w:rFonts w:ascii="Arial" w:cs="Arial" w:eastAsia="Arial" w:hAnsi="Arial"/>
                <w:sz w:val="18"/>
                <w:szCs w:val="18"/>
                <w:color w:val="auto"/>
              </w:rPr>
              <w:t>3,295,678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2,406,250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Incentive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187,494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Professional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Overhead allocation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345,983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417,661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Administration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Credit facility fees</w:t>
            </w:r>
          </w:p>
        </w:tc>
        <w:tc>
          <w:tcPr>
            <w:tcW w:w="1040" w:type="dxa"/>
            <w:vAlign w:val="bottom"/>
          </w:tcPr>
          <w:p>
            <w:pPr>
              <w:jc w:val="right"/>
              <w:spacing w:after="0"/>
              <w:rPr>
                <w:sz w:val="20"/>
                <w:szCs w:val="20"/>
                <w:color w:val="auto"/>
              </w:rPr>
            </w:pPr>
            <w:r>
              <w:rPr>
                <w:rFonts w:ascii="Arial" w:cs="Arial" w:eastAsia="Arial" w:hAnsi="Arial"/>
                <w:sz w:val="18"/>
                <w:szCs w:val="18"/>
                <w:color w:val="auto"/>
              </w:rPr>
              <w:t>378,722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Directors’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Consulting fees</w:t>
            </w:r>
          </w:p>
        </w:tc>
        <w:tc>
          <w:tcPr>
            <w:tcW w:w="1040" w:type="dxa"/>
            <w:vAlign w:val="bottom"/>
          </w:tcPr>
          <w:p>
            <w:pPr>
              <w:jc w:val="right"/>
              <w:spacing w:after="0"/>
              <w:rPr>
                <w:sz w:val="20"/>
                <w:szCs w:val="20"/>
                <w:color w:val="auto"/>
              </w:rPr>
            </w:pPr>
            <w:r>
              <w:rPr>
                <w:rFonts w:ascii="Arial" w:cs="Arial" w:eastAsia="Arial" w:hAnsi="Arial"/>
                <w:sz w:val="18"/>
                <w:szCs w:val="18"/>
                <w:color w:val="auto"/>
              </w:rPr>
              <w:t>30,301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47,195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Tax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Insurance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52,875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expenses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432,457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9,104,485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9,102,284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investment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17,517,427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19,444,035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 (loss) on investments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(6,513,405)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2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97"/>
              </w:rPr>
              <w:t>Net change in unrealized appreciation (depreciation)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20"/>
              <w:spacing w:after="0"/>
              <w:rPr>
                <w:sz w:val="20"/>
                <w:szCs w:val="20"/>
                <w:color w:val="auto"/>
              </w:rPr>
            </w:pPr>
            <w:r>
              <w:rPr>
                <w:rFonts w:ascii="Arial" w:cs="Arial" w:eastAsia="Arial" w:hAnsi="Arial"/>
                <w:sz w:val="18"/>
                <w:szCs w:val="18"/>
                <w:b w:val="1"/>
                <w:bCs w:val="1"/>
                <w:color w:val="auto"/>
              </w:rPr>
              <w:t>on investments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4,317,510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(5,487,631)</w:t>
            </w: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Net increase in net assets resulting from operations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$ 15,321,532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14,449,712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24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79" w:hanging="318"/>
        <w:spacing w:after="0" w:line="207" w:lineRule="auto"/>
        <w:tabs>
          <w:tab w:leader="none" w:pos="1340" w:val="left"/>
        </w:tabs>
        <w:numPr>
          <w:ilvl w:val="0"/>
          <w:numId w:val="31"/>
        </w:numPr>
        <w:rPr>
          <w:rFonts w:ascii="Arial" w:cs="Arial" w:eastAsia="Arial" w:hAnsi="Arial"/>
          <w:sz w:val="27"/>
          <w:szCs w:val="27"/>
          <w:color w:val="auto"/>
          <w:vertAlign w:val="superscript"/>
        </w:rPr>
      </w:pPr>
      <w:r>
        <w:rPr>
          <w:rFonts w:ascii="Arial" w:cs="Arial" w:eastAsia="Arial" w:hAnsi="Arial"/>
          <w:sz w:val="18"/>
          <w:szCs w:val="18"/>
          <w:color w:val="auto"/>
        </w:rPr>
        <w:t>The basic per share figures noted above are based on weighted averages of 26,266,501 and 16,280,773 shares outstanding for the six months ended June 30, 2020 and 2019, respectively.</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Investment income for the six months ended June 30, 2020 was $26,621,912 due primarily to interest income earned on our portfolio investments. Investment income for the six months ended June 30, 2019 was $28,546,319 due primarily to interest income earned on our portfolio investments. The decrease in interest income for the six months ended June 30, 2020 compared to the six months ended June 30, 2019 was a result of a decrease in prepayment fees and end of term payments received during the six months ended June 30, 2020.</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Operating expenses for the six months ended June 30, 2020 and 2019 were $9,104,485 and $9,102,284, respectively. Operating expenses per share for the six months ended June 30, 2020 and 2019 were $0.35 per share and $0.56 per share,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Incentive fees for the six months ended June 30, 2020 and 2019 were $3,220,976 and $4,615,995, respectively, incurred primarily due to investment income. Incentive fees decreased for the six months ended June 30, 2020 from the six months ended June 30, 2019 primarily due to a decrease in net investment income. $3,018,748 of the incentive fees for the six months ended June 30, 2020 were earned, payable in cash, and included in accrued incentive fees in the statement of assets and liabilities as of June 30, 2020. $202,228 of the incentive fees for the six months ended June 30, 2020 were deferred and accrued, and included in accrued incentive fees in the statement of assets and liabilities as of June 30, 2020. $4,005,256 of the incentive fees for the six months ended June 30, 2019 were earned, payable in cash, and included in accrued incentive fees in the statement of assets and liabilities as of June 30, 2019. $610,739 of the incentive fees for the six months ended June 30, 2019 were deferred and accrued, and included in accrued incentive fees in the statement of assets and liabilities as of June 30, 2020. Incentive fees related to PIK or deferred interest are accrued and payment is deferred until such interest is collected in cash. Incentive fees per share for the six months ended June 30, 2020 and June 30, 2019 were $0.12 and $0.28 per share,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Net investment income for the six months ended June 30, 2020 and 2019 was $17,517,427 and $19,444,035 respectively. Net investment income decreased for the six months ended June 30, 2020 from the six months ended June 30, 2019 primarily due to a decrease in prepayment fees and end of term payments received during the six months ended June 30, 2020. The decrease in early terminations and accompanying decrease in prepayment fees and associated income, may have been negatively impacted by the COVID-19 pandemic and the associated disruption in the capital markets and merger and acquisition markets. Net investment income per share for the six months ended June 30, 2020 and 2019 was $0.67 per share and $1.19 per share,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Realized Gain (Loss) on Investment</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net realized loss on investments of $6,513,405 for the six months ended June 30, 2020 was primarily due to the loss on our senior secured loan to Aginity, Inc. The net realized gain on investments of $493,308 for the six months ended June 30, 2019 were due to the gains on our warrants for preferred stock on Drawbridge, Inc. and Jibe, Inc.</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Net change in unrealized appreciation on investments of $4,317,510 for the six months ended June 30, 2020 was primarily due to increases in the fair value of our preferred stock and warrants in MTBC, Inc. and our common stock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Hercules Capital, Inc. The net change in unrealized depreciation on investments of $5,487,613 for the six months ended June 30, 2019 was primarily due to a decrease in the fair value of a senior secured loan in Aginity, Inc.</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had a net increase in net assets resulting from operations of $15,321,532 for the six months ended June 30, 2020, as compared to a net increase in net assets resulting from operations of $14,449,712 for the six months ended June 30, 2019. The net increase in net assets resulting from operations for the six months ended June 30, 2020 was primarily due to interest and other income earned from portfolio investments, offset by the net realized loss related to a senior secured loan in our portfolio to Aginity, Inc. The net increase in net assets resulting from operations for the six months ended June 30, 2019 was primarily due to interest and other income earned from portfolio investments, prepayment fees, and end of term payments, partially offset by increased management and incentive fees, professional fees incurred and the net change in unrealized depreciation related to a senior secured loan in our portfolio, Aginity, Inc.</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During the six months ended June 30, 2020, cash and cash equivalents decreased to $3,005,639 from $45,799,672 as of December 31, 2019. This decrease was primarily the result of the purchase of investments in portfolio companies for $100,537,492 and U.S. Treasury Bills for $94,999,834 and repayments under our Credit Facilities for $83,000,000 and was partially offset by the sales of investments in portfolio companies.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25"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On October 8, 2015, in connection with our initial capitalization, we issued 1,667 shares of our common stock to R. David Spreng, our President, Chief Executive Officer and Chairman of our Board of Directors, for an aggregate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purchase price of $25,000. The remaining shares were issued in connection with the Initial Private Offering, the Second Private Offering, or pursuant to our dividend reinvestment plan, as follows: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Issuance Date</w:t>
            </w: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5"/>
              </w:rPr>
              <w:t>Gross Proceeds</w:t>
            </w:r>
          </w:p>
        </w:tc>
        <w:tc>
          <w:tcPr>
            <w:tcW w:w="0" w:type="dxa"/>
            <w:vAlign w:val="bottom"/>
          </w:tcPr>
          <w:p>
            <w:pPr>
              <w:spacing w:after="0"/>
              <w:rPr>
                <w:sz w:val="1"/>
                <w:szCs w:val="1"/>
                <w:color w:val="auto"/>
              </w:rPr>
            </w:pPr>
          </w:p>
        </w:tc>
      </w:tr>
      <w:tr>
        <w:trPr>
          <w:trHeight w:val="171"/>
        </w:trPr>
        <w:tc>
          <w:tcPr>
            <w:tcW w:w="5740" w:type="dxa"/>
            <w:vAlign w:val="bottom"/>
            <w:gridSpan w:val="4"/>
            <w:vMerge w:val="continue"/>
          </w:tcPr>
          <w:p>
            <w:pPr>
              <w:spacing w:after="0"/>
              <w:rPr>
                <w:sz w:val="14"/>
                <w:szCs w:val="14"/>
                <w:color w:val="auto"/>
              </w:rPr>
            </w:pPr>
          </w:p>
        </w:tc>
        <w:tc>
          <w:tcPr>
            <w:tcW w:w="940" w:type="dxa"/>
            <w:vAlign w:val="bottom"/>
          </w:tcPr>
          <w:p>
            <w:pPr>
              <w:jc w:val="right"/>
              <w:ind w:right="191"/>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Per Share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April 19, 2017</w:t>
            </w: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26,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September 12, 2017</w:t>
            </w:r>
          </w:p>
        </w:tc>
        <w:tc>
          <w:tcPr>
            <w:tcW w:w="940" w:type="dxa"/>
            <w:vAlign w:val="bottom"/>
          </w:tcPr>
          <w:p>
            <w:pPr>
              <w:jc w:val="right"/>
              <w:spacing w:after="0"/>
              <w:rPr>
                <w:sz w:val="20"/>
                <w:szCs w:val="20"/>
                <w:color w:val="auto"/>
              </w:rPr>
            </w:pPr>
            <w:r>
              <w:rPr>
                <w:rFonts w:ascii="Arial" w:cs="Arial" w:eastAsia="Arial" w:hAnsi="Arial"/>
                <w:sz w:val="18"/>
                <w:szCs w:val="18"/>
                <w:color w:val="auto"/>
              </w:rPr>
              <w:t>2,666,667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Arial" w:cs="Arial" w:eastAsia="Arial" w:hAnsi="Arial"/>
                <w:sz w:val="17"/>
                <w:szCs w:val="17"/>
                <w:color w:val="auto"/>
              </w:rPr>
              <w:t>May 31, 2018</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70,563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31,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September 27, 2018</w:t>
            </w:r>
          </w:p>
        </w:tc>
        <w:tc>
          <w:tcPr>
            <w:tcW w:w="940" w:type="dxa"/>
            <w:vAlign w:val="bottom"/>
          </w:tcPr>
          <w:p>
            <w:pPr>
              <w:jc w:val="right"/>
              <w:spacing w:after="0"/>
              <w:rPr>
                <w:sz w:val="20"/>
                <w:szCs w:val="20"/>
                <w:color w:val="auto"/>
              </w:rPr>
            </w:pPr>
            <w:r>
              <w:rPr>
                <w:rFonts w:ascii="Arial" w:cs="Arial" w:eastAsia="Arial" w:hAnsi="Arial"/>
                <w:sz w:val="18"/>
                <w:szCs w:val="18"/>
                <w:color w:val="auto"/>
              </w:rPr>
              <w:t>1,997,337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15, 2018</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January 14, 2019</w:t>
            </w:r>
          </w:p>
        </w:tc>
        <w:tc>
          <w:tcPr>
            <w:tcW w:w="940" w:type="dxa"/>
            <w:vAlign w:val="bottom"/>
          </w:tcPr>
          <w:p>
            <w:pPr>
              <w:jc w:val="right"/>
              <w:spacing w:after="0"/>
              <w:rPr>
                <w:sz w:val="20"/>
                <w:szCs w:val="20"/>
                <w:color w:val="auto"/>
              </w:rPr>
            </w:pPr>
            <w:r>
              <w:rPr>
                <w:rFonts w:ascii="Arial" w:cs="Arial" w:eastAsia="Arial" w:hAnsi="Arial"/>
                <w:sz w:val="18"/>
                <w:szCs w:val="18"/>
                <w:color w:val="auto"/>
              </w:rPr>
              <w:t>4,344,964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March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Arial" w:cs="Arial" w:eastAsia="Arial" w:hAnsi="Arial"/>
                <w:sz w:val="17"/>
                <w:szCs w:val="17"/>
                <w:color w:val="auto"/>
              </w:rPr>
              <w:t>May 21,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374,783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24,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Arial" w:cs="Arial" w:eastAsia="Arial" w:hAnsi="Arial"/>
                <w:sz w:val="17"/>
                <w:szCs w:val="17"/>
                <w:color w:val="auto"/>
              </w:rPr>
              <w:t>July 16, 2019</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464,986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August 26,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October 15, 2019</w:t>
            </w:r>
          </w:p>
        </w:tc>
        <w:tc>
          <w:tcPr>
            <w:tcW w:w="940" w:type="dxa"/>
            <w:vAlign w:val="bottom"/>
          </w:tcPr>
          <w:p>
            <w:pPr>
              <w:jc w:val="right"/>
              <w:spacing w:after="0"/>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November 12,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December 20, 2019</w:t>
            </w:r>
          </w:p>
        </w:tc>
        <w:tc>
          <w:tcPr>
            <w:tcW w:w="940" w:type="dxa"/>
            <w:vAlign w:val="bottom"/>
          </w:tcPr>
          <w:p>
            <w:pPr>
              <w:jc w:val="right"/>
              <w:spacing w:after="0"/>
              <w:rPr>
                <w:sz w:val="20"/>
                <w:szCs w:val="20"/>
                <w:color w:val="auto"/>
              </w:rPr>
            </w:pPr>
            <w:r>
              <w:rPr>
                <w:rFonts w:ascii="Arial" w:cs="Arial" w:eastAsia="Arial" w:hAnsi="Arial"/>
                <w:sz w:val="18"/>
                <w:szCs w:val="18"/>
                <w:color w:val="auto"/>
              </w:rPr>
              <w:t>3,333,333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December 23, 2019</w:t>
            </w:r>
            <w:r>
              <w:rPr>
                <w:rFonts w:ascii="Arial" w:cs="Arial" w:eastAsia="Arial" w:hAnsi="Arial"/>
                <w:sz w:val="25"/>
                <w:szCs w:val="25"/>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tcPr>
          <w:p>
            <w:pPr>
              <w:spacing w:after="0" w:line="216" w:lineRule="exact"/>
              <w:rPr>
                <w:sz w:val="20"/>
                <w:szCs w:val="20"/>
                <w:color w:val="auto"/>
              </w:rPr>
            </w:pPr>
            <w:r>
              <w:rPr>
                <w:rFonts w:ascii="Arial" w:cs="Arial" w:eastAsia="Arial" w:hAnsi="Arial"/>
                <w:sz w:val="17"/>
                <w:szCs w:val="17"/>
                <w:color w:val="auto"/>
              </w:rPr>
              <w:t>March 20, 2020</w:t>
            </w:r>
            <w:r>
              <w:rPr>
                <w:rFonts w:ascii="Arial" w:cs="Arial" w:eastAsia="Arial" w:hAnsi="Arial"/>
                <w:sz w:val="25"/>
                <w:szCs w:val="25"/>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575,132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8,385,423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gridSpan w:val="3"/>
          </w:tcPr>
          <w:p>
            <w:pPr>
              <w:spacing w:after="0" w:line="216" w:lineRule="exact"/>
              <w:rPr>
                <w:sz w:val="20"/>
                <w:szCs w:val="20"/>
                <w:color w:val="auto"/>
              </w:rPr>
            </w:pPr>
            <w:r>
              <w:rPr>
                <w:rFonts w:ascii="Arial" w:cs="Arial" w:eastAsia="Arial" w:hAnsi="Arial"/>
                <w:sz w:val="17"/>
                <w:szCs w:val="17"/>
                <w:color w:val="auto"/>
              </w:rPr>
              <w:t>May 21, 2020</w:t>
            </w:r>
            <w:r>
              <w:rPr>
                <w:rFonts w:ascii="Arial" w:cs="Arial" w:eastAsia="Arial" w:hAnsi="Arial"/>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26,934,720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404,553,371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700" w:hanging="326"/>
        <w:spacing w:after="0" w:line="229" w:lineRule="auto"/>
        <w:tabs>
          <w:tab w:leader="none" w:pos="70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At June 30, 2020, the Company had $45,835,569 in unfunded loan commitments to provide debt financing to ten portfolio companies. The Company’s management believes that its available cash balances, availability under the Credit Agreement (as defined below) and/or ability to drawdown capital from investors provides sufficient funds to cover its unfunded commitments as of June 30, 2020.</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4"/>
              </w:rPr>
              <w:t>Payments Due By Period</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1020" w:type="dxa"/>
            <w:vAlign w:val="bottom"/>
          </w:tcPr>
          <w:p>
            <w:pPr>
              <w:jc w:val="right"/>
              <w:ind w:right="161"/>
              <w:spacing w:after="0" w:line="133"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3–5 years</w:t>
            </w:r>
          </w:p>
        </w:tc>
        <w:tc>
          <w:tcPr>
            <w:tcW w:w="1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41"/>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Reverse repurchase agreement</w:t>
            </w:r>
            <w:r>
              <w:rPr>
                <w:rFonts w:ascii="Arial" w:cs="Arial" w:eastAsia="Arial" w:hAnsi="Arial"/>
                <w:sz w:val="24"/>
                <w:szCs w:val="24"/>
                <w:color w:val="auto"/>
                <w:vertAlign w:val="superscript"/>
              </w:rPr>
              <w:t>(1)</w:t>
            </w:r>
          </w:p>
        </w:tc>
        <w:tc>
          <w:tcPr>
            <w:tcW w:w="9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$ 44,773,302</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$ 44,773,302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line="216" w:lineRule="exact"/>
              <w:rPr>
                <w:sz w:val="20"/>
                <w:szCs w:val="20"/>
                <w:color w:val="auto"/>
              </w:rPr>
            </w:pPr>
            <w:r>
              <w:rPr>
                <w:rFonts w:ascii="Arial" w:cs="Arial" w:eastAsia="Arial" w:hAnsi="Arial"/>
                <w:sz w:val="17"/>
                <w:szCs w:val="17"/>
                <w:color w:val="auto"/>
              </w:rPr>
              <w:t>Credit facilities</w:t>
            </w:r>
            <w:r>
              <w:rPr>
                <w:rFonts w:ascii="Arial" w:cs="Arial" w:eastAsia="Arial" w:hAnsi="Arial"/>
                <w:sz w:val="25"/>
                <w:szCs w:val="25"/>
                <w:color w:val="auto"/>
                <w:vertAlign w:val="superscript"/>
              </w:rPr>
              <w:t>(2)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$ 69,773,302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$ 69,773,302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00" w:right="79" w:hanging="326"/>
        <w:spacing w:after="0" w:line="207" w:lineRule="auto"/>
        <w:tabs>
          <w:tab w:leader="none" w:pos="70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Reverse repurchase agreement relates to the purchase of the U.S. Treasury Bill on margin. The reverse repurchase agreement purchased was subsequently repaid in July 2020.</w:t>
      </w:r>
    </w:p>
    <w:p>
      <w:pPr>
        <w:spacing w:after="0" w:line="133" w:lineRule="exact"/>
        <w:rPr>
          <w:rFonts w:ascii="Arial" w:cs="Arial" w:eastAsia="Arial" w:hAnsi="Arial"/>
          <w:sz w:val="27"/>
          <w:szCs w:val="27"/>
          <w:color w:val="auto"/>
          <w:vertAlign w:val="superscript"/>
        </w:rPr>
      </w:pPr>
    </w:p>
    <w:p>
      <w:pPr>
        <w:ind w:left="700" w:hanging="326"/>
        <w:spacing w:after="0"/>
        <w:tabs>
          <w:tab w:leader="none" w:pos="700" w:val="left"/>
        </w:tabs>
        <w:numPr>
          <w:ilvl w:val="0"/>
          <w:numId w:val="33"/>
        </w:numPr>
        <w:rPr>
          <w:rFonts w:ascii="Arial" w:cs="Arial" w:eastAsia="Arial" w:hAnsi="Arial"/>
          <w:sz w:val="26"/>
          <w:szCs w:val="26"/>
          <w:color w:val="auto"/>
          <w:vertAlign w:val="superscript"/>
        </w:rPr>
      </w:pPr>
      <w:r>
        <w:rPr>
          <w:rFonts w:ascii="Arial" w:cs="Arial" w:eastAsia="Arial" w:hAnsi="Arial"/>
          <w:sz w:val="17"/>
          <w:szCs w:val="17"/>
          <w:color w:val="auto"/>
        </w:rPr>
        <w:t>See “Note 10 – Credit Facilities.” to our financial statements in Part I of this Form 10-Q for more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On May 31, 2019, we entered into a Credit Agreement (the “Credit Agreement”) by and among the Company, as borrower, KeyBank National Association, as administrative agent, syndication agent, and a lender, CIBC Bank USA</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the Credit Agreement.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39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June 22, 2018, as amended on September 24, 2018, we entered into a demand loan agreement (the “Uncommitted Facility”) and a revolving loan agreement (the “Committed Facility” and, together with the Uncommitted Facility, the “Credit Facilities”)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On May 31, 2019, in conjunction with securing and entering into the new Credit Agreement, we terminated the Credit Facilities.</w:t>
      </w:r>
    </w:p>
    <w:p>
      <w:pPr>
        <w:spacing w:after="0" w:line="19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During the six months ended June 30, 2020, the Company drew down $47,000,000 on the Credit Agreement and repaid $83,000,000, of which $25,000,000 remains outstanding at June 30, 2020. At June 30, 2020, interest was accruing at a rate of 3.98%. During the year ended December 31, 2019, the Company drew down $162,250,000 on the Credit Facilities and repaid $160,750,000 of which $61,000,000 remained outstanding at December 31, 2019. At December 31, 2019, interest was accruing at a rate of 5.10%. See “Note 10 – Credit Facilities” to our financial statements in Part I, Item 1 of this Form 10-Q for more information on the Credit Facilities.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currently have no off-balance sheet arrangements, including any risk management of commodity pricing or other hedging practices.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six months ended June 30, 2020, we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 xml:space="preserve">declared dividends in the amount of $19,567,064, of which $3,643,100, was distributed in cash and the remainder distributed in shares to stockholders pursuant to our dividend reinvestment plan. </w:t>
      </w:r>
      <w:r>
        <w:rPr>
          <w:rFonts w:ascii="Arial" w:cs="Arial" w:eastAsia="Arial" w:hAnsi="Arial"/>
          <w:sz w:val="17"/>
          <w:szCs w:val="17"/>
          <w:color w:val="231F20"/>
        </w:rPr>
        <w:t>During the year ended December 31,</w:t>
      </w:r>
      <w:r>
        <w:rPr>
          <w:rFonts w:ascii="Arial" w:cs="Arial" w:eastAsia="Arial" w:hAnsi="Arial"/>
          <w:sz w:val="17"/>
          <w:szCs w:val="17"/>
          <w:color w:val="auto"/>
        </w:rPr>
        <w:t xml:space="preserve"> </w:t>
      </w:r>
      <w:r>
        <w:rPr>
          <w:rFonts w:ascii="Arial" w:cs="Arial" w:eastAsia="Arial" w:hAnsi="Arial"/>
          <w:sz w:val="17"/>
          <w:szCs w:val="17"/>
          <w:color w:val="231F20"/>
        </w:rPr>
        <w:t>2019, we declared and paid dividends in the amount of $40,651,334, of which $8,192,547 was distributed in cash and the remainder distributed in shares to stockholders pursuant to our dividend reinvestment program.</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June 30,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7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Record Date</w:t>
            </w:r>
          </w:p>
        </w:tc>
        <w:tc>
          <w:tcPr>
            <w:tcW w:w="15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9"/>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1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August 15, 2018</w:t>
            </w:r>
          </w:p>
        </w:tc>
        <w:tc>
          <w:tcPr>
            <w:tcW w:w="1540" w:type="dxa"/>
            <w:vAlign w:val="bottom"/>
          </w:tcPr>
          <w:p>
            <w:pPr>
              <w:jc w:val="right"/>
              <w:spacing w:after="0"/>
              <w:rPr>
                <w:sz w:val="20"/>
                <w:szCs w:val="20"/>
                <w:color w:val="auto"/>
              </w:rPr>
            </w:pPr>
            <w:r>
              <w:rPr>
                <w:rFonts w:ascii="Arial" w:cs="Arial" w:eastAsia="Arial" w:hAnsi="Arial"/>
                <w:sz w:val="18"/>
                <w:szCs w:val="18"/>
                <w:color w:val="auto"/>
              </w:rPr>
              <w:t>August 31, 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October 31, 2018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November 15, 2018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March 22, 2019</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26, 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7, 2019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May 31, 2019</w:t>
            </w:r>
          </w:p>
        </w:tc>
        <w:tc>
          <w:tcPr>
            <w:tcW w:w="1540" w:type="dxa"/>
            <w:vAlign w:val="bottom"/>
          </w:tcPr>
          <w:p>
            <w:pPr>
              <w:jc w:val="right"/>
              <w:spacing w:after="0"/>
              <w:rPr>
                <w:sz w:val="20"/>
                <w:szCs w:val="20"/>
                <w:color w:val="auto"/>
              </w:rPr>
            </w:pPr>
            <w:r>
              <w:rPr>
                <w:rFonts w:ascii="Arial" w:cs="Arial" w:eastAsia="Arial" w:hAnsi="Arial"/>
                <w:sz w:val="18"/>
                <w:szCs w:val="18"/>
                <w:color w:val="auto"/>
              </w:rPr>
              <w:t>July 16, 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August 8, 2019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26,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September 30, 2019</w:t>
            </w:r>
          </w:p>
        </w:tc>
        <w:tc>
          <w:tcPr>
            <w:tcW w:w="1540" w:type="dxa"/>
            <w:vAlign w:val="bottom"/>
          </w:tcPr>
          <w:p>
            <w:pPr>
              <w:jc w:val="right"/>
              <w:spacing w:after="0"/>
              <w:rPr>
                <w:sz w:val="20"/>
                <w:szCs w:val="20"/>
                <w:color w:val="auto"/>
              </w:rPr>
            </w:pPr>
            <w:r>
              <w:rPr>
                <w:rFonts w:ascii="Arial" w:cs="Arial" w:eastAsia="Arial" w:hAnsi="Arial"/>
                <w:sz w:val="18"/>
                <w:szCs w:val="18"/>
                <w:color w:val="auto"/>
                <w:w w:val="91"/>
              </w:rPr>
              <w:t>November 12, 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December 10, 2019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December 23, 2019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March 6, 2020</w:t>
            </w:r>
          </w:p>
        </w:tc>
        <w:tc>
          <w:tcPr>
            <w:tcW w:w="1540" w:type="dxa"/>
            <w:vAlign w:val="bottom"/>
          </w:tcPr>
          <w:p>
            <w:pPr>
              <w:jc w:val="right"/>
              <w:spacing w:after="0"/>
              <w:rPr>
                <w:sz w:val="20"/>
                <w:szCs w:val="20"/>
                <w:color w:val="auto"/>
              </w:rPr>
            </w:pPr>
            <w:r>
              <w:rPr>
                <w:rFonts w:ascii="Arial" w:cs="Arial" w:eastAsia="Arial" w:hAnsi="Arial"/>
                <w:sz w:val="18"/>
                <w:szCs w:val="18"/>
                <w:color w:val="auto"/>
              </w:rPr>
              <w:t>March 20, 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2020</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May 8, 2020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21, 2020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measure the value of our portfolio investments at fair value in accordance with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portfolio investments. As a result, the fair market values of our portfolio investments may be negatively impacted after June 30, 2020 by circumstances and events that are not yet known, 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our portfolio investments.</w:t>
      </w:r>
    </w:p>
    <w:p>
      <w:pPr>
        <w:spacing w:after="0" w:line="18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9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6" w:lineRule="exact"/>
        <w:rPr>
          <w:sz w:val="20"/>
          <w:szCs w:val="20"/>
          <w:color w:val="auto"/>
        </w:rPr>
      </w:pPr>
    </w:p>
    <w:p>
      <w:pPr>
        <w:ind w:left="700" w:right="79" w:hanging="32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1—Valuations are based on quoted prices in active markets for identical assets or liabilities that are accessible at the measurement date.</w:t>
      </w:r>
    </w:p>
    <w:p>
      <w:pPr>
        <w:spacing w:after="0" w:line="14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43" w:lineRule="exact"/>
        <w:rPr>
          <w:rFonts w:ascii="Arial" w:cs="Arial" w:eastAsia="Arial" w:hAnsi="Arial"/>
          <w:sz w:val="18"/>
          <w:szCs w:val="18"/>
          <w:color w:val="auto"/>
        </w:rPr>
      </w:pPr>
    </w:p>
    <w:p>
      <w:pPr>
        <w:jc w:val="both"/>
        <w:ind w:left="700" w:right="79" w:hanging="326"/>
        <w:spacing w:after="0" w:line="25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71"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6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700" w:right="79" w:hanging="32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29" w:lineRule="exact"/>
        <w:rPr>
          <w:rFonts w:ascii="Arial" w:cs="Arial" w:eastAsia="Arial" w:hAnsi="Arial"/>
          <w:sz w:val="18"/>
          <w:szCs w:val="18"/>
          <w:color w:val="auto"/>
        </w:rPr>
      </w:pPr>
    </w:p>
    <w:p>
      <w:pPr>
        <w:ind w:left="700" w:hanging="326"/>
        <w:spacing w:after="0"/>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Preliminary valuation conclusions are then documented and discussed with RGC’s senior investment team;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311"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21" w:lineRule="exact"/>
        <w:rPr>
          <w:rFonts w:ascii="Arial" w:cs="Arial" w:eastAsia="Arial" w:hAnsi="Arial"/>
          <w:sz w:val="16"/>
          <w:szCs w:val="16"/>
          <w:color w:val="auto"/>
        </w:rPr>
      </w:pPr>
    </w:p>
    <w:p>
      <w:pPr>
        <w:ind w:left="700" w:right="79" w:hanging="326"/>
        <w:spacing w:after="0" w:line="308" w:lineRule="auto"/>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Audit Committee then reviews these preliminary valuations from RGC and the applicable independent valuation firm, if any, and makes a recommendation to our Board of Directors regarding such valuations; and</w:t>
      </w:r>
    </w:p>
    <w:p>
      <w:pPr>
        <w:spacing w:after="0" w:line="105" w:lineRule="exact"/>
        <w:rPr>
          <w:rFonts w:ascii="Arial" w:cs="Arial" w:eastAsia="Arial" w:hAnsi="Arial"/>
          <w:sz w:val="17"/>
          <w:szCs w:val="17"/>
          <w:color w:val="auto"/>
        </w:rPr>
      </w:pPr>
    </w:p>
    <w:p>
      <w:pPr>
        <w:jc w:val="both"/>
        <w:ind w:left="700" w:right="79" w:hanging="326"/>
        <w:spacing w:after="0" w:line="263"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To determine the fair value of our debt investments, we compare the cost basis of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which includes original 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9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w:t>
      </w:r>
      <w:r>
        <w:rPr>
          <w:rFonts w:ascii="Arial" w:cs="Arial" w:eastAsia="Arial" w:hAnsi="Arial"/>
          <w:sz w:val="18"/>
          <w:szCs w:val="18"/>
          <w:i w:val="1"/>
          <w:iCs w:val="1"/>
          <w:color w:val="auto"/>
        </w:rPr>
        <w:t xml:space="preserve"> </w:t>
      </w:r>
      <w:r>
        <w:rPr>
          <w:rFonts w:ascii="Arial" w:cs="Arial" w:eastAsia="Arial" w:hAnsi="Arial"/>
          <w:sz w:val="18"/>
          <w:szCs w:val="18"/>
          <w:color w:val="auto"/>
        </w:rPr>
        <w:t>held warrants and equity-related securities are valued based on an analysis of various factors including, but not limited to, the following:</w:t>
      </w:r>
    </w:p>
    <w:p>
      <w:pPr>
        <w:spacing w:after="0" w:line="184" w:lineRule="exact"/>
        <w:rPr>
          <w:sz w:val="20"/>
          <w:szCs w:val="20"/>
          <w:color w:val="auto"/>
        </w:rPr>
      </w:pPr>
    </w:p>
    <w:p>
      <w:pPr>
        <w:jc w:val="both"/>
        <w:ind w:left="700" w:right="79" w:hanging="326"/>
        <w:spacing w:after="0" w:line="290" w:lineRule="auto"/>
        <w:tabs>
          <w:tab w:leader="none" w:pos="7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back-solve techniques, Probability Weighted Expected Return Models, or “PWERM,” and other techniques as determined to be appropriate.</w:t>
      </w:r>
    </w:p>
    <w:p>
      <w:pPr>
        <w:spacing w:after="0" w:line="143" w:lineRule="exact"/>
        <w:rPr>
          <w:sz w:val="20"/>
          <w:szCs w:val="20"/>
          <w:color w:val="auto"/>
        </w:rPr>
      </w:pPr>
    </w:p>
    <w:p>
      <w:pPr>
        <w:jc w:val="both"/>
        <w:ind w:left="700" w:right="79" w:hanging="326"/>
        <w:spacing w:after="0" w:line="296" w:lineRule="auto"/>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20" w:lineRule="exact"/>
        <w:rPr>
          <w:rFonts w:ascii="Arial" w:cs="Arial" w:eastAsia="Arial" w:hAnsi="Arial"/>
          <w:sz w:val="16"/>
          <w:szCs w:val="16"/>
          <w:color w:val="auto"/>
        </w:rPr>
      </w:pPr>
    </w:p>
    <w:p>
      <w:pPr>
        <w:jc w:val="both"/>
        <w:ind w:left="700" w:right="79" w:hanging="326"/>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1" w:lineRule="exact"/>
        <w:rPr>
          <w:rFonts w:ascii="Arial" w:cs="Arial" w:eastAsia="Arial" w:hAnsi="Arial"/>
          <w:sz w:val="18"/>
          <w:szCs w:val="18"/>
          <w:color w:val="auto"/>
        </w:rPr>
      </w:pPr>
    </w:p>
    <w:p>
      <w:pPr>
        <w:jc w:val="both"/>
        <w:ind w:left="700" w:right="79" w:hanging="326"/>
        <w:spacing w:after="0" w:line="25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60" w:lineRule="exact"/>
        <w:rPr>
          <w:rFonts w:ascii="Arial" w:cs="Arial" w:eastAsia="Arial" w:hAnsi="Arial"/>
          <w:sz w:val="18"/>
          <w:szCs w:val="18"/>
          <w:color w:val="auto"/>
        </w:rPr>
      </w:pPr>
    </w:p>
    <w:p>
      <w:pPr>
        <w:jc w:val="both"/>
        <w:ind w:left="700" w:right="79" w:hanging="326"/>
        <w:spacing w:after="0" w:line="254"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amount invested. We 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assets measured at fair value on a recurring basis subject to the requirements of ASC Topic 820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and December 31, 2019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June 30, 2020 (Unaudited)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2,980,045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2,980,045</w:t>
            </w: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318,374</w:t>
            </w: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369,034,328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369,034,328</w:t>
            </w: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17,891,494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17,891,494</w:t>
            </w:r>
          </w:p>
        </w:tc>
      </w:tr>
      <w:tr>
        <w:trPr>
          <w:trHeight w:val="216"/>
        </w:trPr>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20,264,970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20,264,970</w:t>
            </w: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2,980,045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410,489,211</w:t>
            </w:r>
          </w:p>
        </w:tc>
      </w:tr>
      <w:tr>
        <w:trPr>
          <w:trHeight w:val="216"/>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44,998,500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44,998,500</w:t>
            </w:r>
          </w:p>
        </w:tc>
      </w:tr>
      <w:tr>
        <w:trPr>
          <w:trHeight w:val="209"/>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47,978,545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318,374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407,190,792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455,487,711</w:t>
            </w: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2019</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120" w:type="dxa"/>
            <w:vAlign w:val="bottom"/>
          </w:tcPr>
          <w:p>
            <w:pPr>
              <w:ind w:left="100"/>
              <w:spacing w:after="0"/>
              <w:rPr>
                <w:sz w:val="20"/>
                <w:szCs w:val="20"/>
                <w:color w:val="auto"/>
              </w:rPr>
            </w:pPr>
            <w:r>
              <w:rPr>
                <w:rFonts w:ascii="Arial" w:cs="Arial" w:eastAsia="Arial" w:hAnsi="Arial"/>
                <w:sz w:val="18"/>
                <w:szCs w:val="18"/>
                <w:color w:val="auto"/>
              </w:rPr>
              <w:t>Senior Secured Term Loans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349,570,424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1"/>
              </w:rPr>
              <w:t>349,570,424</w:t>
            </w: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437,515</w:t>
            </w:r>
          </w:p>
        </w:tc>
      </w:tr>
      <w:tr>
        <w:trPr>
          <w:trHeight w:val="216"/>
        </w:trPr>
        <w:tc>
          <w:tcPr>
            <w:tcW w:w="31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18,008,337</w:t>
            </w: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r>
      <w:tr>
        <w:trPr>
          <w:trHeight w:val="216"/>
        </w:trPr>
        <w:tc>
          <w:tcPr>
            <w:tcW w:w="3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U.S. Treasury Bill</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99,965,423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99,965,423</w:t>
            </w:r>
          </w:p>
        </w:tc>
      </w:tr>
      <w:tr>
        <w:trPr>
          <w:trHeight w:val="210"/>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99,965,423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368,016,276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467,981,699</w:t>
            </w:r>
          </w:p>
        </w:tc>
      </w:tr>
      <w:tr>
        <w:trPr>
          <w:trHeight w:val="20"/>
        </w:trPr>
        <w:tc>
          <w:tcPr>
            <w:tcW w:w="3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7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Dividends are recorded on the applicable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Amended Advisory Agreement and the fee structure thereunder.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have elected to be treated,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evaluated events subsequent to June 30, 2020 through August 13,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1, 2020, the Company funded $250,000 to The Kairn Corporation.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 July 22, 2020, the Company funded an investment of $40,000,000 to Porch.com, Inc.</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August 5, 2020 the Company declared a dividend of $0.36 per share payable on August 20, 2020 to shareholders of record as of August 6, 2020. The Company set June 30, 2020 as the valuation date for shares issued in connection with the dividend pursuant to the Company’s dividend reinvestment plan.</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August 10, 2020, Ouster, Inc. prepaid $3,000,000 on it’s outstanding principal balance. In addition the Company received cash proceeds of $233,292 in conjunction with ETP, prepayment fees, and interest for total proceeds of $3,233,292.</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On August 10, 2020, RGC, the Company, and certain other funds and accounts sponsored or managed by RGC and/or its affiliates were granted an order (the “Order”) that permits the Company greater flexibility than the 1940 Act permits to negotiate the terms of co-investments if the Board determines that it would be advantageous for the Company to co-invest with other accounts sponsored or managed by RGC or its affiliates in a manner consistent with the Company’s investment objective, positions, policies, strategies and restrictions as well as regulatory requirements and other pertinent factors. The Company believes that the ability to co-invest with similar investment structures and accounts sponsored or managed by RGC or its affiliates will provide additional investment opportunities and the ability to achieve greater diversification. Under the terms of the Order, a majority of the Company’s independent directors are required to make certain determinations in connection with a co-investment transaction, including that (1) the terms of the proposed transaction are reasonable and fair to the Company and the Company’s shareholders and do not involve overreaching of the Company or the Company’s shareholders on the part of any person concerned and (2) the transaction is consistent with the interests of the Company’s shareholders and is consistent with the Company’s investment strategies and policies.</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On March 11, 2020, the World Health Organization declared the novel coronavirus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our portfolio companies, our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 pace of our investment activity, which may have a material adverse impact on our results of operations. Such volatility and disruption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have also led to the increased credit spreads in the private debt capital markets. Further, the operational and financial performance of the portfolio companies in which we make investments may continue to be significantly impacted by the COVID-19 pandemic, which may in turn continue to impact the valuation of our investments. As a result, the long term impacts of the COVID-19 pandemic may not yet be fully reflected in the valuation of our investments and the fair value of our portfolio investments may be further negatively impacted after June 30, 2020 by circumstances and events that are not yet known, including the complete or continuing impact of the COVID-19 pandemic and the resulting measures taken in response thereto. In addition, write downs in the value of our investments have reduced, and any additional write downs may further reduce, our net asset value (and, as a result, our asset coverage calculation). Accordingly, we may continue to incur additional net unrealized losses or may incur realized losses after June 30, 2020, which could have a material adverse effect on our business, financial condition and results of operations.</w:t>
      </w:r>
    </w:p>
    <w:p>
      <w:pPr>
        <w:spacing w:after="0" w:line="16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Accordingly, we cannot predict the extent to which our financial condition and results of operations will be affected at this time. The potential impact to our results will depend to a large extent on future developments and new information that may emerge regarding the duration and severity of the COVID-19 pandemic and the actions taken by authorities and other entities to contain the coronavirus or treat its impact, all of which are beyond our control.</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We commenced investment activities in portfolio securities during the quarter ended June 30, 2017 and commenced investment activities in U.S. Treasury Bills during the quarter ended December 31, 2016.</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II – Other Information, Item 1A. Risk Factors.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may exaggerate the inherent difficulty in determining the fair market value of our investments.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typically expect that interest rates on the investments held in our portfolio will be based on LIBOR, with many of these investments also having a LIBOR floor. As of June 30, 2020, 98.9%, or $371,142,199 (at cost), of our debt portfolio investments bore interest at variable rates, which are U.S. Prime Rate or LIBOR-based and subject to certain floors, and none of our debt portfolio investments bore interest at fixed rates.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$7,603,125 and decrease our investment income by a maximum of $139,355 on an annual basis.</w:t>
      </w:r>
    </w:p>
    <w:p>
      <w:pPr>
        <w:spacing w:after="0" w:line="19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plus 3.00%.</w:t>
      </w:r>
    </w:p>
    <w:p>
      <w:pPr>
        <w:spacing w:after="0" w:line="170"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United Kingdom’s Financial Conduct Authority (the “FCA”), which regulates LIBOR, has announced that it will not compel panel banks to contribute to LIBOR after 2021. It is unclear if at that time LIBOR will cease to exist or if new methods of calculating LIBOR will be established such that it continues to exist after 2021. In addition, on March 25, 2020, the FCA stated that although the central assumption that firms cannot rely on LIBOR being published after the end of 2021 has not changed, the outbreak of COVID-19 has impacted the timing of many firms’ transition planning, and the FCA will continue to assess the impact of the COVID-19 pandemic on transition timelines and update the marketplace as soon as possible.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 The global COVID-19 pandemic may also adversely impact the timing of many firms’ LIBOR transition planning. We continue to assess the potential impact of the COVID-19 pandemic on our LIBOR transition plans.</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market. These risks will vary depending upon the currency or currencies involved, and may be exacerbated by the COVID-19 pandemic and its impact on foreign financial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8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during the period ended June 30, 2020 to the risk factors discussed in “Risk Factors” in Part I, Item 1A of our annual report on Form 10-K for the fiscal year ended December 31, 2019, filed with the SEC on March 20,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consumer services industry.</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Portfolio companies in the consumer services sector are subject to many risks, including the negative impact of regulation, changing technology, a competitive marketplace, unpredictability in attracting new customers and difficulty in obtaining financing. Portfolio companies in the consumer services industry must respond quickly to technological changes and understand the impact of these changes on customers’ preferences. If a significant number of clients of our portfolio companies in the consumer services industry, or any one client to whom a portfolio company intends to provide a significant amount of services, were to terminate services, or reduce the amount of services purchased or fail to purchase additional services or delay payment of fees, the portfolio company’s results of operations may be negatively and materially affected. If the client retention rate of any our portfolio companies declines, the portfolio company’s revenue could decline unless it is able to obtain additional clients or alternate revenue sources. Additionally, adverse economic,</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business, or regulatory developments affecting the consumer services sector could have a negative impact on the value of our investments in portfolio companies operating in this industry, and therefore could negatively impact our business and results of operations.</w:t>
      </w:r>
    </w:p>
    <w:p>
      <w:pPr>
        <w:spacing w:after="0" w:line="18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1"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and its service providers are currently impacted by quarantines and similar measures being enacted by governments in response to the COVID-19 pandemic, which are obstructing the regular functioning of business workforces (including requiring employees to work from external locations and their homes). Accordingly, the risks described above may be heightened under current conditions.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December 2019. The global impact of the outbreak is rapidly evolving, and many countries have reacted by instituting quarantines, prohibitions on travel and the closure of offices, businesses, schools, retail stores and other public venues. Businesses are also implementing similar precautionary measures. Such measures, as well as the general uncertainty surrounding the dangers and impact of the COVID-19 pandemic, have created significant disruption in supply chains and economic activity. The impact of the COVID-19 pandemic has led to significant volatility and declines in the global public equity markets and it is uncertain how long this volatility will continue. As COVID-19 continues to spread, the potential impacts, including a global, regional or other economic recession, are increasingly uncertain and difficult to assess. Some economists and major investment banks have expressed concern that the continued spread of the virus globally could lead to a world-wide economic downturn.</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the recent disruption in economic activity caused by the COVID-19 pandemic has had, and may continue to have, a negative effect on the potential for liquidity events involving our investments. 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6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goods and services, investor liquidity, consumer confidence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even temporarily or permanently halted, as a result of government quarantine measures, voluntary and precautionary restrictions on travel or meetings and other factors related to a public health emergency, including its potential adverse impact on the health of any of our or our portfolio companies’ personnel. This could create widespread business continuity issues for us and our portfolio companies.</w:t>
      </w:r>
    </w:p>
    <w:p>
      <w:pPr>
        <w:spacing w:after="0" w:line="18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factors may also cause the valuation of our investments to differ materially from the values that we may ultimately realize. Our valuations, and particularly valuations of private investments and private companies, are inherently uncertain, may fluctuate over short periods of time and are often based on estimates, comparisons and qualitative evaluations of private information that may not show the complete impact of the COVID-19 pandemic and the resulting measures taken in response thereto.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6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Political, social and economic uncertainty, including uncertainty related to the COVID-19 pandemic, creates and exacerbates risks.</w:t>
      </w:r>
    </w:p>
    <w:p>
      <w:pPr>
        <w:spacing w:after="0" w:line="17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For example, in December 2019, COVID-19 emerged in China and has since spread rapidly to other countries, including the United States. This outbreak has led and for an unknown period of time will continue to lead to disruptions in local, regional, national and global markets and economies affected thereby. With respect to the U.S. credit markets (in particular for middle-market loans), this outbreak has resulted in, and until fully resolved is likely to continue to result in, the following among other things: (i) government imposition of various forms of shelter in place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middle-market businesses. This outbreak is having, and any future outbreaks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us and returns to us, among other things. As of the date of this 10-Q, it is impossible to determine the scope of this outbreak, or any future outbreaks, how long any such outbreak, market disruption or uncertainties may last, the effect any governmental actions will have or the full potential impact on us, RGC and our portfolio companies.</w:t>
      </w:r>
    </w:p>
    <w:p>
      <w:pPr>
        <w:spacing w:after="0" w:line="39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Although it is impossible to predict the precise nature and consequences of these events, or of any political or policy decisions and regulatory changes occasioned by emerging events or uncertainty on applicable laws or regulations that impact us, our portfolio companies and our investments, it is clear that these types of events are impacting and will, for at least some time, continue to impact us and our portfolio companies and, in many instances, the impact will be adverse and profound. For example, middle-market companies in which we invest may be significantly impacted by these emerging events and the uncertainty caused by these events. The effects of a public health emergency may materially and adversely impact (i) the value and performance of us and our portfolio companies, (ii) the ability of our borrowers to continue to meet loan covenants or repay loans provided by us on a timely basis or at all, which may require us to restructure our investments or write down the value of our investments, (iii) our ability to repay debt obligations, on a timely basis or at all, or (iv) our ability to source, manage and divest investments and achieve our investment objectives, all of which could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result in significant losses to us. We will also be negatively affected if the operations and effectiveness of RGC or a portfolio company (or any of the key personnel or service providers of the foregoing) is compromised or if necessary or beneficial systems and processes are disrupted.</w:t>
      </w:r>
    </w:p>
    <w:p>
      <w:pPr>
        <w:spacing w:after="0" w:line="18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If the economy is unable to substantially reopen, and high levels of unemployment continue for an extended period of time, loan delinquencies, loan non-accruals, problem assets, and bankruptcies may increase. In addition, collateral for our loans may decline in value, which could cause loan losses to increase and the net worth and liquidity of loan guarantors could decline, impairing their ability to honor commitments to us. An increase in loan delinquencies and non-accruals or a decrease in loan collateral and guarantor net worth could result in increased costs and reduced income which would have a material adverse effect on our business, financial condition or results of operations.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4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this quarterly report or incorporated herein by reference,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87"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Due to the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w:t>
      </w:r>
    </w:p>
    <w:p>
      <w:pPr>
        <w:spacing w:after="0" w:line="16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may choose to pay distributions in our own stock, including in connection with our dividend reinvestment plan, in which case you may be required to pay U.S. federal income taxes in excess of the cash distributions you receive.</w:t>
      </w:r>
    </w:p>
    <w:p>
      <w:pPr>
        <w:spacing w:after="0" w:line="12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distribute taxable distributions that are payable in cash or shares of our common stock at the election of each stockholder. Under certain applicable provisions of the Code and the published guidance, distributions payable of a publicly offered RIC that are in cash or in shares of stock at the election of stockholders may be treated as taxable distributions. The Internal Revenue Service has issued a revenue procedure indicating that this rule will apply if the total amount of cash to be distributed is not less than 20% (which has been temporarily reduced to 10% for distributions declared on or after April 1, 2020, and on or before December 31, 2020) of the total distribution. Under this revenue procedure, if too many stockholders elect to receive their distributions in cash, the cash available for distribution must be allocated among the stockholders electing to receive cash (with the balance of distributions paid in stock).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sell shares of our common stock in order to pay U.S. federal income taxes owed on dividends, it may put downward pressure on the net asset value of our common stock.</w:t>
      </w:r>
    </w:p>
    <w:p>
      <w:pPr>
        <w:spacing w:after="0" w:line="16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interest rates of our term loans to our portfolio companies that extend beyond 2021 might be subject to change based on recent regulatory changes.</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LIBOR, the London Interbank Offered Rate, is the basic rate of interest used in lending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partner company is calculated using LIBOR. The terms of our debt investments generally include minimum interest rate floors which are calculated based on LIBOR.</w:t>
      </w:r>
    </w:p>
    <w:p>
      <w:pPr>
        <w:spacing w:after="0" w:line="18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27, 2017, the United Kingdom’s Financial Conduct Authority, which regulates LIBOR, announced that it will not compel panel banks to contribute to LIBOR after 2021. It is unclear if at that time LIBOR will cease to exist or if new methods of calculating LIBOR will be established such that it continues to exist after 2021. Central banks and regulators in a number of major jurisdictions (for example, United States, United Kingdom, European Union, Switzerland and Japan) have convened working groups to find, and implement the transition to, suitable replacements for interbank offered rates (“IBORs”). The E.U. Benchmarks Regulation imposed conditions under which only compliant benchmarks may be used in new contracts after 2021. To identify a successor rate for U.S. dollar LIBOR, the Alternative Reference Rates Committee (“ARRC”), a U.S.-based group convened by the Federal Reserve Board and the Federal Reserve Bank of New York, was formed. The ARRC has identified the Secured Overnight Financing Rate (“SOFR”) as its preferred alternative rate for LIBOR. SOFR is a measure of the cost of borrowing cash overnight, collateralized by U.S. Treasury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securities, and is based on directly observable U.S. Treasury-backed repurchase transactions. In addition, on March 25, 2020, the U.K. Financial Conduct Authority reaffirmed the central assumption that firms cannot rely on LIBOR being published after the end of 2021. However, the outbreak of COVID-19 may adversely impact the timing of many firms’ transition planning, and we continue to assess the potential impact of the COVID-19 outbreak on our transition plans. Although SOFR appears to be the preferred replacement rate for U.S. dollar LIBOR, at this time, it is not possible to predict the effect of any such changes, any establishment of alternative reference rates, whether the COVID-19 outbreak will have further effect on LIBOR transition timelines or plans, or other reforms to LIBOR that may be enacted in the United States, United Kingdom or elsewhere. The elimination of LIBOR or any other changes or reforms to the determination or supervision of LIBOR or alternative reference rates could have an adverse impact on the market for or value of any LIBOR-linked securities, loans, and other financial obligations or extensions of credit held by or due to us. In addition, 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As such, some or all of these credit agreements may bear a lower interest rate, which would adversely impact our financial condition or results of operations. Moreover, if LIBOR ceases to exist, we may need to renegotiate certain terms of the Financing Facilities. If we are unable to do so, amounts drawn under the Financing Facilities may bear interest at a higher rate, which would increase the cost of our borrowings and, in turn, affect our results of operations.</w:t>
      </w:r>
    </w:p>
    <w:p>
      <w:pPr>
        <w:spacing w:after="0" w:line="17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 reduction in the interest rates on new investments relative to interest rates on current investments could also have an adverse impact on our net interest income. However,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Due to the COVID-19 pandemic and other disruptions in the economy, the risk that our investors may default on capital drawdowns may be heightened.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connection with the offerings of our securities, we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Due to the COVID-19 pandemic, investors may not have ready access to liquid assets and may not be able to satisfy our capital drawdowns on a timely basis or at all.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Moreover, the subscription agreements signed by our investors provide for significant adverse consequences in the event an investor defaults on its capital commitment or other payment obligations.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0"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89">
        <w:r>
          <w:rPr>
            <w:rFonts w:ascii="Arial" w:cs="Arial" w:eastAsia="Arial" w:hAnsi="Arial"/>
            <w:sz w:val="16"/>
            <w:szCs w:val="16"/>
            <w:u w:val="single" w:color="auto"/>
            <w:color w:val="0000EE"/>
          </w:rPr>
          <w:t xml:space="preserve">Articles of Amendment and Restatement </w:t>
        </w:r>
      </w:hyperlink>
      <w:r>
        <w:rPr>
          <w:rFonts w:ascii="Arial" w:cs="Arial" w:eastAsia="Arial" w:hAnsi="Arial"/>
          <w:sz w:val="23"/>
          <w:szCs w:val="23"/>
          <w:u w:val="single" w:color="auto"/>
          <w:color w:val="0000EE"/>
          <w:vertAlign w:val="superscript"/>
        </w:rPr>
        <w:t>(1)</w:t>
      </w:r>
    </w:p>
    <w:p>
      <w:pPr>
        <w:spacing w:after="0" w:line="168"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90">
        <w:r>
          <w:rPr>
            <w:rFonts w:ascii="Arial" w:cs="Arial" w:eastAsia="Arial" w:hAnsi="Arial"/>
            <w:sz w:val="16"/>
            <w:szCs w:val="16"/>
            <w:u w:val="single" w:color="auto"/>
            <w:color w:val="0000EE"/>
          </w:rPr>
          <w:t xml:space="preserve">Articles of Amendment </w:t>
        </w:r>
      </w:hyperlink>
      <w:r>
        <w:rPr>
          <w:rFonts w:ascii="Arial" w:cs="Arial" w:eastAsia="Arial" w:hAnsi="Arial"/>
          <w:sz w:val="23"/>
          <w:szCs w:val="23"/>
          <w:u w:val="single" w:color="auto"/>
          <w:color w:val="0000EE"/>
          <w:vertAlign w:val="superscript"/>
        </w:rPr>
        <w:t>(2)</w:t>
      </w:r>
    </w:p>
    <w:p>
      <w:pPr>
        <w:spacing w:after="0" w:line="168"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3.3</w:t>
      </w:r>
      <w:r>
        <w:rPr>
          <w:sz w:val="20"/>
          <w:szCs w:val="20"/>
          <w:color w:val="auto"/>
        </w:rPr>
        <w:tab/>
      </w:r>
      <w:hyperlink r:id="rId91">
        <w:r>
          <w:rPr>
            <w:rFonts w:ascii="Arial" w:cs="Arial" w:eastAsia="Arial" w:hAnsi="Arial"/>
            <w:sz w:val="16"/>
            <w:szCs w:val="16"/>
            <w:u w:val="single" w:color="auto"/>
            <w:color w:val="0000EE"/>
          </w:rPr>
          <w:t xml:space="preserve">Amended and Restated Bylaws </w:t>
        </w:r>
      </w:hyperlink>
      <w:r>
        <w:rPr>
          <w:rFonts w:ascii="Arial" w:cs="Arial" w:eastAsia="Arial" w:hAnsi="Arial"/>
          <w:sz w:val="22"/>
          <w:szCs w:val="22"/>
          <w:u w:val="single" w:color="auto"/>
          <w:color w:val="0000EE"/>
          <w:vertAlign w:val="superscript"/>
        </w:rPr>
        <w:t>(2)</w:t>
      </w:r>
    </w:p>
    <w:p>
      <w:pPr>
        <w:spacing w:after="0" w:line="179"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92">
        <w:r>
          <w:rPr>
            <w:rFonts w:ascii="Arial" w:cs="Arial" w:eastAsia="Arial" w:hAnsi="Arial"/>
            <w:sz w:val="16"/>
            <w:szCs w:val="16"/>
            <w:u w:val="single" w:color="auto"/>
            <w:color w:val="0000EE"/>
          </w:rPr>
          <w:t xml:space="preserve">Form of Subscription Agreement </w:t>
        </w:r>
      </w:hyperlink>
      <w:r>
        <w:rPr>
          <w:rFonts w:ascii="Arial" w:cs="Arial" w:eastAsia="Arial" w:hAnsi="Arial"/>
          <w:sz w:val="23"/>
          <w:szCs w:val="23"/>
          <w:u w:val="single" w:color="auto"/>
          <w:color w:val="0000EE"/>
          <w:vertAlign w:val="superscript"/>
        </w:rPr>
        <w:t>(3)</w:t>
      </w:r>
    </w:p>
    <w:p>
      <w:pPr>
        <w:spacing w:after="0" w:line="168" w:lineRule="exact"/>
        <w:rPr>
          <w:sz w:val="20"/>
          <w:szCs w:val="20"/>
          <w:color w:val="auto"/>
        </w:rPr>
      </w:pPr>
    </w:p>
    <w:p>
      <w:pPr>
        <w:ind w:left="580" w:right="79" w:hanging="525"/>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5">
        <w:r>
          <w:rPr>
            <w:rFonts w:ascii="Arial" w:cs="Arial" w:eastAsia="Arial" w:hAnsi="Arial"/>
            <w:sz w:val="18"/>
            <w:szCs w:val="18"/>
            <w:u w:val="single" w:color="auto"/>
            <w:color w:val="0000EE"/>
          </w:rPr>
          <w:t>Certification of Chief Executive Officer pursuant to Rule 13a-14 of the Securities Exchange Act of 1934, as</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amended*</w:t>
        </w:r>
      </w:hyperlink>
    </w:p>
    <w:p>
      <w:pPr>
        <w:spacing w:after="0" w:line="170" w:lineRule="exact"/>
        <w:rPr>
          <w:sz w:val="20"/>
          <w:szCs w:val="20"/>
          <w:color w:val="auto"/>
        </w:rPr>
      </w:pPr>
    </w:p>
    <w:p>
      <w:pPr>
        <w:ind w:left="580" w:right="79" w:hanging="525"/>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6">
        <w:r>
          <w:rPr>
            <w:rFonts w:ascii="Arial" w:cs="Arial" w:eastAsia="Arial" w:hAnsi="Arial"/>
            <w:sz w:val="18"/>
            <w:szCs w:val="18"/>
            <w:u w:val="single" w:color="auto"/>
            <w:color w:val="0000EE"/>
          </w:rPr>
          <w:t>Certification of Chief Financial Officer pursuant to Rule 13a-14 of the Securities Exchange Act of 1934, as</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amended*</w:t>
        </w:r>
      </w:hyperlink>
    </w:p>
    <w:p>
      <w:pPr>
        <w:spacing w:after="0" w:line="170"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77">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225" w:lineRule="exact"/>
        <w:rPr>
          <w:sz w:val="20"/>
          <w:szCs w:val="20"/>
          <w:color w:val="auto"/>
        </w:rPr>
      </w:pPr>
    </w:p>
    <w:p>
      <w:pPr>
        <w:ind w:left="6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78">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83185</wp:posOffset>
            </wp:positionV>
            <wp:extent cx="14141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5" w:lineRule="exact"/>
        <w:rPr>
          <w:sz w:val="20"/>
          <w:szCs w:val="20"/>
          <w:color w:val="auto"/>
        </w:rPr>
      </w:pPr>
    </w:p>
    <w:p>
      <w:pPr>
        <w:ind w:left="500" w:hanging="45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right="79" w:hanging="330"/>
        <w:spacing w:after="0" w:line="25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ind w:left="380" w:hanging="330"/>
        <w:spacing w:after="0"/>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Previously filed as an exhibit to the Registrant’s Current Report on Form 8-K filed with the SEC on June 14, 2017.</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RUNWAY GROWTH CREDIT FUND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13,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5920" w:type="dxa"/>
            <w:vAlign w:val="bottom"/>
            <w:gridSpan w:val="2"/>
          </w:tcPr>
          <w:p>
            <w:pPr>
              <w:ind w:left="1560"/>
              <w:spacing w:after="0"/>
              <w:rPr>
                <w:sz w:val="20"/>
                <w:szCs w:val="20"/>
                <w:color w:val="auto"/>
              </w:rPr>
            </w:pPr>
            <w:r>
              <w:rPr>
                <w:rFonts w:ascii="Arial" w:cs="Arial" w:eastAsia="Arial" w:hAnsi="Arial"/>
                <w:sz w:val="18"/>
                <w:szCs w:val="18"/>
                <w:color w:val="auto"/>
              </w:rPr>
              <w:t>By:/s/ R. David Spreng</w:t>
            </w:r>
          </w:p>
        </w:tc>
      </w:tr>
      <w:tr>
        <w:trPr>
          <w:trHeight w:val="195"/>
        </w:trPr>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r>
      <w:tr>
        <w:trPr>
          <w:trHeight w:val="216"/>
        </w:trPr>
        <w:tc>
          <w:tcPr>
            <w:tcW w:w="3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President, Chief Executive Officer and Chairman of the</w:t>
            </w:r>
          </w:p>
        </w:tc>
      </w:tr>
      <w:tr>
        <w:trPr>
          <w:trHeight w:val="230"/>
        </w:trPr>
        <w:tc>
          <w:tcPr>
            <w:tcW w:w="3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Board of Directors</w:t>
            </w:r>
          </w:p>
        </w:tc>
      </w:tr>
      <w:tr>
        <w:trPr>
          <w:trHeight w:val="432"/>
        </w:trPr>
        <w:tc>
          <w:tcPr>
            <w:tcW w:w="3000" w:type="dxa"/>
            <w:vAlign w:val="bottom"/>
          </w:tcPr>
          <w:p>
            <w:pPr>
              <w:ind w:left="20"/>
              <w:spacing w:after="0"/>
              <w:rPr>
                <w:sz w:val="20"/>
                <w:szCs w:val="20"/>
                <w:color w:val="auto"/>
              </w:rPr>
            </w:pPr>
            <w:r>
              <w:rPr>
                <w:rFonts w:ascii="Arial" w:cs="Arial" w:eastAsia="Arial" w:hAnsi="Arial"/>
                <w:sz w:val="18"/>
                <w:szCs w:val="18"/>
                <w:color w:val="auto"/>
              </w:rPr>
              <w:t>Date: August 13, 2020</w:t>
            </w:r>
          </w:p>
        </w:tc>
        <w:tc>
          <w:tcPr>
            <w:tcW w:w="5920" w:type="dxa"/>
            <w:vAlign w:val="bottom"/>
            <w:gridSpan w:val="2"/>
          </w:tcPr>
          <w:p>
            <w:pPr>
              <w:ind w:left="1560"/>
              <w:spacing w:after="0"/>
              <w:rPr>
                <w:sz w:val="20"/>
                <w:szCs w:val="20"/>
                <w:color w:val="auto"/>
              </w:rPr>
            </w:pPr>
            <w:r>
              <w:rPr>
                <w:rFonts w:ascii="Arial" w:cs="Arial" w:eastAsia="Arial" w:hAnsi="Arial"/>
                <w:sz w:val="18"/>
                <w:szCs w:val="18"/>
                <w:color w:val="auto"/>
              </w:rPr>
              <w:t>By:/s/ Thomas B. Raterman</w:t>
            </w:r>
          </w:p>
        </w:tc>
      </w:tr>
      <w:tr>
        <w:trPr>
          <w:trHeight w:val="195"/>
        </w:trPr>
        <w:tc>
          <w:tcPr>
            <w:tcW w:w="3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r>
      <w:tr>
        <w:trPr>
          <w:trHeight w:val="216"/>
        </w:trPr>
        <w:tc>
          <w:tcPr>
            <w:tcW w:w="3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r>
        <w:trPr>
          <w:trHeight w:val="230"/>
        </w:trPr>
        <w:tc>
          <w:tcPr>
            <w:tcW w:w="30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64"/>
        </w:trPr>
        <w:tc>
          <w:tcPr>
            <w:tcW w:w="3000" w:type="dxa"/>
            <w:vAlign w:val="bottom"/>
          </w:tcPr>
          <w:p>
            <w:pPr>
              <w:spacing w:after="0"/>
              <w:rPr>
                <w:sz w:val="24"/>
                <w:szCs w:val="24"/>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color w:val="auto"/>
              </w:rPr>
              <w:t>72</w:t>
            </w:r>
          </w:p>
        </w:tc>
        <w:tc>
          <w:tcPr>
            <w:tcW w:w="410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700" w:hanging="368"/>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hanging="8"/>
        <w:spacing w:after="0" w:line="263"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8"/>
        <w:spacing w:after="0" w:line="263"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hanging="8"/>
        <w:spacing w:after="0" w:line="263" w:lineRule="auto"/>
        <w:tabs>
          <w:tab w:leader="none" w:pos="6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99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420" w:hanging="279"/>
        <w:spacing w:after="0" w:line="311" w:lineRule="auto"/>
        <w:tabs>
          <w:tab w:leader="none" w:pos="100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hanging="279"/>
        <w:spacing w:after="0" w:line="263" w:lineRule="auto"/>
        <w:tabs>
          <w:tab w:leader="none" w:pos="991" w:val="left"/>
        </w:tabs>
        <w:numPr>
          <w:ilvl w:val="2"/>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hanging="279"/>
        <w:spacing w:after="0" w:line="311" w:lineRule="auto"/>
        <w:tabs>
          <w:tab w:leader="none" w:pos="1001" w:val="left"/>
        </w:tabs>
        <w:numPr>
          <w:ilvl w:val="2"/>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180" w:firstLine="37"/>
        <w:spacing w:after="0" w:line="263" w:lineRule="auto"/>
        <w:tabs>
          <w:tab w:leader="none" w:pos="6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202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1000" w:right="2020"/>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700" w:hanging="323"/>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ind w:left="340" w:right="160" w:firstLine="37"/>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firstLine="37"/>
        <w:spacing w:after="0" w:line="263"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80" w:firstLine="37"/>
        <w:spacing w:after="0" w:line="263" w:lineRule="auto"/>
        <w:tabs>
          <w:tab w:leader="none" w:pos="6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9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6"/>
          <w:szCs w:val="16"/>
          <w:color w:val="auto"/>
        </w:rPr>
      </w:pPr>
    </w:p>
    <w:p>
      <w:pPr>
        <w:ind w:left="980" w:right="420" w:hanging="279"/>
        <w:spacing w:after="0" w:line="311" w:lineRule="auto"/>
        <w:tabs>
          <w:tab w:leader="none" w:pos="100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6"/>
          <w:szCs w:val="16"/>
          <w:color w:val="auto"/>
        </w:rPr>
      </w:pPr>
    </w:p>
    <w:p>
      <w:pPr>
        <w:ind w:left="980" w:right="280" w:hanging="279"/>
        <w:spacing w:after="0" w:line="263" w:lineRule="auto"/>
        <w:tabs>
          <w:tab w:leader="none" w:pos="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100" w:hanging="279"/>
        <w:spacing w:after="0" w:line="311" w:lineRule="auto"/>
        <w:tabs>
          <w:tab w:leader="none" w:pos="1001"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40" w:right="180" w:firstLine="37"/>
        <w:spacing w:after="0" w:line="263" w:lineRule="auto"/>
        <w:tabs>
          <w:tab w:leader="none" w:pos="69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00" w:hanging="279"/>
        <w:spacing w:after="0" w:line="263" w:lineRule="auto"/>
        <w:tabs>
          <w:tab w:leader="none" w:pos="9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580" w:hanging="279"/>
        <w:spacing w:after="0" w:line="277" w:lineRule="auto"/>
        <w:tabs>
          <w:tab w:leader="none" w:pos="9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0999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June 30, 2020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97" w:lineRule="exact"/>
        <w:rPr>
          <w:sz w:val="20"/>
          <w:szCs w:val="20"/>
          <w:color w:val="auto"/>
        </w:rPr>
      </w:pPr>
    </w:p>
    <w:p>
      <w:pPr>
        <w:ind w:left="980" w:right="520" w:hanging="279"/>
        <w:spacing w:after="0" w:line="277" w:lineRule="auto"/>
        <w:tabs>
          <w:tab w:leader="none" w:pos="1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980" w:right="560" w:hanging="279"/>
        <w:spacing w:after="0" w:line="277" w:lineRule="auto"/>
        <w:tabs>
          <w:tab w:leader="none" w:pos="1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Date: 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quarterly report on Form 10-Q for the three months ended June 30, 2020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65" w:lineRule="exact"/>
        <w:rPr>
          <w:sz w:val="20"/>
          <w:szCs w:val="20"/>
          <w:color w:val="auto"/>
        </w:rPr>
      </w:pPr>
    </w:p>
    <w:p>
      <w:pPr>
        <w:ind w:left="1040" w:right="440" w:hanging="339"/>
        <w:spacing w:after="0" w:line="277" w:lineRule="auto"/>
        <w:tabs>
          <w:tab w:leader="none" w:pos="108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40" w:right="520" w:hanging="339"/>
        <w:spacing w:after="0" w:line="277" w:lineRule="auto"/>
        <w:tabs>
          <w:tab w:leader="none" w:pos="10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Date: 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Roman"/>
      <w:start w:val="3"/>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35"/>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5"/>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3"/>
      <w:numFmt w:val="bullet"/>
      <w:start w:val="1"/>
    </w:lvl>
  </w:abstractNum>
  <w:abstractNum w:abstractNumId="25">
    <w:nsid w:val="5577F8E1"/>
    <w:multiLevelType w:val="hybridMultilevel"/>
    <w:lvl w:ilvl="0">
      <w:lvlJc w:val="left"/>
      <w:lvlText w:val="4"/>
      <w:numFmt w:val="bullet"/>
      <w:start w:val="1"/>
    </w:lvl>
  </w:abstractNum>
  <w:abstractNum w:abstractNumId="26">
    <w:nsid w:val="440BADFC"/>
    <w:multiLevelType w:val="hybridMultilevel"/>
    <w:lvl w:ilvl="0">
      <w:lvlJc w:val="left"/>
      <w:lvlText w:val="5"/>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89" Type="http://schemas.openxmlformats.org/officeDocument/2006/relationships/hyperlink" Target="https://www.sec.gov/Archives/edgar/data/1653384/000114420416140270/v454968_ex3-1.htm" TargetMode="External"/><Relationship Id="rId90" Type="http://schemas.openxmlformats.org/officeDocument/2006/relationships/hyperlink" Target="https://www.sec.gov/Archives/edgar/data/1653384/000114420417032477/v468943_ex3-1.htm" TargetMode="External"/><Relationship Id="rId91" Type="http://schemas.openxmlformats.org/officeDocument/2006/relationships/hyperlink" Target="https://www.sec.gov/Archives/edgar/data/1653384/000114420417032477/v468943_ex3-2.htm" TargetMode="External"/><Relationship Id="rId92" Type="http://schemas.openxmlformats.org/officeDocument/2006/relationships/hyperlink" Target="https://www.sec.gov/Archives/edgar/data/1653384/000114420417042059/v47278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2020-08-13T10:37:00Z</dcterms:created>
  <dcterms:modified xsi:type="dcterms:W3CDTF">2020-08-13T10:37:00Z</dcterms:modified>
</cp:coreProperties>
</file>