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way-20260928.htm"/>
      <w:bookmarkStart w:id="1" w:name="ksrway20260928"/>
      <w:bookmarkEnd w:id="0"/>
      <w:bookmarkEnd w:id="1"/>
      <w:r>
        <w:rPr/>
        <w:t> </w:t>
      </w:r>
    </w:p>
    <w:p>
      <w:pPr>
        <w:pStyle w:val="TextBody"/>
        <w:bidi w:val="0"/>
        <w:jc w:val="right"/>
        <w:rPr>
          <w:rFonts w:ascii="Times New Roman" w:hAnsi="Times New Roman"/>
          <w:b/>
          <w:color w:val="000000"/>
          <w:sz w:val="16"/>
        </w:rPr>
      </w:pPr>
      <w:r>
        <w:rPr>
          <w:rFonts w:ascii="Times New Roman" w:hAnsi="Times New Roman"/>
          <w:b/>
          <w:color w:val="000000"/>
          <w:sz w:val="16"/>
        </w:rPr>
        <w:t>Filed pursuant to Rule 424(b)(2)</w:t>
      </w:r>
    </w:p>
    <w:p>
      <w:pPr>
        <w:pStyle w:val="TextBody"/>
        <w:bidi w:val="0"/>
        <w:jc w:val="right"/>
        <w:rPr>
          <w:rFonts w:ascii="Times New Roman" w:hAnsi="Times New Roman"/>
          <w:b/>
          <w:color w:val="000000"/>
          <w:sz w:val="16"/>
        </w:rPr>
      </w:pPr>
      <w:r>
        <w:rPr>
          <w:rFonts w:ascii="Times New Roman" w:hAnsi="Times New Roman"/>
          <w:b/>
          <w:color w:val="000000"/>
          <w:sz w:val="16"/>
        </w:rPr>
        <w:t>Registration No. 333-284781</w:t>
      </w:r>
    </w:p>
    <w:p>
      <w:pPr>
        <w:pStyle w:val="TextBody"/>
        <w:bidi w:val="0"/>
        <w:jc w:val="center"/>
        <w:rPr/>
      </w:pPr>
      <w:r>
        <w:rPr/>
        <w:t> </w:t>
      </w:r>
    </w:p>
    <w:p>
      <w:pPr>
        <w:pStyle w:val="TextBody"/>
        <w:bidi w:val="0"/>
        <w:jc w:val="left"/>
        <w:rPr>
          <w:rFonts w:ascii="Times New Roman" w:hAnsi="Times New Roman"/>
          <w:sz w:val="16"/>
        </w:rPr>
      </w:pPr>
      <w:r>
        <w:rPr>
          <w:rFonts w:ascii="Times New Roman" w:hAnsi="Times New Roman"/>
          <w:b/>
          <w:color w:val="000000"/>
          <w:sz w:val="16"/>
        </w:rPr>
        <w:t>PROSPECTUS SUPPLEMENT</w:t>
        <w:br/>
        <w:t>(to Prospectus dated March 19, 2025)</w:t>
      </w:r>
      <w:r>
        <w:rPr>
          <w:rFonts w:ascii="Times New Roman" w:hAnsi="Times New Roman"/>
          <w:color w:val="000000"/>
          <w:sz w:val="16"/>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$45,000,000</w:t>
      </w:r>
    </w:p>
    <w:p>
      <w:pPr>
        <w:pStyle w:val="TextBody"/>
        <w:bidi w:val="0"/>
        <w:spacing w:before="80" w:after="283"/>
        <w:jc w:val="center"/>
        <w:rPr>
          <w:rFonts w:ascii="Times New Roman" w:hAnsi="Times New Roman"/>
          <w:sz w:val="32"/>
        </w:rPr>
      </w:pPr>
      <w:r>
        <w:rPr>
          <w:rFonts w:ascii="Times New Roman" w:hAnsi="Times New Roman"/>
          <w:b/>
          <w:color w:val="000000"/>
          <w:sz w:val="32"/>
        </w:rPr>
        <w:t>Runway Growth Finance Corp.</w:t>
      </w:r>
      <w:r>
        <w:rPr>
          <w:rFonts w:ascii="Times New Roman" w:hAnsi="Times New Roman"/>
          <w:color w:val="000000"/>
          <w:sz w:val="32"/>
        </w:rPr>
        <w:t xml:space="preserve"> </w:t>
      </w:r>
    </w:p>
    <w:p>
      <w:pPr>
        <w:pStyle w:val="TextBody"/>
        <w:bidi w:val="0"/>
        <w:spacing w:before="100" w:after="283"/>
        <w:jc w:val="center"/>
        <w:rPr>
          <w:rFonts w:ascii="Times New Roman" w:hAnsi="Times New Roman"/>
          <w:sz w:val="24"/>
        </w:rPr>
      </w:pPr>
      <w:r>
        <w:rPr>
          <w:rFonts w:ascii="Times New Roman" w:hAnsi="Times New Roman"/>
          <w:b/>
          <w:color w:val="000000"/>
          <w:sz w:val="24"/>
        </w:rPr>
        <w:t>7.75% Notes due 2031</w:t>
      </w:r>
      <w:r>
        <w:rPr>
          <w:rFonts w:ascii="Times New Roman" w:hAnsi="Times New Roman"/>
          <w:color w:val="000000"/>
          <w:sz w:val="24"/>
        </w:rPr>
        <w:t xml:space="preserve">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are a specialty finance company focused on providing senior secured loans to high growth-potential companies in technology, healthcare, business services, financial services, select consumer services and products and other high-growth industries.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gains on our warrants and other equity positions.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are a closed-end management investment company that has elected to be regulated as a business development company (“BDC”) under the Investment Company Act of 1940, as amended (the “1940 Act”). We have elected to be treated, and intend to qualify annually, as a regulated investment company (“RIC”) under the Internal Revenue Code of 1986, as amended (the “Code”) for U.S. federal income tax purposes. As a BDC and a RIC, we are required to comply with certain regulatory requirements.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are offering $45,000,000 in aggregate principal amount of 7.75% notes due 2031 (the “Notes”). The Notes will mature on October 1, 2031. We will pay interest on the Notes quarterly on March 1, June 1, September 1, and December 1 of each year, beginning on December 1, 2026. We may redeem the Notes in whole or in part at any time or from time to time, on or after October 1, 2028, at our sole option at $25. Holders of the Notes will not have the option to have the Notes repaid prior to the stated maturity. The Notes will be issued in minimum denominations of $25 and integral multiples of $25 in excess thereof.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Notes will be our direct unsecured obligations and rank equal in right of payment with all outstanding and future unsecured, unsubordinated indebtedness issued by us.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Runway Growth Finance Corp. and not of any of our subsidiaries.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intend to list the Notes on the Nasdaq Global Select Market (“Nasdaq”), and we expect trading in the Notes on Nasdaq to begin within 30 days of the original issue date. The Notes are expected to trade “flat,” which means that purchasers will not pay, and sellers will not receive, any accrued and unpaid interest on the Notes that is not reflected in the trading price. Currently, there is no public market for the Notes.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underwriters may also purchase up to an additional $6,750,000 aggregate principal amount of Notes offered hereby, within 30 days of the date of this prospectus supplement, to cover overallotments. If the underwriters exercise this overallotment option in full, the net proceeds to us, after payment of underwriting commissions but before deducting other expenses payable by us, will be $50,197,500.</w:t>
      </w:r>
    </w:p>
    <w:p>
      <w:pPr>
        <w:pStyle w:val="TextBody"/>
        <w:bidi w:val="0"/>
        <w:spacing w:before="80" w:after="283"/>
        <w:jc w:val="both"/>
        <w:rPr/>
      </w:pPr>
      <w:r>
        <w:rPr>
          <w:rFonts w:ascii="Times New Roman" w:hAnsi="Times New Roman"/>
          <w:color w:val="000000"/>
          <w:sz w:val="16"/>
        </w:rPr>
        <w:t xml:space="preserve">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 Investing in our securities is highly speculative and involves a high degree of risk, and you could lose your entire investment if any of the risks occur. Before buying any Notes, you should read the material risks described in the “Supplementary Risk Factors” section beginning on page </w:t>
      </w:r>
      <w:hyperlink w:anchor="ssrf">
        <w:r>
          <w:rPr>
            <w:rStyle w:val="InternetLink"/>
            <w:rFonts w:ascii="Times New Roman" w:hAnsi="Times New Roman"/>
            <w:color w:val="0000FF"/>
            <w:sz w:val="16"/>
            <w:u w:val="single"/>
          </w:rPr>
          <w:t>S-11</w:t>
        </w:r>
      </w:hyperlink>
      <w:r>
        <w:rPr>
          <w:rFonts w:ascii="Times New Roman" w:hAnsi="Times New Roman"/>
          <w:color w:val="000000"/>
          <w:sz w:val="16"/>
        </w:rPr>
        <w:t xml:space="preserve"> of this prospectus supplement and “Risk Factors” beginning on page </w:t>
      </w:r>
      <w:hyperlink w:anchor="trifa">
        <w:r>
          <w:rPr>
            <w:rStyle w:val="InternetLink"/>
            <w:rFonts w:ascii="Times New Roman" w:hAnsi="Times New Roman"/>
            <w:color w:val="0000FF"/>
            <w:sz w:val="16"/>
            <w:u w:val="single"/>
          </w:rPr>
          <w:t>17</w:t>
        </w:r>
      </w:hyperlink>
      <w:r>
        <w:rPr>
          <w:rFonts w:ascii="Times New Roman" w:hAnsi="Times New Roman"/>
          <w:color w:val="000000"/>
          <w:sz w:val="16"/>
        </w:rPr>
        <w:t xml:space="preserve"> of the accompanying prospectus and in our most recent Annual Report on Form 10-K, our most recent Quarterly Report on Form 10-Q as well as any of our subsequent SEC filings incorporated by reference herein. The individual securities in which we invest will not be rated by any rating agency. If they were, they would be rated as below investment grade or “junk.” Indebtedness of below investment grade quality has predominantly speculative characteristics with respect to the issuer’s capacity to pay interest and repay principal. </w:t>
      </w:r>
    </w:p>
    <w:p>
      <w:pPr>
        <w:pStyle w:val="TextBody"/>
        <w:bidi w:val="0"/>
        <w:spacing w:before="80" w:after="283"/>
        <w:jc w:val="both"/>
        <w:rPr>
          <w:rFonts w:ascii="Times New Roman" w:hAnsi="Times New Roman"/>
          <w:sz w:val="16"/>
        </w:rPr>
      </w:pPr>
      <w:r>
        <w:rPr>
          <w:rFonts w:ascii="Times New Roman" w:hAnsi="Times New Roman"/>
          <w:color w:val="000000"/>
          <w:sz w:val="16"/>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r>
        <w:rPr>
          <w:rFonts w:ascii="Times New Roman" w:hAnsi="Times New Roman"/>
          <w:i/>
          <w:color w:val="000000"/>
          <w:sz w:val="16"/>
        </w:rPr>
        <w:t>www.sec.gov</w:t>
      </w:r>
      <w:r>
        <w:rPr>
          <w:rFonts w:ascii="Times New Roman" w:hAnsi="Times New Roman"/>
          <w:color w:val="000000"/>
          <w:sz w:val="16"/>
        </w:rPr>
        <w:t xml:space="preserve">. We maintain a website at </w:t>
      </w:r>
      <w:r>
        <w:rPr>
          <w:rFonts w:ascii="Times New Roman" w:hAnsi="Times New Roman"/>
          <w:i/>
          <w:color w:val="000000"/>
          <w:sz w:val="16"/>
        </w:rPr>
        <w:t>https://investors.runwaygrowth.com</w:t>
      </w:r>
      <w:r>
        <w:rPr>
          <w:rFonts w:ascii="Times New Roman" w:hAnsi="Times New Roman"/>
          <w:color w:val="000000"/>
          <w:sz w:val="16"/>
        </w:rPr>
        <w:t xml:space="preserve"> and make all of the foregoing information available, free of charge, on or through our website. This information is also available free of charge by contacting us in writing at 205 N. Michigan Ave., Suite 4200, Chicago, IL 60601, calling us at (312) 698-6902 or visiting our corporate website located at </w:t>
      </w:r>
      <w:r>
        <w:rPr>
          <w:rFonts w:ascii="Times New Roman" w:hAnsi="Times New Roman"/>
          <w:i/>
          <w:color w:val="000000"/>
          <w:sz w:val="16"/>
        </w:rPr>
        <w:t>https://investors.runwaygrowth.com</w:t>
      </w:r>
      <w:r>
        <w:rPr>
          <w:rFonts w:ascii="Times New Roman" w:hAnsi="Times New Roman"/>
          <w:color w:val="000000"/>
          <w:sz w:val="16"/>
        </w:rPr>
        <w:t xml:space="preserve">.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Information contained on our website is not incorporated by reference into this prospectus supplement or the accompanying prospectus, and you should not consider information contained on our website to be part of this prospectus supplement or the accompanying prospectus. </w:t>
      </w:r>
    </w:p>
    <w:p>
      <w:pPr>
        <w:pStyle w:val="TextBody"/>
        <w:bidi w:val="0"/>
        <w:spacing w:before="80" w:after="80"/>
        <w:jc w:val="both"/>
        <w:rPr>
          <w:rFonts w:ascii="Times New Roman" w:hAnsi="Times New Roman"/>
          <w:sz w:val="16"/>
        </w:rPr>
      </w:pPr>
      <w:r>
        <w:rPr>
          <w:rFonts w:ascii="Times New Roman" w:hAnsi="Times New Roman"/>
          <w:b/>
          <w:color w:val="000000"/>
          <w:sz w:val="16"/>
        </w:rPr>
        <w:t>Neither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 w:hAnsi="Times New Roman"/>
          <w:color w:val="000000"/>
          <w:sz w:val="16"/>
        </w:rPr>
        <w:t xml:space="preserve"> </w:t>
      </w:r>
    </w:p>
    <w:tbl>
      <w:tblPr>
        <w:tblW w:w="4600" w:type="dxa"/>
        <w:jc w:val="left"/>
        <w:tblInd w:w="0" w:type="dxa"/>
        <w:tblLayout w:type="fixed"/>
        <w:tblCellMar>
          <w:top w:w="28" w:type="dxa"/>
          <w:left w:w="28" w:type="dxa"/>
          <w:bottom w:w="28" w:type="dxa"/>
          <w:right w:w="28" w:type="dxa"/>
        </w:tblCellMar>
      </w:tblPr>
      <w:tblGrid>
        <w:gridCol w:w="2506"/>
        <w:gridCol w:w="146"/>
        <w:gridCol w:w="751"/>
        <w:gridCol w:w="146"/>
        <w:gridCol w:w="105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Public offering price</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$45,000,000</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Underwriting discount (sales load)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$1,350,000</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Proceeds to us, before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$43,650,000</w:t>
            </w:r>
          </w:p>
        </w:tc>
      </w:tr>
    </w:tbl>
    <w:p>
      <w:pPr>
        <w:pStyle w:val="TextBody"/>
        <w:pBdr>
          <w:bottom w:val="single" w:sz="5" w:space="1" w:color="000000"/>
        </w:pBdr>
        <w:bidi w:val="0"/>
        <w:spacing w:before="200" w:after="283"/>
        <w:jc w:val="left"/>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(1) The public offering price set forth above does not include accrued interest, if any. Interest on the Notes will accrue from October 1, 2026 and must be paid by the purchaser if the Notes are delivered after October 1, 2026.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 Before deducting expenses payable by us related to this offering, estimated at $437,000.</w:t>
      </w:r>
    </w:p>
    <w:p>
      <w:pPr>
        <w:pStyle w:val="TextBody"/>
        <w:bidi w:val="0"/>
        <w:spacing w:before="100" w:after="100"/>
        <w:jc w:val="left"/>
        <w:rPr>
          <w:rFonts w:ascii="Times New Roman" w:hAnsi="Times New Roman"/>
          <w:color w:val="000000"/>
          <w:sz w:val="16"/>
        </w:rPr>
      </w:pPr>
      <w:r>
        <w:rPr>
          <w:rFonts w:ascii="Times New Roman" w:hAnsi="Times New Roman"/>
          <w:color w:val="000000"/>
          <w:sz w:val="16"/>
        </w:rPr>
        <w:t>The underwriters are offering the Notes as set forth in “Underwriting.” Delivery of the Notes in book-entry form through The Depository Trust Company (“DTC”) will be made on or about October 1, 2026.</w:t>
      </w:r>
    </w:p>
    <w:p>
      <w:pPr>
        <w:pStyle w:val="TextBody"/>
        <w:bidi w:val="0"/>
        <w:jc w:val="center"/>
        <w:rPr>
          <w:color w:val="000000"/>
        </w:rPr>
      </w:pPr>
      <w:r>
        <w:rPr>
          <w:color w:val="000000"/>
        </w:rPr>
        <w:t>——————————————————</w:t>
      </w:r>
    </w:p>
    <w:p>
      <w:pPr>
        <w:pStyle w:val="TextBody"/>
        <w:bidi w:val="0"/>
        <w:spacing w:before="100" w:after="120"/>
        <w:jc w:val="center"/>
        <w:rPr>
          <w:rFonts w:ascii="Times New Roman" w:hAnsi="Times New Roman"/>
          <w:i/>
          <w:color w:val="000000"/>
          <w:sz w:val="16"/>
        </w:rPr>
      </w:pPr>
      <w:r>
        <w:rPr>
          <w:rFonts w:ascii="Times New Roman" w:hAnsi="Times New Roman"/>
          <w:i/>
          <w:color w:val="000000"/>
          <w:sz w:val="16"/>
        </w:rPr>
        <w:t>Joint Book-Running Managers</w:t>
      </w:r>
    </w:p>
    <w:tbl>
      <w:tblPr>
        <w:tblW w:w="7999" w:type="dxa"/>
        <w:jc w:val="left"/>
        <w:tblInd w:w="0" w:type="dxa"/>
        <w:tblLayout w:type="fixed"/>
        <w:tblCellMar>
          <w:top w:w="28" w:type="dxa"/>
          <w:left w:w="28" w:type="dxa"/>
          <w:bottom w:w="28" w:type="dxa"/>
          <w:right w:w="28" w:type="dxa"/>
        </w:tblCellMar>
      </w:tblPr>
      <w:tblGrid>
        <w:gridCol w:w="2326"/>
        <w:gridCol w:w="2131"/>
        <w:gridCol w:w="2626"/>
        <w:gridCol w:w="916"/>
      </w:tblGrid>
      <w:tr>
        <w:trPr/>
        <w:tc>
          <w:tcPr>
            <w:tcW w:w="232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Oppenheimer &amp; Co.</w:t>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 Riley Securities</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Lucid Capital Markets</w:t>
            </w:r>
          </w:p>
        </w:tc>
        <w:tc>
          <w:tcPr>
            <w:tcW w:w="91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6"/>
              </w:rPr>
            </w:pPr>
            <w:r>
              <w:rPr>
                <w:rFonts w:ascii="Times New Roman" w:hAnsi="Times New Roman"/>
                <w:b/>
                <w:color w:val="000000"/>
                <w:sz w:val="26"/>
              </w:rPr>
              <w:t>MUFG</w:t>
            </w:r>
          </w:p>
        </w:tc>
      </w:tr>
    </w:tbl>
    <w:p>
      <w:pPr>
        <w:pStyle w:val="TextBody"/>
        <w:bidi w:val="0"/>
        <w:spacing w:before="100" w:after="120"/>
        <w:jc w:val="center"/>
        <w:rPr>
          <w:rFonts w:ascii="Times New Roman" w:hAnsi="Times New Roman"/>
          <w:i/>
          <w:color w:val="000000"/>
          <w:sz w:val="16"/>
        </w:rPr>
      </w:pPr>
      <w:r>
        <w:rPr>
          <w:rFonts w:ascii="Times New Roman" w:hAnsi="Times New Roman"/>
          <w:i/>
          <w:color w:val="000000"/>
          <w:sz w:val="16"/>
        </w:rPr>
        <w:t>Co-Managers</w:t>
      </w:r>
    </w:p>
    <w:tbl>
      <w:tblPr>
        <w:tblW w:w="10205" w:type="dxa"/>
        <w:jc w:val="left"/>
        <w:tblInd w:w="0" w:type="dxa"/>
        <w:tblLayout w:type="fixed"/>
        <w:tblCellMar>
          <w:top w:w="28" w:type="dxa"/>
          <w:left w:w="28" w:type="dxa"/>
          <w:bottom w:w="28" w:type="dxa"/>
          <w:right w:w="28" w:type="dxa"/>
        </w:tblCellMar>
      </w:tblPr>
      <w:tblGrid>
        <w:gridCol w:w="1337"/>
        <w:gridCol w:w="1616"/>
        <w:gridCol w:w="1126"/>
        <w:gridCol w:w="2250"/>
        <w:gridCol w:w="1499"/>
        <w:gridCol w:w="2377"/>
      </w:tblGrid>
      <w:tr>
        <w:trPr/>
        <w:tc>
          <w:tcPr>
            <w:tcW w:w="133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13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Clear Street</w:t>
            </w:r>
          </w:p>
        </w:tc>
        <w:tc>
          <w:tcPr>
            <w:tcW w:w="1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Compass Point</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InspereX</w:t>
            </w:r>
          </w:p>
        </w:tc>
        <w:tc>
          <w:tcPr>
            <w:tcW w:w="22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Ladenburg Thalmann</w:t>
            </w:r>
          </w:p>
        </w:tc>
        <w:tc>
          <w:tcPr>
            <w:tcW w:w="14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William Blair</w:t>
            </w:r>
          </w:p>
        </w:tc>
        <w:tc>
          <w:tcPr>
            <w:tcW w:w="23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BC Partners Securities</w:t>
            </w:r>
          </w:p>
        </w:tc>
      </w:tr>
    </w:tbl>
    <w:p>
      <w:pPr>
        <w:pStyle w:val="TextBody"/>
        <w:bidi w:val="0"/>
        <w:spacing w:before="100" w:after="283"/>
        <w:jc w:val="center"/>
        <w:rPr>
          <w:color w:val="000000"/>
        </w:rPr>
      </w:pPr>
      <w:r>
        <w:rPr>
          <w:color w:val="000000"/>
        </w:rPr>
        <w:t>——————————————————</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The date of this prospectus supplement is September 24,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ABOUT THIS PROSPECTUS SUPPLEMENT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should rely only on the information contained in this prospectus supplement, the accompanying prospectus, any free writing prospectus, the documents incorporated by reference in this prospectus supplement and the accompanying prospectus, or any other information to which we have referred you. Neither we nor the underwriters have authorized any other person to provide you with different information from that contained in this prospectus supplement, the accompanying prospectus and in any free writing prospectus. If anyone provides you with different or inconsistent information, you should not rely on it. This prospectus supplement, the accompanying prospectus, or any free writing prospectus do not constitute an offer to sell, or a solicitation of an offer to buy, any Notes by any person in any jurisdiction where it is unlawful for that person to make such an offer or solicitation or to any person in any jurisdiction to whom it is unlawful to make such an offer or solicitation. The information contained in this prospectus supplement, the accompanying prospectus, and any free writing prospectus is complete and accurate only as of their respective dates, regardless of the time of their delivery or sale of the Notes. Our business, financial condition, results of operations and prospects may have changed since that date.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document is in two parts. The first part is this prospectus supplement, which describes the terms of this offering and the Notes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You should read this prospectus supplement and the accompanying prospectus together with the additional information described under the heading “Available Information” before investing in the Notes.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spacing w:before="260" w:after="283"/>
        <w:jc w:val="center"/>
        <w:rPr>
          <w:rFonts w:ascii="Times New Roman" w:hAnsi="Times New Roman"/>
          <w:sz w:val="20"/>
        </w:rPr>
      </w:pPr>
      <w:r>
        <w:rPr>
          <w:rFonts w:ascii="Times New Roman" w:hAnsi="Times New Roman"/>
          <w:b/>
          <w:color w:val="000000"/>
          <w:sz w:val="20"/>
        </w:rPr>
        <w:t>Prospectus Supplement</w:t>
      </w:r>
      <w:r>
        <w:rPr>
          <w:rFonts w:ascii="Times New Roman" w:hAnsi="Times New Roman"/>
          <w:color w:val="000000"/>
          <w:sz w:val="20"/>
        </w:rPr>
        <w:t xml:space="preserve"> </w:t>
      </w:r>
    </w:p>
    <w:p>
      <w:pPr>
        <w:pStyle w:val="TextBody"/>
        <w:bidi w:val="0"/>
        <w:jc w:val="left"/>
        <w:rPr/>
      </w:pPr>
      <w:r>
        <w:rPr/>
        <w:t> </w:t>
      </w:r>
    </w:p>
    <w:tbl>
      <w:tblPr>
        <w:tblW w:w="7400" w:type="dxa"/>
        <w:jc w:val="left"/>
        <w:tblInd w:w="0" w:type="dxa"/>
        <w:tblLayout w:type="fixed"/>
        <w:tblCellMar>
          <w:top w:w="28" w:type="dxa"/>
          <w:left w:w="28" w:type="dxa"/>
          <w:bottom w:w="28" w:type="dxa"/>
          <w:right w:w="28" w:type="dxa"/>
        </w:tblCellMar>
      </w:tblPr>
      <w:tblGrid>
        <w:gridCol w:w="6391"/>
        <w:gridCol w:w="146"/>
        <w:gridCol w:w="146"/>
        <w:gridCol w:w="526"/>
        <w:gridCol w:w="19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pss">
              <w:r>
                <w:rPr>
                  <w:rStyle w:val="InternetLink"/>
                  <w:rFonts w:ascii="Times New Roman" w:hAnsi="Times New Roman"/>
                  <w:color w:val="000000"/>
                  <w:sz w:val="20"/>
                </w:rPr>
                <w:t xml:space="preserve">PROSPECTUS SUPPLEMENT SUMMARY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thof">
              <w:r>
                <w:rPr>
                  <w:rStyle w:val="InternetLink"/>
                  <w:rFonts w:ascii="Times New Roman" w:hAnsi="Times New Roman"/>
                  <w:color w:val="000000"/>
                  <w:sz w:val="20"/>
                </w:rPr>
                <w:t xml:space="preserve">THE OFFERING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srf">
              <w:r>
                <w:rPr>
                  <w:rStyle w:val="InternetLink"/>
                  <w:rFonts w:ascii="Times New Roman" w:hAnsi="Times New Roman"/>
                  <w:color w:val="000000"/>
                  <w:sz w:val="20"/>
                </w:rPr>
                <w:t xml:space="preserve">SUPPLEMENTARY RISK FACTORS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cnrf">
              <w:r>
                <w:rPr>
                  <w:rStyle w:val="InternetLink"/>
                  <w:rFonts w:ascii="Times New Roman" w:hAnsi="Times New Roman"/>
                  <w:color w:val="000000"/>
                  <w:sz w:val="20"/>
                </w:rPr>
                <w:t xml:space="preserve">CAUTIONARY NOTE REGARDING FORWARD-LOOKING STATEMENTS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S-15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uop">
              <w:r>
                <w:rPr>
                  <w:rStyle w:val="InternetLink"/>
                  <w:rFonts w:ascii="Times New Roman" w:hAnsi="Times New Roman"/>
                  <w:color w:val="000000"/>
                  <w:sz w:val="20"/>
                </w:rPr>
                <w:t xml:space="preserve">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S-17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cap">
              <w:r>
                <w:rPr>
                  <w:rStyle w:val="InternetLink"/>
                  <w:rFonts w:ascii="Times New Roman" w:hAnsi="Times New Roman"/>
                  <w:color w:val="000000"/>
                  <w:sz w:val="20"/>
                </w:rPr>
                <w:t xml:space="preserve">CAPITALIZATION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dotn">
              <w:r>
                <w:rPr>
                  <w:rStyle w:val="InternetLink"/>
                  <w:rFonts w:ascii="Times New Roman" w:hAnsi="Times New Roman"/>
                  <w:color w:val="000000"/>
                  <w:sz w:val="20"/>
                </w:rPr>
                <w:t xml:space="preserve">DESCRIPTION OF THE NOTES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S-19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musf">
              <w:r>
                <w:rPr>
                  <w:rStyle w:val="InternetLink"/>
                  <w:rFonts w:ascii="Times New Roman" w:hAnsi="Times New Roman"/>
                  <w:color w:val="000000"/>
                  <w:sz w:val="20"/>
                </w:rPr>
                <w:t xml:space="preserve">MATERIAL UNITED STATES FEDERAL INCOME TAX CONSEQUENCES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S-28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und">
              <w:r>
                <w:rPr>
                  <w:rStyle w:val="InternetLink"/>
                  <w:rFonts w:ascii="Times New Roman" w:hAnsi="Times New Roman"/>
                  <w:color w:val="000000"/>
                  <w:sz w:val="20"/>
                </w:rPr>
                <w:t xml:space="preserve">UNDERWRITING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S-33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lema">
              <w:r>
                <w:rPr>
                  <w:rStyle w:val="InternetLink"/>
                  <w:rFonts w:ascii="Times New Roman" w:hAnsi="Times New Roman"/>
                  <w:color w:val="000000"/>
                  <w:sz w:val="20"/>
                </w:rPr>
                <w:t xml:space="preserve">LEGAL MATTERS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S-36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irpa">
              <w:r>
                <w:rPr>
                  <w:rStyle w:val="InternetLink"/>
                  <w:rFonts w:ascii="Times New Roman" w:hAnsi="Times New Roman"/>
                  <w:color w:val="000000"/>
                  <w:sz w:val="20"/>
                </w:rPr>
                <w:t xml:space="preserve">INDEPENDENT REGISTERED PUBLIC ACCOUNTING FIRM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S-36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avin">
              <w:r>
                <w:rPr>
                  <w:rStyle w:val="InternetLink"/>
                  <w:rFonts w:ascii="Times New Roman" w:hAnsi="Times New Roman"/>
                  <w:color w:val="000000"/>
                  <w:sz w:val="20"/>
                </w:rPr>
                <w:t xml:space="preserve">AVAILABLE INFORMATION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S-36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ibr">
              <w:r>
                <w:rPr>
                  <w:rStyle w:val="InternetLink"/>
                  <w:rFonts w:ascii="Times New Roman" w:hAnsi="Times New Roman"/>
                  <w:color w:val="000000"/>
                  <w:sz w:val="20"/>
                </w:rPr>
                <w:t xml:space="preserve">INCORPORATION BY REFERENCE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S-37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20" w:after="283"/>
        <w:jc w:val="center"/>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64"/>
        <w:gridCol w:w="146"/>
        <w:gridCol w:w="146"/>
        <w:gridCol w:w="357"/>
        <w:gridCol w:w="392"/>
      </w:tblGrid>
      <w:tr>
        <w:trPr/>
        <w:tc>
          <w:tcPr>
            <w:tcW w:w="9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atp">
              <w:r>
                <w:rPr>
                  <w:rStyle w:val="InternetLink"/>
                  <w:rFonts w:ascii="Times New Roman" w:hAnsi="Times New Roman"/>
                  <w:color w:val="000000"/>
                  <w:sz w:val="20"/>
                </w:rPr>
                <w:t xml:space="preserve">ABOUT THIS PROSPECTUS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su">
              <w:r>
                <w:rPr>
                  <w:rStyle w:val="InternetLink"/>
                  <w:rFonts w:ascii="Times New Roman" w:hAnsi="Times New Roman"/>
                  <w:color w:val="000000"/>
                  <w:sz w:val="20"/>
                </w:rPr>
                <w:t xml:space="preserve">PROSPECTUS SUMMARY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ae">
              <w:r>
                <w:rPr>
                  <w:rStyle w:val="InternetLink"/>
                  <w:rFonts w:ascii="Times New Roman" w:hAnsi="Times New Roman"/>
                  <w:color w:val="000000"/>
                  <w:sz w:val="20"/>
                </w:rPr>
                <w:t xml:space="preserve">FEES AND EXPENSES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ihi">
              <w:r>
                <w:rPr>
                  <w:rStyle w:val="InternetLink"/>
                  <w:rFonts w:ascii="Times New Roman" w:hAnsi="Times New Roman"/>
                  <w:color w:val="000000"/>
                  <w:sz w:val="20"/>
                </w:rPr>
                <w:t xml:space="preserve">FINANCIAL HIGHLIGHTS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fia">
              <w:r>
                <w:rPr>
                  <w:rStyle w:val="InternetLink"/>
                  <w:rFonts w:ascii="Times New Roman" w:hAnsi="Times New Roman"/>
                  <w:color w:val="000000"/>
                  <w:sz w:val="20"/>
                </w:rPr>
                <w:t xml:space="preserve">SELECTED FINANCIAL INFORMATION AND OTHER DATA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ifa">
              <w:r>
                <w:rPr>
                  <w:rStyle w:val="InternetLink"/>
                  <w:rFonts w:ascii="Times New Roman" w:hAnsi="Times New Roman"/>
                  <w:color w:val="000000"/>
                  <w:sz w:val="20"/>
                </w:rPr>
                <w:t xml:space="preserve">RISK FACTORS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nrf">
              <w:r>
                <w:rPr>
                  <w:rStyle w:val="InternetLink"/>
                  <w:rFonts w:ascii="Times New Roman" w:hAnsi="Times New Roman"/>
                  <w:color w:val="000000"/>
                  <w:sz w:val="20"/>
                </w:rPr>
                <w:t xml:space="preserve">SPECIAL NOTE REGARDING FORWARD-LOOKING STATEMENTS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uop">
              <w:r>
                <w:rPr>
                  <w:rStyle w:val="InternetLink"/>
                  <w:rFonts w:ascii="Times New Roman" w:hAnsi="Times New Roman"/>
                  <w:color w:val="000000"/>
                  <w:sz w:val="20"/>
                </w:rPr>
                <w:t xml:space="preserve">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oc">
              <w:r>
                <w:rPr>
                  <w:rStyle w:val="InternetLink"/>
                  <w:rFonts w:ascii="Times New Roman" w:hAnsi="Times New Roman"/>
                  <w:color w:val="000000"/>
                  <w:sz w:val="20"/>
                </w:rPr>
                <w:t xml:space="preserve">PRICE RANGE OF COMMON STOCK AND DISTRIBUTIONS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madi">
              <w:r>
                <w:rPr>
                  <w:rStyle w:val="InternetLink"/>
                  <w:rFonts w:ascii="Times New Roman" w:hAnsi="Times New Roman"/>
                  <w:color w:val="000080"/>
                  <w:sz w:val="20"/>
                </w:rPr>
                <w:t xml:space="preserve">MANAGEMENT’S DISCUSSION AND ANALYSIS OF FINANCIAL CONDITION AND </w:t>
              </w:r>
            </w:hyperlink>
            <w:hyperlink w:anchor="tmadi">
              <w:r>
                <w:rPr>
                  <w:rStyle w:val="InternetLink"/>
                  <w:rFonts w:ascii="Times New Roman" w:hAnsi="Times New Roman"/>
                  <w:color w:val="000080"/>
                  <w:sz w:val="20"/>
                </w:rPr>
                <w:t xml:space="preserve">RESULTS OF OPERATIONS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bus">
              <w:r>
                <w:rPr>
                  <w:rStyle w:val="InternetLink"/>
                  <w:rFonts w:ascii="Times New Roman" w:hAnsi="Times New Roman"/>
                  <w:color w:val="000000"/>
                  <w:sz w:val="20"/>
                </w:rPr>
                <w:t xml:space="preserve">BUSINESS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ese">
              <w:r>
                <w:rPr>
                  <w:rStyle w:val="InternetLink"/>
                  <w:rFonts w:ascii="Times New Roman" w:hAnsi="Times New Roman"/>
                  <w:color w:val="000000"/>
                  <w:sz w:val="20"/>
                </w:rPr>
                <w:t xml:space="preserve">SENIOR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oco">
              <w:r>
                <w:rPr>
                  <w:rStyle w:val="InternetLink"/>
                  <w:rFonts w:ascii="Times New Roman" w:hAnsi="Times New Roman"/>
                  <w:color w:val="000000"/>
                  <w:sz w:val="20"/>
                </w:rPr>
                <w:t xml:space="preserve">PORTFOLIO COMPANIES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n">
              <w:r>
                <w:rPr>
                  <w:rStyle w:val="InternetLink"/>
                  <w:rFonts w:ascii="Times New Roman" w:hAnsi="Times New Roman"/>
                  <w:color w:val="000000"/>
                  <w:sz w:val="20"/>
                </w:rPr>
                <w:t xml:space="preserve">MANAGEMENT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oa">
              <w:r>
                <w:rPr>
                  <w:rStyle w:val="InternetLink"/>
                  <w:rFonts w:ascii="Times New Roman" w:hAnsi="Times New Roman"/>
                  <w:color w:val="000000"/>
                  <w:sz w:val="20"/>
                </w:rPr>
                <w:t xml:space="preserve">MANAGEMENT AND OTHER AGREEMENTS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tac">
              <w:r>
                <w:rPr>
                  <w:rStyle w:val="InternetLink"/>
                  <w:rFonts w:ascii="Times New Roman" w:hAnsi="Times New Roman"/>
                  <w:color w:val="000000"/>
                  <w:sz w:val="20"/>
                </w:rPr>
                <w:t xml:space="preserve">RELATED-PARTY TRANSACTIONS AND CERTAIN RELATIONSHIPS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pap">
              <w:r>
                <w:rPr>
                  <w:rStyle w:val="InternetLink"/>
                  <w:rFonts w:ascii="Times New Roman" w:hAnsi="Times New Roman"/>
                  <w:color w:val="000000"/>
                  <w:sz w:val="20"/>
                </w:rPr>
                <w:t xml:space="preserve">CONTROL PERSONS AND PRINCIPAL SHAREHOLDERS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na">
              <w:r>
                <w:rPr>
                  <w:rStyle w:val="InternetLink"/>
                  <w:rFonts w:ascii="Times New Roman" w:hAnsi="Times New Roman"/>
                  <w:color w:val="000000"/>
                  <w:sz w:val="20"/>
                </w:rPr>
                <w:t xml:space="preserve">DETERMINATION OF NET ASSET VALUE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rp">
              <w:r>
                <w:rPr>
                  <w:rStyle w:val="InternetLink"/>
                  <w:rFonts w:ascii="Times New Roman" w:hAnsi="Times New Roman"/>
                  <w:color w:val="000000"/>
                  <w:sz w:val="20"/>
                </w:rPr>
                <w:t xml:space="preserve">DIVIDEND REINVESTMENT PLAN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ufi">
              <w:r>
                <w:rPr>
                  <w:rStyle w:val="InternetLink"/>
                  <w:rFonts w:ascii="Times New Roman" w:hAnsi="Times New Roman"/>
                  <w:color w:val="000000"/>
                  <w:sz w:val="20"/>
                </w:rPr>
                <w:t xml:space="preserve">CERTAIN U.S. FEDERAL INCOME TAX CONSIDERATIONS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7610" w:type="dxa"/>
        <w:jc w:val="left"/>
        <w:tblInd w:w="0" w:type="dxa"/>
        <w:tblLayout w:type="fixed"/>
        <w:tblCellMar>
          <w:top w:w="28" w:type="dxa"/>
          <w:left w:w="28" w:type="dxa"/>
          <w:bottom w:w="28" w:type="dxa"/>
          <w:right w:w="28" w:type="dxa"/>
        </w:tblCellMar>
      </w:tblPr>
      <w:tblGrid>
        <w:gridCol w:w="6766"/>
        <w:gridCol w:w="146"/>
        <w:gridCol w:w="146"/>
        <w:gridCol w:w="361"/>
        <w:gridCol w:w="191"/>
      </w:tblGrid>
      <w:tr>
        <w:trPr/>
        <w:tc>
          <w:tcPr>
            <w:tcW w:w="6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s">
              <w:r>
                <w:rPr>
                  <w:rStyle w:val="InternetLink"/>
                  <w:rFonts w:ascii="Times New Roman" w:hAnsi="Times New Roman"/>
                  <w:color w:val="000000"/>
                  <w:sz w:val="20"/>
                </w:rPr>
                <w:t xml:space="preserve">DESCRIPTION OF OUR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c">
              <w:r>
                <w:rPr>
                  <w:rStyle w:val="InternetLink"/>
                  <w:rFonts w:ascii="Times New Roman" w:hAnsi="Times New Roman"/>
                  <w:color w:val="000000"/>
                  <w:sz w:val="20"/>
                </w:rPr>
                <w:t xml:space="preserve">DESCRIPTION OF OUR CAPITAL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p">
              <w:r>
                <w:rPr>
                  <w:rStyle w:val="InternetLink"/>
                  <w:rFonts w:ascii="Times New Roman" w:hAnsi="Times New Roman"/>
                  <w:color w:val="000000"/>
                  <w:sz w:val="20"/>
                </w:rPr>
                <w:t xml:space="preserve">DESCRIPTION OF OUR PREFERRED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60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s1">
              <w:r>
                <w:rPr>
                  <w:rStyle w:val="InternetLink"/>
                  <w:rFonts w:ascii="Times New Roman" w:hAnsi="Times New Roman"/>
                  <w:color w:val="000000"/>
                  <w:sz w:val="20"/>
                </w:rPr>
                <w:t xml:space="preserve">DESCRIPTION OF OUR SUBSCRIPTION RIGHTS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20" w:after="283"/>
              <w:jc w:val="left"/>
              <w:rPr/>
            </w:pPr>
            <w:hyperlink w:anchor="tdoow">
              <w:r>
                <w:rPr>
                  <w:rStyle w:val="InternetLink"/>
                  <w:rFonts w:ascii="Times New Roman" w:hAnsi="Times New Roman"/>
                  <w:color w:val="000000"/>
                  <w:sz w:val="20"/>
                </w:rPr>
                <w:t xml:space="preserve">DESCRIPTION OF OUR WARRANTS </w:t>
              </w:r>
            </w:hyperlink>
          </w:p>
        </w:tc>
        <w:tc>
          <w:tcPr>
            <w:tcW w:w="146" w:type="dxa"/>
            <w:tcBorders/>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 xml:space="preserve">62 </w:t>
            </w:r>
          </w:p>
        </w:tc>
        <w:tc>
          <w:tcPr>
            <w:tcW w:w="19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d">
              <w:r>
                <w:rPr>
                  <w:rStyle w:val="InternetLink"/>
                  <w:rFonts w:ascii="Times New Roman" w:hAnsi="Times New Roman"/>
                  <w:color w:val="000000"/>
                  <w:sz w:val="20"/>
                </w:rPr>
                <w:t xml:space="preserve">DESCRIPTION OF OUR DEBT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reg">
              <w:r>
                <w:rPr>
                  <w:rStyle w:val="InternetLink"/>
                  <w:rFonts w:ascii="Times New Roman" w:hAnsi="Times New Roman"/>
                  <w:color w:val="000000"/>
                  <w:sz w:val="20"/>
                </w:rPr>
                <w:t xml:space="preserve">REGULATION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pod">
              <w:r>
                <w:rPr>
                  <w:rStyle w:val="InternetLink"/>
                  <w:rFonts w:ascii="Times New Roman" w:hAnsi="Times New Roman"/>
                  <w:color w:val="000000"/>
                  <w:sz w:val="20"/>
                </w:rPr>
                <w:t xml:space="preserve">PLAN OF DISTRIBUTION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ctad">
              <w:r>
                <w:rPr>
                  <w:rStyle w:val="InternetLink"/>
                  <w:rFonts w:ascii="Times New Roman" w:hAnsi="Times New Roman"/>
                  <w:color w:val="000000"/>
                  <w:sz w:val="20"/>
                </w:rPr>
                <w:t xml:space="preserve">CUSTODIAN, TRANSFER AND DIVIDEND PAYING AGENT AND REGISTRAR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baao">
              <w:r>
                <w:rPr>
                  <w:rStyle w:val="InternetLink"/>
                  <w:rFonts w:ascii="Times New Roman" w:hAnsi="Times New Roman"/>
                  <w:color w:val="000000"/>
                  <w:sz w:val="20"/>
                </w:rPr>
                <w:t xml:space="preserve">BROKERAGE ALLOCATION AND OTHER PRACTICES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lema">
              <w:r>
                <w:rPr>
                  <w:rStyle w:val="InternetLink"/>
                  <w:rFonts w:ascii="Times New Roman" w:hAnsi="Times New Roman"/>
                  <w:color w:val="000000"/>
                  <w:sz w:val="20"/>
                </w:rPr>
                <w:t xml:space="preserve">LEGAL MATTERS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irpa">
              <w:r>
                <w:rPr>
                  <w:rStyle w:val="InternetLink"/>
                  <w:rFonts w:ascii="Times New Roman" w:hAnsi="Times New Roman"/>
                  <w:color w:val="000000"/>
                  <w:sz w:val="20"/>
                </w:rPr>
                <w:t xml:space="preserve">INDEPENDENT REGISTERED PUBLIC ACCOUNTING FIRM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avin">
              <w:r>
                <w:rPr>
                  <w:rStyle w:val="InternetLink"/>
                  <w:rFonts w:ascii="Times New Roman" w:hAnsi="Times New Roman"/>
                  <w:color w:val="000000"/>
                  <w:sz w:val="20"/>
                </w:rPr>
                <w:t xml:space="preserve">AVAILABLE INFORMATION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ioci">
              <w:r>
                <w:rPr>
                  <w:rStyle w:val="InternetLink"/>
                  <w:rFonts w:ascii="Times New Roman" w:hAnsi="Times New Roman"/>
                  <w:color w:val="000000"/>
                  <w:sz w:val="20"/>
                </w:rPr>
                <w:t xml:space="preserve">INCORPORATION OF CERTAIN INFORMATION BY REFERENCE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82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RUNWAY GROWTH FINANCE CORP.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S-ii</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ind w:left="0" w:right="0" w:hanging="0"/>
        <w:jc w:val="center"/>
        <w:rPr>
          <w:rFonts w:ascii="Times New Roman" w:hAnsi="Times New Roman"/>
          <w:sz w:val="20"/>
          <w:bdr w:val="single" w:sz="4" w:space="1" w:color="000000"/>
        </w:rPr>
      </w:pPr>
      <w:bookmarkStart w:id="2" w:name="spss"/>
      <w:bookmarkEnd w:id="2"/>
      <w:r>
        <w:rPr>
          <w:rFonts w:ascii="Times New Roman" w:hAnsi="Times New Roman"/>
          <w:b/>
          <w:color w:val="000000"/>
          <w:sz w:val="20"/>
          <w:bdr w:val="single" w:sz="4" w:space="1" w:color="000000"/>
        </w:rPr>
        <w:t>PROSPECTUS SUPPLEMENT SUMMARY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The following summary highlights some of the information included elsewhere, or incorporated by reference, in this prospectus supplement or the accompanying prospectus. It is not complete and may not contain all the information that you may want to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contained elsewhere or incorporated by reference in this prospectus supplement and the accompanying prospectus. Together, these documents describe the specific terms of the Notes we are offering. Throughout this prospectus we refer to Runway Growth Finance Corp. as “we,” “us,” “our” or the “Company,” and to “Runway Growth Capital LLC,” our investment adviser, as “Runway Growth Capital,” the “Adviser” or “RGC</w:t>
      </w:r>
      <w:r>
        <w:rPr>
          <w:rFonts w:ascii="Times New Roman" w:hAnsi="Times New Roman"/>
          <w:color w:val="000000"/>
          <w:sz w:val="20"/>
          <w:bdr w:val="single" w:sz="4" w:space="1" w:color="000000"/>
        </w:rPr>
        <w:t xml:space="preserve">.” </w:t>
      </w:r>
    </w:p>
    <w:p>
      <w:pPr>
        <w:pStyle w:val="TextBody"/>
        <w:bidi w:val="0"/>
        <w:spacing w:before="22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Runway Growth Finance Corp.</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We are managed by Runway Growth Capital, an experienced provider of growth financing for dynamic, late- and growth-stage companies. As of June 30, 2026, we had an investment portfolio of $1.2 billion at fair value, and a net asset value of $502.6 million.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structured as an externally managed, non-diversified closed-end management investment company that has elected to be regulated as a business development company (“BDC”) under the Investment Company Act of 1940, as amended (the “1940 Act”). We have also elected to be treated, and intend to qualify annually, as a regulated investment company (“RIC”) under subchapter M of the Internal Revenue Code of 1986, as amended (the “Code”), for U.S. federal income tax purposes. See “Material United States Federal Income Tax Consequences.” </w:t>
      </w:r>
    </w:p>
    <w:p>
      <w:pPr>
        <w:pStyle w:val="TextBody"/>
        <w:bidi w:val="0"/>
        <w:spacing w:before="22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Our Adviser</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externally managed by RGC. RGC was formed in 2015 to pursue an investment strategy focused on providing growth financing for dynamic, late- and growth-stage companies. David Spreng, our Co-Chief Executive Officer and President, formed RGC following a more than 25-year career in venture capital investing and lending. RGC has 28 employees across three offices in the United States, including 15 investment professionals focused on origination, underwriting, and managing our investment portfolio. RGC consistently demonstrates a credit-first culture while maintaining what they believe is an admirable reputation among borrowers for industry knowledge, creativity, and understanding of the challenges often faced by late- and growth-stage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January 2025, RGC was acquired by a private investment fund advised by BC Partners Advisors L.P. (“BC Partners Credit”) and Mount Logan Capital Inc. (“MLCI”), an affiliate of BC Partners Credit.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the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RGC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RGC a fee for its investment advisory and management services consisting of two components: a base management fee and an incentive fee. The cost of the base management fee and incentive fee are each borne by our stockholders. For more information,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in the accompanying Prospectus.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left"/>
        <w:rPr>
          <w:rFonts w:ascii="Times New Roman" w:hAnsi="Times New Roman"/>
          <w:sz w:val="20"/>
          <w:bdr w:val="single" w:sz="4" w:space="1" w:color="000000"/>
        </w:rPr>
      </w:pPr>
      <w:r>
        <w:rPr>
          <w:rFonts w:ascii="Times New Roman" w:hAnsi="Times New Roman"/>
          <w:b/>
          <w:color w:val="000000"/>
          <w:sz w:val="20"/>
          <w:bdr w:val="single" w:sz="4" w:space="1" w:color="000000"/>
        </w:rPr>
        <w:t>Our Portfolio</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June 30, 2026, we had investments in 79 companies, representing 33 companies in which we held a combination of debt and equity investments, 13 companies in which we held debt investments only, 32 companies in which we held equity investments only, and one company in which we held equity interests only. As of June 30, 2026, our debt investment portfolio had an aggregate fair value of approximately $1.1 billion and our equity portfolio had an aggregate fair value of approximately $70.0 million.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June 30, 2026, approximately $1.1 billion, or 95.7%, of our debt investment portfolio at fair value consisted of first lien senior secured loans, approximately $22.3 million, or 2.0%, of second lien senior secured loans, and approximately $25.6 million, or 2.3%, of subordinated loans.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June 30, 2026, we had a total of $146.7 million in unfunded commitments, which was comprised of $123.9 million to provide debt financing to our portfolio companies and $22.8 million in unfunded commitments to provide equity financing to Runway-Cadma I LLC, a joint venture entity established with Cadma Capital Partners LLC, pursuant to a joint venture agreement dated March 6, 2024. We believe that our available cash balances and availability under our Credit Agreement with KeyBank National Association (as amended, the “Credit Facility”) provide sufficient funds to cover our unfunded commitments as of June 30, 2026.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For the three and six months ended June 30, 2026, our debt investment portfolio had a dollar-weighted annualized yield of 14.2% and 13.9%,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June 30, 2026, our debt investments had a dollar-weighted average term of 49 months at origination and a dollar-weighted average remaining term of 31 months, or approximately 2.6 years. As of June 30, 2026, substantially all of our debt investments had a committed principal amount between $5.5 million and $81.4 million and paid cash interest at annual interest rates between 6.3% and 14.7%. </w:t>
      </w:r>
    </w:p>
    <w:p>
      <w:pPr>
        <w:pStyle w:val="TextBody"/>
        <w:bidi w:val="0"/>
        <w:spacing w:before="160" w:after="16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table shows our dollar-weighted annualized yield by investment type for the three and six months ended June 30, 2026 and 2025: </w:t>
      </w:r>
    </w:p>
    <w:tbl>
      <w:tblPr>
        <w:tblW w:w="10842" w:type="dxa"/>
        <w:jc w:val="left"/>
        <w:tblInd w:w="0" w:type="dxa"/>
        <w:tblLayout w:type="fixed"/>
        <w:tblCellMar>
          <w:top w:w="28" w:type="dxa"/>
          <w:left w:w="28" w:type="dxa"/>
          <w:bottom w:w="28" w:type="dxa"/>
          <w:right w:w="28" w:type="dxa"/>
        </w:tblCellMar>
      </w:tblPr>
      <w:tblGrid>
        <w:gridCol w:w="1031"/>
        <w:gridCol w:w="146"/>
        <w:gridCol w:w="146"/>
        <w:gridCol w:w="511"/>
        <w:gridCol w:w="146"/>
        <w:gridCol w:w="241"/>
        <w:gridCol w:w="146"/>
        <w:gridCol w:w="146"/>
        <w:gridCol w:w="511"/>
        <w:gridCol w:w="146"/>
        <w:gridCol w:w="241"/>
        <w:gridCol w:w="146"/>
        <w:gridCol w:w="146"/>
        <w:gridCol w:w="511"/>
        <w:gridCol w:w="146"/>
        <w:gridCol w:w="241"/>
        <w:gridCol w:w="146"/>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386"/>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0" w:type="dxa"/>
            <w:gridSpan w:val="20"/>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9" w:type="dxa"/>
            <w:gridSpan w:val="19"/>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investments &amp;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5" w:space="1" w:color="000000"/>
        </w:pBdr>
        <w:bidi w:val="0"/>
        <w:jc w:val="left"/>
        <w:rPr>
          <w:bdr w:val="single" w:sz="4" w:space="1" w:color="000000"/>
        </w:rPr>
      </w:pPr>
      <w:r>
        <w:rPr>
          <w:bdr w:val="single" w:sz="4" w:space="1" w:color="000000"/>
        </w:rPr>
        <w:t>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 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(2) 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left"/>
        <w:rPr>
          <w:rFonts w:ascii="Times New Roman" w:hAnsi="Times New Roman"/>
          <w:sz w:val="20"/>
          <w:bdr w:val="single" w:sz="4" w:space="1" w:color="000000"/>
        </w:rPr>
      </w:pPr>
      <w:r>
        <w:rPr>
          <w:rFonts w:ascii="Times New Roman" w:hAnsi="Times New Roman"/>
          <w:b/>
          <w:color w:val="000000"/>
          <w:sz w:val="20"/>
          <w:bdr w:val="single" w:sz="4" w:space="1" w:color="000000"/>
        </w:rPr>
        <w:t>Investment Strategy and Approach</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investment objective is to maximize our total return to our stockholders primarily through current income on our loan portfolio and secondarily through capital gains on our warrants and other equity positions.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focus on lending to high growth-potential companies in technology, healthcare, business services, financial services, select consumer services and products and other high-growth industries.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originate our investments through two strategies: Sponsored Growth Lending and Non-Sponsored Growth Lending. In addition to our core strategies of providing Sponsored Growth Lending and Non-Sponsored Growth Lending, we may also opportunistically participate in the secondary markets for investments that are consistent with our broader investment strategy.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view acquisitions as a complement to, rather than a substitute for, organic growth. We remain committed to investing in our core business while simultaneously pursuing acquisitions that we believe will enhance our competitive position and our long-term growth.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 Certain of the loans in which we may invest or obtain exposure to through our investments may be deemed “covenant-lite” loans, which means the loans contain fewer or no maintenance covenants compared to other loans and do not include terms which allow the lender to monitor the performance of the borrower and declare a default if certain criteria are breached. See “Risk Factors — Risks Related to our Investments — We may be subject to risks associated with our investments in covenant-lite loans” in our most recent Annual Report on Form 10-K.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Our Sponsored Growth Lending strategy generally includes loans to late- and growth-stage companies that are already backed by established venture capital and private equity firms. Our Sponsored Growth Lending strategy typically includes the receipt of warrants and/or other equity from these venture-backed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provides us access to many high-quality companies backed by top-tier venture capital and private equity investors;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delivers consistent returns through double-digit loan yields; and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offers us the ability to participate in equity upside of portfolio companies through the acquisition of warrants or success fees.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Our Non-Sponsored Growth Lending strategy generally includes loans to late- and growth-stage, private companies that are funded directly by entrepreneurs and founders, or companies that no longer require institutional equity investment (which may selectively include publicly traded companies). We refer to these target borrowers as “non-sponsored growth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Generally, financing available to these non-sponsored growth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Market Opportunity</w:t>
      </w:r>
      <w:r>
        <w:rPr>
          <w:rFonts w:ascii="Times New Roman" w:hAnsi="Times New Roman"/>
          <w:color w:val="000000"/>
          <w:sz w:val="20"/>
          <w:bdr w:val="single" w:sz="4" w:space="1" w:color="000000"/>
        </w:rPr>
        <w:t xml:space="preserve">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the market environment is favorable for us to continue to pursue an investment strategy primarily focused on late-stage and high-growth companies in technology, healthcare, business services, financial services, and select consumer services and products in other high-growth industries.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ind w:left="0" w:right="0" w:hanging="0"/>
        <w:jc w:val="both"/>
        <w:rPr>
          <w:rFonts w:ascii="Times New Roman" w:hAnsi="Times New Roman"/>
          <w:sz w:val="20"/>
          <w:bdr w:val="single" w:sz="4" w:space="1" w:color="000000"/>
        </w:rPr>
      </w:pPr>
      <w:r>
        <w:rPr>
          <w:rFonts w:ascii="Times New Roman" w:hAnsi="Times New Roman"/>
          <w:b/>
          <w:i/>
          <w:color w:val="000000"/>
          <w:sz w:val="20"/>
          <w:bdr w:val="single" w:sz="4" w:space="1" w:color="000000"/>
        </w:rPr>
        <w:t>Focus on Innovative Companies Across a Variety of High-Growth Industries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Diversified high growth-potential industries</w:t>
      </w:r>
      <w:r>
        <w:rPr>
          <w:rFonts w:ascii="Times New Roman" w:hAnsi="Times New Roman"/>
          <w:color w:val="000000"/>
          <w:sz w:val="20"/>
          <w:bdr w:val="single" w:sz="4" w:space="1" w:color="000000"/>
        </w:rPr>
        <w:t xml:space="preserve">: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Sponsored and Non-Sponsored Growth Lending Represents an Attractive Source of Funding</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not yet achieved profitability, but oftentimes have sustainable cash flow positive operations. Sponsored Growth Lending provides an attractive source of funds for venture-backed companies, their management teams, and their equity capital investors, as it: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is typically less dilutive and complements equity financing from venture capital and private equity funds;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extends the time period during which a company can operate before seeking additional equity capital or pursuing a sale transaction or other liquidity event;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generally allows companies to better match cash sources with uses. </w:t>
      </w:r>
    </w:p>
    <w:p>
      <w:pPr>
        <w:pStyle w:val="TextBody"/>
        <w:bidi w:val="0"/>
        <w:spacing w:before="1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access to growth capital without the requirement to take on institutional-size investments that may exceed the company’s capital requirements;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tax deductible interest payments;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significant operational involvement;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personal guarantees;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very modest dilution, if any;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loss of managerial control or forced redemption.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Large and Growing Market for Debt Financing to Venture Capital-Backed Companies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Healthy, stable venture environment: </w:t>
      </w:r>
      <w:r>
        <w:rPr>
          <w:rFonts w:ascii="Times New Roman" w:hAnsi="Times New Roman"/>
          <w:color w:val="000000"/>
          <w:sz w:val="20"/>
          <w:bdr w:val="single" w:sz="4" w:space="1" w:color="000000"/>
        </w:rPr>
        <w:t xml:space="preserve">Approximately 7,541 companies received venture capital financing in the first half of 2026, according to the Pitchbook-NVCA Venture Monitor, a quarterly report published jointly by NVCA and Pitchbook on venture capital activity (“Pitchbook-NVCA”). Deal activity remained steady through the first half of 2026, and deal value reached record levels of $412.7 billion as of Q2 2026, outperforming any single full year total over the past decade. We anticipate that the market for borrowers will gradually improve over the coming quarters, subject to market and economic conditions. The venture debt lending market, as defined in the Q2 2026 Pitchbook-NVCA Venture Monitor, is estimated at $64.7 billion, or roughly 15.7% of total U.S. venture capital deal value.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ind w:left="0" w:right="0" w:hanging="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Growing pool of target companies: </w:t>
      </w:r>
      <w:r>
        <w:rPr>
          <w:rFonts w:ascii="Times New Roman" w:hAnsi="Times New Roman"/>
          <w:color w:val="000000"/>
          <w:sz w:val="20"/>
          <w:bdr w:val="single" w:sz="4" w:space="1" w:color="000000"/>
        </w:rPr>
        <w:t xml:space="preserve">The time from initial venture capital investment to transaction exit of such investment, either by an initial public offering or merger and acquisition transaction, remained steady in the first half of 2026 at an average of 6.1 years. According to the Q2 2026 Pitchbook-NVCA Venture Monitor, in the first half of 2026, the median number of years from initial venture investment to initial public offering of a U.S. venture capital-backed company was 6.1 years, and the median number of years from initial venture investment to merger and acquisition transaction was 4.8 years. Exit transactions are a small proportion of companies financed by venture capital each year. As a result, the pool of target companies has grown larger with increased demand for private capital.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Highly Fragmented, Underserved Market with High Barriers to Entry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Unfulfilled demand and limited competition</w:t>
      </w:r>
      <w:r>
        <w:rPr>
          <w:rFonts w:ascii="Times New Roman" w:hAnsi="Times New Roman"/>
          <w:color w:val="000000"/>
          <w:sz w:val="20"/>
          <w:bdr w:val="single" w:sz="4" w:space="1" w:color="000000"/>
        </w:rPr>
        <w:t xml:space="preserve">: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Competitive Advantages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well positioned to address the market for growth lending in a manner that will result in a competitive advantage over other established sponsored growth lenders. We believe our competitive strengths and key differentiators include: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Experienced, Proven Management Team Supported by a Deep Bench of Dedicated Investment Professionals. </w:t>
      </w:r>
      <w:r>
        <w:rPr>
          <w:rFonts w:ascii="Times New Roman" w:hAnsi="Times New Roman"/>
          <w:color w:val="000000"/>
          <w:sz w:val="20"/>
          <w:bdr w:val="single" w:sz="4" w:space="1" w:color="000000"/>
        </w:rPr>
        <w:t xml:space="preserve">RGC’s executive team, with an average of more than 25 years of experience, and our senior investment professionals, including origination and underwriting, with an average of 24 years of experience, have developed a disciplined and repeatable approach to investing and managing investments in high-growth potential businesses. We believe that the experience, relationships and disciplined investment and risk management processes of RGC’s investment professionals are a competitive advantage for us.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Co-Chief Executive Officer and President, David Spreng, who is also the founder, Co-Chief Executive Officer and Co-Chief Investment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Mike Rovner, who serves alongside Mr. Spreng as our Co-Chief Executive Officer and as the Co-Chief Executive Officer and Co-Chief Investment Officer of RGC, has more than 30 years of industry experience spanning early- and growth-stage technology companies, private equity, private credit, and growth lending. Our Chief Financial Officer, Carmela Thomson, has over 15 years of experience as a finance and accounting professional, including 10 years of experience in audit, accounting and risk management for financial institutions. Ms. Thomson also played an integral role in Runway’s initial public offering, and continues to play a role in ongoing capital raising efforts and financial reporting processes.</w:t>
      </w:r>
    </w:p>
    <w:p>
      <w:pPr>
        <w:pStyle w:val="TextBody"/>
        <w:bidi w:val="0"/>
        <w:spacing w:before="16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 This team of experienced professionals is also complemented by our access to the teams of investment professionals at BC Partners Credit and across BC Partners LLP’s (“BC Partners”) integrated platform. </w:t>
      </w:r>
    </w:p>
    <w:p>
      <w:pPr>
        <w:pStyle w:val="TextBody"/>
        <w:bidi w:val="0"/>
        <w:spacing w:before="0" w:after="8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Access to BC Partners Credit Platform. </w:t>
      </w:r>
      <w:r>
        <w:rPr>
          <w:rFonts w:ascii="Times New Roman" w:hAnsi="Times New Roman"/>
          <w:color w:val="000000"/>
          <w:sz w:val="20"/>
          <w:bdr w:val="single" w:sz="4" w:space="1" w:color="000000"/>
        </w:rPr>
        <w:t xml:space="preserve">We believe that access to BC Partners Credit and BC Partners’ credit investment platform (the “BC Partners Credit Platform”) provides us with a strong competitive advantage. The BC Partners Credit Platform functions as an integrated business within the BC Partners organization, utilizing and benefiting from BC Partners’ existing infrastructure and other platforms, including its private equity investment platform. We believe that the BC Partners Credit Platform is synergistic and complementary to our business and will enable us to leverage its deal flow and sector knowledge, creating attractive new investment opportunities. BC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8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Partners Credit’s ability to leverage scale and enhance sourcing capabilities throughout the credit cycle is anticipated to be supported by the resources and expertise available to it from its integration within the broader BC Partners organization, which allows BC Partners Credit to leverage a team of investment professionals across BC Partners’ private equity and other platforms, including operations teams, to which we have access. </w:t>
      </w:r>
    </w:p>
    <w:p>
      <w:pPr>
        <w:pStyle w:val="TextBody"/>
        <w:bidi w:val="0"/>
        <w:spacing w:before="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Provide Capital to Robust, High-Growth Venture-Backed Companies</w:t>
      </w:r>
      <w:r>
        <w:rPr>
          <w:rFonts w:ascii="Times New Roman" w:hAnsi="Times New Roman"/>
          <w:color w:val="000000"/>
          <w:sz w:val="20"/>
          <w:bdr w:val="single" w:sz="4" w:space="1" w:color="000000"/>
        </w:rPr>
        <w:t xml:space="preserve">. We believe we are favorably positioned within the venture lending ecosystem, targeting primarily growth-focused technology and healthcare companies. We believe the technology and healthcare industries are among the most attractive industries within the venture lending space, primarily representing large, addressable markets with strong and consistent growth. According to the Q2 2026 Pitchbook-NVCA Venture Monitor and Pitchbook-NVCA industry classifications, venture capital deal volume in the technology industry totaled approximately $401.4 billion in the first half of 2026, representing a 19.2% CAGR from 2016 through Q2 2026. Venture capital deal volume in the life sciences industry totaled approximately $20.0 billion in the first half of 2026, representing a 2.4% CAGR from 2016 through Q2 2026. We believe companies within these industries can often be characterized as having asset-light business models, attractive recurring revenue streams and strong growth trajectories.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invest across industries to diversify risk and deliver more stable returns. The investment professionals at RGC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 </w:t>
      </w:r>
    </w:p>
    <w:p>
      <w:pPr>
        <w:pStyle w:val="TextBody"/>
        <w:bidi w:val="0"/>
        <w:spacing w:before="1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Robust, Disciplined Investment Process and Credit Analysis</w:t>
      </w:r>
      <w:r>
        <w:rPr>
          <w:rFonts w:ascii="Times New Roman" w:hAnsi="Times New Roman"/>
          <w:color w:val="000000"/>
          <w:sz w:val="20"/>
          <w:bdr w:val="single" w:sz="4" w:space="1" w:color="000000"/>
        </w:rPr>
        <w:t xml:space="preserve">. 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 </w:t>
      </w:r>
    </w:p>
    <w:p>
      <w:pPr>
        <w:pStyle w:val="TextBody"/>
        <w:bidi w:val="0"/>
        <w:spacing w:before="14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the focused and disciplined approach that RGC applies to our lending strategy enables us to deliver strong, consistent returns to our investors. As of June 30, 2026, our debt portfolio is 95.6% first lien senior secured loans. Of our $3.7 billion total commitments since inception, our cumulative gross loss rate as a percentage of total commitments since inception is 2.10%, and our net losses as a percentage of total commitments since inception is 1.72%. At the point of origination, our current portfolio companies have raised on average $167.5 million of equity proceeds relative to our average commitment size of $29.4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Proprietary Risk Analytics and Return Optimization</w:t>
      </w:r>
      <w:r>
        <w:rPr>
          <w:rFonts w:ascii="Times New Roman" w:hAnsi="Times New Roman"/>
          <w:color w:val="000000"/>
          <w:sz w:val="20"/>
          <w:bdr w:val="single" w:sz="4" w:space="1" w:color="000000"/>
        </w:rPr>
        <w:t xml:space="preserve">. 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Flexible, Opportunity-Specific Pricing and Structure</w:t>
      </w:r>
      <w:r>
        <w:rPr>
          <w:rFonts w:ascii="Times New Roman" w:hAnsi="Times New Roman"/>
          <w:color w:val="000000"/>
          <w:sz w:val="20"/>
          <w:bdr w:val="single" w:sz="4" w:space="1" w:color="000000"/>
        </w:rPr>
        <w:t xml:space="preserve">. RGC’s comprehensive analysis assesses all factors and does not rely on any one criterion above or more than others. For example, we do not seek to provide financing to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Growth Lending and Non-Sponsored Growth Lending strategies, we target our loan to be less than 25% of enterprise value at inception.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Strong Reputation and Deep Relationships</w:t>
      </w:r>
      <w:r>
        <w:rPr>
          <w:rFonts w:ascii="Times New Roman" w:hAnsi="Times New Roman"/>
          <w:color w:val="000000"/>
          <w:sz w:val="20"/>
          <w:bdr w:val="single" w:sz="4" w:space="1" w:color="000000"/>
        </w:rPr>
        <w:t xml:space="preserve">. 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 </w:t>
      </w:r>
    </w:p>
    <w:p>
      <w:pPr>
        <w:pStyle w:val="TextBody"/>
        <w:bidi w:val="0"/>
        <w:spacing w:before="24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Company Information</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 xml:space="preserve">Our corporate headquarters are located at 205 N. Michigan Ave., Suite 4200, Chicago, IL 60601, and our telephone number is (312) 698-6902. Our corporate website is located at </w:t>
      </w:r>
      <w:r>
        <w:rPr>
          <w:rFonts w:ascii="Times New Roman" w:hAnsi="Times New Roman"/>
          <w:i/>
          <w:color w:val="000000"/>
          <w:sz w:val="20"/>
          <w:bdr w:val="single" w:sz="4" w:space="1" w:color="000000"/>
        </w:rPr>
        <w:t>https://investors.runwaygrowth.com</w:t>
      </w:r>
      <w:r>
        <w:rPr>
          <w:rFonts w:ascii="Times New Roman" w:hAnsi="Times New Roman"/>
          <w:color w:val="000000"/>
          <w:sz w:val="20"/>
          <w:bdr w:val="single" w:sz="4" w:space="1" w:color="000000"/>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 </w:t>
      </w:r>
    </w:p>
    <w:p>
      <w:pPr>
        <w:pStyle w:val="TextBody"/>
        <w:bidi w:val="0"/>
        <w:spacing w:before="24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Recent Developments</w:t>
      </w:r>
      <w:r>
        <w:rPr>
          <w:rFonts w:ascii="Times New Roman" w:hAnsi="Times New Roman"/>
          <w:color w:val="000000"/>
          <w:sz w:val="20"/>
          <w:bdr w:val="single" w:sz="4" w:space="1" w:color="000000"/>
        </w:rPr>
        <w:t xml:space="preserve"> </w:t>
      </w:r>
    </w:p>
    <w:p>
      <w:pPr>
        <w:pStyle w:val="TextBody"/>
        <w:bidi w:val="0"/>
        <w:spacing w:before="12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Distributions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August 5, 2026, our Board of Directors declared a quarterly distribution of $0.33 per share for our stockholders of record as of August 17, 2026, which was paid on August 31, 2026. </w:t>
      </w:r>
    </w:p>
    <w:p>
      <w:pPr>
        <w:pStyle w:val="TextBody"/>
        <w:bidi w:val="0"/>
        <w:spacing w:before="22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Recent Portfolio Activity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From July 1, 2026 through August 6, 2026, we funded $1.9 million in unfunded commitments on existing investments. We also received $17.1 million in debt prepayments.</w:t>
      </w:r>
    </w:p>
    <w:p>
      <w:pPr>
        <w:pStyle w:val="TextBody"/>
        <w:bidi w:val="0"/>
        <w:spacing w:before="220" w:after="283"/>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Credit Facility</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On July 13, 2026, we entered into the Eighth Amendment to our amended and restated credit agreement (the “Credit Facility Amendment”). The Credit Facility Amendment, effective as of June 30, 2026, (i) reduced the total commitments under the Credit Facility from $550.0 million to $425.0 million; (ii) permitted the future prepayment and termination of a certain lender’s commitments on a non-pro-rata basis; (iii) amended certain financial covenants; (iv) updated certain key-person trigger events; and (v) amended certain loan eligibility criteria and borrowing-base concentration limitations.</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3" w:name="sthof"/>
      <w:bookmarkEnd w:id="3"/>
      <w:r>
        <w:rPr>
          <w:rFonts w:ascii="Times New Roman" w:hAnsi="Times New Roman"/>
          <w:b/>
          <w:color w:val="000000"/>
          <w:sz w:val="20"/>
          <w:bdr w:val="single" w:sz="4" w:space="1" w:color="000000"/>
        </w:rPr>
        <w:t>THE OFFERING</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w:t>
      </w:r>
      <w:r>
        <w:rPr>
          <w:rFonts w:ascii="Times New Roman" w:hAnsi="Times New Roman"/>
          <w:color w:val="000000"/>
          <w:sz w:val="20"/>
          <w:bdr w:val="single" w:sz="4" w:space="1" w:color="000000"/>
        </w:rPr>
        <w:t xml:space="preserve"> </w:t>
      </w:r>
    </w:p>
    <w:p>
      <w:pPr>
        <w:pStyle w:val="TextBody"/>
        <w:bidi w:val="0"/>
        <w:jc w:val="lef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2068"/>
        <w:gridCol w:w="8137"/>
      </w:tblGrid>
      <w:tr>
        <w:trPr/>
        <w:tc>
          <w:tcPr>
            <w:tcW w:w="2068" w:type="dxa"/>
            <w:tcBorders/>
            <w:vAlign w:val="center"/>
          </w:tcPr>
          <w:p>
            <w:pPr>
              <w:pStyle w:val="TableContents"/>
              <w:bidi w:val="0"/>
              <w:spacing w:before="0" w:after="283"/>
              <w:jc w:val="left"/>
              <w:rPr>
                <w:sz w:val="4"/>
                <w:szCs w:val="4"/>
              </w:rPr>
            </w:pPr>
            <w:r>
              <w:rPr>
                <w:sz w:val="4"/>
                <w:szCs w:val="4"/>
              </w:rPr>
            </w:r>
          </w:p>
        </w:tc>
        <w:tc>
          <w:tcPr>
            <w:tcW w:w="8137" w:type="dxa"/>
            <w:tcBorders/>
            <w:vAlign w:val="center"/>
          </w:tcPr>
          <w:p>
            <w:pPr>
              <w:pStyle w:val="TableContents"/>
              <w:bidi w:val="0"/>
              <w:spacing w:before="0" w:after="283"/>
              <w:jc w:val="left"/>
              <w:rPr>
                <w:sz w:val="4"/>
                <w:szCs w:val="4"/>
              </w:rPr>
            </w:pPr>
            <w:r>
              <w:rPr>
                <w:sz w:val="4"/>
                <w:szCs w:val="4"/>
              </w:rPr>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Issuer</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 xml:space="preserve">Runway Growth Finance Corp.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Title of the Securities</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7.75% Notes due 2031</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Initial Aggregate Principal Amount</w:t>
              <w:br/>
              <w:t>Offered</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240" w:after="283"/>
              <w:ind w:left="0" w:right="0" w:firstLine="200"/>
              <w:jc w:val="left"/>
              <w:rPr>
                <w:rFonts w:ascii="Times New Roman" w:hAnsi="Times New Roman"/>
                <w:color w:val="000000"/>
                <w:sz w:val="20"/>
              </w:rPr>
            </w:pPr>
            <w:r>
              <w:rPr>
                <w:rFonts w:ascii="Times New Roman" w:hAnsi="Times New Roman"/>
                <w:color w:val="000000"/>
                <w:sz w:val="20"/>
              </w:rPr>
              <w:t>$45,000,000</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Overallotment Option</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 xml:space="preserve">The underwriters may also purchase from us up to an additional $6,750,000 aggregate principal amount of Notes to cover overallotments, if any, within 30 days of the date of this prospectus supplement.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Listing</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We intend to list the Notes on the Nasdaq Global Select Market (“Nasdaq”) within 30 days of the original issue date under the trading symbol “RWAYM.”</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Interest Rate</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7.75% per year</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Day Count Basis</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 xml:space="preserve">360-day year of twelve 30-day months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Original Issue Date</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October 1, 2026</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Stated Maturity Date</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October 1, 2031</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Date Interest Starts Accruing</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October 1, 2026</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both"/>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Interest Payment Dates</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 xml:space="preserve">Every March 1, June 1, September 1, and December 1 of each year, beginning December 1, 2026. If an interest payment date falls on a non-business day, the applicable interest payment will be made on the next business day and no additional interest will accrue as a result of such delayed payment.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sz w:val="20"/>
              </w:rPr>
            </w:pPr>
            <w:r>
              <w:rPr>
                <w:rFonts w:ascii="Times New Roman" w:hAnsi="Times New Roman"/>
                <w:b/>
                <w:color w:val="000000"/>
                <w:sz w:val="20"/>
              </w:rPr>
              <w:t>Interest Periods</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75"/>
              <w:jc w:val="both"/>
              <w:rPr>
                <w:rFonts w:ascii="Times New Roman" w:hAnsi="Times New Roman"/>
                <w:color w:val="000000"/>
                <w:sz w:val="20"/>
              </w:rPr>
            </w:pPr>
            <w:r>
              <w:rPr>
                <w:rFonts w:ascii="Times New Roman" w:hAnsi="Times New Roman"/>
                <w:color w:val="000000"/>
                <w:sz w:val="20"/>
              </w:rPr>
              <w:t>The initial interest period will be the period from and including October 1, 2026 to, but excluding, the initial interest payment date, and the subsequent interest periods will be the periods from and including an interest payment date to, but excluding, the next interest payment date or the stated maturity date, as the case may be.</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Regular Record Dates for Interest</w:t>
            </w:r>
            <w:r>
              <w:rPr>
                <w:rFonts w:ascii="Times New Roman" w:hAnsi="Times New Roman"/>
                <w:color w:val="000000"/>
                <w:sz w:val="20"/>
              </w:rPr>
              <w:t xml:space="preserve">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February 15, May 15, August 15, and November 15 of each year, beginning November 15, 2026.</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7"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8"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b/>
                <w:color w:val="000000"/>
                <w:sz w:val="20"/>
              </w:rPr>
            </w:pPr>
            <w:r>
              <w:rPr>
                <w:rFonts w:ascii="Times New Roman" w:hAnsi="Times New Roman"/>
                <w:b/>
                <w:color w:val="000000"/>
                <w:sz w:val="20"/>
              </w:rPr>
              <w:t>Ranking of Notes</w:t>
            </w:r>
          </w:p>
        </w:tc>
        <w:tc>
          <w:tcPr>
            <w:tcW w:w="8137" w:type="dxa"/>
            <w:tcBorders/>
            <w:tcMar>
              <w:top w:w="0" w:type="dxa"/>
              <w:left w:w="0" w:type="dxa"/>
              <w:bottom w:w="0" w:type="dxa"/>
              <w:right w:w="0" w:type="dxa"/>
            </w:tcMar>
            <w:vAlign w:val="center"/>
          </w:tcPr>
          <w:p>
            <w:pPr>
              <w:pStyle w:val="TableContents"/>
              <w:bidi w:val="0"/>
              <w:ind w:left="0" w:right="0" w:firstLine="480"/>
              <w:jc w:val="left"/>
              <w:rPr>
                <w:rFonts w:ascii="Times New Roman" w:hAnsi="Times New Roman"/>
                <w:color w:val="000000"/>
                <w:sz w:val="20"/>
              </w:rPr>
            </w:pPr>
            <w:r>
              <w:rPr>
                <w:rFonts w:ascii="Times New Roman" w:hAnsi="Times New Roman"/>
                <w:color w:val="000000"/>
                <w:sz w:val="20"/>
              </w:rPr>
              <w:t>The Notes will be our direct unsecured obligations and will rank:</w:t>
            </w:r>
          </w:p>
          <w:p>
            <w:pPr>
              <w:pStyle w:val="TableContents"/>
              <w:bidi w:val="0"/>
              <w:ind w:left="0" w:right="0" w:firstLine="480"/>
              <w:jc w:val="left"/>
              <w:rPr/>
            </w:pPr>
            <w:r>
              <w:rPr/>
              <w:t> </w:t>
            </w:r>
          </w:p>
          <w:p>
            <w:pPr>
              <w:pStyle w:val="TableContents"/>
              <w:bidi w:val="0"/>
              <w:spacing w:before="0" w:after="283"/>
              <w:ind w:left="0" w:right="0" w:firstLine="48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pari passu</w:t>
            </w:r>
            <w:r>
              <w:rPr>
                <w:rFonts w:ascii="Times New Roman" w:hAnsi="Times New Roman"/>
                <w:color w:val="000000"/>
                <w:sz w:val="20"/>
              </w:rPr>
              <w:t xml:space="preserve">, or equal, with our current and future unsecured, unsubordinated indebtedness, including the 9.00% Senior Notes due 2027 issued by SWK Holdings Corporation and assumed by us (which we intend to redeem in full using the proceeds from this offering) (the “SWK 2027 Notes”), the 7.50% Notes due 2027 (the “July 2027 Notes”), the 7.51% Series 2025A Senior Notes due 2028 (the “April 2028 Notes”), the 7.00% Notes due 2029 (the “December 2029 Notes”), the 7.25% Notes due 2031 (the “February 2031 Notes” and, together with the SWK 2027 Notes, the July 2027 Notes, the April 2028 Notes, the December </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2341"/>
        <w:gridCol w:w="7864"/>
      </w:tblGrid>
      <w:tr>
        <w:trPr/>
        <w:tc>
          <w:tcPr>
            <w:tcW w:w="2341" w:type="dxa"/>
            <w:tcBorders/>
            <w:vAlign w:val="center"/>
          </w:tcPr>
          <w:p>
            <w:pPr>
              <w:pStyle w:val="TableContents"/>
              <w:bidi w:val="0"/>
              <w:spacing w:before="0" w:after="283"/>
              <w:jc w:val="left"/>
              <w:rPr>
                <w:sz w:val="4"/>
                <w:szCs w:val="4"/>
              </w:rPr>
            </w:pPr>
            <w:r>
              <w:rPr>
                <w:sz w:val="4"/>
                <w:szCs w:val="4"/>
              </w:rPr>
            </w:r>
          </w:p>
        </w:tc>
        <w:tc>
          <w:tcPr>
            <w:tcW w:w="7864"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878"/>
              <w:jc w:val="left"/>
              <w:rPr/>
            </w:pPr>
            <w:r>
              <w:rPr/>
              <w:t> </w:t>
            </w:r>
          </w:p>
        </w:tc>
        <w:tc>
          <w:tcPr>
            <w:tcW w:w="7864" w:type="dxa"/>
            <w:tcBorders/>
            <w:tcMar>
              <w:top w:w="0" w:type="dxa"/>
              <w:left w:w="0" w:type="dxa"/>
              <w:bottom w:w="0" w:type="dxa"/>
              <w:right w:w="0" w:type="dxa"/>
            </w:tcMar>
            <w:vAlign w:val="center"/>
          </w:tcPr>
          <w:p>
            <w:pPr>
              <w:pStyle w:val="TableContents"/>
              <w:bidi w:val="0"/>
              <w:ind w:left="0" w:right="0" w:firstLine="878"/>
              <w:jc w:val="both"/>
              <w:rPr>
                <w:rFonts w:ascii="Times New Roman" w:hAnsi="Times New Roman"/>
                <w:color w:val="000000"/>
                <w:sz w:val="20"/>
              </w:rPr>
            </w:pPr>
            <w:r>
              <w:rPr>
                <w:rFonts w:ascii="Times New Roman" w:hAnsi="Times New Roman"/>
                <w:color w:val="000000"/>
                <w:sz w:val="20"/>
              </w:rPr>
              <w:t>2029 Notes and the February 2031 Notes, the “Outstanding Notes”);</w:t>
            </w:r>
          </w:p>
          <w:p>
            <w:pPr>
              <w:pStyle w:val="TableContents"/>
              <w:bidi w:val="0"/>
              <w:spacing w:before="140" w:after="283"/>
              <w:ind w:left="0" w:right="0" w:firstLine="878"/>
              <w:jc w:val="both"/>
              <w:rPr>
                <w:rFonts w:ascii="Times New Roman" w:hAnsi="Times New Roman"/>
                <w:color w:val="000000"/>
                <w:sz w:val="20"/>
              </w:rPr>
            </w:pPr>
            <w:r>
              <w:rPr>
                <w:rFonts w:ascii="Times New Roman" w:hAnsi="Times New Roman"/>
                <w:color w:val="000000"/>
                <w:sz w:val="20"/>
              </w:rPr>
              <w:t> senior to any of our future indebtedness that expressly provides it is subordinated to the Notes;</w:t>
            </w:r>
          </w:p>
          <w:p>
            <w:pPr>
              <w:pStyle w:val="TableContents"/>
              <w:bidi w:val="0"/>
              <w:spacing w:before="120" w:after="283"/>
              <w:ind w:left="0" w:right="0" w:firstLine="878"/>
              <w:jc w:val="both"/>
              <w:rPr>
                <w:rFonts w:ascii="Times New Roman" w:hAnsi="Times New Roman"/>
                <w:color w:val="000000"/>
                <w:sz w:val="20"/>
              </w:rPr>
            </w:pPr>
            <w:r>
              <w:rPr>
                <w:rFonts w:ascii="Times New Roman" w:hAnsi="Times New Roman"/>
                <w:color w:val="000000"/>
                <w:sz w:val="20"/>
              </w:rPr>
              <w:t> effectively subordinated to any future secured indebtedness; and all of our existing and future secured indebtedness (including indebtedness that is initially unsecured to which we subsequently grant security), to the extent of the value of the assets securing such indebtedness, including debt outstanding under our Credit Facility; and</w:t>
            </w:r>
          </w:p>
          <w:p>
            <w:pPr>
              <w:pStyle w:val="TableContents"/>
              <w:bidi w:val="0"/>
              <w:spacing w:before="160" w:after="283"/>
              <w:ind w:left="0" w:right="0" w:firstLine="878"/>
              <w:jc w:val="both"/>
              <w:rPr>
                <w:rFonts w:ascii="Times New Roman" w:hAnsi="Times New Roman"/>
                <w:color w:val="000000"/>
                <w:sz w:val="20"/>
              </w:rPr>
            </w:pPr>
            <w:r>
              <w:rPr>
                <w:rFonts w:ascii="Times New Roman" w:hAnsi="Times New Roman"/>
                <w:color w:val="000000"/>
                <w:sz w:val="20"/>
              </w:rPr>
              <w:t> structurally subordinated to all existing and future indebtedness and other obligations of any of our subsidiaries, financing vehicles or similar facilities, including debt outstanding under our Credit Facility.</w:t>
            </w:r>
          </w:p>
          <w:p>
            <w:pPr>
              <w:pStyle w:val="TableContents"/>
              <w:bidi w:val="0"/>
              <w:ind w:left="0" w:right="0" w:firstLine="878"/>
              <w:jc w:val="left"/>
              <w:rPr/>
            </w:pPr>
            <w:r>
              <w:rPr/>
              <w:t> </w:t>
            </w:r>
          </w:p>
          <w:p>
            <w:pPr>
              <w:pStyle w:val="TableContents"/>
              <w:bidi w:val="0"/>
              <w:spacing w:before="0" w:after="283"/>
              <w:ind w:left="0" w:right="0" w:firstLine="878"/>
              <w:jc w:val="both"/>
              <w:rPr>
                <w:rFonts w:ascii="Times New Roman" w:hAnsi="Times New Roman"/>
                <w:color w:val="000000"/>
                <w:sz w:val="20"/>
              </w:rPr>
            </w:pPr>
            <w:r>
              <w:rPr>
                <w:rFonts w:ascii="Times New Roman" w:hAnsi="Times New Roman"/>
                <w:color w:val="000000"/>
                <w:sz w:val="20"/>
              </w:rPr>
              <w:t>As of September 22, 2026, our total indebtedness was approximately $585.5 million, $252.0 million of which was secured indebtedness under our Credit Facility. After giving effect to the issuance of the Notes, assuming no repayment of amounts owed under our Credit Facility or repayment of the SWK 2027 Notes, our total indebtedness would have been approximately $630.5 million aggregate principal amount outstanding as of September 22, 2026 (or approximately $637.3 million if the underwriters fully exercise their overallotment option).</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Denominations</w:t>
            </w:r>
            <w:r>
              <w:rPr>
                <w:rFonts w:ascii="Times New Roman" w:hAnsi="Times New Roman"/>
                <w:color w:val="000000"/>
                <w:sz w:val="20"/>
              </w:rPr>
              <w:t xml:space="preserve">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 xml:space="preserve">We will issue the Notes in denominations of $25 and integral multiples of $25 in excess thereof.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tc>
        <w:tc>
          <w:tcPr>
            <w:tcW w:w="7864" w:type="dxa"/>
            <w:tcBorders/>
            <w:tcMar>
              <w:top w:w="0" w:type="dxa"/>
              <w:left w:w="0" w:type="dxa"/>
              <w:bottom w:w="0" w:type="dxa"/>
              <w:right w:w="0" w:type="dxa"/>
            </w:tcMar>
            <w:vAlign w:val="center"/>
          </w:tcPr>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We estimate that the net proceeds from the sale of the Notes in this offering will be approximately $43.2 million (or approximately $49.8 million if the underwriters fully execute their overallotment option), after deducting the underwriting discounts and commissions and estimated offering expenses.</w:t>
            </w:r>
          </w:p>
          <w:p>
            <w:pPr>
              <w:pStyle w:val="TableContents"/>
              <w:bidi w:val="0"/>
              <w:ind w:left="0" w:right="0" w:firstLine="480"/>
              <w:jc w:val="left"/>
              <w:rPr/>
            </w:pPr>
            <w:r>
              <w:rPr/>
              <w:t> </w:t>
            </w:r>
          </w:p>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We expect to use the net proceeds of this offering to repay outstanding indebtedness, including under our Credit Facility and to redeem all of our outstanding SWK 2027 Notes, and for general corporate purposes.</w:t>
            </w:r>
          </w:p>
          <w:p>
            <w:pPr>
              <w:pStyle w:val="TableContents"/>
              <w:bidi w:val="0"/>
              <w:ind w:left="0" w:right="0" w:firstLine="480"/>
              <w:jc w:val="both"/>
              <w:rPr/>
            </w:pPr>
            <w:r>
              <w:rPr/>
              <w:t> </w:t>
            </w:r>
          </w:p>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See the "Use of Proceeds" section of this prospectus supplement.</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Optional Redemption</w:t>
            </w:r>
            <w:r>
              <w:rPr>
                <w:rFonts w:ascii="Times New Roman" w:hAnsi="Times New Roman"/>
                <w:color w:val="000000"/>
                <w:sz w:val="20"/>
              </w:rPr>
              <w:t xml:space="preserve">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The Notes may be redeemed in whole or in part at any time or from time to time at our option on or after October 1, 2028 upon not less than 30 days' nor more than 60 days' written notice by mail prior to the date fixed for redemption thereof, at a redemption price equal to $25 per Note plus accrued and unpaid interest payments otherwise payable for the then-current quarterly interest period accrued to, but not including, the date fixed for redemption.</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Repayment at Option of Holders</w:t>
            </w:r>
            <w:r>
              <w:rPr>
                <w:rFonts w:ascii="Times New Roman" w:hAnsi="Times New Roman"/>
                <w:color w:val="000000"/>
                <w:sz w:val="20"/>
              </w:rPr>
              <w:t xml:space="preserve"> </w:t>
            </w:r>
          </w:p>
        </w:tc>
        <w:tc>
          <w:tcPr>
            <w:tcW w:w="7864" w:type="dxa"/>
            <w:tcBorders/>
            <w:tcMar>
              <w:top w:w="0" w:type="dxa"/>
              <w:left w:w="0" w:type="dxa"/>
              <w:bottom w:w="0" w:type="dxa"/>
              <w:right w:w="0" w:type="dxa"/>
            </w:tcMar>
            <w:vAlign w:val="center"/>
          </w:tcPr>
          <w:p>
            <w:pPr>
              <w:pStyle w:val="TableContents"/>
              <w:bidi w:val="0"/>
              <w:spacing w:before="0" w:after="283"/>
              <w:ind w:left="0" w:right="0" w:firstLine="200"/>
              <w:jc w:val="both"/>
              <w:rPr>
                <w:rFonts w:ascii="Times New Roman" w:hAnsi="Times New Roman"/>
                <w:color w:val="000000"/>
                <w:sz w:val="20"/>
              </w:rPr>
            </w:pPr>
            <w:r>
              <w:rPr>
                <w:rFonts w:ascii="Times New Roman" w:hAnsi="Times New Roman"/>
                <w:color w:val="000000"/>
                <w:sz w:val="20"/>
              </w:rPr>
              <w:t>Holders will not have the option to have the Notes repaid prior to the stated maturity date.</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Trustee, Paying Agent and Registrar and Transfer Agent</w:t>
            </w:r>
            <w:r>
              <w:rPr>
                <w:rFonts w:ascii="Times New Roman" w:hAnsi="Times New Roman"/>
                <w:color w:val="000000"/>
                <w:sz w:val="20"/>
              </w:rPr>
              <w:t xml:space="preserve">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U.S. Bank Trust Company, National Association</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tc>
        <w:tc>
          <w:tcPr>
            <w:tcW w:w="786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New York</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556"/>
        <w:gridCol w:w="8649"/>
      </w:tblGrid>
      <w:tr>
        <w:trPr/>
        <w:tc>
          <w:tcPr>
            <w:tcW w:w="1556" w:type="dxa"/>
            <w:tcBorders/>
            <w:vAlign w:val="center"/>
          </w:tcPr>
          <w:p>
            <w:pPr>
              <w:pStyle w:val="TableContents"/>
              <w:bidi w:val="0"/>
              <w:spacing w:before="0" w:after="283"/>
              <w:jc w:val="left"/>
              <w:rPr>
                <w:sz w:val="4"/>
                <w:szCs w:val="4"/>
              </w:rPr>
            </w:pPr>
            <w:r>
              <w:rPr>
                <w:sz w:val="4"/>
                <w:szCs w:val="4"/>
              </w:rPr>
            </w:r>
          </w:p>
        </w:tc>
        <w:tc>
          <w:tcPr>
            <w:tcW w:w="8649" w:type="dxa"/>
            <w:tcBorders/>
            <w:vAlign w:val="center"/>
          </w:tcPr>
          <w:p>
            <w:pPr>
              <w:pStyle w:val="TableContents"/>
              <w:bidi w:val="0"/>
              <w:spacing w:before="0" w:after="283"/>
              <w:jc w:val="left"/>
              <w:rPr>
                <w:sz w:val="4"/>
                <w:szCs w:val="4"/>
              </w:rPr>
            </w:pPr>
            <w:r>
              <w:rPr>
                <w:sz w:val="4"/>
                <w:szCs w:val="4"/>
              </w:rPr>
            </w:r>
          </w:p>
        </w:tc>
      </w:tr>
      <w:tr>
        <w:trPr/>
        <w:tc>
          <w:tcPr>
            <w:tcW w:w="155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Other Covenants</w:t>
            </w:r>
            <w:r>
              <w:rPr>
                <w:rFonts w:ascii="Times New Roman" w:hAnsi="Times New Roman"/>
                <w:color w:val="000000"/>
                <w:sz w:val="20"/>
              </w:rPr>
              <w:t xml:space="preserve"> </w:t>
            </w:r>
          </w:p>
        </w:tc>
        <w:tc>
          <w:tcPr>
            <w:tcW w:w="8649" w:type="dxa"/>
            <w:tcBorders/>
            <w:tcMar>
              <w:top w:w="0" w:type="dxa"/>
              <w:left w:w="0" w:type="dxa"/>
              <w:bottom w:w="0" w:type="dxa"/>
              <w:right w:w="0" w:type="dxa"/>
            </w:tcMar>
            <w:vAlign w:val="center"/>
          </w:tcPr>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In addition to any covenants described elsewhere in this prospectus supplement or the accompanying prospectus, the following covenants will apply to the Notes:</w:t>
            </w:r>
          </w:p>
          <w:p>
            <w:pPr>
              <w:pStyle w:val="TableContents"/>
              <w:bidi w:val="0"/>
              <w:ind w:left="0" w:right="0" w:firstLine="480"/>
              <w:jc w:val="left"/>
              <w:rPr/>
            </w:pPr>
            <w:r>
              <w:rPr/>
              <w:t> </w:t>
            </w:r>
          </w:p>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 We agree that for the period of time during which the Notes are outstanding, we will not violate, whether or not we are subject to, Section 18(a)(1)(A) as modified by Section 61(a)(2) of the 1940 Act or any successor provisions,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150% after such borrowings.</w:t>
            </w:r>
          </w:p>
          <w:p>
            <w:pPr>
              <w:pStyle w:val="TableContents"/>
              <w:bidi w:val="0"/>
              <w:spacing w:before="120" w:after="283"/>
              <w:ind w:left="0" w:right="0" w:firstLine="480"/>
              <w:jc w:val="both"/>
              <w:rPr>
                <w:rFonts w:ascii="Times New Roman" w:hAnsi="Times New Roman"/>
                <w:color w:val="000000"/>
                <w:sz w:val="20"/>
              </w:rPr>
            </w:pPr>
            <w:r>
              <w:rPr>
                <w:rFonts w:ascii="Times New Roman" w:hAnsi="Times New Roman"/>
                <w:color w:val="000000"/>
                <w:sz w:val="20"/>
              </w:rPr>
              <w:t xml:space="preserve"> 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w:t>
            </w:r>
          </w:p>
          <w:p>
            <w:pPr>
              <w:pStyle w:val="TableContents"/>
              <w:bidi w:val="0"/>
              <w:spacing w:before="120" w:after="283"/>
              <w:ind w:left="0" w:right="0" w:firstLine="480"/>
              <w:jc w:val="both"/>
              <w:rPr>
                <w:rFonts w:ascii="Times New Roman" w:hAnsi="Times New Roman"/>
                <w:color w:val="000000"/>
                <w:sz w:val="20"/>
              </w:rPr>
            </w:pPr>
            <w:r>
              <w:rPr>
                <w:rFonts w:ascii="Times New Roman" w:hAnsi="Times New Roman"/>
                <w:color w:val="000000"/>
                <w:sz w:val="20"/>
              </w:rPr>
              <w:t>See the "Description of the Notes" section of this prospectus supplement for certain other covenants applicable to the Notes.</w:t>
            </w:r>
          </w:p>
        </w:tc>
      </w:tr>
      <w:tr>
        <w:trPr/>
        <w:tc>
          <w:tcPr>
            <w:tcW w:w="155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64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155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tc>
        <w:tc>
          <w:tcPr>
            <w:tcW w:w="8649"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See “Supplementary Risk Factors” section in this prospectus supplement and “Risk Factors” in the accompanying prospectus, our most recent Annual Report on Form 10-K and our most recent Quarterly Report on Form 10-Q for a discussion of risks you should carefully consider before deciding to invest in the Notes.</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4" w:name="ssrf"/>
      <w:bookmarkEnd w:id="4"/>
      <w:r>
        <w:rPr>
          <w:rFonts w:ascii="Times New Roman" w:hAnsi="Times New Roman"/>
          <w:b/>
          <w:color w:val="000000"/>
          <w:sz w:val="20"/>
        </w:rPr>
        <w:t>SUPPLEMENTARY RISK FACTORS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20"/>
        </w:rPr>
        <w:t>Investing in the Notes involves a number of significant risks. You should carefully consider the risks described below, together with all of the risks and uncertainties described in the section titled “Risk Factors” in the accompanying prospectus, our most recent Annual Report on Form 10-K, our most recent Quarterly Report on Form 10-Q, as well as in subsequent filings with the SEC, which are or will be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“Cautionary Note Regarding Forward-Looking Statements” in this prospectus supplement.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The Notes will be unsecured and therefore will be effectively subordinated to any secured indebtedness we have currently incurred or may incur in the future.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not be secured by any of our assets or any of the assets of our subsidiaries. As a result, the Notes are effectively subordinated to any secured indebtedness we or our subsidiaries have currently incurred or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22, 2026, our total indebtedness was approximately $585.5 million, $252.0 million of which was secured. </w:t>
      </w:r>
    </w:p>
    <w:p>
      <w:pPr>
        <w:pStyle w:val="TextBody"/>
        <w:bidi w:val="0"/>
        <w:spacing w:before="240" w:after="283"/>
        <w:jc w:val="both"/>
        <w:rPr>
          <w:rFonts w:ascii="Times New Roman" w:hAnsi="Times New Roman"/>
          <w:sz w:val="20"/>
        </w:rPr>
      </w:pPr>
      <w:r>
        <w:rPr>
          <w:rFonts w:ascii="Times New Roman" w:hAnsi="Times New Roman"/>
          <w:b/>
          <w:color w:val="000000"/>
          <w:sz w:val="20"/>
        </w:rPr>
        <w:t>The Notes will be structurally subordinated to the indebtedness and other liabilities of our subsidiaries.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are obligations exclusively of Runway Growth Finance Corp., and not of any of our subsidiaries, including any subsidiaries we may acquire or create in the future. Our only current subsidiary is not a guarantor of the Notes, and the Notes are not required to be guaranteed by any subsidiaries we may acquire or create in the future. The assets of such subsidiaries are not directly available to satisfy the claims of our creditors, including the holders of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the Notes)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our subsidiaries may incur substantial additional indebtedness in the future, all of which would be structurally senior to the Notes. </w:t>
      </w:r>
    </w:p>
    <w:p>
      <w:pPr>
        <w:pStyle w:val="TextBody"/>
        <w:bidi w:val="0"/>
        <w:spacing w:before="240" w:after="283"/>
        <w:jc w:val="both"/>
        <w:rPr>
          <w:rFonts w:ascii="Times New Roman" w:hAnsi="Times New Roman"/>
          <w:sz w:val="20"/>
        </w:rPr>
      </w:pPr>
      <w:r>
        <w:rPr>
          <w:rFonts w:ascii="Times New Roman" w:hAnsi="Times New Roman"/>
          <w:b/>
          <w:color w:val="000000"/>
          <w:sz w:val="20"/>
        </w:rPr>
        <w:t>The indenture under which the Notes will be issued contains limited protection for holders of the Notes.</w:t>
      </w:r>
      <w:r>
        <w:rPr>
          <w:rFonts w:ascii="Times New Roman" w:hAnsi="Times New Roman"/>
          <w:color w:val="000000"/>
          <w:sz w:val="20"/>
        </w:rPr>
        <w:t xml:space="preserve"> </w:t>
      </w:r>
    </w:p>
    <w:p>
      <w:pPr>
        <w:pStyle w:val="TextBody"/>
        <w:bidi w:val="0"/>
        <w:spacing w:before="160" w:after="140"/>
        <w:jc w:val="both"/>
        <w:rPr>
          <w:rFonts w:ascii="Times New Roman" w:hAnsi="Times New Roman"/>
          <w:color w:val="000000"/>
          <w:sz w:val="20"/>
        </w:rPr>
      </w:pPr>
      <w:r>
        <w:rPr>
          <w:rFonts w:ascii="Times New Roman" w:hAnsi="Times New Roman"/>
          <w:color w:val="000000"/>
          <w:sz w:val="20"/>
        </w:rPr>
        <w:t xml:space="preserve">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investments in the Notes. In particular, the terms of the indenture and the Notes will not place any restrictions on our or our subsidiaries’ ability to: </w:t>
      </w:r>
    </w:p>
    <w:p>
      <w:pPr>
        <w:pStyle w:val="TextBody"/>
        <w:bidi w:val="0"/>
        <w:jc w:val="both"/>
        <w:rPr>
          <w:rFonts w:ascii="Times New Roman" w:hAnsi="Times New Roman"/>
          <w:color w:val="000000"/>
          <w:sz w:val="20"/>
        </w:rPr>
      </w:pPr>
      <w:r>
        <w:rPr>
          <w:rFonts w:ascii="Times New Roman" w:hAnsi="Times New Roman"/>
          <w:color w:val="000000"/>
          <w:sz w:val="20"/>
        </w:rPr>
        <w:t xml:space="preserve"> 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of the 1940 Act as modified by Section 61(a)(2) of the 1940 Act or any successor provisions, as such obligations may be amended or superseded, giving effect to any exemptive relief granted to us by the SEC;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pay dividends on, or purchase or redeem or make any payments in respect of, capital stock or other securities ranking junior in right of payment to the Notes;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sell assets (other than certain limited restrictions on our ability to consolidate, merge or sell all or substantially all of our assets);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enter into transactions with affiliates;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create liens (including liens on the shares of our subsidiaries) or enter into sale and leaseback transactions;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make investments;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create restrictions on the payment of dividends or other amounts to us from our subsidiaries.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addition, the indenture does not require us to offer to repurchase the Notes in connection with a change of control or any other event.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Our ability to recapitalize, incur additional debt and take a number of other actions that are not limited by the terms of the Notes may have important consequences for holders of the Notes, including making it more difficult for us to satisfy our obligations with respect to the Notes or negatively affecting the trading value of the Notes.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 </w:t>
      </w:r>
    </w:p>
    <w:p>
      <w:pPr>
        <w:pStyle w:val="TextBody"/>
        <w:bidi w:val="0"/>
        <w:spacing w:before="220" w:after="283"/>
        <w:jc w:val="both"/>
        <w:rPr>
          <w:rFonts w:ascii="Times New Roman" w:hAnsi="Times New Roman"/>
          <w:sz w:val="20"/>
        </w:rPr>
      </w:pPr>
      <w:r>
        <w:rPr>
          <w:rFonts w:ascii="Times New Roman" w:hAnsi="Times New Roman"/>
          <w:b/>
          <w:color w:val="000000"/>
          <w:sz w:val="20"/>
        </w:rPr>
        <w:t>An active trading market for the Notes does not currently exist and may not develop, which could limit a holder's ability to sell the Notes or affect the market price of the Notes. Moreover, if the Notes are no longer rated, the Notes may be subject to greater price volatility than rated notes and particularly similar securities with an investment grade rating.</w:t>
      </w:r>
      <w:r>
        <w:rPr>
          <w:rFonts w:ascii="Times New Roman" w:hAnsi="Times New Roman"/>
          <w:color w:val="000000"/>
          <w:sz w:val="20"/>
        </w:rPr>
        <w:t xml:space="preserve"> </w:t>
      </w:r>
    </w:p>
    <w:p>
      <w:pPr>
        <w:pStyle w:val="TextBody"/>
        <w:bidi w:val="0"/>
        <w:spacing w:before="160" w:after="260"/>
        <w:jc w:val="both"/>
        <w:rPr>
          <w:rFonts w:ascii="Times New Roman" w:hAnsi="Times New Roman"/>
          <w:color w:val="000000"/>
          <w:sz w:val="20"/>
        </w:rPr>
      </w:pPr>
      <w:r>
        <w:rPr>
          <w:rFonts w:ascii="Times New Roman" w:hAnsi="Times New Roman"/>
          <w:color w:val="000000"/>
          <w:sz w:val="20"/>
        </w:rPr>
        <w:t>The Notes are a new issue of debt securities for which there currently is no trading market, and there is no guarantee that an active trading market will develop. We intend to list the Notes on Nasdaq within 30 days of the original issue date under the ticker symbol “RWAYM.” Although we expect the Notes to be listed on Nasdaq, we cannot provide any assurances that we will successfully list the Notes,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the time remaining to the maturity of the Notes, the outstanding principal amount of debt securities with terms identical to the Notes, the supply of debt securities trading in the secondary market, if any, the redemption or repayment features, if any, of the Notes, general economic conditions, our financial condition, performance, prospects and other factors. If the Notes are no longer rated, this could impact their trading and subject them to greater price volatility. To the extent they are rated and received a non-investment grade rating, their price and trading activity could be negatively impacted. Moreover, if a rating agency assigns the Notes a non-investment grade rating, the Notes may be subject to greater price volatility than securities of similar maturity without such a non-investment grade rating. Certain of the underwriters have advised us that they intend to make a market in the Notes, but they are not obligated to do so. Such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color w:val="000000"/>
          <w:sz w:val="20"/>
        </w:rPr>
        <w:t>Our credit ratings may not reflect all risks of an investment in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credit ratings are an assessment by third parties of our ability to pay our obligations. Consequently, real or anticipated changes in our credit ratings will generally affect the market value of the Notes. Our credit ratings, however, may not reflect the potential impact of risks related to market conditions generally or other factors discussed above on the market value of or trading market for the Notes. </w:t>
      </w:r>
    </w:p>
    <w:p>
      <w:pPr>
        <w:pStyle w:val="TextBody"/>
        <w:bidi w:val="0"/>
        <w:spacing w:before="220" w:after="283"/>
        <w:jc w:val="both"/>
        <w:rPr>
          <w:rFonts w:ascii="Times New Roman" w:hAnsi="Times New Roman"/>
          <w:sz w:val="20"/>
        </w:rPr>
      </w:pPr>
      <w:r>
        <w:rPr>
          <w:rFonts w:ascii="Times New Roman" w:hAnsi="Times New Roman"/>
          <w:b/>
          <w:color w:val="000000"/>
          <w:sz w:val="20"/>
        </w:rPr>
        <w:t>The optional redemption provision may materially adversely affect your return on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are redeemable in whole or in part at any time or from time to time on or after October 1, 2028, at our sole option at $25.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 </w:t>
      </w:r>
    </w:p>
    <w:p>
      <w:pPr>
        <w:pStyle w:val="TextBody"/>
        <w:bidi w:val="0"/>
        <w:spacing w:before="220" w:after="283"/>
        <w:jc w:val="both"/>
        <w:rPr>
          <w:rFonts w:ascii="Times New Roman" w:hAnsi="Times New Roman"/>
          <w:sz w:val="20"/>
        </w:rPr>
      </w:pPr>
      <w:r>
        <w:rPr>
          <w:rFonts w:ascii="Times New Roman" w:hAnsi="Times New Roman"/>
          <w:b/>
          <w:color w:val="000000"/>
          <w:sz w:val="20"/>
        </w:rPr>
        <w:t>If we default on our obligations to pay our other indebtedness, we may not be able to make payments on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default under the agreements governing our indebtedness, including a default under the Credit Facility, the Outstanding Notes or other indebtedness to which we may be a party that is not waived by the required lenders or holders thereunder,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either of the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from the holders of the Outstanding Notes or other debt that we may incur in the future to avoid being in default. If we breach our covenants under any of the Credit Facility, the Outstanding Notes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debt will likely have, customary cross-default provisions, if the indebtedness thereunder or under any future indebtedness is accelerated, we may be unable to repay or finance the amounts due. </w:t>
      </w:r>
    </w:p>
    <w:p>
      <w:pPr>
        <w:pStyle w:val="TextBody"/>
        <w:bidi w:val="0"/>
        <w:spacing w:before="220" w:after="283"/>
        <w:jc w:val="both"/>
        <w:rPr>
          <w:rFonts w:ascii="Times New Roman" w:hAnsi="Times New Roman"/>
          <w:sz w:val="20"/>
        </w:rPr>
      </w:pPr>
      <w:r>
        <w:rPr>
          <w:rFonts w:ascii="Times New Roman" w:hAnsi="Times New Roman"/>
          <w:b/>
          <w:color w:val="000000"/>
          <w:sz w:val="20"/>
        </w:rPr>
        <w:t>Our shares of common stock have traded at a discount from net asset value and may do so in the future, which could limit our ability to raise additional equity capital.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Shares of closed-end investment companies frequently trade at a market price that is less than the net asset value that is attributable to those shares. This characteristic of closed-end investment companies is separate and distinct from the risk that our net asset value per share may decline. It is not possible to predict whether shares of our common stock will trade at, above or below net asset value. In addition, in recent periods, shares of BDCs as an industry traded below net asset value. When our common stock is trading below its net asset value per share, we will generally not be able to issue additional shares of our common stock at its market price without first obtaining approval for such issuance from our stockholders and our independent directors. We do not have stockholder approval to sell shares of our common stock at a price below our net asset value per share. </w:t>
      </w:r>
    </w:p>
    <w:p>
      <w:pPr>
        <w:pStyle w:val="TextBody"/>
        <w:bidi w:val="0"/>
        <w:spacing w:before="240" w:after="283"/>
        <w:jc w:val="both"/>
        <w:rPr>
          <w:rFonts w:ascii="Times New Roman" w:hAnsi="Times New Roman"/>
          <w:sz w:val="20"/>
        </w:rPr>
      </w:pPr>
      <w:r>
        <w:rPr>
          <w:rFonts w:ascii="Times New Roman" w:hAnsi="Times New Roman"/>
          <w:b/>
          <w:color w:val="000000"/>
          <w:sz w:val="20"/>
        </w:rPr>
        <w:t>FATCA withholding may apply to payments to certain foreign entities.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Payments made under the Notes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the Notes as well unless the FFI or NFFE complies with certain information reporting, withholding, identification, certification and related requirements imposed by FATCA. Depending upon the status of a holder and the status of an intermediary through which any Notes are held, the holder could be subject to this 30% withholding tax in respect of any interest paid or deemed paid on the Notes. You should consult your own tax advisors regarding FATCA and how it may affect your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investment in the Notes. See “Material United States Federal Income Tax Consequences — Taxation of Note Holders — FATCA Withholding on Payments to Certain Foreign Entities” in this prospectus supplement for more information.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5" w:name="scnrf"/>
      <w:bookmarkEnd w:id="5"/>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should be read in conjunction with our financial statements and related notes and other financial information included or incorporated by reference in this prospectus supplement, the accompanying prospectus, and in any free writing prospectus relating to this offering of the Notes. In addition to historical information, the information included or incorporated by reference in this prospectus supplement, the accompanying prospectus and in any free writing prospectus relating to this offering of the Notes may contain forward-looking information that involves risks and uncertainties. Our actual results could differ materially from those anticipated by such forward-looking information due to the factors described in the section titled “Supplementary Risk Factors” in this prospectus supplement and the section titled “Risk Factors” in our most recent Annual Report on Form 10-K and our most recent Quarterly Report on Form 10-Q, which are incorporated by reference in this prospectus supplement and the accompanying prospectus, or in any free writing prospectus relating to this offering and certain other factors noted throughout or incorporated by reference in this prospectus supplement, the accompanying prospectus and in any free writing prospectus relating to this offering. 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forecasted in the forward-looking statements, including without limitation: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changes in political, economic or industry conditions, trade policies, restrictions and tariffs, the interest rate environment or conditions affecting the financial and capital markets;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such an economic downturn could disproportionately impact the companies that we intend to target for investment, potentially causing us to experience a decrease in investment opportunities and diminished demand for capital from these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contraction of available credit and/or an inability to access the equity markets that could impair our lending and investment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interest rate volatility that could adversely affect our results, particularly to the extent that we use leverage as part of our investment strategy;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impact of changes in interest and inflation rates on our business prospects and the prospects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future operating results;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business prospects and the prospects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contractual arrangements and relationships with third parties;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our portfolio companies to achieve their objectives;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competition with other entities and our affiliates for investment opportunities;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speculative and illiquid nature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use of borrowed money to finance a portion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adequacy of our financing sources and working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loss of key personnel and members of our management team;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timing of cash flows, if any, from the operations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our external investment adviser, RGC, to locate suitable investments for us and to monitor and administer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RGC to attract and retain highly talented professionals;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ability to qualify and maintain our qualification as a RIC under subchapter M of the Code, and to be regulated as a BDC under the 1940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occurrence of a disaster, such as a cyber-attack against us or against a third party that has access to our data or networks, a natural catastrophe, an industrial accident, failure of our disaster-recovery systems, or consequential employee error;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effect of legal, tax and regulatory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ability to realize the anticipated benefits of the Mergers;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effects of disruption on our business from the Mergers;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combined company’s plans, expectations, objectives and intentions as a result of the Mergers;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risk that stockholder litigation in connection with the Mergers may result in significant costs of defense and liability;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other risks, uncertainties and other factors previously identified elsewhere in this prospectus supplement and the accompanying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should not place undue reliance on these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the section titled “Risk Factors” in our most recent Quarterly Report on Form 10-Q, as well as the section titled “Special Note Regarding Forward-Looking Statements” in the accompanying prospectus, before making any investment in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supplement, the accompanying prospectus and other statements that we may make, may contain forward-looking statements with respect to future financial or business performance, strategies or expectations. Forward-looking statements are typically identified by words or phrases such as “trend,” “opportunity,” “pipeline,” “believe,” “comfortable,” “expect,” “anticipate,” “current,” “intention,” “estimate,” “position,” “assume,” “plan,” “potential,” “project,” “outlook,” “continue,” “remain,” “maintain,” “sustain,” “seek,” “achieve” and similar expressions, or future or conditional verbs such as “will,” “would,” “should,” “could,” “may” or similar expressions.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do not meet the safe harbor for forward-looking statements pursuant to Section 27A of the Securities Act, or Section 21E of the Exchange Act. Actual results could differ materially from those anticipated in forward-looking statements and future results could differ materially from historical performance. 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supplement, the accompanying prospectus or in periodic reports we file under the Exchange Act.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6" w:name="suop"/>
      <w:bookmarkEnd w:id="6"/>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estimate that net proceeds we will receive from the sale of the Notes in this offering will be approximately $43.2 million (or approximately $49.8 million if the underwriters fully exercise their overallotment option), based on the underwriters purchasing the Notes from us at 97.00% of the aggregate principal amount and after deducting estimated offering expenses of approximately $437,000 (including certain expenses of the underwriters that we will reimburse the underwriters for) payable by 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intend to use the net proceeds from this offering to repay outstanding indebtedness, including under our Credit Facility and to redeem all of our outstanding SWK 2027 Notes, and for general corporate purposes.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of September 22, 2026, we had $425.0 million in total commitments available and $252.0 million aggregate principal amount outstanding under the Credit Facility. The availability period under the Credit Facility expires on March 18, 2028 and is followed by a one-year amortization period. The stated maturity date under the Credit Facility is March 18, 2029, unless extended. Borrowings under the Credit Facility bear interest on a per annum rate equal to the adjusted term Secured Overnight Financing Rate plus an applicable margin rate that ranges from 2.95% to 3.35% per annum depending on our leverage ratio and number of eligible loans in the collateral pool. The Credit Facility provides for a variable advance rate of up to 65% on eligible term loans. We also pay an unused commitment fee that ranges from 0.25% to 1.00% per annum based on the total unused lender commitments under the Credit Facility. The Credit Facility is collateralized by all eligible investment assets held by 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reborrow under the Credit Facility to make investments in accordance with our investment objective and investment strategy described in this prospectus supplement and the accompanying prospectus, to pay our operating expenses and other cash obligations, and for general corporate purposes, including the repayment of outstanding indebtedness.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of September 22, 2026, we had approximately $33.0 million in aggregate principal amount of the SWK 2027 Notes outstanding. The SWK 2027 Notes bear an interest rate of 9.00% per year and are due on January 31, 2027. The SWK 2027 Notes may be redeemed in whole or in part at any time or from time to time at our option, (i) on or after September 30, 2025 and prior to September 30, 2026, at a redemption price equal to the sum of 102% of their principal amount and (ii) on or after September 30, 2026, at a redemption price of 100% of their principal amount, plus, in the case of each of (i) and (ii), accrued and unpaid interest to, but excluding, the redemption date. The SWK 2027 Notes are general unsecured obligations of the Company that rank pari passu with our existing and future unsecured, unsubordinated indebtedness.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7" w:name="scap"/>
      <w:bookmarkEnd w:id="7"/>
      <w:r>
        <w:rPr>
          <w:rFonts w:ascii="Times New Roman" w:hAnsi="Times New Roman"/>
          <w:b/>
          <w:color w:val="000000"/>
          <w:sz w:val="20"/>
        </w:rPr>
        <w:t>CAPITALIZATION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table sets forth: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actual capitalization as of June 30, 2026; and </w:t>
      </w:r>
    </w:p>
    <w:p>
      <w:pPr>
        <w:pStyle w:val="TextBody"/>
        <w:bidi w:val="0"/>
        <w:spacing w:before="80" w:after="283"/>
        <w:jc w:val="both"/>
        <w:rPr>
          <w:rFonts w:ascii="Times New Roman" w:hAnsi="Times New Roman"/>
          <w:sz w:val="20"/>
        </w:rPr>
      </w:pPr>
      <w:r>
        <w:rPr>
          <w:rFonts w:ascii="Times New Roman" w:hAnsi="Times New Roman"/>
          <w:color w:val="000000"/>
          <w:sz w:val="20"/>
        </w:rPr>
        <w:t> our capitalization on an as-adjusted basis giving effect to the sale of $45,000,000 aggregate principal amount of Notes in this offering purchased from us by the underwriters and after deducting the underwriting discounts and commissions and estimated offering expenses of approximately $437,000 payable by us and the application of the net proceeds as discussed in more detail under “</w:t>
      </w:r>
      <w:r>
        <w:rPr>
          <w:rFonts w:ascii="Times New Roman" w:hAnsi="Times New Roman"/>
          <w:i/>
          <w:color w:val="000000"/>
          <w:sz w:val="20"/>
        </w:rPr>
        <w:t>Use of Proceeds</w:t>
      </w:r>
      <w:r>
        <w:rPr>
          <w:rFonts w:ascii="Times New Roman" w:hAnsi="Times New Roman"/>
          <w:color w:val="000000"/>
          <w:sz w:val="20"/>
        </w:rPr>
        <w:t xml:space="preserve">” in this prospectus supplement (assuming no exercise of the underwriters' over-allotment option).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This table should be read in conjunction with “Use of Proceeds” included in this prospectus supplement and “Management’s Discussion and Analysis of Financial Condition and Results of Operations” and our most recent financial statements and notes thereto incorporated by reference in this prospectus supplement and the accompanying prospectus. </w:t>
      </w:r>
    </w:p>
    <w:tbl>
      <w:tblPr>
        <w:tblW w:w="10205" w:type="dxa"/>
        <w:jc w:val="left"/>
        <w:tblInd w:w="0" w:type="dxa"/>
        <w:tblLayout w:type="fixed"/>
        <w:tblCellMar>
          <w:top w:w="28" w:type="dxa"/>
          <w:left w:w="28" w:type="dxa"/>
          <w:bottom w:w="28" w:type="dxa"/>
          <w:right w:w="28" w:type="dxa"/>
        </w:tblCellMar>
      </w:tblPr>
      <w:tblGrid>
        <w:gridCol w:w="7584"/>
        <w:gridCol w:w="146"/>
        <w:gridCol w:w="211"/>
        <w:gridCol w:w="931"/>
        <w:gridCol w:w="146"/>
        <w:gridCol w:w="211"/>
        <w:gridCol w:w="976"/>
      </w:tblGrid>
      <w:tr>
        <w:trPr/>
        <w:tc>
          <w:tcPr>
            <w:tcW w:w="7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As of June 30, 2026</w:t>
            </w:r>
            <w:r>
              <w:rPr>
                <w:rFonts w:ascii="Times New Roman" w:hAnsi="Times New Roman"/>
                <w:b/>
                <w:color w:val="000000"/>
                <w:sz w:val="11"/>
              </w:rPr>
              <w:t>(1)</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1,192,350</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10,831</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1,222,357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1,222,357</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339,756</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SWK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40,250</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offered hereby,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43,213</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678,945</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9,654</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14,903</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719,779</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100,000,000 shares authorized; 42,215,377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585,038</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undistributed (overdistributed)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(82,882)</w:t>
            </w:r>
          </w:p>
        </w:tc>
      </w:tr>
      <w:tr>
        <w:trPr/>
        <w:tc>
          <w:tcPr>
            <w:tcW w:w="7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502,578</w:t>
            </w:r>
          </w:p>
        </w:tc>
      </w:tr>
      <w:tr>
        <w:trPr/>
        <w:tc>
          <w:tcPr>
            <w:tcW w:w="7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In thousands, except share and per share data.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8" w:name="sdotn"/>
      <w:bookmarkEnd w:id="8"/>
      <w:r>
        <w:rPr>
          <w:rFonts w:ascii="Times New Roman" w:hAnsi="Times New Roman"/>
          <w:b/>
          <w:color w:val="000000"/>
          <w:sz w:val="20"/>
        </w:rPr>
        <w:t>DESCRIPTION OF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supplement sets forth certain terms of the Notes that we are offering pursuant to this prospectus supplement. This description supplements, and to the extent inconsistent therewith, replaces the descriptions of the general terms and provisions contained in “Description of our Debt Securities” in the accompanying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be issued under a base indenture, dated as of July 28, 2022, and the fifth supplemental indenture thereto, to be entered into between us and U.S. Bank Trust Company, National Association, as trustee (the “Trustee”). The terms of the Notes include those stated in the Indenture (as defined below) and those made a part of the Indenture by reference to the Trust Indenture Act of 1939, as amended. As used in this section, all references to “Indenture” mean the indenture as supplemented by the fifth supplemental indenture, and all references to “we,” “our” and “us” mean Runway Growth Finance Corp., a Maryland corporation, exclusive of our subsidiaries, unless we specify otherwise.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Because this section is a summary, it does not describe every aspect of the Notes and the Indenture. We urge you to read the Indenture because it, and not this description, defines your rights as a holder of Notes. For example, in this section, we use capitalized words to signify terms that are specifically defined in the Indenture. Some of the definitions are repeated in this prospectus supplement, but for the rest you will need to read the Indenture. You may obtain a copy of the Indenture from us without charge. See “Available Information” in the accompanying prospectus. </w:t>
      </w:r>
    </w:p>
    <w:p>
      <w:pPr>
        <w:pStyle w:val="TextBody"/>
        <w:bidi w:val="0"/>
        <w:spacing w:before="240" w:after="283"/>
        <w:jc w:val="both"/>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be issued in an initial principal amount of $45,000,000 ($51,750,000 if the underwriters' option to purchase Notes to cover overallotments, if any, is exercised in full);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mature on October 1, 2031, unless redeemed prior to maturity;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bear cash interest from October 1, 2026, at an annual rate of 7.75% payable quarterly in arrears on March 1, June 1, September 1, and December 1, beginning on December 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be issued in minimum denominations of $25 and integral multiples of $25 in excess thereof;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be redeemable by us in whole or in part at any time or from time to time on and after October 1, 2028, at a redemption price of $25 per Note, plus accrued and unpaid interest payments otherwise payable for the then-current quarterly interest period accrued to the date fixed for redemption as described under “— Optional Redemption” below;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are expected to be listed on Nasdaq within 30 days of the original issue date.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be our direct unsecured obligations and will rank: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pari passu</w:t>
      </w:r>
      <w:r>
        <w:rPr>
          <w:rFonts w:ascii="Times New Roman" w:hAnsi="Times New Roman"/>
          <w:color w:val="000000"/>
          <w:sz w:val="20"/>
        </w:rPr>
        <w:t xml:space="preserve"> with current and future unsecured unsubordinated indebtedness, including the Outstanding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senior to any series of preferred stock that we may issue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senior to any of our future indebtedness that expressly provides it is subordinated to 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effectively subordinated to all of our existing and future secured indebtedness (including indebtedness that is initially unsecured to which we subsequently grant security), to the extent of the value of the assets securing such indebtedness, including debt outstanding under our Credit Facility;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structurally subordinated to all existing and future indebtedness and other obligations of any of our subsidiaries, financing vehicles or similar facilities, including debt outstanding under our Credit Facility.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As of September 22, 2026, our total indebtedness was approximately $585.5 million, $252.0 million of which was secured. After giving effect to the issuance of the Notes, assuming no repayment of indebtedness with the use of proceeds from this offering, our total indebtedness would have been approximately $630.5 million aggregate principal amount outstanding as of September 22, 2026 (or approximately $637.3 million if the underwriters fully exercise their overallotment option). </w:t>
      </w:r>
    </w:p>
    <w:p>
      <w:pPr>
        <w:pStyle w:val="TextBody"/>
        <w:bidi w:val="0"/>
        <w:jc w:val="both"/>
        <w:rPr>
          <w:rFonts w:ascii="Times New Roman" w:hAnsi="Times New Roman"/>
          <w:color w:val="000000"/>
          <w:sz w:val="20"/>
        </w:rPr>
      </w:pPr>
      <w:r>
        <w:rPr>
          <w:rFonts w:ascii="Times New Roman" w:hAnsi="Times New Roman"/>
          <w:color w:val="000000"/>
          <w:sz w:val="20"/>
        </w:rPr>
        <w:t xml:space="preserve">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subsidiaries may be subject to statutory, contractual or other restrictions, may depend on the earnings or financial condition of all of the foregoing and are subject to various business considerations. As a result, we may be unable to gain significant, if any, access to the cash flow or assets of our subsidiaries.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does not limit the amount of debt (secured and unsecured) that we and our subsidiaries may incur or our ability to pay dividends, sell assets, enter into transactions with affiliates or make investments. In addition, the Indenture does not contain any provisions that would necessarily protect holders of Notes if we become involved in a highly leveraged transaction, reorganization, merger or other similar transaction that adversely affects us or them.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be issued in fully registered form only, without coupons, in minimum denominations of $25 and integral multiples thereof. The Notes will be represented by one or more global notes deposited with or on behalf of DTC, or a nominee thereof. Except as otherwise provided in the Indenture, the Notes will be registered in the name of that depositary or its nominee, and you will not receive certificates for the Notes. 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permitted, under specified conditions, to issue multiple classes of indebtedness if our asset coverage, as defined in the 1940 Act, is at least equal to 150% immediately after each such issuance.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our most recent Annual Report on Form 10-K. </w:t>
      </w:r>
    </w:p>
    <w:p>
      <w:pPr>
        <w:pStyle w:val="TextBody"/>
        <w:bidi w:val="0"/>
        <w:spacing w:before="240" w:after="283"/>
        <w:jc w:val="both"/>
        <w:rPr>
          <w:rFonts w:ascii="Times New Roman" w:hAnsi="Times New Roman"/>
          <w:sz w:val="20"/>
        </w:rPr>
      </w:pPr>
      <w:r>
        <w:rPr>
          <w:rFonts w:ascii="Times New Roman" w:hAnsi="Times New Roman"/>
          <w:b/>
          <w:color w:val="000000"/>
          <w:sz w:val="20"/>
        </w:rPr>
        <w:t>Interest Provisions Related to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Interest on the Notes will accrue at the rate of 7.75% per annum and will be payable quarterly on each March 1, June 1, September 1, and December 1, commencing on December 1, 2026. The initial interest period will be the period from and including the original issue date to, but excluding, the initial interest payment date, and the subsequent interest periods will be the periods from and including an interest payment date to, but excluding, the next interest payment date or the stated maturity date, as the case may be. We will pay interest to those persons who were holders of record of such Notes on the fifteenth day of the month prior to which each interest payment date occurs: each February 15, May 15, August 15, and November 15, commencing November 15, 2026.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Interest on the Notes will accrue from the date of original issuance and will be computed on the basis of a 360-day year comprised of twelve 30-day months. We will not provide a sinking fund for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Interest payments will be made only on a business day, defined in the Indenture as each Monday, Tuesday, Wednesday, Thursday and Friday that is not a day on which banking institutions in New York City, Chicago or the place of payment are authorized or required by law or executive order to close. If any interest payment is due on a non-business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Trustee will have no obligation to calculate or verify the calculation of the accrued and unpaid interest or any premium payable on the Notes. </w:t>
      </w:r>
    </w:p>
    <w:p>
      <w:pPr>
        <w:pStyle w:val="TextBody"/>
        <w:bidi w:val="0"/>
        <w:spacing w:before="140" w:after="283"/>
        <w:jc w:val="both"/>
        <w:rPr>
          <w:rFonts w:ascii="Times New Roman" w:hAnsi="Times New Roman"/>
          <w:sz w:val="20"/>
        </w:rPr>
      </w:pPr>
      <w:r>
        <w:rPr>
          <w:rFonts w:ascii="Times New Roman" w:hAnsi="Times New Roman"/>
          <w:b/>
          <w:color w:val="000000"/>
          <w:sz w:val="20"/>
        </w:rPr>
        <w:t>Book-entry and other indirect holders should consult their banks or brokers for information on how they will receive payments on their Notes.</w:t>
      </w:r>
      <w:r>
        <w:rPr>
          <w:rFonts w:ascii="Times New Roman" w:hAnsi="Times New Roman"/>
          <w:color w:val="000000"/>
          <w:sz w:val="20"/>
        </w:rPr>
        <w:t xml:space="preserve"> </w:t>
      </w:r>
    </w:p>
    <w:p>
      <w:pPr>
        <w:pStyle w:val="TextBody"/>
        <w:bidi w:val="0"/>
        <w:spacing w:before="140" w:after="283"/>
        <w:jc w:val="both"/>
        <w:rPr>
          <w:rFonts w:ascii="Times New Roman" w:hAnsi="Times New Roman"/>
          <w:b/>
          <w:color w:val="000000"/>
          <w:sz w:val="20"/>
        </w:rPr>
      </w:pPr>
      <w:r>
        <w:rPr>
          <w:rFonts w:ascii="Times New Roman" w:hAnsi="Times New Roman"/>
          <w:b/>
          <w:color w:val="000000"/>
          <w:sz w:val="20"/>
        </w:rPr>
        <w:t>Optional Redemption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Notes may be redeemed in whole or in part at any time or from time to time at our option on or after October 1, 2028, upon not less than 30 days nor more than 60 days written notice by mail prior to the date fixed for redemption thereof, at a redemption price of $25 per Note plus accrued and unpaid interest payments otherwise payable for the then-current quarterly interest period accrued to the date fixed for redemption.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may be prevented from exchanging or transferring the Notes when they are subject to redemption. In case any Notes are to be redeemed in part only, the redemption notice will provide that, upon surrender of such Note, you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S-20</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will receive, without a charge, a new Note or Notes of authorized denominations representing the principal amount of your remaining unredeemed Notes.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Any exercise of our option to redeem the Notes will be done in compliance with the 1940 Act, to the extent applicable.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redeem only a portion of the Notes, DTC will determine the method for selection of the particular Notes to be redeemed. DTC’s practice is to determine by lot the amount to be redeemed from each of its participants holding the Notes. Unless we default in payment of the redemption price, on and after the date of redemption, interest will cease to accrue on the Notes called for redemption.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Holders will not have the option to have the Notes repaid prior to the stated maturity date.</w:t>
      </w:r>
    </w:p>
    <w:p>
      <w:pPr>
        <w:pStyle w:val="TextBody"/>
        <w:bidi w:val="0"/>
        <w:spacing w:before="22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We intend to list the Notes on Nasdaq under the symbol “RWAYM.” We expect trading in the Notes to begin within 30 days of the original issue date.</w:t>
      </w:r>
    </w:p>
    <w:p>
      <w:pPr>
        <w:pStyle w:val="TextBody"/>
        <w:bidi w:val="0"/>
        <w:spacing w:before="220" w:after="283"/>
        <w:jc w:val="both"/>
        <w:rPr>
          <w:rFonts w:ascii="Times New Roman" w:hAnsi="Times New Roman"/>
          <w:b/>
          <w:color w:val="000000"/>
          <w:sz w:val="20"/>
        </w:rPr>
      </w:pPr>
      <w:r>
        <w:rPr>
          <w:rFonts w:ascii="Times New Roman" w:hAnsi="Times New Roman"/>
          <w:b/>
          <w:color w:val="000000"/>
          <w:sz w:val="20"/>
        </w:rPr>
        <w:t>Trading Characteristics</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We expect the Notes to trade at a price that takes into account the value, if any, of accrued and unpaid interest. This means that purchasers will not pay, and sellers will not receive, accrued and unpaid interest on the Notes that is not included in their trading price. Any portion of the trading price of a Note that is attributable to accrued and unpaid interest will be treated as a payment of interest for U.S. federal income tax purposes and will not be treated as part of the amount realized for purposes of determining gain or loss on the disposition of the Notes. See “Material United States Federal Income Tax Consequences” in this prospectus supplement.</w:t>
      </w:r>
    </w:p>
    <w:p>
      <w:pPr>
        <w:pStyle w:val="TextBody"/>
        <w:bidi w:val="0"/>
        <w:spacing w:before="220" w:after="283"/>
        <w:jc w:val="both"/>
        <w:rPr>
          <w:rFonts w:ascii="Times New Roman" w:hAnsi="Times New Roman"/>
          <w:sz w:val="20"/>
        </w:rPr>
      </w:pPr>
      <w:r>
        <w:rPr>
          <w:rFonts w:ascii="Times New Roman" w:hAnsi="Times New Roman"/>
          <w:b/>
          <w:color w:val="000000"/>
          <w:sz w:val="20"/>
        </w:rPr>
        <w:t>Certain Covenants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to standard covenants relating to payment of principal and interest, maintaining an office where payments may be made or securities surrendered for payment, payment of taxes and related matters, the following covenants apply to the Notes. </w:t>
      </w:r>
    </w:p>
    <w:p>
      <w:pPr>
        <w:pStyle w:val="TextBody"/>
        <w:bidi w:val="0"/>
        <w:spacing w:before="220" w:after="283"/>
        <w:jc w:val="both"/>
        <w:rPr>
          <w:rFonts w:ascii="Times New Roman" w:hAnsi="Times New Roman"/>
          <w:sz w:val="20"/>
        </w:rPr>
      </w:pPr>
      <w:r>
        <w:rPr>
          <w:rFonts w:ascii="Times New Roman" w:hAnsi="Times New Roman"/>
          <w:i/>
          <w:color w:val="000000"/>
          <w:sz w:val="20"/>
        </w:rPr>
        <w:t>Reporting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agreed to provide to holders of the Notes and the Trustee (if at any time when Notes are outstanding we are not subject to the reporting requirements of Sections 13 or 15(d) of the Exchange Act to file any periodic reports with the SEC)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United States generally accepted accounting principles. </w:t>
      </w:r>
    </w:p>
    <w:p>
      <w:pPr>
        <w:pStyle w:val="TextBody"/>
        <w:bidi w:val="0"/>
        <w:spacing w:before="220" w:after="283"/>
        <w:jc w:val="both"/>
        <w:rPr>
          <w:rFonts w:ascii="Times New Roman" w:hAnsi="Times New Roman"/>
          <w:sz w:val="20"/>
        </w:rPr>
      </w:pPr>
      <w:r>
        <w:rPr>
          <w:rFonts w:ascii="Times New Roman" w:hAnsi="Times New Roman"/>
          <w:i/>
          <w:color w:val="000000"/>
          <w:sz w:val="20"/>
        </w:rPr>
        <w:t>1940 Act Compliance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borrowings. </w:t>
      </w:r>
    </w:p>
    <w:p>
      <w:pPr>
        <w:pStyle w:val="TextBody"/>
        <w:bidi w:val="0"/>
        <w:spacing w:before="240" w:after="283"/>
        <w:jc w:val="both"/>
        <w:rPr>
          <w:rFonts w:ascii="Times New Roman" w:hAnsi="Times New Roman"/>
          <w:sz w:val="20"/>
        </w:rPr>
      </w:pPr>
      <w:r>
        <w:rPr>
          <w:rFonts w:ascii="Times New Roman" w:hAnsi="Times New Roman"/>
          <w:b/>
          <w:color w:val="000000"/>
          <w:sz w:val="20"/>
        </w:rPr>
        <w:t>Events of Default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will have rights if an Event of Default occurs in respect of the Notes and is not cured, as described later in this subsection.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term “Event of Default” in respect of the Notes means any of the following: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default in the payment of any interest on the Notes when due and payable and the default continues for a period of 30 days.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default in the payment of the principal of (or premium, if any, on) a debt security of the series when it becomes due and payable at its maturity, including upon any redemption date or required repurchase date, and the default continues for a period of five business days.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S-21</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do not deposit any sinking fund payment in respect of the Notes on its due date, and do not cure this default within five days.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fail for 60 consecutive days after written notice from the Trustee or the holders of at least 25% in principal amount of the Notes then outstanding to us and the Trustee, as applicable, has been received to comply with any of our other agreements with respect to the Notes.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file for bankruptcy or certain events of bankruptcy, insolvency, or reorganization involving us occur and remain undischarged or unstayed for a period of 90 days.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Any other Event of Default in respect of the Notes described in the applicable prospectus supplement occurs.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Event of Default for the Notes does not necessarily constitute an Event of Default for any other series of debt securities issued under the same or any other indenture. The Trustee may withhold notice to the holders of the Notes of any default, except in the payment of principal, premium or interest, if it in good faith considers the withholding of notice to be in the interests of the holders. </w:t>
      </w:r>
    </w:p>
    <w:p>
      <w:pPr>
        <w:pStyle w:val="TextBody"/>
        <w:bidi w:val="0"/>
        <w:spacing w:before="220" w:after="283"/>
        <w:jc w:val="left"/>
        <w:rPr>
          <w:rFonts w:ascii="Times New Roman" w:hAnsi="Times New Roman"/>
          <w:sz w:val="20"/>
        </w:rPr>
      </w:pPr>
      <w:r>
        <w:rPr>
          <w:rFonts w:ascii="Times New Roman" w:hAnsi="Times New Roman"/>
          <w:i/>
          <w:color w:val="000000"/>
          <w:sz w:val="20"/>
        </w:rPr>
        <w:t>Remedies if an Event of Default Occurs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 Event of Default has occurred and has not been cured, the Trustee or the holders of at least 25% in principal amount of the Notes may declare the entire principal amount of all the Notes to be due and immediately payable. This is called a declaration of acceleration of maturity. A declaration of acceleration of maturity may be canceled by the holders of a majority in principal amount of the Notes if (1) we have deposited with the Trustee all amounts due and owing with respect to the securities (other than principal that has become due solely by reason of such acceleration) and certain other amounts, (2) we have paid or deposited with the Trustee all sums paid or advanced by the Trustee and the reasonable compensation, expenses, disbursements and advances of the Trustee, its agents and counsel, and (3) any other Events of Default have been cured or waived.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(Section 315 of the Trust Indenture Act of 1939). If indemnity and/or security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Before you are allowed to bypass the Trustee and bring your own lawsuit or other formal legal action or take other steps to enforce your rights or protect your interests relating to the Notes, the following must occur: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You must give the Trustee written notice that an Event of Default has occurred and remains uncured.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holders of at least 25% in principal amount of all outstanding Notes must make a written request that the Trustee take action because of the default and must offer to the Trustee security and/or indemnity satisfactory to it against the cost, expenses, and other liabilities of taking that action.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Trustee must not have taken action for 60 days after receipt of the above notice and offer of security and/or indemnity.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holders of a majority in principal amount of the Notes must not have given the Trustee a direction inconsistent with the above notice during that 60-day period.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However, you are entitled at any time to bring a lawsuit for the payment of money due on your Notes on or after the due date.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Holders of a majority in principal amount of the Notes may waive any past defaults other than a default;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payment of principal, any premium, or interest;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respect of a covenant that cannot be modified or amended without the consent of each holder.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S-22</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sz w:val="20"/>
        </w:rPr>
      </w:pPr>
      <w:r>
        <w:rPr>
          <w:rFonts w:ascii="Times New Roman" w:hAnsi="Times New Roman"/>
          <w:b/>
          <w:color w:val="000000"/>
          <w:sz w:val="20"/>
        </w:rPr>
        <w:t>Book-entry and other indirect holders should consult their banks or brokers for information on how to give notice or direction to or make a request of the Trustee and how to declare or cancel an acceleration of maturity.</w:t>
      </w:r>
      <w:r>
        <w:rPr>
          <w:rFonts w:ascii="Times New Roman" w:hAnsi="Times New Roman"/>
          <w:color w:val="000000"/>
          <w:sz w:val="20"/>
        </w:rPr>
        <w:t xml:space="preserv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Each year, we will furnish to the Trustee a written statement of certain of our officers certifying that to their knowledge we are in compliance with the Indenture or else specifying any default. </w:t>
      </w:r>
    </w:p>
    <w:p>
      <w:pPr>
        <w:pStyle w:val="TextBody"/>
        <w:bidi w:val="0"/>
        <w:spacing w:before="220" w:after="283"/>
        <w:jc w:val="both"/>
        <w:rPr>
          <w:rFonts w:ascii="Times New Roman" w:hAnsi="Times New Roman"/>
          <w:sz w:val="20"/>
        </w:rPr>
      </w:pPr>
      <w:r>
        <w:rPr>
          <w:rFonts w:ascii="Times New Roman" w:hAnsi="Times New Roman"/>
          <w:b/>
          <w:color w:val="000000"/>
          <w:sz w:val="20"/>
        </w:rPr>
        <w:t>Merger, Consolidation or Sale of Assets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terms of the Indenture, we are generally permitted to consolidate or merge with another entity. We are also permitted to sell all or substantially all of our assets to another entity. However, we may not consolidate with or into any other corporation or convey or transfer all or substantially all of our property or assets to any person unless all the following conditions are met: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Where we merge out of existence or sell our assets, the resulting entity must agree to be legally responsible for all of our obligations under the Notes and the Indenture.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Immediately after giving effect to such transaction, no Default or Event of Default shall have happened and be continuing.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certain certificates and documents to the Trustee. </w:t>
      </w:r>
    </w:p>
    <w:p>
      <w:pPr>
        <w:pStyle w:val="TextBody"/>
        <w:bidi w:val="0"/>
        <w:spacing w:before="220" w:after="283"/>
        <w:jc w:val="left"/>
        <w:rPr>
          <w:rFonts w:ascii="Times New Roman" w:hAnsi="Times New Roman"/>
          <w:sz w:val="20"/>
        </w:rPr>
      </w:pPr>
      <w:r>
        <w:rPr>
          <w:rFonts w:ascii="Times New Roman" w:hAnsi="Times New Roman"/>
          <w:b/>
          <w:color w:val="000000"/>
          <w:sz w:val="20"/>
        </w:rPr>
        <w:t>Modification or Waiver</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 are three types of changes we can make to the Indenture and the Notes. </w:t>
      </w:r>
    </w:p>
    <w:p>
      <w:pPr>
        <w:pStyle w:val="TextBody"/>
        <w:bidi w:val="0"/>
        <w:spacing w:before="220" w:after="283"/>
        <w:jc w:val="left"/>
        <w:rPr>
          <w:rFonts w:ascii="Times New Roman" w:hAnsi="Times New Roman"/>
          <w:sz w:val="20"/>
        </w:rPr>
      </w:pPr>
      <w:r>
        <w:rPr>
          <w:rFonts w:ascii="Times New Roman" w:hAnsi="Times New Roman"/>
          <w:i/>
          <w:color w:val="000000"/>
          <w:sz w:val="20"/>
        </w:rPr>
        <w:t>Changes Requiring Your Approval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First, there are changes that we cannot make to your Notes without your specific approval. The following is a list of those types of changes: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change the stated maturity of the principal of or interest on the Notes;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reduce any amounts due on 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amount of principal payable upon acceleration of the maturity of the Notes following a default;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adversely affect any right of repayment at the holder’s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the place (except as otherwise described in this prospectus supplement or the accompanying prospectus) or currency of payment on 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impair your right to sue for payment;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Notes whose consent is needed to modify or amend the Indenture;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Notes whose consent is needed to waive compliance with certain provisions of the Indenture or to waive certain defaults;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modify any other aspect of the provisions of the Indenture dealing with supplemental indentures, modification and waiver of past defaults, changes to the quorum or voting requirements or the waiver of certain covenants;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change any obligation we have to pay additional amounts. </w:t>
      </w:r>
    </w:p>
    <w:p>
      <w:pPr>
        <w:pStyle w:val="TextBody"/>
        <w:bidi w:val="0"/>
        <w:spacing w:before="200" w:after="283"/>
        <w:jc w:val="both"/>
        <w:rPr>
          <w:rFonts w:ascii="Times New Roman" w:hAnsi="Times New Roman"/>
          <w:sz w:val="20"/>
        </w:rPr>
      </w:pPr>
      <w:r>
        <w:rPr>
          <w:rFonts w:ascii="Times New Roman" w:hAnsi="Times New Roman"/>
          <w:i/>
          <w:color w:val="000000"/>
          <w:sz w:val="20"/>
        </w:rPr>
        <w:t>Changes Not Requiring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second type of change does not require any vote by the holders of the Notes. This type is limited to clarifications and certain other changes that would not adversely affect holders of the Notes in any material respect. We also do not need any approval to make any change that affects only debt securities to be issued under the indenture after the change takes effect. </w:t>
      </w:r>
    </w:p>
    <w:p>
      <w:pPr>
        <w:pStyle w:val="TextBody"/>
        <w:bidi w:val="0"/>
        <w:spacing w:before="220" w:after="283"/>
        <w:jc w:val="both"/>
        <w:rPr>
          <w:rFonts w:ascii="Times New Roman" w:hAnsi="Times New Roman"/>
          <w:sz w:val="20"/>
        </w:rPr>
      </w:pPr>
      <w:r>
        <w:rPr>
          <w:rFonts w:ascii="Times New Roman" w:hAnsi="Times New Roman"/>
          <w:i/>
          <w:color w:val="000000"/>
          <w:sz w:val="20"/>
        </w:rPr>
        <w:t>Changes Requiring Majority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other change to the Indenture and the Notes would require the following approval: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change affects only the Notes, it must be approved by the holders of a majority in principal amount of the Notes outstanding at such time; and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S-23</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change affects more than one series of debt securities issued under the indenture, it must be approved by the holders of a majority in principal amount of all of the series affected by the change, with all affected series voting together as one class for this purpose. </w:t>
      </w:r>
    </w:p>
    <w:p>
      <w:pPr>
        <w:pStyle w:val="TextBody"/>
        <w:bidi w:val="0"/>
        <w:spacing w:before="140" w:after="283"/>
        <w:jc w:val="both"/>
        <w:rPr>
          <w:rFonts w:ascii="Times New Roman" w:hAnsi="Times New Roman"/>
          <w:sz w:val="20"/>
        </w:rPr>
      </w:pPr>
      <w:r>
        <w:rPr>
          <w:rFonts w:ascii="Times New Roman" w:hAnsi="Times New Roman"/>
          <w:color w:val="000000"/>
          <w:sz w:val="20"/>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w:t>
      </w:r>
      <w:r>
        <w:rPr>
          <w:rFonts w:ascii="Times New Roman" w:hAnsi="Times New Roman"/>
          <w:i/>
          <w:color w:val="000000"/>
          <w:sz w:val="20"/>
        </w:rPr>
        <w:t>Changes Requiring Your Approval</w:t>
      </w:r>
      <w:r>
        <w:rPr>
          <w:rFonts w:ascii="Times New Roman" w:hAnsi="Times New Roman"/>
          <w:color w:val="000000"/>
          <w:sz w:val="20"/>
        </w:rPr>
        <w:t xml:space="preserve">.” </w:t>
      </w:r>
    </w:p>
    <w:p>
      <w:pPr>
        <w:pStyle w:val="TextBody"/>
        <w:bidi w:val="0"/>
        <w:spacing w:before="140" w:after="283"/>
        <w:jc w:val="both"/>
        <w:rPr>
          <w:rFonts w:ascii="Times New Roman" w:hAnsi="Times New Roman"/>
          <w:sz w:val="20"/>
        </w:rPr>
      </w:pPr>
      <w:r>
        <w:rPr>
          <w:rFonts w:ascii="Times New Roman" w:hAnsi="Times New Roman"/>
          <w:b/>
          <w:color w:val="000000"/>
          <w:sz w:val="20"/>
        </w:rPr>
        <w:t>Book-entry and other indirect holders should consult their banks or brokers for information on how approval may be granted or denied if we seek to change the Indenture or the Notes or request a waiver.</w:t>
      </w:r>
      <w:r>
        <w:rPr>
          <w:rFonts w:ascii="Times New Roman" w:hAnsi="Times New Roman"/>
          <w:color w:val="000000"/>
          <w:sz w:val="20"/>
        </w:rPr>
        <w:t xml:space="preserve"> </w:t>
      </w:r>
    </w:p>
    <w:p>
      <w:pPr>
        <w:pStyle w:val="TextBody"/>
        <w:bidi w:val="0"/>
        <w:spacing w:before="220" w:after="283"/>
        <w:jc w:val="both"/>
        <w:rPr>
          <w:rFonts w:ascii="Times New Roman" w:hAnsi="Times New Roman"/>
          <w:sz w:val="20"/>
        </w:rPr>
      </w:pPr>
      <w:r>
        <w:rPr>
          <w:rFonts w:ascii="Times New Roman" w:hAnsi="Times New Roman"/>
          <w:b/>
          <w:color w:val="000000"/>
          <w:sz w:val="20"/>
        </w:rPr>
        <w:t>Defeasance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Covenant 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current United States federal tax law,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irrevocably deposit in trust for the benefit of all holders of such Notes a combination of money and United States government or United States government agency notes or bonds that will generate enough cash to make interest, principal and any other payments on the Notes on their various due dates. No Default or Event of Default with respect to the Notes shall have occurred and be continuing on the date of such deposit, or in the case of a bankruptcy Event of Default, at any time during the period ending on the 91st day after the date of such deposit.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confirming that, under current U.S. federal income tax law, we may make the above deposit without causing you to be taxed on the Notes any differently than if we did not make the deposit and just repaid the Notes ourselves at maturity.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p>
      <w:pPr>
        <w:pStyle w:val="TextBody"/>
        <w:bidi w:val="0"/>
        <w:spacing w:before="140" w:after="260"/>
        <w:jc w:val="both"/>
        <w:rPr>
          <w:rFonts w:ascii="Times New Roman" w:hAnsi="Times New Roman"/>
          <w:color w:val="000000"/>
          <w:sz w:val="20"/>
        </w:rPr>
      </w:pPr>
      <w:r>
        <w:rPr>
          <w:rFonts w:ascii="Times New Roman" w:hAnsi="Times New Roman"/>
          <w:color w:val="000000"/>
          <w:sz w:val="20"/>
        </w:rPr>
        <w:t xml:space="preserve">If we accomplish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jc w:val="both"/>
        <w:rPr>
          <w:rFonts w:ascii="Times New Roman" w:hAnsi="Times New Roman"/>
          <w:sz w:val="20"/>
        </w:rPr>
      </w:pPr>
      <w:r>
        <w:rPr>
          <w:rFonts w:ascii="Times New Roman" w:hAnsi="Times New Roman"/>
          <w:b/>
          <w:i/>
          <w:color w:val="000000"/>
          <w:sz w:val="20"/>
        </w:rPr>
        <w:t>Full 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there is a change in U.S. federal tax law, as described below, we can legally release ourselves from all payment and other obligations on the Notes (called “full defeasance”) if we put in place the following other arrangements for you to be repaid: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deposit in trust for the benefit of all holders of such Notes a combination of money and United States government or United States government agency notes or bonds that will generate enough cash to make interest, principal and any other payments on the Notes and for payment of amounts due to the Trustee.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No Default or Event of Default with respect to the Notes shall have occurred and be continuing on the date of such deposit, or in the case of a bankruptcy Event of Default, at any time during the period ending on the 91st day after the date of such deposit.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confirming that there has been a change in current U.S. federal tax law or a ruling issued by the Internal Revenue Service, or IRS,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S-24</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stating that the above deposit does not require registration by us under the 1940 Act and a legal opinion and officers’ certificate stating that all conditions precedent to defeasance have been complied with.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No service charge will be made for any registration of transfer or any exchange of Notes, but we may require payment of a sum sufficient to cover any transfer tax or similar governmental charge payable in connection therewith. </w:t>
      </w:r>
    </w:p>
    <w:p>
      <w:pPr>
        <w:pStyle w:val="TextBody"/>
        <w:bidi w:val="0"/>
        <w:spacing w:before="220" w:after="283"/>
        <w:jc w:val="both"/>
        <w:rPr>
          <w:rFonts w:ascii="Times New Roman" w:hAnsi="Times New Roman"/>
          <w:sz w:val="20"/>
        </w:rPr>
      </w:pPr>
      <w:r>
        <w:rPr>
          <w:rFonts w:ascii="Times New Roman" w:hAnsi="Times New Roman"/>
          <w:b/>
          <w:color w:val="000000"/>
          <w:sz w:val="20"/>
        </w:rPr>
        <w:t>Satisfaction and Discharge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will be discharged and will cease to be of further effect with respect to the Notes when either: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all the Notes that have been authenticated have been delivered to the Trustee for cancellation;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all the Notes that have not been delivered to the Trustee for cancellation: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have become due and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will become due and payable at their stated maturity within one year,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are to be called for redemption within one year,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and we, in the case of the first, second and third sub-bullets above, have irrevocably deposited or caused to be deposited with the Trustee as trust funds in trust solely for the benefit of the holders of the Notes, in amounts as will be sufficient, without consideration of any reinvestment of interest,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we have paid or caused to be paid all other sums payable by us under the Indenture with respect to the Notes;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have delivered to the Trustee an officers’ certificate and legal opinion, each stating that all conditions precedent provided for in the Indenture, including amounts payable to the Trustee, relating to the satisfaction and discharge of the Indenture and the Notes have been complied with. </w:t>
      </w:r>
    </w:p>
    <w:p>
      <w:pPr>
        <w:pStyle w:val="TextBody"/>
        <w:bidi w:val="0"/>
        <w:spacing w:before="220" w:after="283"/>
        <w:jc w:val="both"/>
        <w:rPr>
          <w:rFonts w:ascii="Times New Roman" w:hAnsi="Times New Roman"/>
          <w:sz w:val="20"/>
        </w:rPr>
      </w:pPr>
      <w:r>
        <w:rPr>
          <w:rFonts w:ascii="Times New Roman" w:hAnsi="Times New Roman"/>
          <w:b/>
          <w:color w:val="000000"/>
          <w:sz w:val="20"/>
        </w:rPr>
        <w:t>Additional Notes and Additional Series of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from time to time, without notice to or the consent of the registered holders of the Notes, create and issue further notes ranking equally and ratably with the Notes in all respects, including having the same CUSIP number, so that such further notes shall be consolidated and form a single series of notes and shall have the same terms as to status or otherwise as the Notes. No additional Notes may be issued if an Event of Default has occurred and is continuing with respect to the Notes. The indenture also allows for the issuance of additional series of debt securities from time to time. </w:t>
      </w:r>
    </w:p>
    <w:p>
      <w:pPr>
        <w:pStyle w:val="TextBody"/>
        <w:bidi w:val="0"/>
        <w:spacing w:before="220" w:after="283"/>
        <w:jc w:val="both"/>
        <w:rPr>
          <w:rFonts w:ascii="Times New Roman" w:hAnsi="Times New Roman"/>
          <w:sz w:val="20"/>
        </w:rPr>
      </w:pPr>
      <w:r>
        <w:rPr>
          <w:rFonts w:ascii="Times New Roman" w:hAnsi="Times New Roman"/>
          <w:b/>
          <w:color w:val="000000"/>
          <w:sz w:val="20"/>
        </w:rPr>
        <w:t>The Trustee Under the Indenture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U.S. Bank Trust Company, National Association will serve as the trustee under the Indenture. </w:t>
      </w:r>
    </w:p>
    <w:p>
      <w:pPr>
        <w:pStyle w:val="TextBody"/>
        <w:bidi w:val="0"/>
        <w:spacing w:before="220" w:after="283"/>
        <w:jc w:val="both"/>
        <w:rPr>
          <w:rFonts w:ascii="Times New Roman" w:hAnsi="Times New Roman"/>
          <w:sz w:val="20"/>
        </w:rPr>
      </w:pPr>
      <w:r>
        <w:rPr>
          <w:rFonts w:ascii="Times New Roman" w:hAnsi="Times New Roman"/>
          <w:b/>
          <w:color w:val="000000"/>
          <w:sz w:val="20"/>
        </w:rPr>
        <w:t>Payment, Paying Agent, Registrar and Transfer Agent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principal amount of each Note will be payable on the stated maturity date at the corporate trust office of the Paying Agent, Registrar and Transfer Agent for the Notes as provided for in the Indenture or at such other office in New York City as we may designate. The Trustee will initially act as Paying Agent, Registrar and Transfer Agent for the Notes. </w:t>
      </w:r>
    </w:p>
    <w:p>
      <w:pPr>
        <w:pStyle w:val="TextBody"/>
        <w:bidi w:val="0"/>
        <w:spacing w:before="220" w:after="283"/>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and the Notes will be governed by the laws of the State of New York.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S-25</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Book-Entry Debt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will act as securities depository for the Notes. The Notes will be issued as fully registered securities registered in the name of Cede &amp; Co. (DTC’s partnership nominee) or such other name as may be requested by an authorized representative of DTC. One fully-registered certificate will be issued for the Notes, in the aggregate principal amount of such issue, and will be deposited with DTC.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Purchases of debt securities under the DTC system must be made by or through Direct Participants, which will receive a credit for the debt securities on DTC’s records. The ownership interest of each actual 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jc w:val="both"/>
        <w:rPr>
          <w:rFonts w:ascii="Times New Roman" w:hAnsi="Times New Roman"/>
          <w:color w:val="000000"/>
          <w:sz w:val="20"/>
        </w:rPr>
      </w:pPr>
      <w:r>
        <w:rPr>
          <w:rFonts w:ascii="Times New Roman" w:hAnsi="Times New Roman"/>
          <w:color w:val="000000"/>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affect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Neither DTC nor Cede &amp; Co. (nor such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Redemption proceeds, distributions, and dividend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information in this section concerning DTC and DTC’s book-entry system has been obtained from sources that we believe to be reliable, but we take no responsibility for the accuracy thereof.</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S-27</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9" w:name="smusf"/>
      <w:bookmarkEnd w:id="9"/>
      <w:r>
        <w:rPr>
          <w:rFonts w:ascii="Times New Roman" w:hAnsi="Times New Roman"/>
          <w:b/>
          <w:color w:val="000000"/>
          <w:sz w:val="20"/>
        </w:rPr>
        <w:t>MATERIAL UNITED STATES FEDERAL INCOME TAX CONSEQUENCES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is a general summary of the material United States federal income tax considerations (and, in the case of a non-U.S. holder (as defined below), the material United States federal estate tax consequences) applicable to an investment in the Notes. This summary does not purport to be a complete description of the income tax considerations applicable to such an investment. The discussion is based upon the Code, the Treasury Regulations promulgated thereunder, and administrative and judicial interpretations, each as of the date of this prospectus supplement and all of which are subject to change, potentially with retroactive effect. You should consult your own tax advisor with respect to tax considerations that pertain to your purchase of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discussion deals only with Notes held as capital assets within the meaning of Section 1221 of the Code and does not purport to deal with persons in special tax situations,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persons whose functional currency (as defined in Section 985 of the Code) is not the U.S. dollar. It also does not deal with beneficial owners of the Notes other than original purchasers of the Notes who acquire the Notes in this offering.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purposes of this discussion, the term “U.S. holder” means a beneficial owner of a Note that is, for United States federal income tax purposes, (i) an individual who is (or is treated as)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United States federal income tax as if they were United States citizens.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 </w:t>
      </w:r>
    </w:p>
    <w:p>
      <w:pPr>
        <w:pStyle w:val="TextBody"/>
        <w:bidi w:val="0"/>
        <w:spacing w:before="160" w:after="283"/>
        <w:jc w:val="both"/>
        <w:rPr>
          <w:rFonts w:ascii="Times New Roman" w:hAnsi="Times New Roman"/>
          <w:sz w:val="20"/>
        </w:rPr>
      </w:pPr>
      <w:r>
        <w:rPr>
          <w:rFonts w:ascii="Times New Roman" w:hAnsi="Times New Roman"/>
          <w:b/>
          <w:color w:val="000000"/>
          <w:sz w:val="20"/>
        </w:rPr>
        <w:t>Tax matters are very complicated and the tax consequences to each holder of an investment in our securities will depend on the facts of its particular situation. Prospective noteholders are urged to consult their own tax advisors to determine the U.S. federal, state, local and foreign tax consequences to them of an investment in our securities, including applicable tax reporting requirements, the applicability of U.S. federal, state, local and foreign tax laws, eligibility for the benefits of any applicable tax treaty and the effect of any possible changes to tax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Taxation of Note 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Taxation of U.S. 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Qualified Stated Interest. </w:t>
      </w:r>
      <w:r>
        <w:rPr>
          <w:rFonts w:ascii="Times New Roman" w:hAnsi="Times New Roman"/>
          <w:color w:val="000000"/>
          <w:sz w:val="20"/>
        </w:rPr>
        <w:t xml:space="preserve">Except as discussed below, payments or accruals of “qualified stated interest” on a Note generally will be taxable to a U.S. holder as ordinary interest income at the time they are received (actually or constructively) or accrued, in accordance with the U.S. holder’s regular method of tax accounting.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S-28</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Original Issue Discount. </w:t>
      </w:r>
      <w:r>
        <w:rPr>
          <w:rFonts w:ascii="Times New Roman" w:hAnsi="Times New Roman"/>
          <w:color w:val="000000"/>
          <w:sz w:val="20"/>
        </w:rPr>
        <w:t>In addition, if the issue price of the Notes (</w:t>
      </w:r>
      <w:r>
        <w:rPr>
          <w:rFonts w:ascii="Times New Roman" w:hAnsi="Times New Roman"/>
          <w:i/>
          <w:color w:val="000000"/>
          <w:sz w:val="20"/>
        </w:rPr>
        <w:t>i.e.</w:t>
      </w:r>
      <w:r>
        <w:rPr>
          <w:rFonts w:ascii="Times New Roman" w:hAnsi="Times New Roman"/>
          <w:color w:val="000000"/>
          <w:sz w:val="20"/>
        </w:rPr>
        <w:t>, the first price at which a substantial amount of the Notes is sold to investors) is less than their “stated redemption price at maturity” (</w:t>
      </w:r>
      <w:r>
        <w:rPr>
          <w:rFonts w:ascii="Times New Roman" w:hAnsi="Times New Roman"/>
          <w:i/>
          <w:color w:val="000000"/>
          <w:sz w:val="20"/>
        </w:rPr>
        <w:t>i.e.</w:t>
      </w:r>
      <w:r>
        <w:rPr>
          <w:rFonts w:ascii="Times New Roman" w:hAnsi="Times New Roman"/>
          <w:color w:val="000000"/>
          <w:sz w:val="20"/>
        </w:rPr>
        <w:t xml:space="preserve">, the sum of all payments to be made on the Notes, other than payments of “qualified stated interest”) by not less than a specified </w:t>
      </w:r>
      <w:r>
        <w:rPr>
          <w:rFonts w:ascii="Times New Roman" w:hAnsi="Times New Roman"/>
          <w:i/>
          <w:color w:val="000000"/>
          <w:sz w:val="20"/>
        </w:rPr>
        <w:t>de minimis</w:t>
      </w:r>
      <w:r>
        <w:rPr>
          <w:rFonts w:ascii="Times New Roman" w:hAnsi="Times New Roman"/>
          <w:color w:val="000000"/>
          <w:sz w:val="20"/>
        </w:rPr>
        <w:t xml:space="preserve"> amount, the Notes will be considered as having been issued for U.S. federal income tax purposes with original issue discount, or OID. In the case of the Notes, the term “qualified stated interest” generally means interest that is unconditionally payable at least annually and at a single fixed rate. </w:t>
      </w:r>
    </w:p>
    <w:p>
      <w:pPr>
        <w:pStyle w:val="TextBody"/>
        <w:bidi w:val="0"/>
        <w:spacing w:before="140" w:after="283"/>
        <w:jc w:val="both"/>
        <w:rPr>
          <w:rFonts w:ascii="Times New Roman" w:hAnsi="Times New Roman"/>
          <w:sz w:val="20"/>
        </w:rPr>
      </w:pPr>
      <w:r>
        <w:rPr>
          <w:rFonts w:ascii="Times New Roman" w:hAnsi="Times New Roman"/>
          <w:color w:val="000000"/>
          <w:sz w:val="20"/>
        </w:rPr>
        <w:t>If the Notes are issued with OID, a U.S. holder generally will be required to include the OID in gross income as ordinary interest income in advance of the receipt of cash attributable to that income and regardless of such U.S. holder’s regular method of tax accounting. Such OID will be included in gross income for each day during each taxable year in which a Note is held by a U.S. holder using a constant yield method that reflects the compounding of interest. This means that a U.S. holder will be required to include increasingly greater amounts of OID over time. If the Notes are issued with discount that is less than the “</w:t>
      </w:r>
      <w:r>
        <w:rPr>
          <w:rFonts w:ascii="Times New Roman" w:hAnsi="Times New Roman"/>
          <w:i/>
          <w:color w:val="000000"/>
          <w:sz w:val="20"/>
        </w:rPr>
        <w:t>de minimis</w:t>
      </w:r>
      <w:r>
        <w:rPr>
          <w:rFonts w:ascii="Times New Roman" w:hAnsi="Times New Roman"/>
          <w:color w:val="000000"/>
          <w:sz w:val="20"/>
        </w:rPr>
        <w:t xml:space="preserve"> amount” (</w:t>
      </w:r>
      <w:r>
        <w:rPr>
          <w:rFonts w:ascii="Times New Roman" w:hAnsi="Times New Roman"/>
          <w:i/>
          <w:color w:val="000000"/>
          <w:sz w:val="20"/>
        </w:rPr>
        <w:t>i.e.</w:t>
      </w:r>
      <w:r>
        <w:rPr>
          <w:rFonts w:ascii="Times New Roman" w:hAnsi="Times New Roman"/>
          <w:color w:val="000000"/>
          <w:sz w:val="20"/>
        </w:rPr>
        <w:t xml:space="preserve">, discount that is not treated as OID), the U.S. holder generally will be required to include the </w:t>
      </w:r>
      <w:r>
        <w:rPr>
          <w:rFonts w:ascii="Times New Roman" w:hAnsi="Times New Roman"/>
          <w:i/>
          <w:color w:val="000000"/>
          <w:sz w:val="20"/>
        </w:rPr>
        <w:t>de minimis</w:t>
      </w:r>
      <w:r>
        <w:rPr>
          <w:rFonts w:ascii="Times New Roman" w:hAnsi="Times New Roman"/>
          <w:color w:val="000000"/>
          <w:sz w:val="20"/>
        </w:rPr>
        <w:t xml:space="preserve"> OID in income at the time a principal payment on the Note is made in proportion to the amount paid. Any amount of </w:t>
      </w:r>
      <w:r>
        <w:rPr>
          <w:rFonts w:ascii="Times New Roman" w:hAnsi="Times New Roman"/>
          <w:i/>
          <w:color w:val="000000"/>
          <w:sz w:val="20"/>
        </w:rPr>
        <w:t>de minimis</w:t>
      </w:r>
      <w:r>
        <w:rPr>
          <w:rFonts w:ascii="Times New Roman" w:hAnsi="Times New Roman"/>
          <w:color w:val="000000"/>
          <w:sz w:val="20"/>
        </w:rPr>
        <w:t xml:space="preserve"> OID on a Note that is recognized by a U.S. holder will be characterized as capital gain. We are required to provide information returns stating the amount of OID accrued on the Notes held by persons of record, other than certain U.S. tax-exempt holders.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Market Discount. </w:t>
      </w:r>
      <w:r>
        <w:rPr>
          <w:rFonts w:ascii="Times New Roman" w:hAnsi="Times New Roman"/>
          <w:color w:val="000000"/>
          <w:sz w:val="20"/>
        </w:rPr>
        <w:t xml:space="preserve">If you acquire a Note for an amount that is less than its adjusted issue price, the amount of the difference generally will be treated as “market discount” for U.S. federal income tax purposes, unless that difference is less than a specified </w:t>
      </w:r>
      <w:r>
        <w:rPr>
          <w:rFonts w:ascii="Times New Roman" w:hAnsi="Times New Roman"/>
          <w:i/>
          <w:color w:val="000000"/>
          <w:sz w:val="20"/>
        </w:rPr>
        <w:t>de minimis</w:t>
      </w:r>
      <w:r>
        <w:rPr>
          <w:rFonts w:ascii="Times New Roman" w:hAnsi="Times New Roman"/>
          <w:color w:val="000000"/>
          <w:sz w:val="20"/>
        </w:rPr>
        <w:t xml:space="preserve"> amount. Under the market discount rules, you will be required to treat any principal payment on, or any gain on the sale, exchange, retirement or other disposition of, a Note as ordinary income to the extent of the market discount that you have not previously included in income and are treated as having accrued on the Note at the time of any principal payment received on the Note.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such case, you also may be required to defer, until the maturity of a Note or its earlier sale or other disposition in a taxable transaction, the deduction of all or a portion of the interest expense on any indebtedness attributable to the Note.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You may make an election to include market discount from a Note in income currently as it accrues in which case the rule described above regarding deferral of interest deductions will not apply. If a U.S. holder makes this election, the U.S. holder will be required to increase the tax basis in the Note by the amount of market discount on the Note included in the U.S. holder’s income. If you make this election, it will apply to all debt instruments with market discount (including, if applicable, the Note) that you acquire on or after the first day of the first taxable year to which the election applies, and such election is irrevocable without the consent of the IRS. You should consult your own tax advisor before making this election.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Any market discount you recognize on a Note will be considered to accrue ratably during the period from the date of acquisition to the maturity date of the Note, unless you make a separate election to accrue such market discount on a constant yield method. If you make this election, it will only apply to the Note and any other debt instruments you specify, that you acquire on or after the first day of the first taxable year to which the election applies. You may not revoke this election without the consent of the IRS. You should consult your own tax advisor before making such election. </w:t>
      </w:r>
    </w:p>
    <w:p>
      <w:pPr>
        <w:pStyle w:val="TextBody"/>
        <w:bidi w:val="0"/>
        <w:spacing w:before="140" w:after="180"/>
        <w:jc w:val="both"/>
        <w:rPr>
          <w:rFonts w:ascii="Times New Roman" w:hAnsi="Times New Roman"/>
          <w:sz w:val="20"/>
        </w:rPr>
      </w:pPr>
      <w:r>
        <w:rPr>
          <w:rFonts w:ascii="Times New Roman" w:hAnsi="Times New Roman"/>
          <w:i/>
          <w:color w:val="000000"/>
          <w:sz w:val="20"/>
        </w:rPr>
        <w:t xml:space="preserve">Bond Premium. </w:t>
      </w:r>
      <w:r>
        <w:rPr>
          <w:rFonts w:ascii="Times New Roman" w:hAnsi="Times New Roman"/>
          <w:color w:val="000000"/>
          <w:sz w:val="20"/>
        </w:rPr>
        <w:t xml:space="preserve">If you acquire a Note for an amount in excess of its stated principal amount, you will be considered to have purchased the Note at a “premium.” You generally may elect to amortize such premium over the remaining term of the Note on a constant yield method as an offset to interest when includible in taxable income under your regular accounting method. Any amortized amount of the premium for a taxable year generally will be treated first as an offset to interest on a Note includible in income in such taxable year, then as a deduction allowed in that taxable year to the extent of your prior interest inclusions on the Note, and finally as a carryforward allowable against your future interest inclusions on the Note, in each case, in accordance with your regular accounting method. If you make this election, you will be required to reduce your tax basis in a Note by the amount of the premium amortized. An election to amortize premium will also apply to all other taxable debt instruments you hold or subsequently acquire on or after the first day of the first taxable year for which the election is made. You may not revoke this election without the consent of the IRS. You should consult your own tax advisor before making such election. If you do not elect to amortize premium on the Note, that premium will decrease the gain or increase the loss you would otherwise recognize on disposition of the Note. </w:t>
      </w:r>
    </w:p>
    <w:p>
      <w:pPr>
        <w:pStyle w:val="TextBody"/>
        <w:bidi w:val="0"/>
        <w:jc w:val="both"/>
        <w:rPr>
          <w:rFonts w:ascii="Times New Roman" w:hAnsi="Times New Roman"/>
          <w:sz w:val="20"/>
        </w:rPr>
      </w:pPr>
      <w:r>
        <w:rPr>
          <w:rFonts w:ascii="Times New Roman" w:hAnsi="Times New Roman"/>
          <w:i/>
          <w:color w:val="000000"/>
          <w:sz w:val="20"/>
        </w:rPr>
        <w:t xml:space="preserve">Sale, Exchange, Redemption, Retirement or other Disposition of Notes. </w:t>
      </w:r>
      <w:r>
        <w:rPr>
          <w:rFonts w:ascii="Times New Roman" w:hAnsi="Times New Roman"/>
          <w:color w:val="000000"/>
          <w:sz w:val="20"/>
        </w:rPr>
        <w:t xml:space="preserve">Upon the sale, exchange, redemption or retirement of a Note, a U.S. holder generally will recognize capital gain or loss equal to the difference between the amount realized on the sale, exchange, redemption or retirement (excluding amounts representing accrued and unpaid interest, which are treated as ordinary income) and the U.S. holder’s adjusted tax basis in the Note. A 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S-29</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adjusted tax basis in a Note generally will equal the U.S. holder’s initial investment in the Note (increased by any OID and market discount previously included in income with respect to the Note, and reduced by the amount of any bond premium previously amortized with respect to the Note and any cash payments on the Note other than qualified stated interest). Capital gain or loss generally will be long-term capital gain or loss if the Note was held for more than one year. Long-term capital gains recognized by individuals and certain other non-corporate U.S. holders generally are eligible for reduced rates of taxation. The distinction between capital gain or loss and ordinary income or loss is also important in other contexts; for example, for purposes of the limitations on a U.S. holder’s ability to offset capital losses against ordinary income.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Medicare Tax on Net Investment Income. </w:t>
      </w:r>
      <w:r>
        <w:rPr>
          <w:rFonts w:ascii="Times New Roman" w:hAnsi="Times New Roman"/>
          <w:color w:val="000000"/>
          <w:sz w:val="20"/>
        </w:rPr>
        <w:t xml:space="preserve">A 3.8% tax is imposed under Section 1411 of the Code on the “net investment income” of certain U.S. citizens and residents and on the undistributed net investment income of certain estates and trusts. Among other items, net investment income generally includes payments of interest (and OID) on, and net gains recognized from the sale, exchange, redemption, retirement or other taxable disposition of Notes (unless the Notes are held in connection with certain trades or businesses), less certain deductions. U.S. holders should consult their own tax advisors regarding the effect, if any, of this legislation on their ownership and disposition of the Notes. </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Tax Shelter Reporting Regulations. </w:t>
      </w:r>
      <w:r>
        <w:rPr>
          <w:rFonts w:ascii="Times New Roman" w:hAnsi="Times New Roman"/>
          <w:color w:val="000000"/>
          <w:sz w:val="20"/>
        </w:rPr>
        <w:t xml:space="preserve">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Internal Revenue Service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 </w:t>
      </w:r>
    </w:p>
    <w:p>
      <w:pPr>
        <w:pStyle w:val="TextBody"/>
        <w:bidi w:val="0"/>
        <w:spacing w:before="240" w:after="283"/>
        <w:jc w:val="both"/>
        <w:rPr>
          <w:rFonts w:ascii="Times New Roman" w:hAnsi="Times New Roman"/>
          <w:sz w:val="20"/>
        </w:rPr>
      </w:pPr>
      <w:r>
        <w:rPr>
          <w:rFonts w:ascii="Times New Roman" w:hAnsi="Times New Roman"/>
          <w:i/>
          <w:color w:val="000000"/>
          <w:sz w:val="20"/>
        </w:rPr>
        <w:t>Taxation of Non-U.S. Holders.</w:t>
      </w:r>
      <w:r>
        <w:rPr>
          <w:rFonts w:ascii="Times New Roman" w:hAnsi="Times New Roman"/>
          <w:color w:val="000000"/>
          <w:sz w:val="20"/>
        </w:rPr>
        <w:t xml:space="preserve">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Except as provided below under “Information Reporting and Backup Withholding” and “FATCA Withholding on Payments to Certain Foreign Entities,” a non-U.S. holder generally will not be subject to U.S. federal income or withholding taxes on payments of principal or stated interest on a Note provided that (i) income on the Note is not effectively connected with the conduct by the non-U.S. holder of a trade or business within the U.S., (ii) the non-U.S. holder is not a controlled foreign corporation, or CFC, related to the Company through stock ownership, (iii) in the case of interest income, the recipient is not a bank receiving interest described in Section 881(c)(3)(A) of the Code, (iv) the non-U.S. holder does not own (actually or constructively) 10% or more of the total combined voting power or value of all classes of stock of the Company, and (v) (A) the non-U.S. holder provides a statement on an IRS Form W-8BEN, Form W-8BEN-E or other applicable U.S. nonresident withholding tax certification form signed under penalties of perjury that includes, among other requirements, its name and address and a certification that the non-U.S. holder is not a United States person for U.S. federal income tax purposes in compliance with applicable requirements, or satisfies documentary evidence requirements for establishing that it is a non-U.S. holder, or (B) a securities clearing organization, bank, or other financial institution that holds customer securities in the ordinary course of its trade or business (i.e., a “financial institution”) and holds a Note certifies to us under penalties of perjury that either it or another financial institution has received the required statement from the non-U.S. holder certifying that it is a non-U.S. person and furnishes us with a copy of the statement. </w:t>
      </w:r>
    </w:p>
    <w:p>
      <w:pPr>
        <w:pStyle w:val="TextBody"/>
        <w:bidi w:val="0"/>
        <w:jc w:val="both"/>
        <w:rPr>
          <w:rFonts w:ascii="Times New Roman" w:hAnsi="Times New Roman"/>
          <w:color w:val="000000"/>
          <w:sz w:val="20"/>
        </w:rPr>
      </w:pPr>
      <w:r>
        <w:rPr>
          <w:rFonts w:ascii="Times New Roman" w:hAnsi="Times New Roman"/>
          <w:color w:val="000000"/>
          <w:sz w:val="20"/>
        </w:rPr>
        <w:t xml:space="preserve">A non-U.S. holder that is not exempt from tax under these rules generally will be subject to United States federal income tax withholding on payments of interest on the Notes at a rate of 30% unless (i) the income is effectively connected with the conduct of a U.S. trade or business, in which case the interest generally will be subject to U.S. federal income tax on a net income basis as applicable to U.S. holders generally (unless an applicable income tax treaty provides otherwise), and such non-U.S. holder would be required in lieu of the certifications described above to provide a properly executed IRS Form W-8ECI, or (ii) an applicable income tax treaty provides for a lower rate of, or exemption from, withholding tax.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the case of a non-U.S. holder that is classified as a corporation and that receives income that is effectively connected with the conduct of a U.S. trade or business, such income may also be subject to a branch profits tax (which is generally imposed on a non-U.S. corporation on the actual or deemed repatriation from the U.S. of earnings and profits attributable to a U.S. trade or business) at a 30% rate. The branch profits tax may not apply (or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S-30</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may apply at a reduced rate) if the non-U.S. holder is a qualified resident of a country with which the U.S. has an income tax treaty.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periodically updated. Also, a non-U.S. holder who is claiming the benefits of a treaty may be required to obtain a United States taxpayer identification number and to provide certain documentary evidence issued by foreign governmental authorities to prove residence in the foreign country.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Generally, a non-U.S. holder will not be subject to U.S. federal income or withholding taxes on any amount that constitutes capital gain upon the sale, exchange, redemption or retirement of a Note, provided the gain is not effectively connected with the conduct of a trade or business in the U.S. by the non-U.S. holder (and, if required by an applicable income tax treaty, is not attributable to a United States “permanent establishment” maintained by the non-U.S. holder). Certain other exceptions may be applicable, and a non-U.S. holder should consult its tax advisor in this regard.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 </w:t>
      </w:r>
    </w:p>
    <w:p>
      <w:pPr>
        <w:pStyle w:val="TextBody"/>
        <w:bidi w:val="0"/>
        <w:spacing w:before="160" w:after="283"/>
        <w:jc w:val="both"/>
        <w:rPr>
          <w:rFonts w:ascii="Times New Roman" w:hAnsi="Times New Roman"/>
          <w:sz w:val="20"/>
        </w:rPr>
      </w:pPr>
      <w:r>
        <w:rPr>
          <w:rFonts w:ascii="Times New Roman" w:hAnsi="Times New Roman"/>
          <w:i/>
          <w:color w:val="000000"/>
          <w:sz w:val="20"/>
        </w:rPr>
        <w:t>Information Reporting and Backup Withholding</w:t>
      </w:r>
      <w:r>
        <w:rPr>
          <w:rFonts w:ascii="Times New Roman" w:hAnsi="Times New Roman"/>
          <w:color w:val="000000"/>
          <w:sz w:val="20"/>
        </w:rPr>
        <w:t xml:space="preserve">. A U.S. holder (other than an “exempt recipient,” including a corporation and certain other persons who, when required, demonstrate their exempt status) may be subject to backup withholding at a rate of 24% on, and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you are a non-U.S. holder, generally, the applicable withholding agent must report to the IRS and to you, payments of interest on a Note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addition, payments of the proceeds from the sale of a Note to or through a non-U.S. office of a broker or the non-U.S. office of a custodian, nominee, or other dealer acting on behalf of a holder generally will not be subject to information reporting or backup withholding. However, if the broker, custodian, nominee, or other dealer is a U.S. person, the government of the United States or the government of any state or political subdivision of any state, or any agency or instrumentality of any of these governmental units, a CFC, a foreign partnership that is either engaged in a trade or business within the U.S. or whose U.S. resident partners in the aggregate hold more than 50% of the income or capital interest in the partnership, a non-U.S. person 50% or more of whose gross income for a certain period is effectively connected with a trade or business within the U.S., or a U.S. branch of a foreign bank or insurance company, information reporting (but not backup withholding) generally will be required with respect to payments made to a holder unless the broker, custodian, nominee, or other dealer has documentation of the holder’s non-U.S. status and the broker, custodian, nominee, or other dealer has no actual knowledge or reason to know to the contrary.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You are urged to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S-31</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or a credit against such beneficial owner’s United States federal income tax provided the required information is timely furnished to the IRS.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FATCA Withholding on Payments to Certain Foreign Entities. </w:t>
      </w:r>
      <w:r>
        <w:rPr>
          <w:rFonts w:ascii="Times New Roman" w:hAnsi="Times New Roman"/>
          <w:color w:val="000000"/>
          <w:sz w:val="20"/>
        </w:rPr>
        <w:t xml:space="preserve">The FATCA provisions of the Code as well as Treasury Regulations and other IRS administrative guidance promulgated thereunder, when applicable, generally impose a U.S. federal withholding tax of 30% on interest earned in respect of a debt instrument (“withholdable payments”), which includes the Notes, to certain non-U.S. entities (including, in some circumstances, where such an entity is acting as an intermediary) that fail to comply or are not deemed compliant with certain certification and information reporting requirements that are in addition to the requirement to provide an applicable U.S. nonresident withholding tax certification form, as discussed above. FATCA withholding taxes generally apply to all withholdable payments without regard to whether the beneficial owner of the payment would otherwise be entitled to an exemption from withholding taxes pursuant to an applicable tax treaty with the U.S. or under U.S. domestic law. If FATCA withholding taxes are imposed with respect to any payments of interest made or deemed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as specified in the fifth supplemental indenture to enable the applicable withholding agent to determine whether withholding is required. Prospective holders of the Notes should consult their own tax advisors regarding the effect, if any, of the FATCA rules for them based on their particular circumstances.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Under the applicable Treasury Regulations, withholding under FATCA generally applies to payments of interest on the Notes from such Notes’ date of issuance. Currently, proposed Treasury Regulations have been issued that, when finalized, will provide for the repeal of the 30% withholding tax that would have applied to all payments of gross proceeds from the sale, exchange or disposition of stock, bonds, or other property that could give rise to dividends or interest. In the preamble to the proposed U.S. Treasury Regulations, the government provided that taxpayers may rely upon this repeal until the issuance of final U.S. Treasury Regulations. Prospective holders of the Notes should consult their own tax advisors regarding the effect, if any, of the FATCA rules for them based on their particular circumstances. </w:t>
      </w:r>
    </w:p>
    <w:p>
      <w:pPr>
        <w:pStyle w:val="TextBody"/>
        <w:bidi w:val="0"/>
        <w:jc w:val="both"/>
        <w:rPr>
          <w:rFonts w:ascii="Times New Roman" w:hAnsi="Times New Roman"/>
          <w:sz w:val="20"/>
        </w:rPr>
      </w:pPr>
      <w:r>
        <w:rPr>
          <w:rFonts w:ascii="Times New Roman" w:hAnsi="Times New Roman"/>
          <w:b/>
          <w:i/>
          <w:color w:val="000000"/>
          <w:sz w:val="20"/>
        </w:rPr>
        <w:t>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S-32</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10" w:name="sund"/>
      <w:bookmarkEnd w:id="10"/>
      <w:r>
        <w:rPr>
          <w:rFonts w:ascii="Times New Roman" w:hAnsi="Times New Roman"/>
          <w:b/>
          <w:color w:val="000000"/>
          <w:sz w:val="20"/>
        </w:rPr>
        <w:t>UNDERWRITING</w:t>
      </w:r>
      <w:r>
        <w:rPr>
          <w:rFonts w:ascii="Times New Roman" w:hAnsi="Times New Roman"/>
          <w:color w:val="000000"/>
          <w:sz w:val="20"/>
        </w:rPr>
        <w:t xml:space="preserve"> </w:t>
      </w:r>
    </w:p>
    <w:p>
      <w:pPr>
        <w:pStyle w:val="TextBody"/>
        <w:bidi w:val="0"/>
        <w:spacing w:before="160" w:after="240"/>
        <w:jc w:val="both"/>
        <w:rPr>
          <w:rFonts w:ascii="Times New Roman" w:hAnsi="Times New Roman"/>
          <w:color w:val="000000"/>
          <w:sz w:val="20"/>
        </w:rPr>
      </w:pPr>
      <w:r>
        <w:rPr>
          <w:rFonts w:ascii="Times New Roman" w:hAnsi="Times New Roman"/>
          <w:color w:val="000000"/>
          <w:sz w:val="20"/>
        </w:rPr>
        <w:t xml:space="preserve">We are offering the Notes described in this prospectus supplement and the accompanying prospectus through a number of underwriters. Oppenheimer &amp; Co. Inc. is acting as representative of the underwriters. We and the Adviser have entered into an underwriting agreement with the underwriters. Subject to the terms and conditions of the underwriting agreement, we have agreed to sell to the underwriters, and each underwriter has agreed, severally and not jointly, to purchase from us, the aggregate principal amount of Notes listed next to its name in the following table: </w:t>
      </w:r>
    </w:p>
    <w:tbl>
      <w:tblPr>
        <w:tblW w:w="5277" w:type="dxa"/>
        <w:jc w:val="left"/>
        <w:tblInd w:w="0" w:type="dxa"/>
        <w:tblLayout w:type="fixed"/>
        <w:tblCellMar>
          <w:top w:w="28" w:type="dxa"/>
          <w:left w:w="28" w:type="dxa"/>
          <w:bottom w:w="28" w:type="dxa"/>
          <w:right w:w="28" w:type="dxa"/>
        </w:tblCellMar>
      </w:tblPr>
      <w:tblGrid>
        <w:gridCol w:w="3466"/>
        <w:gridCol w:w="146"/>
        <w:gridCol w:w="272"/>
        <w:gridCol w:w="1393"/>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Underwriters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Amount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Oppenheimer &amp; 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18,662,531</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Riley Securities,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4,175,424</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Lucid Capital Markets,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10,430,833</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MUFG Securities Americas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276,824</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Clear Street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4,613,728</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Compass Point Research &amp; Trading,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322,961</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InspereX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2,652,894</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Ladenburg Thalmann &amp; 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1,153,432</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Blair &amp; Company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461,373</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 Partners Securities,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2,250,000</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45,000,000</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20" w:after="283"/>
        <w:jc w:val="left"/>
        <w:rPr>
          <w:rFonts w:ascii="Times New Roman" w:hAnsi="Times New Roman"/>
          <w:sz w:val="20"/>
        </w:rPr>
      </w:pPr>
      <w:r>
        <w:rPr>
          <w:rFonts w:ascii="Times New Roman" w:hAnsi="Times New Roman"/>
          <w:b/>
          <w:color w:val="000000"/>
          <w:sz w:val="20"/>
        </w:rPr>
        <w:t>Commissions and Discounts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underwriters propose to initially offer some of the Notes directly to the public at the public offering price set forth on the cover page of this prospectus supplement. </w:t>
      </w:r>
    </w:p>
    <w:p>
      <w:pPr>
        <w:pStyle w:val="TextBody"/>
        <w:bidi w:val="0"/>
        <w:spacing w:before="140" w:after="240"/>
        <w:jc w:val="both"/>
        <w:rPr>
          <w:rFonts w:ascii="Times New Roman" w:hAnsi="Times New Roman"/>
          <w:color w:val="000000"/>
          <w:sz w:val="20"/>
        </w:rPr>
      </w:pPr>
      <w:r>
        <w:rPr>
          <w:rFonts w:ascii="Times New Roman" w:hAnsi="Times New Roman"/>
          <w:color w:val="000000"/>
          <w:sz w:val="20"/>
        </w:rPr>
        <w:t xml:space="preserve">The following table shows the public offering price, underwriting discount and proceeds before expenses to us. </w:t>
      </w:r>
    </w:p>
    <w:tbl>
      <w:tblPr>
        <w:tblW w:w="4975" w:type="dxa"/>
        <w:jc w:val="left"/>
        <w:tblInd w:w="0" w:type="dxa"/>
        <w:tblLayout w:type="fixed"/>
        <w:tblCellMar>
          <w:top w:w="28" w:type="dxa"/>
          <w:left w:w="28" w:type="dxa"/>
          <w:bottom w:w="28" w:type="dxa"/>
          <w:right w:w="28" w:type="dxa"/>
        </w:tblCellMar>
      </w:tblPr>
      <w:tblGrid>
        <w:gridCol w:w="2656"/>
        <w:gridCol w:w="146"/>
        <w:gridCol w:w="841"/>
        <w:gridCol w:w="146"/>
        <w:gridCol w:w="118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$45,000,000</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$1,350,000</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to us, before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$43,650,000</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expenses of the offering, not including the underwriting discount, are estimated at $437,000 and are payable by us. </w:t>
      </w:r>
    </w:p>
    <w:p>
      <w:pPr>
        <w:pStyle w:val="TextBody"/>
        <w:bidi w:val="0"/>
        <w:spacing w:before="220" w:after="283"/>
        <w:jc w:val="left"/>
        <w:rPr>
          <w:rFonts w:ascii="Times New Roman" w:hAnsi="Times New Roman"/>
          <w:sz w:val="20"/>
        </w:rPr>
      </w:pPr>
      <w:r>
        <w:rPr>
          <w:rFonts w:ascii="Times New Roman" w:hAnsi="Times New Roman"/>
          <w:b/>
          <w:color w:val="000000"/>
          <w:sz w:val="20"/>
        </w:rPr>
        <w:t>Settlement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expect that delivery of the Notes will be made against payment therefor on or about October 1, 2026, which will be the fourth business day following the trade date of pricing of the Notes, or “T+4.” Under Rule 15c6-1 of the Exchange Act, trades in the secondary market generally are required to settle in one business day, unless the parties to any such trade expressly agree otherwise. Accordingly, purchasers who wish to trade the Notes prior to the delivery of the Notes will be required, by virtue of the fact that the Notes initially settle in T+4, to specify an alternate settlement arrangement at the time of any such trade to prevent a failed settlement. Purchasers of the Notes who wish to trade the Notes prior to their date of delivery hereunder should consult their advisors.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S-33</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left"/>
        <w:rPr>
          <w:rFonts w:ascii="Times New Roman" w:hAnsi="Times New Roman"/>
          <w:sz w:val="20"/>
        </w:rPr>
      </w:pPr>
      <w:r>
        <w:rPr>
          <w:rFonts w:ascii="Times New Roman" w:hAnsi="Times New Roman"/>
          <w:b/>
          <w:color w:val="000000"/>
          <w:sz w:val="20"/>
        </w:rPr>
        <w:t>New Listing of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Notes are a new issue of securities with no established trading market. We intend to list the Notes on the Nasdaq within 30 days of the closing of this offering and will use commercially reasonable efforts to maintain this listing. We expect trading in the Notes on Nasdaq to begin within 30 days after the original issue date. Currently there is no public market for the Notes.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been advised by certain underwriters that they presently intend to make a market in the Notes after completion of the offering as permitted by applicable laws and regulations. Such underwriters are not obligated, however, to make a market in the Notes and any such market-making may be discontinued at any time in the sole discretion of such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Overallotment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underwriters have an option to buy up to an additional $6,750,000 aggregate principal amount of the Notes from us to cover sales of Notes by the underwriters which exceed the amount of Notes specified in the table above. The underwriters have 30 days from the date of this prospectus supplement to exercise this overallotment option. If any Notes are purchased with this overallotment option, the underwriters will purchase Notes in approximately the same proportion as shown in the table above. If any additional Notes are purchased, the underwriters will offer the additional Notes on the same terms as those on which all Notes are being offered. We are responsible for the payment of any interest that the Notes subject to this overallotment option accrue between the date of this offering and the underwriters’ exercise of the overallotment option.</w:t>
      </w:r>
    </w:p>
    <w:p>
      <w:pPr>
        <w:pStyle w:val="TextBody"/>
        <w:bidi w:val="0"/>
        <w:spacing w:before="240" w:after="283"/>
        <w:jc w:val="both"/>
        <w:rPr>
          <w:rFonts w:ascii="Times New Roman" w:hAnsi="Times New Roman"/>
          <w:sz w:val="20"/>
        </w:rPr>
      </w:pPr>
      <w:r>
        <w:rPr>
          <w:rFonts w:ascii="Times New Roman" w:hAnsi="Times New Roman"/>
          <w:b/>
          <w:color w:val="000000"/>
          <w:sz w:val="20"/>
        </w:rPr>
        <w:t>No Sales of Similar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a period of 90 days after the date of this prospectus supplement, the Company will not without the prior written consent of the underwriters, subject to certain exceptions,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provided that the foregoing limitation will not apply to the Company’s ability to file a post-effective amendment to its registration statement for purposes of adding the underwriting agreement, the Indenture, and certain other documents related to the transactions contemplated by the underwriting agreement as exhibits to the registration statement. This consent may be given at any time without public notice. </w:t>
      </w:r>
    </w:p>
    <w:p>
      <w:pPr>
        <w:pStyle w:val="TextBody"/>
        <w:bidi w:val="0"/>
        <w:spacing w:before="240" w:after="283"/>
        <w:jc w:val="both"/>
        <w:rPr>
          <w:rFonts w:ascii="Times New Roman" w:hAnsi="Times New Roman"/>
          <w:sz w:val="20"/>
        </w:rPr>
      </w:pPr>
      <w:r>
        <w:rPr>
          <w:rFonts w:ascii="Times New Roman" w:hAnsi="Times New Roman"/>
          <w:b/>
          <w:color w:val="000000"/>
          <w:sz w:val="20"/>
        </w:rPr>
        <w:t>Price Stabilizations and Short Positions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connection with this offering, the underwriters may purchase and sell Notes in the open market. These transactions may include overallotment syndicate covering transactions and stabilizing transactions. Overallotment involves sales by the underwriters of Notes in excess of the number of securities required to be purchased by the underwriters in the offering, which creates a syndicate short position. “Covered” short sales are sales of securities made in an amount up to the number of securities represented by the underwriters’ overallotment option. Transactions to close out the covered syndicate short involve either purchases of such securities in the open market after the distribution has been completed or the exercise of the overallotment option. In determining the source of securities to close out the covered syndicate short position, the underwriters may consider the price of securities available for purchase in the open market as compared to the price at which they may purchase securities through the overallotment option. The underwriters may also make “naked” short sales, or sales in excess of the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securities in the open market while the offering is in progress for the purpose of fixing or maintaining the price of the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underwriters also may impose a penalty bid. Penalty bids permit the underwriters to reclaim a selling concession from an underwriter or syndicate member when the underwriter repurchases securities originally sold by that underwriter or syndicate member in order to cover syndicate short positions or make stabilizing purchases.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of these activities may have the effect of raising or maintaining the market price of the securities or preventing or retarding a decline in the market price of the securities. As a result, the price of the securities may be higher than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S-34</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price that might otherwise exist in the open market. The underwriters may conduct these transactions on Nasdaq or otherwise. Neither we nor any of the underwriters makes any representation or prediction as to the direction or magnitude of any effect that the transactions described above may have on the price of our securities. In addition, neither we nor any of the underwriters makes any representation that the underwriters will engage in these transactions. If the underwriters commence any of these transactions, they may discontinue them at any time.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connection with this offering, the underwriters may engage in passive market making transactions in our securities on Nasdaq in accordance with Rule 103 of Regulation M under the Exchange Act during a period before the commencement of offers or sales of securities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bidi w:val="0"/>
        <w:spacing w:before="240" w:after="283"/>
        <w:jc w:val="both"/>
        <w:rPr>
          <w:rFonts w:ascii="Times New Roman" w:hAnsi="Times New Roman"/>
          <w:sz w:val="20"/>
        </w:rPr>
      </w:pPr>
      <w:r>
        <w:rPr>
          <w:rFonts w:ascii="Times New Roman" w:hAnsi="Times New Roman"/>
          <w:b/>
          <w:color w:val="000000"/>
          <w:sz w:val="20"/>
        </w:rPr>
        <w:t>Additional Underwriter Relationships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of the underwriters and their respective affiliates have from time to time performed and may in the future perform various commercial banking, financial advisory and investment banking services for us and our affiliates for which they have received or will receive customary compensation.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BC Partners Securities LLC, an affiliate of BC Partners Credit, is a broker-dealer and member of FINRA and will participate as an underwriter in this offering. As noted above, a fund advised and managed by BC Partners Credit and its affiliates owns a majority of Runway Growth Capital. Additionally, certain members of our Board of Directors serve as senior management of BC Partners Credit, including Edward Goldthorpe, the Chairman of our board of directors. Moreover, (1) an affiliate of BC Partners Credit also owns a minority investment in MLCI, (2) certain members of the senior management of BC Partners Credit serve as the management team of MLCI, and (3) BC Partners Credit provides certain services and shares certain personnel with MLCI through a servicing agreement and a staffing and resource agreement.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Despite the conflict of interest, no “qualified independent underwriter” is required because (i) the underwriter primarily responsible for managing the public offering does not have a conflict of interest, is not an affiliate of any underwriter that does have a conflict of interest and meets the requirements of FINRA Rule 5121(f)(12)(E), and (ii) the Notes are investment grade rated. </w:t>
      </w:r>
    </w:p>
    <w:p>
      <w:pPr>
        <w:pStyle w:val="TextBody"/>
        <w:bidi w:val="0"/>
        <w:spacing w:before="240" w:after="283"/>
        <w:jc w:val="both"/>
        <w:rPr>
          <w:rFonts w:ascii="Times New Roman" w:hAnsi="Times New Roman"/>
          <w:sz w:val="20"/>
        </w:rPr>
      </w:pPr>
      <w:r>
        <w:rPr>
          <w:rFonts w:ascii="Times New Roman" w:hAnsi="Times New Roman"/>
          <w:b/>
          <w:color w:val="000000"/>
          <w:sz w:val="20"/>
        </w:rPr>
        <w:t>Sales Outside the United States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No action has been taken in any jurisdiction (except in the United States) that would permit a public offering of the Notes, or the possession, circulation or distribution of this prospectus supplement or accompanying prospectus or any other material relating to us or the Notes in any jurisdiction where action for that purpose is required. Accordingly, the Notes may not be offered or sold, directly or indirectly, and none of this prospectus supplement, the accompanying prospectus or any other offering material or advertisements in connection with the Notes may be distributed or published, in or from any country or jurisdiction except in compliance with any applicable rules and regulations of any such country or jurisdiction.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of the underwriters may arrange to sell the Notes offered hereby in certain jurisdictions outside the United States, either directly or through affiliates, where it is permitted to do so. </w:t>
      </w:r>
    </w:p>
    <w:p>
      <w:pPr>
        <w:pStyle w:val="TextBody"/>
        <w:bidi w:val="0"/>
        <w:spacing w:before="240" w:after="283"/>
        <w:jc w:val="both"/>
        <w:rPr>
          <w:rFonts w:ascii="Times New Roman" w:hAnsi="Times New Roman"/>
          <w:sz w:val="20"/>
        </w:rPr>
      </w:pPr>
      <w:r>
        <w:rPr>
          <w:rFonts w:ascii="Times New Roman" w:hAnsi="Times New Roman"/>
          <w:b/>
          <w:color w:val="000000"/>
          <w:sz w:val="20"/>
        </w:rPr>
        <w:t>Electronic Delivery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underwriters may make this prospectus supplement and accompanying prospectus available in an electronic format. The prospectus supplement and accompanying prospectus in electronic format may be made available on a website maintained by any of the underwriters, and the underwriters may distribute such documents electronically. The underwriters may agree with us to allocate a limited number of Notes for sale to their online brokerage customers. Any such allocation for online distributions will be made by the underwriters on the same basis as other allocations.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and our Adviser have agreed to indemnify the several underwriters against certain liabilities, including liabilities under the Securities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principal business address of Oppenheimer &amp; Co. Inc. is 85 Broad Street, 23rd Floor, New York, NY 10004.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S-35</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11" w:name="slema"/>
      <w:bookmarkEnd w:id="11"/>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legal matters regarding the Notes offered by this prospectus supplement will be passed upon for us by Dechert LLP. Certain legal matters in connection with the Notes offered hereby will be passed upon for the underwriters by Eversheds Sutherland (US) LLP. </w:t>
      </w:r>
    </w:p>
    <w:p>
      <w:pPr>
        <w:pStyle w:val="TextBody"/>
        <w:bidi w:val="0"/>
        <w:spacing w:before="240" w:after="283"/>
        <w:jc w:val="center"/>
        <w:rPr>
          <w:rFonts w:ascii="Times New Roman" w:hAnsi="Times New Roman"/>
          <w:sz w:val="20"/>
        </w:rPr>
      </w:pPr>
      <w:bookmarkStart w:id="12" w:name="sirpa"/>
      <w:bookmarkEnd w:id="12"/>
      <w:r>
        <w:rPr>
          <w:rFonts w:ascii="Times New Roman" w:hAnsi="Times New Roman"/>
          <w:b/>
          <w:color w:val="000000"/>
          <w:sz w:val="20"/>
        </w:rPr>
        <w:t>INDEPENDENT REGISTERED PUBLIC ACCOUNTING FIRM</w:t>
      </w:r>
      <w:r>
        <w:rPr>
          <w:rFonts w:ascii="Times New Roman" w:hAnsi="Times New Roman"/>
          <w:color w:val="000000"/>
          <w:sz w:val="20"/>
        </w:rPr>
        <w:t xml:space="preserve"> </w:t>
      </w:r>
    </w:p>
    <w:p>
      <w:pPr>
        <w:pStyle w:val="TextBody"/>
        <w:bidi w:val="0"/>
        <w:spacing w:before="160" w:after="283"/>
        <w:jc w:val="both"/>
        <w:rPr/>
      </w:pPr>
      <w:r>
        <w:rPr>
          <w:rFonts w:ascii="Times New Roman" w:hAnsi="Times New Roman"/>
          <w:color w:val="000000"/>
          <w:sz w:val="20"/>
        </w:rPr>
        <w:t xml:space="preserve">The financial statements of Runway Growth Finance Corp. as of December 31, 2025 and 2024 and for each of the two years in the period ended December 31, 2025 incorporated in this prospectus supplement and the accompanying prospectus by reference from the Runway Growth Finance Corp. </w:t>
      </w:r>
      <w:hyperlink r:id="rId2">
        <w:r>
          <w:rPr>
            <w:rStyle w:val="InternetLink"/>
            <w:rFonts w:ascii="Times New Roman" w:hAnsi="Times New Roman"/>
            <w:color w:val="0000FF"/>
            <w:sz w:val="20"/>
            <w:u w:val="single"/>
          </w:rPr>
          <w:t>Annual Report on Form 10-K for the year ended December 31, 2025</w:t>
        </w:r>
      </w:hyperlink>
      <w:r>
        <w:rPr>
          <w:rFonts w:ascii="Times New Roman" w:hAnsi="Times New Roman"/>
          <w:color w:val="000000"/>
          <w:sz w:val="20"/>
        </w:rPr>
        <w:t xml:space="preserve">, as amended, have been audited by Deloitte &amp; Touche LLP, an independent registered public accounting firm, as stated in their report thereon, incorporated herein by reference, and have been incorporated in this prospectus supplement, the accompanying prospectus and the registration statement on Form N-2 in reliance upon such reports. </w:t>
      </w:r>
    </w:p>
    <w:p>
      <w:pPr>
        <w:pStyle w:val="TextBody"/>
        <w:bidi w:val="0"/>
        <w:spacing w:before="160" w:after="283"/>
        <w:jc w:val="both"/>
        <w:rPr/>
      </w:pPr>
      <w:r>
        <w:rPr>
          <w:rFonts w:ascii="Times New Roman" w:hAnsi="Times New Roman"/>
          <w:color w:val="000000"/>
          <w:sz w:val="20"/>
        </w:rPr>
        <w:t xml:space="preserve">The financial statements of Runway Growth Finance Corp. as of December 31, 2023 and for the one-year period ended December 31, 2023 incorporated in this prospectus supplement and the accompanying prospectus by reference from the Runway Growth Finance Corp. </w:t>
      </w:r>
      <w:hyperlink r:id="rId3">
        <w:r>
          <w:rPr>
            <w:rStyle w:val="InternetLink"/>
            <w:rFonts w:ascii="Times New Roman" w:hAnsi="Times New Roman"/>
            <w:color w:val="0000FF"/>
            <w:sz w:val="20"/>
            <w:u w:val="single"/>
          </w:rPr>
          <w:t>Annual Report on Form 10-K for the year ended December 31, 2025</w:t>
        </w:r>
      </w:hyperlink>
      <w:r>
        <w:rPr>
          <w:rFonts w:ascii="Times New Roman" w:hAnsi="Times New Roman"/>
          <w:color w:val="000000"/>
          <w:sz w:val="20"/>
        </w:rPr>
        <w:t xml:space="preserve">, as amended, have been audited by RSM US LLP, an independent registered public accounting firm, as stated in their report thereon, incorporated herein by reference, and have been incorporated in this prospectus supplement, the accompanying prospectus and the registration statement on Form N-2 in reliance upon such reports. </w:t>
      </w:r>
    </w:p>
    <w:p>
      <w:pPr>
        <w:pStyle w:val="TextBody"/>
        <w:bidi w:val="0"/>
        <w:spacing w:before="240" w:after="283"/>
        <w:jc w:val="center"/>
        <w:rPr>
          <w:rFonts w:ascii="Times New Roman" w:hAnsi="Times New Roman"/>
          <w:sz w:val="20"/>
        </w:rPr>
      </w:pPr>
      <w:bookmarkStart w:id="13" w:name="savin"/>
      <w:bookmarkEnd w:id="13"/>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filed with the SEC a universal shelf registration statement, of which this prospectus supplement forms a part, on Form N-2, together with all amendments and related exhibits, under the Securities Act, with respect to the Notes offered by this prospectus supplement and the accompanying prospectus. The registration statement contains additional information about us and the Notes being offered by this prospectus supplement and the accompanying prospectus.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We file with or submit to the SEC annual, quarterly and current periodic reports, proxy statements and other information meeting the informational requirements of the Exchange Act. The SEC maintains a website that contains reports, proxy and information statements and other information filed electronically by us with the SEC at </w:t>
      </w:r>
      <w:r>
        <w:rPr>
          <w:rFonts w:ascii="Times New Roman" w:hAnsi="Times New Roman"/>
          <w:i/>
          <w:color w:val="000000"/>
          <w:sz w:val="20"/>
        </w:rPr>
        <w:t>www.sec.gov</w:t>
      </w:r>
      <w:r>
        <w:rPr>
          <w:rFonts w:ascii="Times New Roman" w:hAnsi="Times New Roman"/>
          <w:color w:val="000000"/>
          <w:sz w:val="20"/>
        </w:rPr>
        <w:t xml:space="preserve">. We maintain a website at </w:t>
      </w:r>
      <w:r>
        <w:rPr>
          <w:rFonts w:ascii="Times New Roman" w:hAnsi="Times New Roman"/>
          <w:i/>
          <w:color w:val="000000"/>
          <w:sz w:val="20"/>
        </w:rPr>
        <w:t>https://investors.runwaygrowth.com/financial-information/sec-filings</w:t>
      </w:r>
      <w:r>
        <w:rPr>
          <w:rFonts w:ascii="Times New Roman" w:hAnsi="Times New Roman"/>
          <w:color w:val="000000"/>
          <w:sz w:val="20"/>
        </w:rPr>
        <w:t xml:space="preserve"> and make all of our annual, quarterly and current reports, proxy statements and other publicly filed information available, free of charge, on or through our website. This information is also available, free of charge, by contacting us in writing at 205 N. Michigan Ave., Suite 4200, Chicago, IL 60601, or by emailing us at prospectus@runwaygrowth.com. Information contained on, or that can be accessed through, our website is not incorporated by reference into this prospectus supplement or the accompanying prospectus, and you should not consider such information to be part of this prospectus supplement or the accompanying prospectus.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14" w:name="sibr"/>
      <w:bookmarkEnd w:id="14"/>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incorporate by reference in this prospectus supplement the documents listed below and any future reports and other documents we file with the SEC pursuant to Sections 13(a), 13(c), 14 or 15(d) of the Exchange Act,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 </w:t>
      </w:r>
    </w:p>
    <w:p>
      <w:pPr>
        <w:pStyle w:val="TextBody"/>
        <w:bidi w:val="0"/>
        <w:spacing w:before="120" w:after="283"/>
        <w:jc w:val="both"/>
        <w:rPr/>
      </w:pPr>
      <w:r>
        <w:rPr>
          <w:rFonts w:ascii="Times New Roman" w:hAnsi="Times New Roman"/>
          <w:color w:val="000000"/>
          <w:sz w:val="20"/>
        </w:rPr>
        <w:t xml:space="preserve"> our </w:t>
      </w:r>
      <w:hyperlink r:id="rId4">
        <w:r>
          <w:rPr>
            <w:rStyle w:val="InternetLink"/>
            <w:rFonts w:ascii="Times New Roman" w:hAnsi="Times New Roman"/>
            <w:color w:val="0000FF"/>
            <w:sz w:val="20"/>
            <w:u w:val="single"/>
          </w:rPr>
          <w:t>Annual Report on Form 10-K for the fiscal year ended December 31, 2025</w:t>
        </w:r>
      </w:hyperlink>
      <w:r>
        <w:rPr>
          <w:rFonts w:ascii="Times New Roman" w:hAnsi="Times New Roman"/>
          <w:color w:val="000000"/>
          <w:sz w:val="20"/>
        </w:rPr>
        <w:t xml:space="preserve"> filed with the SEC on March 12, 2026; </w:t>
      </w:r>
    </w:p>
    <w:p>
      <w:pPr>
        <w:pStyle w:val="TextBody"/>
        <w:bidi w:val="0"/>
        <w:spacing w:before="120" w:after="283"/>
        <w:jc w:val="both"/>
        <w:rPr/>
      </w:pPr>
      <w:r>
        <w:rPr>
          <w:rFonts w:ascii="Times New Roman" w:hAnsi="Times New Roman"/>
          <w:color w:val="000000"/>
          <w:sz w:val="20"/>
        </w:rPr>
        <w:t xml:space="preserve"> our </w:t>
      </w:r>
      <w:hyperlink r:id="rId5">
        <w:r>
          <w:rPr>
            <w:rStyle w:val="InternetLink"/>
            <w:rFonts w:ascii="Times New Roman" w:hAnsi="Times New Roman"/>
            <w:color w:val="0000FF"/>
            <w:sz w:val="20"/>
            <w:u w:val="single"/>
          </w:rPr>
          <w:t>Quarterly Report on Form 10-Q for the quarter ended March 31, 2026</w:t>
        </w:r>
      </w:hyperlink>
      <w:r>
        <w:rPr>
          <w:rFonts w:ascii="Times New Roman" w:hAnsi="Times New Roman"/>
          <w:color w:val="000000"/>
          <w:sz w:val="20"/>
        </w:rPr>
        <w:t xml:space="preserve">, filed with the SEC on May 7, 2026; </w:t>
      </w:r>
    </w:p>
    <w:p>
      <w:pPr>
        <w:pStyle w:val="TextBody"/>
        <w:bidi w:val="0"/>
        <w:spacing w:before="120" w:after="283"/>
        <w:jc w:val="both"/>
        <w:rPr/>
      </w:pPr>
      <w:r>
        <w:rPr>
          <w:rFonts w:ascii="Times New Roman" w:hAnsi="Times New Roman"/>
          <w:color w:val="000000"/>
          <w:sz w:val="20"/>
        </w:rPr>
        <w:t xml:space="preserve"> our </w:t>
      </w:r>
      <w:hyperlink r:id="rId6">
        <w:r>
          <w:rPr>
            <w:rStyle w:val="InternetLink"/>
            <w:rFonts w:ascii="Times New Roman" w:hAnsi="Times New Roman"/>
            <w:color w:val="0000FF"/>
            <w:sz w:val="20"/>
            <w:u w:val="single"/>
          </w:rPr>
          <w:t>Quarterly Report on Form 10-Q for the quarter ended June 30, 2026</w:t>
        </w:r>
      </w:hyperlink>
      <w:r>
        <w:rPr>
          <w:rFonts w:ascii="Times New Roman" w:hAnsi="Times New Roman"/>
          <w:color w:val="000000"/>
          <w:sz w:val="20"/>
        </w:rPr>
        <w:t xml:space="preserve">, filed with the SEC on August 6, 2026; </w:t>
      </w:r>
    </w:p>
    <w:p>
      <w:pPr>
        <w:pStyle w:val="TextBody"/>
        <w:bidi w:val="0"/>
        <w:spacing w:before="120" w:after="283"/>
        <w:jc w:val="both"/>
        <w:rPr/>
      </w:pPr>
      <w:r>
        <w:rPr>
          <w:rFonts w:ascii="Times New Roman" w:hAnsi="Times New Roman"/>
          <w:color w:val="000000"/>
          <w:sz w:val="20"/>
        </w:rPr>
        <w:t xml:space="preserve"> our </w:t>
      </w:r>
      <w:hyperlink r:id="rId7">
        <w:r>
          <w:rPr>
            <w:rStyle w:val="InternetLink"/>
            <w:rFonts w:ascii="Times New Roman" w:hAnsi="Times New Roman"/>
            <w:color w:val="0000FF"/>
            <w:sz w:val="20"/>
            <w:u w:val="single"/>
          </w:rPr>
          <w:t>Definitive Proxy Statement on Schedule 14A</w:t>
        </w:r>
      </w:hyperlink>
      <w:r>
        <w:rPr>
          <w:rFonts w:ascii="Times New Roman" w:hAnsi="Times New Roman"/>
          <w:color w:val="000000"/>
          <w:sz w:val="20"/>
        </w:rPr>
        <w:t xml:space="preserve">, filed with the SEC on April 29, 2026; </w:t>
      </w:r>
    </w:p>
    <w:p>
      <w:pPr>
        <w:pStyle w:val="TextBody"/>
        <w:bidi w:val="0"/>
        <w:spacing w:before="120" w:after="283"/>
        <w:jc w:val="both"/>
        <w:rPr/>
      </w:pPr>
      <w:r>
        <w:rPr>
          <w:rFonts w:ascii="Times New Roman" w:hAnsi="Times New Roman"/>
          <w:color w:val="000000"/>
          <w:sz w:val="20"/>
        </w:rPr>
        <w:t xml:space="preserve"> our Current Reports on Form 8-K (other than information furnished rather than filed) filed with the SEC on </w:t>
      </w:r>
      <w:hyperlink r:id="rId8">
        <w:r>
          <w:rPr>
            <w:rStyle w:val="InternetLink"/>
            <w:rFonts w:ascii="Times New Roman" w:hAnsi="Times New Roman"/>
            <w:color w:val="0000FF"/>
            <w:sz w:val="20"/>
            <w:u w:val="single"/>
          </w:rPr>
          <w:t>January 29,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February 3,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April 7,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May 29, 2026</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June 25, 2026</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July 15, 2026</w:t>
        </w:r>
      </w:hyperlink>
      <w:r>
        <w:rPr>
          <w:rFonts w:ascii="Times New Roman" w:hAnsi="Times New Roman"/>
          <w:color w:val="000000"/>
          <w:sz w:val="20"/>
        </w:rPr>
        <w:t xml:space="preserve">, </w:t>
      </w:r>
      <w:hyperlink r:id="rId14">
        <w:r>
          <w:rPr>
            <w:rStyle w:val="InternetLink"/>
            <w:rFonts w:ascii="Times New Roman" w:hAnsi="Times New Roman"/>
            <w:color w:val="0000FF"/>
            <w:sz w:val="20"/>
            <w:u w:val="single"/>
          </w:rPr>
          <w:t>August 5, 2026 (Item 8.01 only)</w:t>
        </w:r>
      </w:hyperlink>
      <w:r>
        <w:rPr>
          <w:rFonts w:ascii="Times New Roman" w:hAnsi="Times New Roman"/>
          <w:color w:val="000000"/>
          <w:sz w:val="20"/>
        </w:rPr>
        <w:t xml:space="preserve">, and </w:t>
      </w:r>
      <w:hyperlink r:id="rId15">
        <w:r>
          <w:rPr>
            <w:rStyle w:val="InternetLink"/>
            <w:rFonts w:ascii="Times New Roman" w:hAnsi="Times New Roman"/>
            <w:color w:val="0000FF"/>
            <w:sz w:val="20"/>
            <w:u w:val="single"/>
          </w:rPr>
          <w:t>September 25, 2026</w:t>
        </w:r>
      </w:hyperlink>
      <w:r>
        <w:rPr>
          <w:rFonts w:ascii="Times New Roman" w:hAnsi="Times New Roman"/>
          <w:color w:val="000000"/>
          <w:sz w:val="20"/>
        </w:rPr>
        <w:t xml:space="preserve">; and </w:t>
      </w:r>
    </w:p>
    <w:p>
      <w:pPr>
        <w:pStyle w:val="TextBody"/>
        <w:bidi w:val="0"/>
        <w:spacing w:before="120" w:after="283"/>
        <w:jc w:val="both"/>
        <w:rPr/>
      </w:pPr>
      <w:r>
        <w:rPr>
          <w:rFonts w:ascii="Times New Roman" w:hAnsi="Times New Roman"/>
          <w:color w:val="000000"/>
          <w:sz w:val="20"/>
        </w:rPr>
        <w:t xml:space="preserve"> the description of our Common Stock referenced in our </w:t>
      </w:r>
      <w:hyperlink r:id="rId16">
        <w:r>
          <w:rPr>
            <w:rStyle w:val="InternetLink"/>
            <w:rFonts w:ascii="Times New Roman" w:hAnsi="Times New Roman"/>
            <w:color w:val="0000FF"/>
            <w:sz w:val="20"/>
            <w:u w:val="single"/>
          </w:rPr>
          <w:t>Registration Statement on Form 8-A (No. 001-40938)</w:t>
        </w:r>
      </w:hyperlink>
      <w:r>
        <w:rPr>
          <w:rFonts w:ascii="Times New Roman" w:hAnsi="Times New Roman"/>
          <w:color w:val="000000"/>
          <w:sz w:val="20"/>
        </w:rPr>
        <w:t xml:space="preserve">, as filed with the SEC on October 20, 2021, including any amendment or report filed for the purpose of updating such description prior to the termination of the offering of the common stock registered hereby.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To obtain copies of these filings, see “Available Information” in this prospectus supplement.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8"/>
        </w:rPr>
      </w:pPr>
      <w:r>
        <w:rPr>
          <w:rFonts w:ascii="Times New Roman" w:hAnsi="Times New Roman"/>
          <w:b/>
          <w:color w:val="000000"/>
          <w:sz w:val="28"/>
        </w:rPr>
        <w:t>$250,000,000</w:t>
      </w:r>
      <w:r>
        <w:rPr>
          <w:rFonts w:ascii="Times New Roman" w:hAnsi="Times New Roman"/>
          <w:color w:val="000000"/>
          <w:sz w:val="28"/>
        </w:rPr>
        <w:t xml:space="preserve"> </w:t>
      </w:r>
    </w:p>
    <w:p>
      <w:pPr>
        <w:pStyle w:val="TextBody"/>
        <w:bidi w:val="0"/>
        <w:spacing w:before="60" w:after="283"/>
        <w:jc w:val="center"/>
        <w:rPr>
          <w:rFonts w:ascii="Times New Roman" w:hAnsi="Times New Roman"/>
          <w:sz w:val="32"/>
        </w:rPr>
      </w:pPr>
      <w:r>
        <w:rPr>
          <w:rFonts w:ascii="Times New Roman" w:hAnsi="Times New Roman"/>
          <w:b/>
          <w:color w:val="000000"/>
          <w:sz w:val="32"/>
        </w:rPr>
        <w:t>RUNWAY GROWTH FINANCE CORP.</w:t>
      </w:r>
      <w:r>
        <w:rPr>
          <w:rFonts w:ascii="Times New Roman" w:hAnsi="Times New Roman"/>
          <w:color w:val="000000"/>
          <w:sz w:val="32"/>
        </w:rPr>
        <w:t xml:space="preserve"> </w:t>
      </w:r>
    </w:p>
    <w:p>
      <w:pPr>
        <w:pStyle w:val="TextBody"/>
        <w:bidi w:val="0"/>
        <w:spacing w:before="60" w:after="283"/>
        <w:jc w:val="center"/>
        <w:rPr>
          <w:rFonts w:ascii="Times New Roman" w:hAnsi="Times New Roman"/>
          <w:sz w:val="24"/>
        </w:rPr>
      </w:pPr>
      <w:r>
        <w:rPr>
          <w:rFonts w:ascii="Times New Roman" w:hAnsi="Times New Roman"/>
          <w:b/>
          <w:color w:val="000000"/>
          <w:sz w:val="24"/>
        </w:rPr>
        <w:t xml:space="preserve">Common Stock </w:t>
        <w:br/>
        <w:t xml:space="preserve">Preferred Stock </w:t>
        <w:br/>
        <w:t xml:space="preserve">Warrants </w:t>
        <w:br/>
        <w:t xml:space="preserve">Subscription Rights </w:t>
        <w:br/>
        <w:t>Debt Securities</w:t>
      </w:r>
      <w:r>
        <w:rPr>
          <w:rFonts w:ascii="Times New Roman" w:hAnsi="Times New Roman"/>
          <w:color w:val="000000"/>
          <w:sz w:val="24"/>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a specialty finance company focused on providing senior secured loans to high-growth potential companies in technology, healthcare, business services, financial services, and select consumer services and products in other high-growth industries.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appreciation on our warrants and other equity positions, by providing our portfolio companies with financing solutions that are more flexible than traditional credit and less dilutive than equity.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a closed-end management investment company that has elected to be regulated as a business development company (“BDC”) under the Investment Company Act of 1940, as amended. We have elected to be treated, and intend to qualify annually, as a regulated investment company (“RIC”) under the Internal Revenue Code of 1986, as amended (the “Code”) for U.S. federal income tax purposes. As a BDC and a RIC, we are required to comply with certain regulatory requirements.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externally managed by our investment adviser, Runway Growth Capital, LLC (“Runway Growth Capital”). Runway Growth Capital was formed in 2015 to pursue an investment strategy focused on providing growth financing for dynamic, late- and growth-stage companies.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an “emerging growth company,” as defined in Section 2(a) of the U.S. Securities Act of 1933, as amended (the “Securities Act”), and are subject to reduced public company reporting requirements and are taking advantage of the extended transition period provided in Section 7(a)(2)(B) of the Securities Act.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We may offer, from time to time, in one or more offerings or series, up to $250,000,000 of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shareholders, (ii) with the prior approval of the majority of our outstanding voting securities or (iii) under such other circumstances as the U.S. Securities and Exchange Commission (“SEC”) may permit. </w:t>
      </w:r>
    </w:p>
    <w:p>
      <w:pPr>
        <w:pStyle w:val="TextBody"/>
        <w:bidi w:val="0"/>
        <w:spacing w:before="40" w:after="283"/>
        <w:jc w:val="both"/>
        <w:rPr>
          <w:rFonts w:ascii="Times New Roman" w:hAnsi="Times New Roman"/>
          <w:sz w:val="18"/>
        </w:rPr>
      </w:pPr>
      <w:r>
        <w:rPr>
          <w:rFonts w:ascii="Times New Roman" w:hAnsi="Times New Roman"/>
          <w:color w:val="000000"/>
          <w:sz w:val="18"/>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 w:hAnsi="Times New Roman"/>
          <w:i/>
          <w:color w:val="000000"/>
          <w:sz w:val="18"/>
        </w:rPr>
        <w:t>Plan of Distribution</w:t>
      </w:r>
      <w:r>
        <w:rPr>
          <w:rFonts w:ascii="Times New Roman" w:hAnsi="Times New Roman"/>
          <w:color w:val="000000"/>
          <w:sz w:val="18"/>
        </w:rPr>
        <w:t xml:space="preserve">.” We may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Our common stock is traded on the Nasdaq Global Select Market (“Nasdaq”) under the symbol “RWAY.” On March 17, 2025, the last reported sales price of our common stock on Nasdaq was $10.89 per share. The net asset value per share of our common stock at September 30, 2024 (the last date prior to the date of this prospectus for which we reported net asset value) was $13.39. </w:t>
      </w:r>
    </w:p>
    <w:p>
      <w:pPr>
        <w:pStyle w:val="TextBody"/>
        <w:bidi w:val="0"/>
        <w:spacing w:before="60" w:after="283"/>
        <w:jc w:val="both"/>
        <w:rPr/>
      </w:pPr>
      <w:r>
        <w:rPr>
          <w:rFonts w:ascii="Times New Roman" w:hAnsi="Times New Roman"/>
          <w:b/>
          <w:color w:val="000000"/>
          <w:sz w:val="18"/>
        </w:rPr>
        <w:t xml:space="preserve">Investing in our securities involves a high degree of risk, including credit risk, the risk of the use of leverage and the risk of dilution, and is highly speculative. In addition, shares of closed-end investment companies, including BDCs, frequently trade at a discount to their net asset values. If our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w:t>
      </w:r>
      <w:hyperlink w:anchor="trifa">
        <w:r>
          <w:rPr>
            <w:rStyle w:val="InternetLink"/>
          </w:rPr>
          <w:t>1</w:t>
        </w:r>
      </w:hyperlink>
      <w:r>
        <w:rPr>
          <w:rFonts w:ascii="Times New Roman" w:hAnsi="Times New Roman"/>
          <w:b/>
          <w:color w:val="000000"/>
          <w:sz w:val="18"/>
        </w:rPr>
        <w:t>7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r>
        <w:rPr>
          <w:rFonts w:ascii="Times New Roman" w:hAnsi="Times New Roman"/>
          <w:color w:val="000000"/>
          <w:sz w:val="18"/>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205 N. Michigan Ave., Suite 4200, Chicago, IL 60601, calling us at (312) 698-6902 or visiting our corporate website located at https://runwaygrowth.com/document-center/. The SEC also maintains a website at http://www.sec.gov that contains this information. Information on our website or the SEC’s website is not incorporated into or a part of this prospectus. </w:t>
      </w:r>
    </w:p>
    <w:p>
      <w:pPr>
        <w:pStyle w:val="TextBody"/>
        <w:bidi w:val="0"/>
        <w:spacing w:before="60" w:after="283"/>
        <w:jc w:val="both"/>
        <w:rPr>
          <w:rFonts w:ascii="Times New Roman" w:hAnsi="Times New Roman"/>
          <w:sz w:val="18"/>
        </w:rPr>
      </w:pPr>
      <w:r>
        <w:rPr>
          <w:rFonts w:ascii="Times New Roman" w:hAnsi="Times New Roman"/>
          <w:b/>
          <w:color w:val="000000"/>
          <w:sz w:val="18"/>
        </w:rPr>
        <w:t>Neither the SEC nor any state securities commission has approved or disapproved of these securities or determined if this prospectus is truthful or complete. Any representation to the contrary is a criminal offense.</w:t>
      </w:r>
      <w:r>
        <w:rPr>
          <w:rFonts w:ascii="Times New Roman" w:hAnsi="Times New Roman"/>
          <w:color w:val="000000"/>
          <w:sz w:val="18"/>
        </w:rPr>
        <w:t xml:space="preserve"> </w:t>
      </w:r>
    </w:p>
    <w:p>
      <w:pPr>
        <w:pStyle w:val="TextBody"/>
        <w:bidi w:val="0"/>
        <w:spacing w:before="60" w:after="283"/>
        <w:jc w:val="both"/>
        <w:rPr>
          <w:rFonts w:ascii="Times New Roman" w:hAnsi="Times New Roman"/>
          <w:sz w:val="18"/>
        </w:rPr>
      </w:pPr>
      <w:r>
        <w:rPr>
          <w:rFonts w:ascii="Times New Roman" w:hAnsi="Times New Roman"/>
          <w:b/>
          <w:color w:val="000000"/>
          <w:sz w:val="18"/>
        </w:rPr>
        <w:t>This prospectus may not be used to consummate sales of securities unless accompanied by a prospectus supplement.</w:t>
      </w:r>
      <w:r>
        <w:rPr>
          <w:rFonts w:ascii="Times New Roman" w:hAnsi="Times New Roman"/>
          <w:color w:val="000000"/>
          <w:sz w:val="18"/>
        </w:rPr>
        <w:t xml:space="preserve"> </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The date of this prospectus is March 19,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64"/>
        <w:gridCol w:w="146"/>
        <w:gridCol w:w="146"/>
        <w:gridCol w:w="357"/>
        <w:gridCol w:w="392"/>
      </w:tblGrid>
      <w:tr>
        <w:trPr/>
        <w:tc>
          <w:tcPr>
            <w:tcW w:w="9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atp">
              <w:r>
                <w:rPr>
                  <w:rStyle w:val="InternetLink"/>
                  <w:rFonts w:ascii="Times New Roman" w:hAnsi="Times New Roman"/>
                  <w:color w:val="000000"/>
                  <w:sz w:val="20"/>
                </w:rPr>
                <w:t xml:space="preserve">ABOUT THIS PROSPECTUS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su">
              <w:r>
                <w:rPr>
                  <w:rStyle w:val="InternetLink"/>
                  <w:rFonts w:ascii="Times New Roman" w:hAnsi="Times New Roman"/>
                  <w:color w:val="000000"/>
                  <w:sz w:val="20"/>
                </w:rPr>
                <w:t xml:space="preserve">PROSPECTUS SUMMARY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ae">
              <w:r>
                <w:rPr>
                  <w:rStyle w:val="InternetLink"/>
                  <w:rFonts w:ascii="Times New Roman" w:hAnsi="Times New Roman"/>
                  <w:color w:val="000000"/>
                  <w:sz w:val="20"/>
                </w:rPr>
                <w:t xml:space="preserve">FEES AND EXPENSES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ihi">
              <w:r>
                <w:rPr>
                  <w:rStyle w:val="InternetLink"/>
                  <w:rFonts w:ascii="Times New Roman" w:hAnsi="Times New Roman"/>
                  <w:color w:val="000000"/>
                  <w:sz w:val="20"/>
                </w:rPr>
                <w:t xml:space="preserve">FINANCIAL HIGHLIGHTS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fia">
              <w:r>
                <w:rPr>
                  <w:rStyle w:val="InternetLink"/>
                  <w:rFonts w:ascii="Times New Roman" w:hAnsi="Times New Roman"/>
                  <w:color w:val="000000"/>
                  <w:sz w:val="20"/>
                </w:rPr>
                <w:t xml:space="preserve">SELECTED FINANCIAL INFORMATION AND OTHER DATA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ifa">
              <w:r>
                <w:rPr>
                  <w:rStyle w:val="InternetLink"/>
                  <w:rFonts w:ascii="Times New Roman" w:hAnsi="Times New Roman"/>
                  <w:color w:val="000000"/>
                  <w:sz w:val="20"/>
                </w:rPr>
                <w:t xml:space="preserve">RISK FACTORS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nrf">
              <w:r>
                <w:rPr>
                  <w:rStyle w:val="InternetLink"/>
                  <w:rFonts w:ascii="Times New Roman" w:hAnsi="Times New Roman"/>
                  <w:color w:val="000000"/>
                  <w:sz w:val="20"/>
                </w:rPr>
                <w:t xml:space="preserve">SPECIAL NOTE REGARDING FORWARD-LOOKING STATEMENTS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uop">
              <w:r>
                <w:rPr>
                  <w:rStyle w:val="InternetLink"/>
                  <w:rFonts w:ascii="Times New Roman" w:hAnsi="Times New Roman"/>
                  <w:color w:val="000000"/>
                  <w:sz w:val="20"/>
                </w:rPr>
                <w:t xml:space="preserve">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oc">
              <w:r>
                <w:rPr>
                  <w:rStyle w:val="InternetLink"/>
                  <w:rFonts w:ascii="Times New Roman" w:hAnsi="Times New Roman"/>
                  <w:color w:val="000000"/>
                  <w:sz w:val="20"/>
                </w:rPr>
                <w:t xml:space="preserve">PRICE RANGE OF COMMON STOCK AND DISTRIBUTIONS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madi">
              <w:r>
                <w:rPr>
                  <w:rStyle w:val="InternetLink"/>
                  <w:rFonts w:ascii="Times New Roman" w:hAnsi="Times New Roman"/>
                  <w:color w:val="000080"/>
                  <w:sz w:val="20"/>
                </w:rPr>
                <w:t xml:space="preserve">MANAGEMENT’S DISCUSSION AND ANALYSIS OF FINANCIAL CONDITION AND </w:t>
              </w:r>
            </w:hyperlink>
            <w:hyperlink w:anchor="tmadi">
              <w:r>
                <w:rPr>
                  <w:rStyle w:val="InternetLink"/>
                  <w:rFonts w:ascii="Times New Roman" w:hAnsi="Times New Roman"/>
                  <w:color w:val="000080"/>
                  <w:sz w:val="20"/>
                </w:rPr>
                <w:t xml:space="preserve">RESULTS OF OPERATIONS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bus">
              <w:r>
                <w:rPr>
                  <w:rStyle w:val="InternetLink"/>
                  <w:rFonts w:ascii="Times New Roman" w:hAnsi="Times New Roman"/>
                  <w:color w:val="000000"/>
                  <w:sz w:val="20"/>
                </w:rPr>
                <w:t xml:space="preserve">BUSINESS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ese">
              <w:r>
                <w:rPr>
                  <w:rStyle w:val="InternetLink"/>
                  <w:rFonts w:ascii="Times New Roman" w:hAnsi="Times New Roman"/>
                  <w:color w:val="000000"/>
                  <w:sz w:val="20"/>
                </w:rPr>
                <w:t xml:space="preserve">SENIOR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oco">
              <w:r>
                <w:rPr>
                  <w:rStyle w:val="InternetLink"/>
                  <w:rFonts w:ascii="Times New Roman" w:hAnsi="Times New Roman"/>
                  <w:color w:val="000000"/>
                  <w:sz w:val="20"/>
                </w:rPr>
                <w:t xml:space="preserve">PORTFOLIO COMPANIES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n">
              <w:r>
                <w:rPr>
                  <w:rStyle w:val="InternetLink"/>
                  <w:rFonts w:ascii="Times New Roman" w:hAnsi="Times New Roman"/>
                  <w:color w:val="000000"/>
                  <w:sz w:val="20"/>
                </w:rPr>
                <w:t xml:space="preserve">MANAGEMENT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oa">
              <w:r>
                <w:rPr>
                  <w:rStyle w:val="InternetLink"/>
                  <w:rFonts w:ascii="Times New Roman" w:hAnsi="Times New Roman"/>
                  <w:color w:val="000000"/>
                  <w:sz w:val="20"/>
                </w:rPr>
                <w:t xml:space="preserve">MANAGEMENT AND OTHER AGREEMENTS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tac">
              <w:r>
                <w:rPr>
                  <w:rStyle w:val="InternetLink"/>
                  <w:rFonts w:ascii="Times New Roman" w:hAnsi="Times New Roman"/>
                  <w:color w:val="000000"/>
                  <w:sz w:val="20"/>
                </w:rPr>
                <w:t xml:space="preserve">RELATED-PARTY TRANSACTIONS AND CERTAIN RELATIONSHIPS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pap">
              <w:r>
                <w:rPr>
                  <w:rStyle w:val="InternetLink"/>
                  <w:rFonts w:ascii="Times New Roman" w:hAnsi="Times New Roman"/>
                  <w:color w:val="000000"/>
                  <w:sz w:val="20"/>
                </w:rPr>
                <w:t xml:space="preserve">CONTROL PERSONS AND PRINCIPAL SHAREHOLDERS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na">
              <w:r>
                <w:rPr>
                  <w:rStyle w:val="InternetLink"/>
                  <w:rFonts w:ascii="Times New Roman" w:hAnsi="Times New Roman"/>
                  <w:color w:val="000000"/>
                  <w:sz w:val="20"/>
                </w:rPr>
                <w:t xml:space="preserve">DETERMINATION OF NET ASSET VALUE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rp">
              <w:r>
                <w:rPr>
                  <w:rStyle w:val="InternetLink"/>
                  <w:rFonts w:ascii="Times New Roman" w:hAnsi="Times New Roman"/>
                  <w:color w:val="000000"/>
                  <w:sz w:val="20"/>
                </w:rPr>
                <w:t xml:space="preserve">DIVIDEND REINVESTMENT PLAN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ufi">
              <w:r>
                <w:rPr>
                  <w:rStyle w:val="InternetLink"/>
                  <w:rFonts w:ascii="Times New Roman" w:hAnsi="Times New Roman"/>
                  <w:color w:val="000000"/>
                  <w:sz w:val="20"/>
                </w:rPr>
                <w:t xml:space="preserve">CERTAIN U.S. FEDERAL INCOME TAX CONSIDERATIONS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s">
              <w:r>
                <w:rPr>
                  <w:rStyle w:val="InternetLink"/>
                  <w:rFonts w:ascii="Times New Roman" w:hAnsi="Times New Roman"/>
                  <w:color w:val="000000"/>
                  <w:sz w:val="20"/>
                </w:rPr>
                <w:t xml:space="preserve">DESCRIPTION OF OUR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c">
              <w:r>
                <w:rPr>
                  <w:rStyle w:val="InternetLink"/>
                  <w:rFonts w:ascii="Times New Roman" w:hAnsi="Times New Roman"/>
                  <w:color w:val="000000"/>
                  <w:sz w:val="20"/>
                </w:rPr>
                <w:t xml:space="preserve">DESCRIPTION OF OUR CAPITAL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p">
              <w:r>
                <w:rPr>
                  <w:rStyle w:val="InternetLink"/>
                  <w:rFonts w:ascii="Times New Roman" w:hAnsi="Times New Roman"/>
                  <w:color w:val="000000"/>
                  <w:sz w:val="20"/>
                </w:rPr>
                <w:t xml:space="preserve">DESCRIPTION OF OUR PREFERRED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60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s1">
              <w:r>
                <w:rPr>
                  <w:rStyle w:val="InternetLink"/>
                  <w:rFonts w:ascii="Times New Roman" w:hAnsi="Times New Roman"/>
                  <w:color w:val="000000"/>
                  <w:sz w:val="20"/>
                </w:rPr>
                <w:t xml:space="preserve">DESCRIPTION OF OUR SUBSCRIPTION RIGHTS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w">
              <w:r>
                <w:rPr>
                  <w:rStyle w:val="InternetLink"/>
                  <w:rFonts w:ascii="Times New Roman" w:hAnsi="Times New Roman"/>
                  <w:color w:val="000000"/>
                  <w:sz w:val="20"/>
                </w:rPr>
                <w:t xml:space="preserve">DESCRIPTION OF OUR WARRANTS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d">
              <w:r>
                <w:rPr>
                  <w:rStyle w:val="InternetLink"/>
                  <w:rFonts w:ascii="Times New Roman" w:hAnsi="Times New Roman"/>
                  <w:color w:val="000000"/>
                  <w:sz w:val="20"/>
                </w:rPr>
                <w:t xml:space="preserve">DESCRIPTION OF OUR DEBT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eg">
              <w:r>
                <w:rPr>
                  <w:rStyle w:val="InternetLink"/>
                  <w:rFonts w:ascii="Times New Roman" w:hAnsi="Times New Roman"/>
                  <w:color w:val="000000"/>
                  <w:sz w:val="20"/>
                </w:rPr>
                <w:t xml:space="preserve">REGULATION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od">
              <w:r>
                <w:rPr>
                  <w:rStyle w:val="InternetLink"/>
                  <w:rFonts w:ascii="Times New Roman" w:hAnsi="Times New Roman"/>
                  <w:color w:val="000000"/>
                  <w:sz w:val="20"/>
                </w:rPr>
                <w:t xml:space="preserve">PLAN OF DISTRIBUTION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tad">
              <w:r>
                <w:rPr>
                  <w:rStyle w:val="InternetLink"/>
                  <w:rFonts w:ascii="Times New Roman" w:hAnsi="Times New Roman"/>
                  <w:color w:val="000000"/>
                  <w:sz w:val="20"/>
                </w:rPr>
                <w:t xml:space="preserve">CUSTODIAN, TRANSFER AND DIVIDEND PAYING AGENT AND REGISTRAR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baao">
              <w:r>
                <w:rPr>
                  <w:rStyle w:val="InternetLink"/>
                  <w:rFonts w:ascii="Times New Roman" w:hAnsi="Times New Roman"/>
                  <w:color w:val="000000"/>
                  <w:sz w:val="20"/>
                </w:rPr>
                <w:t xml:space="preserve">BROKERAGE ALLOCATION AND OTHER PRACTICES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lema">
              <w:r>
                <w:rPr>
                  <w:rStyle w:val="InternetLink"/>
                  <w:rFonts w:ascii="Times New Roman" w:hAnsi="Times New Roman"/>
                  <w:color w:val="000000"/>
                  <w:sz w:val="20"/>
                </w:rPr>
                <w:t xml:space="preserve">LEGAL MATTERS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irpa">
              <w:r>
                <w:rPr>
                  <w:rStyle w:val="InternetLink"/>
                  <w:rFonts w:ascii="Times New Roman" w:hAnsi="Times New Roman"/>
                  <w:color w:val="000000"/>
                  <w:sz w:val="20"/>
                </w:rPr>
                <w:t xml:space="preserve">INDEPENDENT REGISTERED PUBLIC ACCOUNTING FIRM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avin">
              <w:r>
                <w:rPr>
                  <w:rStyle w:val="InternetLink"/>
                  <w:rFonts w:ascii="Times New Roman" w:hAnsi="Times New Roman"/>
                  <w:color w:val="000000"/>
                  <w:sz w:val="20"/>
                </w:rPr>
                <w:t xml:space="preserve">AVAILABLE INFORMATION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ioci">
              <w:r>
                <w:rPr>
                  <w:rStyle w:val="InternetLink"/>
                  <w:rFonts w:ascii="Times New Roman" w:hAnsi="Times New Roman"/>
                  <w:color w:val="000000"/>
                  <w:sz w:val="20"/>
                </w:rPr>
                <w:t xml:space="preserve">INCORPORATION OF CERTAIN INFORMATION BY REFERENCE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RUNWAY GROWTH FINANCE CORP.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i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15" w:name="tatp"/>
      <w:bookmarkEnd w:id="15"/>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20"/>
        </w:rPr>
        <w:t>This prospectus is part of a registration statement that we have filed with the SEC, using the “shelf” registration process. Under this shelf Registration Statement, we may offer, from time to time, in one or more offerings, up to $250,000,000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 w:hAnsi="Times New Roman"/>
          <w:i/>
          <w:color w:val="000000"/>
          <w:sz w:val="20"/>
        </w:rPr>
        <w:t>Plan of Distribution</w:t>
      </w:r>
      <w:r>
        <w:rPr>
          <w:rFonts w:ascii="Times New Roman" w:hAnsi="Times New Roman"/>
          <w:color w:val="000000"/>
          <w:sz w:val="20"/>
        </w:rPr>
        <w:t xml:space="preserve">” for more information.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To the extent that any statement that we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 Before buying any of the securities being offered, please carefully read this prospectus, any accompanying prospectus supplement, any free writing prospectus and the documents incorporated by reference in this prospectus and any accompanying prospectus supplement.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However, we acknowledge our responsibility for all disclosures in this prospectus.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 </w:t>
      </w:r>
    </w:p>
    <w:p>
      <w:pPr>
        <w:pStyle w:val="TextBody"/>
        <w:bidi w:val="0"/>
        <w:spacing w:before="60" w:after="283"/>
        <w:jc w:val="both"/>
        <w:rPr>
          <w:rFonts w:ascii="Times New Roman" w:hAnsi="Times New Roman"/>
          <w:sz w:val="20"/>
        </w:rPr>
      </w:pPr>
      <w:r>
        <w:rPr>
          <w:rFonts w:ascii="Times New Roman" w:hAnsi="Times New Roman"/>
          <w:color w:val="000000"/>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this Registration Statement of which this prospectus is a part, and you may obtain copies of those documents as described in the section titled “</w:t>
      </w:r>
      <w:r>
        <w:rPr>
          <w:rFonts w:ascii="Times New Roman" w:hAnsi="Times New Roman"/>
          <w:i/>
          <w:color w:val="000000"/>
          <w:sz w:val="20"/>
        </w:rPr>
        <w:t>Available Information</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b/>
          <w:color w:val="000000"/>
          <w:sz w:val="20"/>
        </w:rPr>
        <w:t>You should rely only on the information included or incorporated by reference in this prospectus, any prospectus</w:t>
      </w:r>
      <w:r>
        <w:rPr>
          <w:rFonts w:ascii="Times New Roman" w:hAnsi="Times New Roman"/>
          <w:color w:val="000000"/>
          <w:sz w:val="20"/>
        </w:rPr>
        <w:t xml:space="preserve"> supplement </w:t>
      </w:r>
      <w:r>
        <w:rPr>
          <w:rFonts w:ascii="Times New Roman" w:hAnsi="Times New Roman"/>
          <w:b/>
          <w:color w:val="000000"/>
          <w:sz w:val="20"/>
        </w:rPr>
        <w:t>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1 </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ind w:left="0" w:right="0" w:hanging="0"/>
        <w:jc w:val="center"/>
        <w:rPr>
          <w:rFonts w:ascii="Times New Roman" w:hAnsi="Times New Roman"/>
          <w:sz w:val="20"/>
          <w:bdr w:val="single" w:sz="4" w:space="1" w:color="000000"/>
        </w:rPr>
      </w:pPr>
      <w:bookmarkStart w:id="16" w:name="tprsu"/>
      <w:bookmarkEnd w:id="16"/>
      <w:r>
        <w:rPr>
          <w:rFonts w:ascii="Times New Roman" w:hAnsi="Times New Roman"/>
          <w:b/>
          <w:color w:val="000000"/>
          <w:sz w:val="20"/>
          <w:bdr w:val="single" w:sz="4" w:space="1" w:color="000000"/>
        </w:rPr>
        <w:t>PROSPECTUS SUMMARY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w:t>
      </w:r>
      <w:r>
        <w:rPr>
          <w:rFonts w:ascii="Times New Roman" w:hAnsi="Times New Roman"/>
          <w:color w:val="000000"/>
          <w:sz w:val="20"/>
          <w:bdr w:val="single" w:sz="4" w:space="1" w:color="000000"/>
        </w:rPr>
        <w:t xml:space="preserve"> applicable </w:t>
      </w:r>
      <w:r>
        <w:rPr>
          <w:rFonts w:ascii="Times New Roman" w:hAnsi="Times New Roman"/>
          <w:i/>
          <w:color w:val="000000"/>
          <w:sz w:val="20"/>
          <w:bdr w:val="single" w:sz="4" w:space="1" w:color="000000"/>
        </w:rPr>
        <w:t>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Throughout this prospectus we refer to Runway Growth Finance Corp. as “we,” “us,” “our” or the “Company,” and to “Runway Growth Capital LLC,” our investment adviser, as “Runway Growth Capital” or “Adviser.”</w:t>
      </w:r>
      <w:r>
        <w:rPr>
          <w:rFonts w:ascii="Times New Roman" w:hAnsi="Times New Roman"/>
          <w:color w:val="000000"/>
          <w:sz w:val="20"/>
          <w:bdr w:val="single" w:sz="4" w:space="1" w:color="000000"/>
        </w:rPr>
        <w:t xml:space="preserve"> </w:t>
      </w:r>
    </w:p>
    <w:p>
      <w:pPr>
        <w:pStyle w:val="TextBody"/>
        <w:bidi w:val="0"/>
        <w:spacing w:before="22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Runway Growth Finance Corp.</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specialty finance company focused on providing senior secured loans to high-growth potential companies in technology, healthcare, business services, financial services, and select consumer services and products in other high-growth industries. Our goal is to create significant value for our stockholders and the entrepreneurs we support by providing high-growth potential companies with hybrid debt and equity financing that is more flexible than traditional credit and less dilutive than equity. We are managed by Runway Growth Capital, an experienced provider of growth financing for dynamic, late- and growth-stage companies. Our investment objective is to maximize our total return to our stockholders primarily through current income on our loan portfolio and secondarily through capital gains on our warrants and other equity positions. As of September 30, 2024, we had an investment portfolio of $1.1 billion at fair value, and a net asset value of $13.39 per share. </w:t>
      </w:r>
    </w:p>
    <w:p>
      <w:pPr>
        <w:pStyle w:val="TextBody"/>
        <w:bidi w:val="0"/>
        <w:spacing w:before="14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We are structured as an externally managed, non-diversified closed-end investment company that has elected to be regulated as a business development company (“BDC”) under the Investment Company Act of 1940, as amended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RIC. See “</w:t>
      </w:r>
      <w:r>
        <w:rPr>
          <w:rFonts w:ascii="Times New Roman" w:hAnsi="Times New Roman"/>
          <w:i/>
          <w:color w:val="000000"/>
          <w:sz w:val="20"/>
          <w:bdr w:val="single" w:sz="4" w:space="1" w:color="000000"/>
        </w:rPr>
        <w:t>Certain U.S. Federal Income Tax Considerations</w:t>
      </w:r>
      <w:r>
        <w:rPr>
          <w:rFonts w:ascii="Times New Roman" w:hAnsi="Times New Roman"/>
          <w:color w:val="000000"/>
          <w:sz w:val="20"/>
          <w:bdr w:val="single" w:sz="4" w:space="1" w:color="000000"/>
        </w:rPr>
        <w:t xml:space="preserve">.”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Our Adviser</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externally managed by Runway Growth Capital. Runway Growth Capital was formed in 2015 to pursue an investment strategy focused on providing growth financing for dynamic, late- and growth-stage companies. David Spreng, our Chairman, Co-Chief Executive Officer and President, formed our Adviser following a more than 25-year career in venture capital investing and lending. Runway Growth Capital has 29 employees across three offices in the United States, including five investment professionals focused on origination activities and ten focused on underwriting and managing our investment portfolio. Our Adviser consistently demonstrates a credit first culture while maintaining, what we believe, is an admirable reputation among borrowers for industry knowledge, creativity, and understanding of the challenges often faced by late- and growth-stage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January 2025, Runway Growth Capital was acquired by certain private investment funds advised by BC Partners Credit and MLCI pursuant to its minority investment.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Runway Growth Capital’s senior executive team has on average more than 34 years of experience, and its investment professionals, including origination and underwriting, have on average 23 years of experience. Our Adviser has built its team with investment professionals who have deep industry experience, a track record of successful originations and outcomes across the venture debt and venture and private equity spectrums, along with rich experience in working with and understanding high-growth companies from both an investor’s and an operator’s perspective.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ind w:left="0" w:right="0" w:hanging="0"/>
        <w:jc w:val="both"/>
        <w:rPr>
          <w:rFonts w:ascii="Times New Roman" w:hAnsi="Times New Roman"/>
          <w:sz w:val="20"/>
          <w:bdr w:val="single" w:sz="4" w:space="1" w:color="000000"/>
        </w:rPr>
      </w:pPr>
      <w:r>
        <w:rPr>
          <w:rFonts w:ascii="Times New Roman" w:hAnsi="Times New Roman"/>
          <w:color w:val="000000"/>
          <w:sz w:val="20"/>
          <w:bdr w:val="single" w:sz="4" w:space="1" w:color="000000"/>
        </w:rPr>
        <w:t>Runway Growth Capital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Runway Growth Capital a fee for its investment advisory and management services consisting of two components: a base management fee and an incentive fee. The cost of the base management fee and incentive fee are each borne by our stockholders.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Runway-Cadma I LLC Joint Venture</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Effective March 6, 2024, the Company entered into a joint venture agreement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Our Administrator</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We have entered into an amended and restated administration agreement (the “Administration Agreement”) with Runway Administrator Services LLC (the “Administrator”), a wholly-owned subsidiary of Runway Growth Capital,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our Administrator’s overhead resulting from its obligations under the Administration Agreement, including rent and the allocable portion of the cost of our Chief Compliance Officer and Chief Financial Officer and their respective staffs. For more information,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Oaktree Strategic Relationship</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December 2016, we and Runway Growth Capital entered into a strategic relationship with Oaktree Capital Management, L.P. (“Oaktree”). Oaktree is a leading global investment management firm focused on less efficient markets and alternative investments. Oaktree, together with its affiliates, emphasizes an opportunistic, value-oriented and risk-controlled approach to investments in distressed debt, corporate debt (including high-yield debt and senior loans), control investing, real estate, convertible securities and listed equities. In 2019, Brookfield Corporation (f/k/a Brookfield Asset Management Inc.) (“Brookfield”) acquired a majority economic interest in the business of Oaktree and its affiliates. Oaktree and its affiliates operate as an independent business with Brookfield, with their own product offerings and investment, marketing and support teams. Brookfield is a leading global alternative asset manager with over a 100 year history and over $1 trillion of assets under management (inclusive of Oaktree and its affiliates) across a broad portfolio of real estate, infrastructure, renewable power, credit and private equity assets. </w:t>
      </w:r>
    </w:p>
    <w:p>
      <w:pPr>
        <w:pStyle w:val="TextBody"/>
        <w:bidi w:val="0"/>
        <w:spacing w:before="14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OCM Growth Holdings (“OCM Growth”), an affiliate of Oaktree, purchased an aggregate of 14,571,334 shares of the Company’s common stock for an aggregate purchase price of $219.3 million in the Company’s Initial Private Offering and Second Private Offering. As of December 31, 2024, OCM Growth owned 10,779,668 shares, or approximately 29% of the Company’s outstanding shares. Pursuant to an irrevocable proxy, certain shares of our common stock held by OCM Growth must be voted in the same proportion that the Company’s other stockholders vote their shares. Of the 10,779,668 shares of the Company’s common stock owned by OCM Growth, 10,294,926 shares, or approximately 28% of the Company’s outstanding shares, are subject to this proxy voting arrangement.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Board of Directors as OCM Growth’s director nominee as an independent director.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ind w:left="0" w:right="0" w:hanging="0"/>
        <w:jc w:val="both"/>
        <w:rPr>
          <w:rFonts w:ascii="Times New Roman" w:hAnsi="Times New Roman"/>
          <w:sz w:val="20"/>
          <w:bdr w:val="single" w:sz="4" w:space="1" w:color="000000"/>
        </w:rPr>
      </w:pPr>
      <w:r>
        <w:rPr>
          <w:rFonts w:ascii="Times New Roman" w:hAnsi="Times New Roman"/>
          <w:b/>
          <w:color w:val="000000"/>
          <w:sz w:val="20"/>
          <w:bdr w:val="single" w:sz="4" w:space="1" w:color="000000"/>
        </w:rPr>
        <w:t>Our Portfolio</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From the commencement of operations in December 2016 through September 30, 2024, we made total commitments of $2.8 billion to fund investments in 82 portfolio companies, invested $2.2 billion in debt and equity investments, excluding U.S. Treasury Bills, and realized 47 investments. Of the $2.8 billion total commitments since inception, 31% are related to upsizes from existing borrowers. As of September 30, 2024, our debt investment portfolio consisted of 49 debt investments in 32 portfolio companies with an aggregate fair value of $1.0 billion, while our equity portfolio consisted of 66 warrant positions in 46 portfolio companies, eleven preferred stock positions in four portfolio companies, six common stock positions in six portfolio companies, and three equity investments in three companies with an aggregate fair value of $62.2 million.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September 30, 2024, 100%, or $1.0 billion, of our debt investment portfolio at fair value consisted of senior term loans and 98.6% of our debt investments were secured by a first lien on all or a portion of the tangible and intangible assets of the applicable portfolio company.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Certain of the loans we make to portfolio companies have financial maintenance covenants, which are intended to protect lenders from adverse changes in a portfolio company’s financial performance. 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September 30, 2024, we had a total of $260.4 million in unfunded commitments which was comprised of $231.0 million to provide debt financing to our portfolio companies and $29.4 million in unfunded commitments to provide equity financing to the JV. As of September 30, 2024, we had approximately $67.3 million of available unfunded commitments to portfolio companies that are eligible to be drawn based on achieved milestones and $29.4 million in unfunded capital commitments to the JV. We believe that our available cash balances, availability under our Credit Agreement with KeyBank National Association (as amended, the “Credit Agreement”) provides sufficient funds to cover our unfunded commitments as of September 30, 2024.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For the three and nine months ended September 30, 2024, our debt investment portfolio had a dollar-weighted annualized yield of 15.9% and 15.5%, respectively. For the three and nine months ended September 30, 2023, our debt investment portfolio had a dollar-weighted annualized yield of 18.3% and 16.0%,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September 30, 2024, our debt investments had a dollar-weighted average term of 58 months at origination and a dollar-weighted average remaining term of 33 months, or approximately 2.8 years. As of September 30, 2024, substantially all of our debt investments had a committed principal amount of between $6.0 million and $85.0 million and pay cash interest at annual interest rates of between 8.0% and 14.8%.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16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table shows our dollar-weighted annualized yield by investment type for the three and nine months ended September 30, 2024 and September 30, 2023: </w:t>
      </w:r>
    </w:p>
    <w:tbl>
      <w:tblPr>
        <w:tblW w:w="9565" w:type="dxa"/>
        <w:jc w:val="left"/>
        <w:tblInd w:w="0" w:type="dxa"/>
        <w:tblLayout w:type="fixed"/>
        <w:tblCellMar>
          <w:top w:w="28" w:type="dxa"/>
          <w:left w:w="28" w:type="dxa"/>
          <w:bottom w:w="28" w:type="dxa"/>
          <w:right w:w="28" w:type="dxa"/>
        </w:tblCellMar>
      </w:tblPr>
      <w:tblGrid>
        <w:gridCol w:w="1531"/>
        <w:gridCol w:w="146"/>
        <w:gridCol w:w="853"/>
        <w:gridCol w:w="169"/>
        <w:gridCol w:w="853"/>
        <w:gridCol w:w="146"/>
        <w:gridCol w:w="146"/>
        <w:gridCol w:w="798"/>
        <w:gridCol w:w="158"/>
        <w:gridCol w:w="798"/>
        <w:gridCol w:w="146"/>
        <w:gridCol w:w="853"/>
        <w:gridCol w:w="169"/>
        <w:gridCol w:w="853"/>
        <w:gridCol w:w="146"/>
        <w:gridCol w:w="797"/>
        <w:gridCol w:w="158"/>
        <w:gridCol w:w="845"/>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1"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Fair Value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1" w:type="dxa"/>
            <w:gridSpan w:val="7"/>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Cost</w:t>
            </w:r>
            <w:r>
              <w:rPr>
                <w:rFonts w:ascii="Times New Roman" w:hAnsi="Times New Roman"/>
                <w:b/>
                <w:color w:val="000000"/>
                <w:sz w:val="13"/>
              </w:rPr>
              <w:t>(2)</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r>
    </w:tbl>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 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(2) 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Investment Strategy and Approach</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investment objective is to maximize total return to our stockholders primarily through current income on our loan portfolio and secondarily through capital appreciation on our warrants and other equity positions. We typically invest in senior secured term loans and other senior debt obligations and may on occasion invest in second lien loans. We generally receive warrants and/or other equity securities from portfolio companies in connection with our investments in loans to these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focus on lending to late- and growth-stage companies in technology, healthcare , business services, financial services, and select consumer services and products in other high-growth industries.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typically the sole lender to our portfolio companies and do not actively syndicate the loans we originate to other lenders nor do we participate in syndications built by other lenders.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risk-adjusted return for the portfolio viewed as a whole. Borrowers tend to use the proceeds of our financing to invest in sales and marketing, expand capacity of the overall business or refinance existing debt.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Our Sponsored Growth Lending strategy generally includes loans to late- and growth-stage companies that are already backed by established venture capital firms. Our Sponsored Growth Lending strategy typically includes the receipt of warrants and/or other equity from these venture- backed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provides us access to many high-quality companies backed by top-tier venture capital and private equity investors;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delivers consistent returns through double-digit loan yields;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offers us the ability to participate in equity upside of portfolio companies through the acquisition of warrants.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Our Non-Sponsored Growth Lending strategy generally includes loans to late- and growth-stage, private companies that are funded directly by entrepreneurs and founders, or companies that no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longer require institutional equity investment (which may selectively include publicly traded companies). We refer to these target borrowers as “non-sponsored growth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a BDC, we are generally limited in our ability to invest in any portfolio company in which Runway Growth Capital or any of its affiliates currently has an investment or to make any co-investments with our investment adviser or its affiliates without an exemptive order from the SEC, subject to certain exceptions. On August 10, 2020, as amended on August 30, 2022, we, Runway Growth Capital, and certain other funds and accounts sponsored or managed by Runway Growth Capital were granted an exemptive order (the “Order”) that permits us greater flexibility than the 1940 Act permits to negotiate the terms of co-investments if our Board determines that it would be advantageous for us to co-invest with other accounts sponsored or managed by Runway Growth Capital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Runway Growth Capital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 </w:t>
      </w:r>
    </w:p>
    <w:p>
      <w:pPr>
        <w:pStyle w:val="TextBody"/>
        <w:bidi w:val="0"/>
        <w:spacing w:before="24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Market Opportunity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the market environment is favorable for us to continue to pursue an investment strategy primarily focused on late stage and high-growth companies in technology, healthcare, business services, financial services, and select consumer services and products in other high-growth industries.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Focus on Innovative Companies Across a Variety of High-Growth Industries</w:t>
      </w:r>
      <w:r>
        <w:rPr>
          <w:rFonts w:ascii="Times New Roman" w:hAnsi="Times New Roman"/>
          <w:color w:val="000000"/>
          <w:sz w:val="20"/>
          <w:bdr w:val="single" w:sz="4" w:space="1" w:color="000000"/>
        </w:rPr>
        <w:t xml:space="preserve"> </w:t>
      </w:r>
    </w:p>
    <w:p>
      <w:pPr>
        <w:pStyle w:val="TextBody"/>
        <w:bidi w:val="0"/>
        <w:spacing w:before="160" w:after="280"/>
        <w:jc w:val="both"/>
        <w:rPr>
          <w:rFonts w:ascii="Times New Roman" w:hAnsi="Times New Roman"/>
          <w:sz w:val="20"/>
          <w:bdr w:val="single" w:sz="4" w:space="1" w:color="000000"/>
        </w:rPr>
      </w:pPr>
      <w:r>
        <w:rPr>
          <w:rFonts w:ascii="Times New Roman" w:hAnsi="Times New Roman"/>
          <w:i/>
          <w:color w:val="000000"/>
          <w:sz w:val="20"/>
          <w:bdr w:val="single" w:sz="4" w:space="1" w:color="000000"/>
        </w:rPr>
        <w:t>Diversified high-growth potential industries</w:t>
      </w:r>
      <w:r>
        <w:rPr>
          <w:rFonts w:ascii="Times New Roman" w:hAnsi="Times New Roman"/>
          <w:color w:val="000000"/>
          <w:sz w:val="20"/>
          <w:bdr w:val="single" w:sz="4" w:space="1" w:color="000000"/>
        </w:rPr>
        <w:t xml:space="preserve">: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left"/>
        <w:rPr>
          <w:rFonts w:ascii="Times New Roman" w:hAnsi="Times New Roman"/>
          <w:sz w:val="20"/>
          <w:bdr w:val="single" w:sz="4" w:space="1" w:color="000000"/>
        </w:rPr>
      </w:pPr>
      <w:r>
        <w:rPr>
          <w:rFonts w:ascii="Times New Roman" w:hAnsi="Times New Roman"/>
          <w:b/>
          <w:color w:val="000000"/>
          <w:sz w:val="20"/>
          <w:bdr w:val="single" w:sz="4" w:space="1" w:color="000000"/>
        </w:rPr>
        <w:t>Annual Venture Capital Activity — Deal Volume ($ in billions) and Deal Count</w:t>
      </w:r>
      <w:r>
        <w:rPr>
          <w:rFonts w:ascii="Times New Roman" w:hAnsi="Times New Roman"/>
          <w:color w:val="000000"/>
          <w:sz w:val="20"/>
          <w:bdr w:val="single" w:sz="4" w:space="1" w:color="000000"/>
        </w:rPr>
        <w:t xml:space="preserve"> </w:t>
      </w:r>
    </w:p>
    <w:p>
      <w:pPr>
        <w:pStyle w:val="TextBody"/>
        <w:bidi w:val="0"/>
        <w:spacing w:before="160" w:after="283"/>
        <w:jc w:val="center"/>
        <w:rPr>
          <w:bdr w:val="single" w:sz="4" w:space="1" w:color="000000"/>
        </w:rPr>
      </w:pPr>
      <w:r>
        <w:rPr>
          <w:bdr w:val="single" w:sz="4" w:space="1" w:color="000000"/>
        </w:rPr>
        <w:drawing>
          <wp:inline distT="0" distB="0" distL="0" distR="0">
            <wp:extent cx="5267325" cy="408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5267325" cy="4086225"/>
                    </a:xfrm>
                    <a:prstGeom prst="rect">
                      <a:avLst/>
                    </a:prstGeom>
                  </pic:spPr>
                </pic:pic>
              </a:graphicData>
            </a:graphic>
          </wp:inline>
        </w:drawing>
      </w:r>
    </w:p>
    <w:p>
      <w:pPr>
        <w:pStyle w:val="TextBody"/>
        <w:pBdr>
          <w:bottom w:val="single" w:sz="5" w:space="1" w:color="000000"/>
        </w:pBdr>
        <w:bidi w:val="0"/>
        <w:spacing w:before="120" w:after="283"/>
        <w:jc w:val="left"/>
        <w:rPr>
          <w:bdr w:val="single" w:sz="4" w:space="1" w:color="000000"/>
        </w:rPr>
      </w:pPr>
      <w:r>
        <w:rPr>
          <w:bdr w:val="single" w:sz="4" w:space="1" w:color="000000"/>
        </w:rPr>
        <w:t> </w:t>
      </w:r>
    </w:p>
    <w:p>
      <w:pPr>
        <w:pStyle w:val="TextBody"/>
        <w:bidi w:val="0"/>
        <w:spacing w:before="8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Source: Pitchbook-NVCA Venture Monitor data, Q4 2024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Sponsored and Non-Sponsored Lending Represents an Attractive Source of Funding</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not yet achieved profitability. Sponsored growth lending provides an attractive source of funds for venture-backed companies, their management teams, and their equity capital investors, as it: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is typically less dilutive and complements equity financing from venture capital and private equity funds;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extends the time period during which a company can operate before seeking additional equity capital or pursuing a sale transaction or other liquidity event; and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generally allows companies to better match cash sources with uses.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access to growth capital without the requirement to take on institutional-size investments that may exceed the company’s capital requirements;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tax deductible interest payments;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significant operational involvement;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personal guarantees;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very modest dilution, if any;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loss of managerial control or forced redemption.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ind w:left="0" w:right="0" w:hanging="0"/>
        <w:jc w:val="both"/>
        <w:rPr>
          <w:rFonts w:ascii="Times New Roman" w:hAnsi="Times New Roman"/>
          <w:sz w:val="20"/>
          <w:bdr w:val="single" w:sz="4" w:space="1" w:color="000000"/>
        </w:rPr>
      </w:pPr>
      <w:r>
        <w:rPr>
          <w:rFonts w:ascii="Times New Roman" w:hAnsi="Times New Roman"/>
          <w:b/>
          <w:i/>
          <w:color w:val="000000"/>
          <w:sz w:val="20"/>
          <w:bdr w:val="single" w:sz="4" w:space="1" w:color="000000"/>
        </w:rPr>
        <w:t>Large and Growing Market for Debt Financing to Venture Capital-Backed Companies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Healthy, stable venture environment: </w:t>
      </w:r>
      <w:r>
        <w:rPr>
          <w:rFonts w:ascii="Times New Roman" w:hAnsi="Times New Roman"/>
          <w:color w:val="000000"/>
          <w:sz w:val="20"/>
          <w:bdr w:val="single" w:sz="4" w:space="1" w:color="000000"/>
        </w:rPr>
        <w:t xml:space="preserve">Approximately 15,250 companies received venture capital financing in 2024, according to the Pitchbook-NVCA Venture Monitor, a quarterly report published jointly by NVCA and Pitchbook on venture capital activity (“Pitchbook-NVCA”). Despite the broader economic challenges of 2024, we anticipate the market for borrowers will gradually improve over the coming quarters. The venture debt lending market, as defined in the Q4 2024 Pitchbook-NVCA Venture Monitor, is estimated at $53.3 billion or roughly 25.5% of total U.S. venture capital deal value in. </w:t>
      </w:r>
    </w:p>
    <w:p>
      <w:pPr>
        <w:pStyle w:val="TextBody"/>
        <w:bidi w:val="0"/>
        <w:spacing w:before="220" w:after="283"/>
        <w:jc w:val="center"/>
        <w:rPr>
          <w:rFonts w:ascii="Times New Roman" w:hAnsi="Times New Roman"/>
          <w:sz w:val="20"/>
          <w:bdr w:val="single" w:sz="4" w:space="1" w:color="000000"/>
        </w:rPr>
      </w:pPr>
      <w:r>
        <w:rPr>
          <w:rFonts w:ascii="Times New Roman" w:hAnsi="Times New Roman"/>
          <w:b/>
          <w:color w:val="000000"/>
          <w:sz w:val="20"/>
          <w:bdr w:val="single" w:sz="4" w:space="1" w:color="000000"/>
        </w:rPr>
        <w:t>Annual Venture Capital Activity — Deal Volume ($ in billions) and Deal Count</w:t>
      </w:r>
      <w:r>
        <w:rPr>
          <w:rFonts w:ascii="Times New Roman" w:hAnsi="Times New Roman"/>
          <w:color w:val="000000"/>
          <w:sz w:val="20"/>
          <w:bdr w:val="single" w:sz="4" w:space="1" w:color="000000"/>
        </w:rPr>
        <w:t xml:space="preserve"> </w:t>
      </w:r>
    </w:p>
    <w:p>
      <w:pPr>
        <w:pStyle w:val="TextBody"/>
        <w:bidi w:val="0"/>
        <w:spacing w:before="160" w:after="283"/>
        <w:jc w:val="center"/>
        <w:rPr>
          <w:bdr w:val="single" w:sz="4" w:space="1" w:color="000000"/>
        </w:rPr>
      </w:pPr>
      <w:r>
        <w:rPr>
          <w:bdr w:val="single" w:sz="4" w:space="1" w:color="000000"/>
        </w:rPr>
        <w:drawing>
          <wp:inline distT="0" distB="0" distL="0" distR="0">
            <wp:extent cx="4695825" cy="2295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4695825" cy="2295525"/>
                    </a:xfrm>
                    <a:prstGeom prst="rect">
                      <a:avLst/>
                    </a:prstGeom>
                  </pic:spPr>
                </pic:pic>
              </a:graphicData>
            </a:graphic>
          </wp:inline>
        </w:drawing>
      </w:r>
    </w:p>
    <w:p>
      <w:pPr>
        <w:pStyle w:val="TextBody"/>
        <w:pBdr>
          <w:bottom w:val="single" w:sz="5" w:space="1" w:color="000000"/>
        </w:pBdr>
        <w:bidi w:val="0"/>
        <w:jc w:val="left"/>
        <w:rPr>
          <w:bdr w:val="single" w:sz="4" w:space="1" w:color="000000"/>
        </w:rPr>
      </w:pPr>
      <w:r>
        <w:rPr>
          <w:bdr w:val="single" w:sz="4" w:space="1" w:color="000000"/>
        </w:rPr>
        <w:t> </w:t>
      </w:r>
    </w:p>
    <w:p>
      <w:pPr>
        <w:pStyle w:val="TextBody"/>
        <w:bidi w:val="0"/>
        <w:spacing w:before="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Source: Pitchbook-NVCA Venture Monitor data, Q4 2024. </w:t>
      </w:r>
    </w:p>
    <w:p>
      <w:pPr>
        <w:pStyle w:val="TextBody"/>
        <w:bidi w:val="0"/>
        <w:spacing w:before="1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Growing pool of target companies</w:t>
      </w:r>
      <w:r>
        <w:rPr>
          <w:rFonts w:ascii="Times New Roman" w:hAnsi="Times New Roman"/>
          <w:color w:val="000000"/>
          <w:sz w:val="20"/>
          <w:bdr w:val="single" w:sz="4" w:space="1" w:color="000000"/>
        </w:rPr>
        <w:t xml:space="preserve">: The time from initial venture capital investment to transaction exit of such investment, either by an initial public offering or merger and acquisition transaction, compressed slightly over the last couple of years but increased in 2024. According to the Pitchbook-NVCA Q4 2024 Venture Monitor, in 2024 the average number of years from initial venture investment to initial public offering of a U.S. venture capital-backed company was 6.3 years, and the average number of years from initial venture investment to merger and acquisition transaction was 4.6 years. Exit transactions are a small proportion of companies financed by venture capital each year. As a result, the pool of target companies has grown larger with increased demand for private capital.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Highly Fragmented, Underserved Market with High Barriers to Entry</w:t>
      </w:r>
      <w:r>
        <w:rPr>
          <w:rFonts w:ascii="Times New Roman" w:hAnsi="Times New Roman"/>
          <w:color w:val="000000"/>
          <w:sz w:val="20"/>
          <w:bdr w:val="single" w:sz="4" w:space="1" w:color="000000"/>
        </w:rPr>
        <w:t xml:space="preserve"> </w:t>
      </w:r>
    </w:p>
    <w:p>
      <w:pPr>
        <w:pStyle w:val="TextBody"/>
        <w:bidi w:val="0"/>
        <w:spacing w:before="160" w:after="260"/>
        <w:jc w:val="both"/>
        <w:rPr>
          <w:rFonts w:ascii="Times New Roman" w:hAnsi="Times New Roman"/>
          <w:sz w:val="20"/>
          <w:bdr w:val="single" w:sz="4" w:space="1" w:color="000000"/>
        </w:rPr>
      </w:pPr>
      <w:r>
        <w:rPr>
          <w:rFonts w:ascii="Times New Roman" w:hAnsi="Times New Roman"/>
          <w:i/>
          <w:color w:val="000000"/>
          <w:sz w:val="20"/>
          <w:bdr w:val="single" w:sz="4" w:space="1" w:color="000000"/>
        </w:rPr>
        <w:t>Unfulfilled demand and limited competition</w:t>
      </w:r>
      <w:r>
        <w:rPr>
          <w:rFonts w:ascii="Times New Roman" w:hAnsi="Times New Roman"/>
          <w:color w:val="000000"/>
          <w:sz w:val="20"/>
          <w:bdr w:val="single" w:sz="4" w:space="1" w:color="000000"/>
        </w:rPr>
        <w:t xml:space="preserve">: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 </w:t>
      </w:r>
    </w:p>
    <w:p>
      <w:pPr>
        <w:pStyle w:val="TextBody"/>
        <w:bidi w:val="0"/>
        <w:jc w:val="both"/>
        <w:rPr>
          <w:rFonts w:ascii="Times New Roman" w:hAnsi="Times New Roman"/>
          <w:sz w:val="20"/>
          <w:bdr w:val="single" w:sz="4" w:space="1" w:color="000000"/>
        </w:rPr>
      </w:pPr>
      <w:r>
        <w:rPr>
          <w:rFonts w:ascii="Times New Roman" w:hAnsi="Times New Roman"/>
          <w:b/>
          <w:color w:val="000000"/>
          <w:sz w:val="20"/>
          <w:bdr w:val="single" w:sz="4" w:space="1" w:color="000000"/>
        </w:rPr>
        <w:t>Competitive Advantages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well positioned to address the market for growth lending in a manner that will result in a competitive advantage over other established sponsored growth lenders. We believe our competitive strengths and key differentiators include: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Experienced, Proven Management Team Supported by a Deep Bench of Dedicated Investment Professionals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senior investment professionals of Runway Growth Capital have over 23 years of experience as venture capitalists and lenders who have developed a disciplined, repeatable approach to investing and managing investments in high-growth potential businesses. We believe that the experience, relationships and disciplined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investment and risk management processes of Runway Growth Capital’s investment professionals are a competitive advantage for us.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President and Chief Executive Officer, David Spreng, who is also the founder, Co-Chief Executive Officer and Chief Investment Officer of Runway Growth Capital,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and Chief Operating Officer, Thomas Raterman, has more than 30 years of corporate finance, investment banking, private equity and financial executive management experience with rapidly growing entrepreneurial companies. Greg Greifeld, Managing Director, Deputy Chief Investment Officer and Head of Credit at Runway Growth Capital, has over 16 years of lending, venture capital, and investment management experience.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Runway Growth Capital has a broad team of professionals focused on every aspect of the investment lifecycle. Runway Growth Capital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 </w:t>
      </w:r>
    </w:p>
    <w:p>
      <w:pPr>
        <w:pStyle w:val="TextBody"/>
        <w:bidi w:val="0"/>
        <w:spacing w:before="1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Provide Capital to Robust, High-Growth Venture-backed Companies</w:t>
      </w:r>
      <w:r>
        <w:rPr>
          <w:rFonts w:ascii="Times New Roman" w:hAnsi="Times New Roman"/>
          <w:color w:val="000000"/>
          <w:sz w:val="20"/>
          <w:bdr w:val="single" w:sz="4" w:space="1" w:color="000000"/>
        </w:rPr>
        <w:t xml:space="preserve">. 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2024 Pitchbook NVCA Venture Monitor and Pitchbook-NVCA industry classifications, venture capital deal volume for technology totaled approximately $183.8 billion in 2024, representing a 12.0% CAGR from 2014 to 2024. Venture capital deal volume for life science totaled approximately $36.3 billion in 2024, representing a 9.6% CAGR from 2014 to 2024. We believe companies within these industries can often be characterized as having asset-light business models, attractive recurring revenue streams and strong growth trajectories.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invest across industries to diversify risk and deliver more stable returns. The investment professionals at Runway Growth Capital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Robust Disciplined Investment Process and Credit Analysis</w:t>
      </w:r>
      <w:r>
        <w:rPr>
          <w:rFonts w:ascii="Times New Roman" w:hAnsi="Times New Roman"/>
          <w:color w:val="000000"/>
          <w:sz w:val="20"/>
          <w:bdr w:val="single" w:sz="4" w:space="1" w:color="000000"/>
        </w:rPr>
        <w:t xml:space="preserve">. Runway Growth Capital’s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the focused and disciplined approach that Runway Growth Capital applies to our lending strategy enables us to deliver strong, consistent returns to our investors. As of September 30, 2024, our debt portfolio is 98.6% first lien senior secured. Of our $2.2 billion total funded commitments since inception, our cumulative gross loss rate, as a percentage of total commitments since inception, has been 0.88% and our net losses, as a percentage of total commitments since inception, has been 0.71%. On average, our portfolio companies have raised $132.7 million of equity proceeds relative to our average loan commitment size of $41.3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Proprietary Risk Analytics Return Optimization</w:t>
      </w:r>
      <w:r>
        <w:rPr>
          <w:rFonts w:ascii="Times New Roman" w:hAnsi="Times New Roman"/>
          <w:color w:val="000000"/>
          <w:sz w:val="20"/>
          <w:bdr w:val="single" w:sz="4" w:space="1" w:color="000000"/>
        </w:rPr>
        <w:t xml:space="preserve">. Over the past 20 years, Runway Growth Capital’s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Flexible, Opportunity-Specific Pricing and Structure</w:t>
      </w:r>
      <w:r>
        <w:rPr>
          <w:rFonts w:ascii="Times New Roman" w:hAnsi="Times New Roman"/>
          <w:color w:val="000000"/>
          <w:sz w:val="20"/>
          <w:bdr w:val="single" w:sz="4" w:space="1" w:color="000000"/>
        </w:rPr>
        <w:t xml:space="preserve">. Runway Growth Capital’s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(“EBITDA”) but have been unable to access sufficient capital to fund current growth opportunities. We believe that gaining a comprehensive picture of an opportunity based on Runway Growth Capital’s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Strong Reputation and Deep Relationships</w:t>
      </w:r>
      <w:r>
        <w:rPr>
          <w:rFonts w:ascii="Times New Roman" w:hAnsi="Times New Roman"/>
          <w:color w:val="000000"/>
          <w:sz w:val="20"/>
          <w:bdr w:val="single" w:sz="4" w:space="1" w:color="000000"/>
        </w:rPr>
        <w:t xml:space="preserve">. Runway Growth Capital’s senior investment professionals enjoy reputations as innovative thought leaders, ingrained in the fabric of the venture community. Runway Growth Capital’s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Runway Growth Capital’s senior investment professionals also have established a network of relationships over two decades with various venture capital firms, venture banks, institutional investors, entrepreneurs and other venture capital market participants, which has allowed Runway Growth Capital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 </w:t>
      </w:r>
    </w:p>
    <w:p>
      <w:pPr>
        <w:pStyle w:val="TextBody"/>
        <w:bidi w:val="0"/>
        <w:spacing w:before="20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Use of Leverage</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a BDC, we are generally required to meet an asset coverage ratio, defined under the 1940 Act as the ratio of our gross assets (less all liabilities and indebtedness not represented by senior securities) to our outstanding senior securities, equal to 200% (or 150% if certain conditions are met) after each issuance of senior securities. On October 28, 2021, the Board approved a proposal that permits us to reduce our asset coverage ratio to 150%. On June 16, 2022, our stockholders approved the reduced asset coverage ratio at our 2022 annual meeting of stockholders. The reduced asset coverage ratio of 150% became effective upon receiving stockholder approval. </w:t>
      </w:r>
    </w:p>
    <w:p>
      <w:pPr>
        <w:pStyle w:val="TextBody"/>
        <w:bidi w:val="0"/>
        <w:spacing w:before="20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Credit Facility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September 30,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Borrowings under the Credit Facility bear interest on a per annum rate equal to the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For the three and nine months ended September 30, 2024, the weighted average outstanding principal balance was $273.0 million and $248.1 million, respectively, and the weighted average effective interest rate was 8.55% and 8.54%, respectively. For the three and nine months ended September 30, 2023, the weighted average outstanding principal balance was $250.3 million and $298.0 million, respectively, and the weighted average effective interest rate was 8.07% and 7.99%, respectively. </w:t>
      </w:r>
    </w:p>
    <w:p>
      <w:pPr>
        <w:pStyle w:val="TextBody"/>
        <w:bidi w:val="0"/>
        <w:spacing w:before="20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2026 Notes</w:t>
      </w:r>
      <w:r>
        <w:rPr>
          <w:rFonts w:ascii="Times New Roman" w:hAnsi="Times New Roman"/>
          <w:color w:val="000000"/>
          <w:sz w:val="20"/>
          <w:bdr w:val="single" w:sz="4" w:space="1" w:color="000000"/>
        </w:rPr>
        <w:t xml:space="preserve"> </w:t>
      </w:r>
    </w:p>
    <w:p>
      <w:pPr>
        <w:pStyle w:val="TextBody"/>
        <w:bidi w:val="0"/>
        <w:spacing w:before="160" w:after="280"/>
        <w:jc w:val="both"/>
        <w:rPr>
          <w:rFonts w:ascii="Times New Roman" w:hAnsi="Times New Roman"/>
          <w:sz w:val="20"/>
          <w:bdr w:val="single" w:sz="4" w:space="1" w:color="000000"/>
        </w:rPr>
      </w:pPr>
      <w:r>
        <w:rPr>
          <w:rFonts w:ascii="Times New Roman" w:hAnsi="Times New Roman"/>
          <w:color w:val="000000"/>
          <w:sz w:val="20"/>
          <w:bdr w:val="single" w:sz="4" w:space="1" w:color="00000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all outstanding and future unsecured unsubordinated indebtedness issued by the Company. </w:t>
      </w:r>
    </w:p>
    <w:p>
      <w:pPr>
        <w:pStyle w:val="TextBody"/>
        <w:bidi w:val="0"/>
        <w:jc w:val="both"/>
        <w:rPr>
          <w:rFonts w:ascii="Times New Roman" w:hAnsi="Times New Roman"/>
          <w:sz w:val="20"/>
          <w:bdr w:val="single" w:sz="4" w:space="1" w:color="000000"/>
        </w:rPr>
      </w:pPr>
      <w:r>
        <w:rPr>
          <w:rFonts w:ascii="Times New Roman" w:hAnsi="Times New Roman"/>
          <w:i/>
          <w:color w:val="000000"/>
          <w:sz w:val="20"/>
          <w:bdr w:val="single" w:sz="4" w:space="1" w:color="000000"/>
        </w:rPr>
        <w:t>December 2026 Notes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December 2026 Notes bore an interest rate of 4.25% per year and were due on December 10, 2026, unless redeemed, purchased or prepaid prior to such date by the Company or its affiliates in accordance with their terms. The April 2026 Notes were repaid in full on January 21, 2026 and are no longer outstanding. Interest on the December 2026 Notes was be due semiannually in arrears on June 10 and December 10 of each year.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December 2026 Notes issuance were $1.0 million, and were capitalized and deferred. As of September 30, 2024 and December 31, 2023, unamortized deferred financing costs related to the December 2026 Notes were $0.4 million and $0.6 million, respectively. </w:t>
      </w:r>
    </w:p>
    <w:p>
      <w:pPr>
        <w:pStyle w:val="TextBody"/>
        <w:bidi w:val="0"/>
        <w:spacing w:before="2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April 2026 Notes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April 2026 Notes issuance were $0.4 million, and were capitalized and deferred. As of September 30, 2024 and December 31, 2023, unamortized deferred financing costs related to the April 2026 Notes were $0.2 million and $0.3 million, respectively.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2027 Notes</w:t>
      </w:r>
      <w:r>
        <w:rPr>
          <w:rFonts w:ascii="Times New Roman" w:hAnsi="Times New Roman"/>
          <w:color w:val="000000"/>
          <w:sz w:val="20"/>
          <w:bdr w:val="single" w:sz="4" w:space="1" w:color="000000"/>
        </w:rPr>
        <w:t xml:space="preserve"> </w:t>
      </w:r>
    </w:p>
    <w:p>
      <w:pPr>
        <w:pStyle w:val="TextBody"/>
        <w:bidi w:val="0"/>
        <w:spacing w:before="2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July 2027 Notes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left"/>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the Company’s existing and future unsecured, unsubordinated indebtedness. </w:t>
      </w:r>
    </w:p>
    <w:p>
      <w:pPr>
        <w:pStyle w:val="TextBody"/>
        <w:bidi w:val="0"/>
        <w:spacing w:before="160" w:after="28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July 2027 Notes issuance, including the underwriter’s discount and commissions, were $2.7 million, and were capitalized and deferred. As of September 30, 2024 and December 31, 2023, unamortized deferred financing costs related to the July 2027 Notes were $1.5 million and $1.9 million, respectively. </w:t>
      </w:r>
    </w:p>
    <w:p>
      <w:pPr>
        <w:pStyle w:val="TextBody"/>
        <w:bidi w:val="0"/>
        <w:jc w:val="left"/>
        <w:rPr>
          <w:rFonts w:ascii="Times New Roman" w:hAnsi="Times New Roman"/>
          <w:sz w:val="20"/>
          <w:bdr w:val="single" w:sz="4" w:space="1" w:color="000000"/>
        </w:rPr>
      </w:pPr>
      <w:r>
        <w:rPr>
          <w:rFonts w:ascii="Times New Roman" w:hAnsi="Times New Roman"/>
          <w:i/>
          <w:color w:val="000000"/>
          <w:sz w:val="20"/>
          <w:bdr w:val="single" w:sz="4" w:space="1" w:color="000000"/>
        </w:rPr>
        <w:t>August 2027 Notes</w:t>
      </w:r>
      <w:r>
        <w:rPr>
          <w:rFonts w:ascii="Times New Roman" w:hAnsi="Times New Roman"/>
          <w:color w:val="000000"/>
          <w:sz w:val="20"/>
          <w:bdr w:val="single" w:sz="4" w:space="1" w:color="000000"/>
        </w:rPr>
        <w:t xml:space="preserve">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August 31, 2022, the Company issued and sold a private debt offering of $20.0 million in aggregate principal amount of 7.00% interest-bearing unsecured Series 2022A Senior Notes due 2027 (the “August 2027 Notes”) to HCM Master Fund Limited. </w:t>
      </w:r>
    </w:p>
    <w:p>
      <w:pPr>
        <w:pStyle w:val="TextBody"/>
        <w:bidi w:val="0"/>
        <w:spacing w:before="160" w:after="283"/>
        <w:jc w:val="left"/>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all outstanding and future unsecured unsubordinated indebtedness issued by the Company.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August 2027 Notes issuance were $0.7 million, and were capitalized and deferred. As of September 30, 2024 and December 31, 2023, unamortized deferred financing costs related to the August 2027 Notes were $0.4 million and $0.5 million, respectively. </w:t>
      </w:r>
    </w:p>
    <w:p>
      <w:pPr>
        <w:pStyle w:val="TextBody"/>
        <w:bidi w:val="0"/>
        <w:spacing w:before="240" w:after="283"/>
        <w:jc w:val="left"/>
        <w:rPr>
          <w:rFonts w:ascii="Times New Roman" w:hAnsi="Times New Roman"/>
          <w:sz w:val="20"/>
          <w:bdr w:val="single" w:sz="4" w:space="1" w:color="000000"/>
        </w:rPr>
      </w:pPr>
      <w:r>
        <w:rPr>
          <w:rFonts w:ascii="Times New Roman" w:hAnsi="Times New Roman"/>
          <w:i/>
          <w:color w:val="000000"/>
          <w:sz w:val="20"/>
          <w:bdr w:val="single" w:sz="4" w:space="1" w:color="000000"/>
        </w:rPr>
        <w:t>December 2027 Notes</w:t>
      </w:r>
      <w:r>
        <w:rPr>
          <w:rFonts w:ascii="Times New Roman" w:hAnsi="Times New Roman"/>
          <w:color w:val="000000"/>
          <w:sz w:val="20"/>
          <w:bdr w:val="single" w:sz="4" w:space="1" w:color="000000"/>
        </w:rPr>
        <w:t xml:space="preserve">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 </w:t>
      </w:r>
    </w:p>
    <w:p>
      <w:pPr>
        <w:pStyle w:val="TextBody"/>
        <w:bidi w:val="0"/>
        <w:spacing w:before="160" w:after="283"/>
        <w:jc w:val="left"/>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the Company’s existing and future unsecured, unsubordinated indebtedness.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December 2027 Notes issuance, including the underwriter’s discount and commissions, were $1.9 million, and were capitalized and deferred. As of September 30, 2024 and December 31, 2023, unamortized deferred financing costs related to the December 2027 Notes were $1.2 million and $1.5 million, respectively.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17" w:name="tfae"/>
      <w:bookmarkEnd w:id="17"/>
      <w:r>
        <w:rPr>
          <w:rFonts w:ascii="Times New Roman" w:hAnsi="Times New Roman"/>
          <w:b/>
          <w:color w:val="000000"/>
          <w:sz w:val="20"/>
          <w:bdr w:val="single" w:sz="4" w:space="1" w:color="000000"/>
        </w:rPr>
        <w:t>FEES AND EXPENSES</w:t>
      </w:r>
      <w:r>
        <w:rPr>
          <w:rFonts w:ascii="Times New Roman" w:hAnsi="Times New Roman"/>
          <w:color w:val="000000"/>
          <w:sz w:val="20"/>
          <w:bdr w:val="single" w:sz="4" w:space="1" w:color="000000"/>
        </w:rPr>
        <w:t xml:space="preserve"> </w:t>
      </w:r>
    </w:p>
    <w:p>
      <w:pPr>
        <w:pStyle w:val="TextBody"/>
        <w:bidi w:val="0"/>
        <w:spacing w:before="160" w:after="16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 </w:t>
      </w:r>
    </w:p>
    <w:tbl>
      <w:tblPr>
        <w:tblW w:w="8500" w:type="dxa"/>
        <w:jc w:val="left"/>
        <w:tblInd w:w="0" w:type="dxa"/>
        <w:tblLayout w:type="fixed"/>
        <w:tblCellMar>
          <w:top w:w="28" w:type="dxa"/>
          <w:left w:w="28" w:type="dxa"/>
          <w:bottom w:w="28" w:type="dxa"/>
          <w:right w:w="28" w:type="dxa"/>
        </w:tblCellMar>
      </w:tblPr>
      <w:tblGrid>
        <w:gridCol w:w="6601"/>
        <w:gridCol w:w="346"/>
        <w:gridCol w:w="571"/>
        <w:gridCol w:w="271"/>
        <w:gridCol w:w="711"/>
      </w:tblGrid>
      <w:tr>
        <w:trPr/>
        <w:tc>
          <w:tcPr>
            <w:tcW w:w="6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 transaction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load (as a percentage of offering price)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(1)</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Offering expenses (as a percentage of offering price)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(2)</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reinvestment plan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0" w:right="0" w:firstLine="200"/>
              <w:jc w:val="left"/>
              <w:rPr>
                <w:rFonts w:ascii="Times New Roman" w:hAnsi="Times New Roman"/>
                <w:color w:val="000000"/>
                <w:sz w:val="13"/>
              </w:rPr>
            </w:pPr>
            <w:r>
              <w:rPr>
                <w:rFonts w:ascii="Times New Roman" w:hAnsi="Times New Roman"/>
                <w:color w:val="000000"/>
                <w:sz w:val="13"/>
              </w:rPr>
              <w:t>(3)</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 transaction expenses (as a percentage of offering price)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expenses (as a percentage of net assets attributable to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Management Fee payable under the Advisory Agreement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(4) (8)</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Incentive Fee payable under the Advisory Agreement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(5) (8)</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payments and fees paid on borrowed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(6) (8)</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0" w:right="0" w:firstLine="200"/>
              <w:jc w:val="left"/>
              <w:rPr>
                <w:rFonts w:ascii="Times New Roman" w:hAnsi="Times New Roman"/>
                <w:color w:val="000000"/>
                <w:sz w:val="13"/>
              </w:rPr>
            </w:pPr>
            <w:r>
              <w:rPr>
                <w:rFonts w:ascii="Times New Roman" w:hAnsi="Times New Roman"/>
                <w:color w:val="000000"/>
                <w:sz w:val="13"/>
              </w:rPr>
              <w:t>(7) (8)</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annual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5" w:space="1" w:color="000000"/>
        </w:pBdr>
        <w:bidi w:val="0"/>
        <w:spacing w:before="200" w:after="283"/>
        <w:jc w:val="left"/>
        <w:rPr>
          <w:bdr w:val="single" w:sz="4" w:space="1" w:color="000000"/>
        </w:rPr>
      </w:pPr>
      <w:r>
        <w:rPr>
          <w:bdr w:val="single" w:sz="4" w:space="1" w:color="000000"/>
        </w:rPr>
        <w:t>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 In the event that the securities are sold to or through underwriters, a related prospectus supplement will disclose the applicable sales load (underwriting discount or commission).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(2) A related prospectus supplement will disclose the estimated amount of offering expenses, the offering price and the estimated amount of offering expenses borne by the Company as a percentage of the offering price. </w:t>
      </w:r>
    </w:p>
    <w:p>
      <w:pPr>
        <w:pStyle w:val="TextBody"/>
        <w:bidi w:val="0"/>
        <w:spacing w:before="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(3) The expenses of the dividend reinvestment plan are included in “other expenses” in the table above. For additional information, see “</w:t>
      </w:r>
      <w:r>
        <w:rPr>
          <w:rFonts w:ascii="Times New Roman" w:hAnsi="Times New Roman"/>
          <w:i/>
          <w:color w:val="000000"/>
          <w:sz w:val="20"/>
          <w:bdr w:val="single" w:sz="4" w:space="1" w:color="000000"/>
        </w:rPr>
        <w:t>Dividend Reinvestment Plan</w:t>
      </w:r>
      <w:r>
        <w:rPr>
          <w:rFonts w:ascii="Times New Roman" w:hAnsi="Times New Roman"/>
          <w:color w:val="000000"/>
          <w:sz w:val="20"/>
          <w:bdr w:val="single" w:sz="4" w:space="1" w:color="000000"/>
        </w:rPr>
        <w:t xml:space="preserve">.” </w:t>
      </w:r>
    </w:p>
    <w:p>
      <w:pPr>
        <w:pStyle w:val="TextBody"/>
        <w:bidi w:val="0"/>
        <w:spacing w:before="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(4) Assumes the base management fee will be an amount equal to 0.375% (1.50% annualized) of our average daily Gross Assets during the most recently completed calendar quarter.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(5) The incentive fee, which provides Runway Growth Capital with a share of the income that Runway Growth Capital generates for us, consists of an Investment Income Fee and a Capital Gains Fee. </w:t>
      </w:r>
    </w:p>
    <w:p>
      <w:pPr>
        <w:pStyle w:val="TextBody"/>
        <w:bidi w:val="0"/>
        <w:spacing w:before="60" w:after="120"/>
        <w:jc w:val="both"/>
        <w:rPr>
          <w:bdr w:val="single" w:sz="4" w:space="1" w:color="000000"/>
        </w:rPr>
      </w:pPr>
      <w:r>
        <w:rPr>
          <w:color w:val="000000"/>
          <w:bdr w:val="single" w:sz="4" w:space="1" w:color="000000"/>
        </w:rPr>
        <w:t xml:space="preserve">  </w:t>
      </w:r>
      <w:r>
        <w:rPr>
          <w:rFonts w:ascii="Times New Roman" w:hAnsi="Times New Roman"/>
          <w:color w:val="000000"/>
          <w:sz w:val="20"/>
          <w:bdr w:val="single" w:sz="4" w:space="1" w:color="000000"/>
        </w:rPr>
        <w:t xml:space="preserve">Under the Income Incentive Fee, we pay Runway Growth Capital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Runway Growth Capital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Runway Growth Capital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Runway Growth Capital (once the hurdle is reached and the catch-up is achieved, 20.0% of all Pre-Incentive Fee net investment income thereafter is allocated to Runway Growth Capital). </w:t>
      </w:r>
    </w:p>
    <w:p>
      <w:pPr>
        <w:pStyle w:val="TextBody"/>
        <w:bidi w:val="0"/>
        <w:jc w:val="both"/>
        <w:rPr>
          <w:bdr w:val="single" w:sz="4" w:space="1" w:color="000000"/>
        </w:rPr>
      </w:pPr>
      <w:r>
        <w:rPr>
          <w:color w:val="000000"/>
          <w:bdr w:val="single" w:sz="4" w:space="1" w:color="000000"/>
        </w:rPr>
        <w:t xml:space="preserve">  </w:t>
      </w:r>
      <w:r>
        <w:rPr>
          <w:rFonts w:ascii="Times New Roman" w:hAnsi="Times New Roman"/>
          <w:color w:val="000000"/>
          <w:sz w:val="20"/>
          <w:bdr w:val="single" w:sz="4" w:space="1" w:color="000000"/>
        </w:rPr>
        <w:t>Under the Capital Gains Fee, we will pay Runway Growth Capital,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8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(6) Interest payments on borrowed funds represents an estimate of our annualized interest expense based on borrowings under the Credit Agreement and the 2026 Notes and 2027 Notes. The assumed weighted average interest rate on our total debt outstanding was 7.41%. Assumes we have on average $362 million outstanding under the Credit Agreement and average $240 million in aggregate principal amount of the 2026 Notes and 2027 Notes outstanding. We may borrow additional funds from time to time to make investments to the extent we determine that the economic situation is conducive to doing so. We may also issue additional debt securities or preferred stock, subject to our compliance with applicable requirements under the 1940 Act. </w:t>
      </w:r>
    </w:p>
    <w:p>
      <w:pPr>
        <w:pStyle w:val="TextBody"/>
        <w:bidi w:val="0"/>
        <w:spacing w:before="8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(7) Includes our overhead expenses, such as payments under the Administration Agreement for certain expenses incurred by the Adviser.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We based these expenses on estimated amounts for the current fiscal year. </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(8) Estimated. </w:t>
      </w:r>
    </w:p>
    <w:p>
      <w:pPr>
        <w:pStyle w:val="TextBody"/>
        <w:bidi w:val="0"/>
        <w:spacing w:before="24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Example</w:t>
      </w:r>
      <w:r>
        <w:rPr>
          <w:rFonts w:ascii="Times New Roman" w:hAnsi="Times New Roman"/>
          <w:color w:val="000000"/>
          <w:sz w:val="20"/>
          <w:bdr w:val="single" w:sz="4" w:space="1" w:color="000000"/>
        </w:rPr>
        <w:t xml:space="preserve"> </w:t>
      </w:r>
    </w:p>
    <w:p>
      <w:pPr>
        <w:pStyle w:val="TextBody"/>
        <w:bidi w:val="0"/>
        <w:spacing w:before="160" w:after="16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 </w:t>
      </w:r>
    </w:p>
    <w:tbl>
      <w:tblPr>
        <w:tblW w:w="10205" w:type="dxa"/>
        <w:jc w:val="left"/>
        <w:tblInd w:w="0" w:type="dxa"/>
        <w:tblLayout w:type="fixed"/>
        <w:tblCellMar>
          <w:top w:w="28" w:type="dxa"/>
          <w:left w:w="28" w:type="dxa"/>
          <w:bottom w:w="28" w:type="dxa"/>
          <w:right w:w="28" w:type="dxa"/>
        </w:tblCellMar>
      </w:tblPr>
      <w:tblGrid>
        <w:gridCol w:w="1459"/>
        <w:gridCol w:w="1320"/>
        <w:gridCol w:w="1320"/>
        <w:gridCol w:w="1320"/>
        <w:gridCol w:w="1345"/>
        <w:gridCol w:w="271"/>
        <w:gridCol w:w="421"/>
        <w:gridCol w:w="146"/>
        <w:gridCol w:w="278"/>
        <w:gridCol w:w="432"/>
        <w:gridCol w:w="146"/>
        <w:gridCol w:w="278"/>
        <w:gridCol w:w="432"/>
        <w:gridCol w:w="146"/>
        <w:gridCol w:w="271"/>
        <w:gridCol w:w="620"/>
      </w:tblGrid>
      <w:tr>
        <w:trPr/>
        <w:tc>
          <w:tcPr>
            <w:tcW w:w="145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 years</w:t>
            </w:r>
          </w:p>
        </w:tc>
      </w:tr>
      <w:tr>
        <w:trPr/>
        <w:tc>
          <w:tcPr>
            <w:tcW w:w="67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would pay the following expenses on a $1,000 investment, assuming a 5% annual return from realized capital gains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r>
    </w:tbl>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w:t>
      </w:r>
      <w:r>
        <w:rPr>
          <w:rFonts w:ascii="Times New Roman" w:hAnsi="Times New Roman"/>
          <w:i/>
          <w:color w:val="000000"/>
          <w:sz w:val="20"/>
          <w:bdr w:val="single" w:sz="4" w:space="1" w:color="000000"/>
        </w:rPr>
        <w:t>Dividend Reinvestment Plan”</w:t>
      </w:r>
      <w:r>
        <w:rPr>
          <w:rFonts w:ascii="Times New Roman" w:hAnsi="Times New Roman"/>
          <w:color w:val="000000"/>
          <w:sz w:val="20"/>
          <w:bdr w:val="single" w:sz="4" w:space="1" w:color="000000"/>
        </w:rPr>
        <w:t xml:space="preserve"> for additional information regarding our dividend reinvestment plan.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18" w:name="tfihi"/>
      <w:bookmarkEnd w:id="18"/>
      <w:r>
        <w:rPr>
          <w:rFonts w:ascii="Times New Roman" w:hAnsi="Times New Roman"/>
          <w:b/>
          <w:color w:val="000000"/>
          <w:sz w:val="20"/>
          <w:bdr w:val="single" w:sz="4" w:space="1" w:color="000000"/>
        </w:rPr>
        <w:t>FINANCIAL HIGHLIGHTS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Information regarding our financial highlights is incorporated by reference herein from our most recent Annual Report on Form 10-K and our most recent Quarterly Report on Form 10-Q.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19" w:name="tsfia"/>
      <w:bookmarkEnd w:id="19"/>
      <w:r>
        <w:rPr>
          <w:rFonts w:ascii="Times New Roman" w:hAnsi="Times New Roman"/>
          <w:b/>
          <w:color w:val="000000"/>
          <w:sz w:val="20"/>
          <w:bdr w:val="single" w:sz="4" w:space="1" w:color="000000"/>
        </w:rPr>
        <w:t>SELECTED FINANCIAL INFORMATION AND OTHER DATA</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The information in “</w:t>
      </w:r>
      <w:r>
        <w:rPr>
          <w:rFonts w:ascii="Times New Roman" w:hAnsi="Times New Roman"/>
          <w:i/>
          <w:color w:val="000000"/>
          <w:sz w:val="20"/>
          <w:bdr w:val="single" w:sz="4" w:space="1" w:color="000000"/>
        </w:rPr>
        <w:t>Item 8. Consolidated Financial Statements and Supplementary Data</w:t>
      </w:r>
      <w:r>
        <w:rPr>
          <w:rFonts w:ascii="Times New Roman" w:hAnsi="Times New Roman"/>
          <w:color w:val="000000"/>
          <w:sz w:val="20"/>
          <w:bdr w:val="single" w:sz="4" w:space="1" w:color="000000"/>
        </w:rPr>
        <w:t>,” including the financial notes related thereto, of our most recent Annual Report on Form 10-K, and in “</w:t>
      </w:r>
      <w:r>
        <w:rPr>
          <w:rFonts w:ascii="Times New Roman" w:hAnsi="Times New Roman"/>
          <w:i/>
          <w:color w:val="000000"/>
          <w:sz w:val="20"/>
          <w:bdr w:val="single" w:sz="4" w:space="1" w:color="000000"/>
        </w:rPr>
        <w:t>Item 1. Consolidated Statements of Assets and Liabilities</w:t>
      </w:r>
      <w:r>
        <w:rPr>
          <w:rFonts w:ascii="Times New Roman" w:hAnsi="Times New Roman"/>
          <w:color w:val="000000"/>
          <w:sz w:val="20"/>
          <w:bdr w:val="single" w:sz="4" w:space="1" w:color="000000"/>
        </w:rPr>
        <w:t>” and “</w:t>
      </w:r>
      <w:r>
        <w:rPr>
          <w:rFonts w:ascii="Times New Roman" w:hAnsi="Times New Roman"/>
          <w:i/>
          <w:color w:val="000000"/>
          <w:sz w:val="20"/>
          <w:bdr w:val="single" w:sz="4" w:space="1" w:color="000000"/>
        </w:rPr>
        <w:t>Item 1. Consolidated Statements of Operations</w:t>
      </w:r>
      <w:r>
        <w:rPr>
          <w:rFonts w:ascii="Times New Roman" w:hAnsi="Times New Roman"/>
          <w:color w:val="000000"/>
          <w:sz w:val="20"/>
          <w:bdr w:val="single" w:sz="4" w:space="1" w:color="000000"/>
        </w:rPr>
        <w:t>,” including the financial notes related thereto, of our most recent Quarterly Report on Form 10-Q are incorporated by reference herein.</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20" w:name="trifa"/>
      <w:bookmarkEnd w:id="20"/>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w:t>
      </w:r>
      <w:r>
        <w:rPr>
          <w:rFonts w:ascii="Times New Roman" w:hAnsi="Times New Roman"/>
          <w:i/>
          <w:color w:val="000000"/>
          <w:sz w:val="20"/>
        </w:rPr>
        <w:t>Part I, Item IA. Risk Factors</w:t>
      </w:r>
      <w:r>
        <w:rPr>
          <w:rFonts w:ascii="Times New Roman" w:hAnsi="Times New Roman"/>
          <w:color w:val="000000"/>
          <w:sz w:val="20"/>
        </w:rPr>
        <w:t>” in our most recent Annual Report on Form 10-K, which is incorporated by reference herein in their entirety, “</w:t>
      </w:r>
      <w:r>
        <w:rPr>
          <w:rFonts w:ascii="Times New Roman" w:hAnsi="Times New Roman"/>
          <w:i/>
          <w:color w:val="000000"/>
          <w:sz w:val="20"/>
        </w:rPr>
        <w:t>Part II, Item 1A. Risk Factors</w:t>
      </w:r>
      <w:r>
        <w:rPr>
          <w:rFonts w:ascii="Times New Roman" w:hAnsi="Times New Roman"/>
          <w:color w:val="000000"/>
          <w:sz w:val="20"/>
        </w:rPr>
        <w:t>” 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business, operations and performance. If any of the following events occur, our business, financial condition and results of operations could be materially and adversely affected. In such case, you may lose all or part of your investment. Please also read carefully the section titled “</w:t>
      </w:r>
      <w:r>
        <w:rPr>
          <w:rFonts w:ascii="Times New Roman" w:hAnsi="Times New Roman"/>
          <w:i/>
          <w:color w:val="000000"/>
          <w:sz w:val="20"/>
        </w:rPr>
        <w:t>Special Note Regarding Forward-Looking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1" w:name="tsnrf"/>
      <w:bookmarkEnd w:id="21"/>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changes in political, economic or industry conditions, the interest rate environment or conditions affecting the financial and capital markets;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 economic downturn or recession could impair our portfolio companies’ ability to continue to operate, which could lead to the loss of some or all of our investments in such portfolio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such an economic downturn could disproportionately impact the companies that we intend to target for investment, potentially causing us to experience a decrease in investment opportunities and diminished demand for capital from these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contraction of available credit and/or an inability to access the equity markets that could impair our lending and investment activities;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interest rate volatility that could adversely affect our results, particularly to the extent that we use leverage as part of our investment strategy;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impact of interest and inflation rates on our business prospects and the prospects of our portfolio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business prospects and the prospects of our portfolio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contractual arrangements and relationships with third parties;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ability of our portfolio companies to achieve their objectives;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competition with other entities and our affiliates for investment opportunities;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speculative and illiquid nature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use of borrowed money to finance a portion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adequacy of our financing sources and working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loss of key personnel and members of our management team;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timing of cash flows, if any, from the operations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our external investment adviser, Runway Growth Capital LLC, to locate suitable investments for us and to monitor and administer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Runway Growth Capital LLC to attract and retain highly talented professionals;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ability to qualify and maintain our qualification as a RIC under Subchapter M of the Code, and as a BDC;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occurrence of a disaster, such as a cyber-attack against us or against a third party that has access to our data or networks, a natural catastrophe, an industrial accident, failure of our disaster-recovery systems, or consequential employee error;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effect of legal, tax, and regulatory changes;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other risks, uncertainties and other factors we identify under “Risk Factors” in Part I, Item 1A of our most recent Annual Report on Form 10-K and in our other filings with the SEC.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assumptions also could be inaccurate. In light of these and other uncertainties, the inclusion of a projection or forward-looking statement in this prospectus, the prospectus supplement, any documents we may incorporate by reference herein, and any related free writing prospectus should not be regarded as a representation by us that our plans and objectives will be achieved. These forward-looking statements apply only as of the dates of this prospectus, the prospectus supplement, any documents we may incorporate by reference herein, and any related free writing prospectus. Moreover, we assume no duty and do not undertake to update the forward-looking statements. Because we are an investment company, the forward-looking statements and projections contained in this prospectus are excluded from the safe harbor protection provided by Section 21E of the Exchange Act.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2" w:name="tuop"/>
      <w:bookmarkEnd w:id="22"/>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strategy, repayment of any outstanding indebtedness, paying operating expenses and other general corporate purposes.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bidi w:val="0"/>
        <w:spacing w:before="240" w:after="283"/>
        <w:jc w:val="both"/>
        <w:rPr>
          <w:rFonts w:ascii="Times New Roman" w:hAnsi="Times New Roman"/>
          <w:sz w:val="20"/>
        </w:rPr>
      </w:pPr>
      <w:bookmarkStart w:id="23" w:name="tproc"/>
      <w:bookmarkEnd w:id="23"/>
      <w:r>
        <w:rPr>
          <w:rFonts w:ascii="Times New Roman" w:hAnsi="Times New Roman"/>
          <w:b/>
          <w:color w:val="000000"/>
          <w:sz w:val="20"/>
        </w:rPr>
        <w:t>PRICE RANGE OF COMMON STOCK AND DISTRIBUTIONS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Our common stock began trading on the Nasdaq Global Select Market (“Nasdaq”) on October 21, 2021, under the symbol “RWAY” in connection with our initial public offering of shares of our common stock. See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our most recent Annual Report on Form 10-K. Shares of BDCs may trade at a market price that is less than the value of the net assets attributable to those shares. The possibility that our shares of common stock will trade at a discount from net asset value (“NAV”) per share or at premiums that are unsustainable over the long term are separate and distinct from the risk that our NAV per share will decrease. It is not possible to predict whether our common stock will trade at, above, or below NAV per share. See “</w:t>
      </w:r>
      <w:r>
        <w:rPr>
          <w:rFonts w:ascii="Times New Roman" w:hAnsi="Times New Roman"/>
          <w:i/>
          <w:color w:val="000000"/>
          <w:sz w:val="20"/>
        </w:rPr>
        <w:t>Item 1A. Risk Factors — Risks Related to an Investment in Our Common Stock</w:t>
      </w:r>
      <w:r>
        <w:rPr>
          <w:rFonts w:ascii="Times New Roman" w:hAnsi="Times New Roman"/>
          <w:color w:val="000000"/>
          <w:sz w:val="20"/>
        </w:rPr>
        <w:t xml:space="preserve">” in our most recent annual report on Form 10-K. On March 17, 2025, the last reported closing sales price of our common stock on the Nasdaq was $10.89 per share, which represented a discount of approximately 18.7% to our NAV per share of $13.39 as of September 30, 2024.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Prior to our initial public offering, the shares of our common stock were offered and sold in transactions exempt from registration under the Securities Act.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following table sets forth the most recent fiscal quarter’s NAV per share of our common stock, the high and low closing sales prices of our common stock, such sales prices as a percentage of NAV per share and quarterly distribution per share.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462"/>
        <w:gridCol w:w="146"/>
        <w:gridCol w:w="267"/>
        <w:gridCol w:w="723"/>
        <w:gridCol w:w="146"/>
        <w:gridCol w:w="226"/>
        <w:gridCol w:w="571"/>
        <w:gridCol w:w="146"/>
        <w:gridCol w:w="211"/>
        <w:gridCol w:w="571"/>
        <w:gridCol w:w="146"/>
        <w:gridCol w:w="1317"/>
        <w:gridCol w:w="679"/>
        <w:gridCol w:w="146"/>
        <w:gridCol w:w="1309"/>
        <w:gridCol w:w="675"/>
        <w:gridCol w:w="146"/>
        <w:gridCol w:w="383"/>
        <w:gridCol w:w="935"/>
      </w:tblGrid>
      <w:tr>
        <w:trPr/>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Net Asset Value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High Sale Price Premium (Discount) to Net Asset Value</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4"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Low Sale Price Premium (Discount) to Net Asset Value</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Cash Dividend Per Share</w:t>
            </w:r>
            <w:r>
              <w:rPr>
                <w:rFonts w:ascii="Times New Roman" w:hAnsi="Times New Roman"/>
                <w:b/>
                <w:color w:val="000000"/>
                <w:sz w:val="13"/>
              </w:rPr>
              <w:t>(3)</w:t>
            </w:r>
          </w:p>
        </w:tc>
      </w:tr>
      <w:tr>
        <w:trPr/>
        <w:tc>
          <w:tcPr>
            <w:tcW w:w="1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4"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 March 17,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r>
    </w:tbl>
    <w:p>
      <w:pPr>
        <w:pStyle w:val="TextBody"/>
        <w:pBdr>
          <w:bottom w:val="single" w:sz="5" w:space="1" w:color="000000"/>
        </w:pBdr>
        <w:bidi w:val="0"/>
        <w:spacing w:before="120" w:after="283"/>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 Not determined at time of filing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(1) NAV per share is generally determined as of the last day in the relevant quarter and therefore may not reflect the NAV per share on the date of the high and low sales prices. The NAVs shown are based on outstanding shares at the end of each period.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(2) Calculated as the respective high or low closing sales price less net asset value, divided by net asset value (in each case, as of the applicable quarter).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(3) Represents the dividend or distribution declared in the relevant quarter. </w:t>
      </w:r>
    </w:p>
    <w:p>
      <w:pPr>
        <w:pStyle w:val="TextBody"/>
        <w:bidi w:val="0"/>
        <w:spacing w:before="240" w:after="283"/>
        <w:jc w:val="both"/>
        <w:rPr>
          <w:rFonts w:ascii="Times New Roman" w:hAnsi="Times New Roman"/>
          <w:sz w:val="20"/>
        </w:rPr>
      </w:pPr>
      <w:r>
        <w:rPr>
          <w:rFonts w:ascii="Times New Roman" w:hAnsi="Times New Roman"/>
          <w:b/>
          <w:color w:val="000000"/>
          <w:sz w:val="20"/>
        </w:rPr>
        <w:t>Distribution Policy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subject to a nondeductible 4% U.S. federal excise tax on certain of our undistributed income, unless we timely distribute (or are deemed to have timely distributed) an amount equal to the sum 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at least 98% of our ordinary income (not taking into account any capital gains or losses) for the calendar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at least 98.2% of our capital gain net income for a one-year period generally ending on October 31 of the calendar year (unless an election is made by us to use our taxable year);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net ordinary income and capital gain net income that we recognized for preceding years, but were not distributed during such years, and on which we paid no U.S. federal income tax.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w:t>
      </w:r>
      <w:r>
        <w:rPr>
          <w:rFonts w:ascii="Times New Roman" w:hAnsi="Times New Roman"/>
          <w:i/>
          <w:color w:val="000000"/>
          <w:sz w:val="20"/>
        </w:rPr>
        <w:t>Regulation as a Business Development Company — Senior Securities</w:t>
      </w:r>
      <w:r>
        <w:rPr>
          <w:rFonts w:ascii="Times New Roman" w:hAnsi="Times New Roman"/>
          <w:color w:val="000000"/>
          <w:sz w:val="20"/>
        </w:rPr>
        <w:t xml:space="preserve">.” In our most recent Annual Report on Form 10-K.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left"/>
        <w:rPr>
          <w:rFonts w:ascii="Times New Roman" w:hAnsi="Times New Roman"/>
          <w:sz w:val="20"/>
        </w:rPr>
      </w:pPr>
      <w:r>
        <w:rPr>
          <w:rFonts w:ascii="Times New Roman" w:hAnsi="Times New Roman"/>
          <w:b/>
          <w:color w:val="000000"/>
          <w:sz w:val="20"/>
        </w:rPr>
        <w:t>Dividends Declared</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nine months period ended September 30, 2024: </w:t>
      </w:r>
    </w:p>
    <w:tbl>
      <w:tblPr>
        <w:tblW w:w="6292" w:type="dxa"/>
        <w:jc w:val="left"/>
        <w:tblInd w:w="0" w:type="dxa"/>
        <w:tblLayout w:type="fixed"/>
        <w:tblCellMar>
          <w:top w:w="28" w:type="dxa"/>
          <w:left w:w="28" w:type="dxa"/>
          <w:bottom w:w="28" w:type="dxa"/>
          <w:right w:w="28" w:type="dxa"/>
        </w:tblCellMar>
      </w:tblPr>
      <w:tblGrid>
        <w:gridCol w:w="1501"/>
        <w:gridCol w:w="146"/>
        <w:gridCol w:w="1591"/>
        <w:gridCol w:w="146"/>
        <w:gridCol w:w="1591"/>
        <w:gridCol w:w="146"/>
        <w:gridCol w:w="117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26,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2023: </w:t>
      </w:r>
    </w:p>
    <w:tbl>
      <w:tblPr>
        <w:tblW w:w="6652" w:type="dxa"/>
        <w:jc w:val="left"/>
        <w:tblInd w:w="0" w:type="dxa"/>
        <w:tblLayout w:type="fixed"/>
        <w:tblCellMar>
          <w:top w:w="28" w:type="dxa"/>
          <w:left w:w="28" w:type="dxa"/>
          <w:bottom w:w="28" w:type="dxa"/>
          <w:right w:w="28" w:type="dxa"/>
        </w:tblCellMar>
      </w:tblPr>
      <w:tblGrid>
        <w:gridCol w:w="1621"/>
        <w:gridCol w:w="146"/>
        <w:gridCol w:w="1711"/>
        <w:gridCol w:w="146"/>
        <w:gridCol w:w="1711"/>
        <w:gridCol w:w="146"/>
        <w:gridCol w:w="117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7,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15,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15,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28,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2022: </w:t>
      </w:r>
    </w:p>
    <w:tbl>
      <w:tblPr>
        <w:tblW w:w="6532" w:type="dxa"/>
        <w:jc w:val="left"/>
        <w:tblInd w:w="0" w:type="dxa"/>
        <w:tblLayout w:type="fixed"/>
        <w:tblCellMar>
          <w:top w:w="28" w:type="dxa"/>
          <w:left w:w="28" w:type="dxa"/>
          <w:bottom w:w="28" w:type="dxa"/>
          <w:right w:w="28" w:type="dxa"/>
        </w:tblCellMar>
      </w:tblPr>
      <w:tblGrid>
        <w:gridCol w:w="1606"/>
        <w:gridCol w:w="146"/>
        <w:gridCol w:w="1606"/>
        <w:gridCol w:w="146"/>
        <w:gridCol w:w="1711"/>
        <w:gridCol w:w="146"/>
        <w:gridCol w:w="117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8,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22,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10,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24,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28,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23,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27,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22,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2021: </w:t>
      </w:r>
    </w:p>
    <w:tbl>
      <w:tblPr>
        <w:tblW w:w="6457" w:type="dxa"/>
        <w:jc w:val="left"/>
        <w:tblInd w:w="0" w:type="dxa"/>
        <w:tblLayout w:type="fixed"/>
        <w:tblCellMar>
          <w:top w:w="28" w:type="dxa"/>
          <w:left w:w="28" w:type="dxa"/>
          <w:bottom w:w="28" w:type="dxa"/>
          <w:right w:w="28" w:type="dxa"/>
        </w:tblCellMar>
      </w:tblPr>
      <w:tblGrid>
        <w:gridCol w:w="1531"/>
        <w:gridCol w:w="146"/>
        <w:gridCol w:w="1606"/>
        <w:gridCol w:w="146"/>
        <w:gridCol w:w="1711"/>
        <w:gridCol w:w="146"/>
        <w:gridCol w:w="11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4,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19,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30,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13,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19,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20,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12,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28,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8,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2020: </w:t>
      </w:r>
    </w:p>
    <w:tbl>
      <w:tblPr>
        <w:tblW w:w="6157" w:type="dxa"/>
        <w:jc w:val="left"/>
        <w:tblInd w:w="0" w:type="dxa"/>
        <w:tblLayout w:type="fixed"/>
        <w:tblCellMar>
          <w:top w:w="28" w:type="dxa"/>
          <w:left w:w="28" w:type="dxa"/>
          <w:bottom w:w="28" w:type="dxa"/>
          <w:right w:w="28" w:type="dxa"/>
        </w:tblCellMar>
      </w:tblPr>
      <w:tblGrid>
        <w:gridCol w:w="1426"/>
        <w:gridCol w:w="146"/>
        <w:gridCol w:w="1411"/>
        <w:gridCol w:w="146"/>
        <w:gridCol w:w="1711"/>
        <w:gridCol w:w="146"/>
        <w:gridCol w:w="117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8,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20,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12,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r>
    </w:tbl>
    <w:p>
      <w:pPr>
        <w:pStyle w:val="TextBody"/>
        <w:bidi w:val="0"/>
        <w:spacing w:before="220" w:after="16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2019: </w:t>
      </w:r>
    </w:p>
    <w:tbl>
      <w:tblPr>
        <w:tblW w:w="6787" w:type="dxa"/>
        <w:jc w:val="left"/>
        <w:tblInd w:w="0" w:type="dxa"/>
        <w:tblLayout w:type="fixed"/>
        <w:tblCellMar>
          <w:top w:w="28" w:type="dxa"/>
          <w:left w:w="28" w:type="dxa"/>
          <w:bottom w:w="28" w:type="dxa"/>
          <w:right w:w="28" w:type="dxa"/>
        </w:tblCellMar>
      </w:tblPr>
      <w:tblGrid>
        <w:gridCol w:w="1741"/>
        <w:gridCol w:w="146"/>
        <w:gridCol w:w="1726"/>
        <w:gridCol w:w="146"/>
        <w:gridCol w:w="1711"/>
        <w:gridCol w:w="146"/>
        <w:gridCol w:w="11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26,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22,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7,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16,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8,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26,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27,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30,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9,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10,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23,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2018: </w:t>
      </w:r>
    </w:p>
    <w:tbl>
      <w:tblPr>
        <w:tblW w:w="6457" w:type="dxa"/>
        <w:jc w:val="left"/>
        <w:tblInd w:w="0" w:type="dxa"/>
        <w:tblLayout w:type="fixed"/>
        <w:tblCellMar>
          <w:top w:w="28" w:type="dxa"/>
          <w:left w:w="28" w:type="dxa"/>
          <w:bottom w:w="28" w:type="dxa"/>
          <w:right w:w="28" w:type="dxa"/>
        </w:tblCellMar>
      </w:tblPr>
      <w:tblGrid>
        <w:gridCol w:w="1621"/>
        <w:gridCol w:w="146"/>
        <w:gridCol w:w="1516"/>
        <w:gridCol w:w="146"/>
        <w:gridCol w:w="1711"/>
        <w:gridCol w:w="146"/>
        <w:gridCol w:w="117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15,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26,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15,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15,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r>
    </w:tbl>
    <w:p>
      <w:pPr>
        <w:pStyle w:val="TextBody"/>
        <w:bidi w:val="0"/>
        <w:spacing w:before="300" w:after="283"/>
        <w:jc w:val="both"/>
        <w:rPr>
          <w:rFonts w:ascii="Times New Roman" w:hAnsi="Times New Roman"/>
          <w:sz w:val="20"/>
        </w:rPr>
      </w:pPr>
      <w:r>
        <w:rPr>
          <w:rFonts w:ascii="Times New Roman" w:hAnsi="Times New Roman"/>
          <w:i/>
          <w:color w:val="000000"/>
          <w:sz w:val="20"/>
        </w:rPr>
        <w:t>Dividend Reinvestment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We have adopted an “opt out” dividend reinvestment plan for our stockholders. See “</w:t>
      </w:r>
      <w:r>
        <w:rPr>
          <w:rFonts w:ascii="Times New Roman" w:hAnsi="Times New Roman"/>
          <w:i/>
          <w:color w:val="000000"/>
          <w:sz w:val="20"/>
        </w:rPr>
        <w:t>Dividend Reinvestment Plan.”</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24" w:name="tmadi"/>
      <w:bookmarkEnd w:id="24"/>
      <w:r>
        <w:rPr>
          <w:rFonts w:ascii="Times New Roman" w:hAnsi="Times New Roman"/>
          <w:b/>
          <w:color w:val="000000"/>
          <w:sz w:val="20"/>
        </w:rPr>
        <w:t>MANAGEMENT’S DISCUSSION AND ANALYSIS OF FINANCIAL CONDITION AND</w:t>
        <w:br/>
        <w:t>RESULTS OF OPERATIONS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contained in “</w:t>
      </w:r>
      <w:r>
        <w:rPr>
          <w:rFonts w:ascii="Times New Roman" w:hAnsi="Times New Roman"/>
          <w:i/>
          <w:color w:val="000000"/>
          <w:sz w:val="20"/>
        </w:rPr>
        <w:t>Part II, Item 7. Management’s Discussion and Analysis of Financial Condition and Results of Operations</w:t>
      </w:r>
      <w:r>
        <w:rPr>
          <w:rFonts w:ascii="Times New Roman" w:hAnsi="Times New Roman"/>
          <w:color w:val="000000"/>
          <w:sz w:val="20"/>
        </w:rPr>
        <w:t>” of our most recent Annual Report on Form 10-K and in “</w:t>
      </w:r>
      <w:r>
        <w:rPr>
          <w:rFonts w:ascii="Times New Roman" w:hAnsi="Times New Roman"/>
          <w:i/>
          <w:color w:val="000000"/>
          <w:sz w:val="20"/>
        </w:rPr>
        <w:t>Part I, Item 2. Management’s Discussion and Analysis of Financial Condition and Results of Operations</w:t>
      </w:r>
      <w:r>
        <w:rPr>
          <w:rFonts w:ascii="Times New Roman" w:hAnsi="Times New Roman"/>
          <w:color w:val="000000"/>
          <w:sz w:val="20"/>
        </w:rPr>
        <w:t xml:space="preserve">” 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5" w:name="tbus"/>
      <w:bookmarkEnd w:id="25"/>
      <w:r>
        <w:rPr>
          <w:rFonts w:ascii="Times New Roman" w:hAnsi="Times New Roman"/>
          <w:b/>
          <w:color w:val="000000"/>
          <w:sz w:val="20"/>
        </w:rPr>
        <w:t>BUSINESS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contained in “</w:t>
      </w:r>
      <w:r>
        <w:rPr>
          <w:rFonts w:ascii="Times New Roman" w:hAnsi="Times New Roman"/>
          <w:i/>
          <w:color w:val="000000"/>
          <w:sz w:val="20"/>
        </w:rPr>
        <w:t>Part I, Item 1. Business</w:t>
      </w:r>
      <w:r>
        <w:rPr>
          <w:rFonts w:ascii="Times New Roman" w:hAnsi="Times New Roman"/>
          <w:color w:val="000000"/>
          <w:sz w:val="20"/>
        </w:rPr>
        <w:t>,” “</w:t>
      </w:r>
      <w:r>
        <w:rPr>
          <w:rFonts w:ascii="Times New Roman" w:hAnsi="Times New Roman"/>
          <w:i/>
          <w:color w:val="000000"/>
          <w:sz w:val="20"/>
        </w:rPr>
        <w:t>Part I, Item 2. Properties</w:t>
      </w:r>
      <w:r>
        <w:rPr>
          <w:rFonts w:ascii="Times New Roman" w:hAnsi="Times New Roman"/>
          <w:color w:val="000000"/>
          <w:sz w:val="20"/>
        </w:rPr>
        <w:t>” and “</w:t>
      </w:r>
      <w:r>
        <w:rPr>
          <w:rFonts w:ascii="Times New Roman" w:hAnsi="Times New Roman"/>
          <w:i/>
          <w:color w:val="000000"/>
          <w:sz w:val="20"/>
        </w:rPr>
        <w:t>Part I, Item 3. Legal Proceedings</w:t>
      </w:r>
      <w:r>
        <w:rPr>
          <w:rFonts w:ascii="Times New Roman" w:hAnsi="Times New Roman"/>
          <w:color w:val="000000"/>
          <w:sz w:val="20"/>
        </w:rPr>
        <w:t>” of our most recent Annual Report on Form 10-K, and in “</w:t>
      </w:r>
      <w:r>
        <w:rPr>
          <w:rFonts w:ascii="Times New Roman" w:hAnsi="Times New Roman"/>
          <w:i/>
          <w:color w:val="000000"/>
          <w:sz w:val="20"/>
        </w:rPr>
        <w:t>Part II, Item 1. Legal Proceedings</w:t>
      </w:r>
      <w:r>
        <w:rPr>
          <w:rFonts w:ascii="Times New Roman" w:hAnsi="Times New Roman"/>
          <w:color w:val="000000"/>
          <w:sz w:val="20"/>
        </w:rPr>
        <w:t xml:space="preserve">” of our most recent Quarterly Report on Form 10-Q are incorporated herein by reference. </w:t>
      </w:r>
    </w:p>
    <w:p>
      <w:pPr>
        <w:pStyle w:val="TextBody"/>
        <w:bidi w:val="0"/>
        <w:spacing w:before="240" w:after="283"/>
        <w:jc w:val="center"/>
        <w:rPr>
          <w:rFonts w:ascii="Times New Roman" w:hAnsi="Times New Roman"/>
          <w:sz w:val="20"/>
        </w:rPr>
      </w:pPr>
      <w:bookmarkStart w:id="26" w:name="tsese"/>
      <w:bookmarkEnd w:id="26"/>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Information about our senior securities as of the fiscal years ended December 31, 2023, December 31, 2022, December 31, 2021, December 31, 2020, December 31, 2019, and December 31, 2018 is located in </w:t>
      </w:r>
      <w:r>
        <w:rPr>
          <w:rFonts w:ascii="Times New Roman" w:hAnsi="Times New Roman"/>
          <w:i/>
          <w:color w:val="000000"/>
          <w:sz w:val="20"/>
        </w:rPr>
        <w:t>Part II, Item 8, Note 7</w:t>
      </w:r>
      <w:r>
        <w:rPr>
          <w:rFonts w:ascii="Times New Roman" w:hAnsi="Times New Roman"/>
          <w:color w:val="000000"/>
          <w:sz w:val="20"/>
        </w:rPr>
        <w:t> — </w:t>
      </w:r>
      <w:r>
        <w:rPr>
          <w:rFonts w:ascii="Times New Roman" w:hAnsi="Times New Roman"/>
          <w:i/>
          <w:color w:val="000000"/>
          <w:sz w:val="20"/>
        </w:rPr>
        <w:t>Borrowings</w:t>
      </w:r>
      <w:r>
        <w:rPr>
          <w:rFonts w:ascii="Times New Roman" w:hAnsi="Times New Roman"/>
          <w:color w:val="000000"/>
          <w:sz w:val="20"/>
        </w:rPr>
        <w:t xml:space="preserve"> in our most recent annual report on Form 10-K and is incorporated by reference into the Registration Statement of which this prospectus, any accompanying prospectus supplement and any related free writing prospectus is part. </w:t>
      </w:r>
      <w:r>
        <w:rPr>
          <w:rFonts w:ascii="Times New Roman" w:hAnsi="Times New Roman"/>
          <w:i/>
          <w:color w:val="000000"/>
          <w:sz w:val="20"/>
        </w:rPr>
        <w:t>The report of RSM US, LLP</w:t>
      </w:r>
      <w:r>
        <w:rPr>
          <w:rFonts w:ascii="Times New Roman" w:hAnsi="Times New Roman"/>
          <w:color w:val="000000"/>
          <w:sz w:val="20"/>
        </w:rPr>
        <w:t xml:space="preserve">, our independent registered public accounting firm, on the audited consolidated financial statements as of December 31, 2023 and December 31, 2022, which include the senior securities table, is included in our most recent annual report on Form 10-K and is incorporated by reference into the Registration Statement of which this prospectus, any accompanying prospectus supplement and any related free writing prospectus is part.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Information about our senior securities is shown in the following table as of September 30, 2024 (unaudited) and December 31, 2023 (in thousands).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728"/>
        <w:gridCol w:w="146"/>
        <w:gridCol w:w="562"/>
        <w:gridCol w:w="2089"/>
        <w:gridCol w:w="146"/>
        <w:gridCol w:w="339"/>
        <w:gridCol w:w="1089"/>
        <w:gridCol w:w="146"/>
        <w:gridCol w:w="645"/>
        <w:gridCol w:w="1530"/>
        <w:gridCol w:w="146"/>
        <w:gridCol w:w="401"/>
        <w:gridCol w:w="1238"/>
      </w:tblGrid>
      <w:tr>
        <w:trPr/>
        <w:tc>
          <w:tcPr>
            <w:tcW w:w="1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Total Amount Outstanding Exclusive of Treasury Securities</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Asset Coverage per Unit</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Involuntary Liquidating Preference per Unit</w:t>
            </w:r>
            <w:r>
              <w:rPr>
                <w:rFonts w:ascii="Times New Roman" w:hAnsi="Times New Roman"/>
                <w:b/>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Average Market Value per Unit</w:t>
            </w:r>
            <w:r>
              <w:rPr>
                <w:rFonts w:ascii="Times New Roman" w:hAnsi="Times New Roman"/>
                <w:b/>
                <w:color w:val="000000"/>
                <w:sz w:val="13"/>
              </w:rPr>
              <w:t>(4)</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Credit Facility - CIBC </w:t>
            </w:r>
            <w:r>
              <w:rPr>
                <w:rFonts w:ascii="Times New Roman" w:hAnsi="Times New Roman"/>
                <w:b/>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pBdr>
          <w:bottom w:val="single" w:sz="5" w:space="1" w:color="000000"/>
        </w:pBdr>
        <w:bidi w:val="0"/>
        <w:spacing w:before="200" w:after="283"/>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(1) Total amount of each class of senior securities outstanding.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(2) Asset coverage per unit is the ratio of the carrying value of total assets, less all liabilities excluding indebtedness represented by senior securities in this table to the aggregate amount of senior securities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representing indebtedness. Asset coverage per unit is expressed in terms of dollar amounts per $1,000 of indebtedness and is calculated on a consolidated basis.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(3) The amount to which such class of senior security would be entitled upon the Company’s involuntary liquidation in preference to any security junior to it. The “— “ in this column indicates information that the SEC expressly does not require to be disclosed for certain types of senior securities.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(4) Not applicable because the senior securities are not registered for public trading.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(5) On June 22, 2018, the Company entered into the credit facility with CIBC. On May 31, 2019, in conjunction with securing and entering into the new Credit Facility, the Company terminated the credit facility with CIBC.</w:t>
      </w:r>
    </w:p>
    <w:p>
      <w:pPr>
        <w:pStyle w:val="TextBody"/>
        <w:bidi w:val="0"/>
        <w:jc w:val="center"/>
        <w:rPr>
          <w:rFonts w:ascii="Times New Roman" w:hAnsi="Times New Roman"/>
          <w:sz w:val="20"/>
        </w:rPr>
      </w:pPr>
      <w:bookmarkStart w:id="27" w:name="tpoco"/>
      <w:bookmarkEnd w:id="27"/>
      <w:r>
        <w:rPr>
          <w:rFonts w:ascii="Times New Roman" w:hAnsi="Times New Roman"/>
          <w:b/>
          <w:color w:val="000000"/>
          <w:sz w:val="20"/>
        </w:rPr>
        <w:t>PORTFOLIO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sets forth certain information regarding each of the portfolio companies in which we had a debt or equity investment as of September 30, 2024. We may receive rights to observe the meetings of our portfolio companies’ board of directors. Other than these investments, our only relationship with our portfolio companies are the managerial assistance we may separately provide to our portfolio companies, which services would be ancillary to our investments. As of September 30, 2024, one representative of the Adviser held positions on the board of directors of Snagajob.com, Inc., Coginiti Corp, and Gynesonics, Inc. As of September 30, 2024, the Adviser held responsibility for all managerial responsibilities of Pivot 3, Inc. As of September 30, 2024, with the exception of Pivot3, Inc., we did not “control” any of our portfolio companies as defined in the 1940 Act. As of September 30, 2024, with the exception of Coginiti Corp, and Gynesonics, Inc., we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spacing w:before="0" w:after="160"/>
        <w:jc w:val="center"/>
        <w:rPr>
          <w:rFonts w:ascii="Times New Roman" w:hAnsi="Times New Roman"/>
          <w:sz w:val="20"/>
        </w:rPr>
      </w:pPr>
      <w:r>
        <w:rPr>
          <w:rFonts w:ascii="Times New Roman" w:hAnsi="Times New Roman"/>
          <w:b/>
          <w:color w:val="000000"/>
          <w:sz w:val="20"/>
        </w:rPr>
        <w:t xml:space="preserve">Schedule of Investments </w:t>
        <w:br/>
        <w:t xml:space="preserve">September 30, 2024 </w:t>
        <w:br/>
        <w:t>(In thousands, except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146"/>
        <w:gridCol w:w="976"/>
        <w:gridCol w:w="146"/>
        <w:gridCol w:w="1021"/>
        <w:gridCol w:w="146"/>
        <w:gridCol w:w="901"/>
        <w:gridCol w:w="146"/>
        <w:gridCol w:w="931"/>
        <w:gridCol w:w="146"/>
        <w:gridCol w:w="766"/>
        <w:gridCol w:w="146"/>
        <w:gridCol w:w="766"/>
        <w:gridCol w:w="146"/>
        <w:gridCol w:w="586"/>
        <w:gridCol w:w="146"/>
        <w:gridCol w:w="916"/>
        <w:gridCol w:w="146"/>
        <w:gridCol w:w="146"/>
        <w:gridCol w:w="691"/>
        <w:gridCol w:w="146"/>
        <w:gridCol w:w="146"/>
        <w:gridCol w:w="73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57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3"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1225 West Burnside Suite 401 Portland, OR 97209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433 California Street Suite 800 8th Floor San Francisco, CA 94104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SOFR+6.25%, 11.25% floor, 2.00% PIK,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1900 9th Street Suite 300 Boulder, CO 80302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SOFR+9.50%, 12.26% floor, 7.50%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 Pennsylvania Avenue North West 6th Floor Washington, DC 20004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9.00% floor, 1.00% PIK, 5.75%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37,872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8300 7th Avenue South Seattle, WA 98108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12.10% floor, 3.83%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1321 Upland Drive Suite 8389 Houston, TX 77043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SOFR+9.00%, 9.50% floor, 10.00% cash cap, 4.50%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- 46.59%*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236,379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450 West 33rd Street Eleventh Floor New York, NY 10001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PRIME+4.50%, 8.50%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2375 East Camelback Road Suite 690 Phoenix, AZ 85016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12.78%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26,186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 Hayward Street Suite E Franklin, MA 02038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SOFR+9.26%, 9.76% floor, 3.4375%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3000 El Camino Real Building 4, Suite 200 Palo Alto, CA 94306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SOFR+9.25%, 11.86% floor, 4.00%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10.86% floor, 4.00%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5400 Meadows Road, 5th Floor Lake Oswego, OR 97035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5.00%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22,441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- 21.23%*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668" w:type="dxa"/>
        <w:jc w:val="left"/>
        <w:tblInd w:w="0" w:type="dxa"/>
        <w:tblLayout w:type="fixed"/>
        <w:tblCellMar>
          <w:top w:w="28" w:type="dxa"/>
          <w:left w:w="28" w:type="dxa"/>
          <w:bottom w:w="28" w:type="dxa"/>
          <w:right w:w="28" w:type="dxa"/>
        </w:tblCellMar>
      </w:tblPr>
      <w:tblGrid>
        <w:gridCol w:w="161"/>
        <w:gridCol w:w="146"/>
        <w:gridCol w:w="1141"/>
        <w:gridCol w:w="146"/>
        <w:gridCol w:w="1321"/>
        <w:gridCol w:w="146"/>
        <w:gridCol w:w="901"/>
        <w:gridCol w:w="146"/>
        <w:gridCol w:w="931"/>
        <w:gridCol w:w="146"/>
        <w:gridCol w:w="766"/>
        <w:gridCol w:w="146"/>
        <w:gridCol w:w="766"/>
        <w:gridCol w:w="146"/>
        <w:gridCol w:w="586"/>
        <w:gridCol w:w="146"/>
        <w:gridCol w:w="916"/>
        <w:gridCol w:w="146"/>
        <w:gridCol w:w="146"/>
        <w:gridCol w:w="691"/>
        <w:gridCol w:w="146"/>
        <w:gridCol w:w="146"/>
        <w:gridCol w:w="7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503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7700 Old Georgetown Road Suite 300 Bethesda, MD 20814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SOFR+6.85%, 10.89%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46602 Landing Parkway Fremont, CA 94538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PRIME+5.25%, 8.75%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480 Oakmead Parkway Sunnyvale, CA 94085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40,067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8911 South Sandy Parkway Suite 200 Sandy, UT 84070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2320 Faraday Avenue Suite 100 Carlsbad, CA 92008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PRIME+2.70%, 6.70% floor, 2.00% PIK, 4.50%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Schimmelt 2 5611 ZX Eindhoven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10.75% floor, 2.50%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155 Bovet Road Suite 100 San Mateo, CA 94402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SOFR+8.48%, 8.98% floor, 3.95%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25101 Rye Canyon Loop Valencia, CA 91355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9.00% floor, 4.00%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142,085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Milk Street Boston, MA 02109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SOFR+8.50% PIK, 9.00% floor, 2.75%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430 Shotwell Street San Francisco, CA 94110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PRIME+4.75%, 11.00% floor, 11.00% cash cap,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Paul-Lincke-Ufer 39-40 10999 Berlin, 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8.26% floor, 1.25% PIK,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52,963</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831"/>
        <w:gridCol w:w="146"/>
        <w:gridCol w:w="1008"/>
        <w:gridCol w:w="146"/>
        <w:gridCol w:w="902"/>
        <w:gridCol w:w="146"/>
        <w:gridCol w:w="941"/>
        <w:gridCol w:w="146"/>
        <w:gridCol w:w="767"/>
        <w:gridCol w:w="146"/>
        <w:gridCol w:w="766"/>
        <w:gridCol w:w="146"/>
        <w:gridCol w:w="586"/>
        <w:gridCol w:w="146"/>
        <w:gridCol w:w="925"/>
        <w:gridCol w:w="146"/>
        <w:gridCol w:w="146"/>
        <w:gridCol w:w="826"/>
        <w:gridCol w:w="146"/>
        <w:gridCol w:w="146"/>
        <w:gridCol w:w="74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427"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 Madison Avenue Floor 5 New York, NY 10016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SOFR+4.75%, 6.75% floor, 3.25% PIK, 0.96%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1100 Circle 75 Parkway Suite 800 Atlanta, GA 30339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11.75% floor, 1.60%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215 Park Avenue South 11th Floor New York, NY 10003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10.72%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303 Twin Dolphin Drive, 6th Floor Redwood City, CA 94065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11.07%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39,893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5801 Southwest 6th Avenue Topeka, KS 66636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10.00%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- 30.49%*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154,708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222 Merchandise Mart Plaza Suite 228 Chicago, IL 60654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PRIME+6.25%, 12.50% floor, 3.30%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North Pacific Coast Highway Suite 1100 El Segundo, CA 90245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SOFR+4.50%, 6.50% floor, 2.50% PIK, 2.34%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69,333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424 South Woods Mill Road Suite 210 Saint Louis, MO 63017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30,556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410 Albert Street Suite 200 Waterloo, Ontario N2L 3V3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8.50% floor, 2.00%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6"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- 192.73%*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977,845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6"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Northburgh St, London EC1V 0AT, 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Advertising - 0.02%*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653" w:type="dxa"/>
        <w:jc w:val="left"/>
        <w:tblInd w:w="0" w:type="dxa"/>
        <w:tblLayout w:type="fixed"/>
        <w:tblCellMar>
          <w:top w:w="28" w:type="dxa"/>
          <w:left w:w="28" w:type="dxa"/>
          <w:bottom w:w="28" w:type="dxa"/>
          <w:right w:w="28" w:type="dxa"/>
        </w:tblCellMar>
      </w:tblPr>
      <w:tblGrid>
        <w:gridCol w:w="161"/>
        <w:gridCol w:w="146"/>
        <w:gridCol w:w="1141"/>
        <w:gridCol w:w="146"/>
        <w:gridCol w:w="1321"/>
        <w:gridCol w:w="146"/>
        <w:gridCol w:w="901"/>
        <w:gridCol w:w="146"/>
        <w:gridCol w:w="946"/>
        <w:gridCol w:w="146"/>
        <w:gridCol w:w="766"/>
        <w:gridCol w:w="146"/>
        <w:gridCol w:w="766"/>
        <w:gridCol w:w="146"/>
        <w:gridCol w:w="826"/>
        <w:gridCol w:w="146"/>
        <w:gridCol w:w="916"/>
        <w:gridCol w:w="146"/>
        <w:gridCol w:w="146"/>
        <w:gridCol w:w="601"/>
        <w:gridCol w:w="146"/>
        <w:gridCol w:w="146"/>
        <w:gridCol w:w="5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505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3"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 Market Street 4th Floor San Francisco, CA 94105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 Pennsylvania Avenue North West 6th Floor Washington, DC 20004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Clyde Road Somerset Franklin Township, NJ 08873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Series A Cumulative Redeemable Perpetual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Milk Street Boston, MA 02109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Paul-Lincke-Ufer 39-40 10999 Berlin, 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224 Airport Parkway Suite 550 San Jose, CA 95110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zSpace,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490 De Guigne Drive, Suite 200 Sunnyvale, CA 94085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368" w:type="dxa"/>
        <w:jc w:val="left"/>
        <w:tblInd w:w="0" w:type="dxa"/>
        <w:tblLayout w:type="fixed"/>
        <w:tblCellMar>
          <w:top w:w="28" w:type="dxa"/>
          <w:left w:w="28" w:type="dxa"/>
          <w:bottom w:w="28" w:type="dxa"/>
          <w:right w:w="28" w:type="dxa"/>
        </w:tblCellMar>
      </w:tblPr>
      <w:tblGrid>
        <w:gridCol w:w="161"/>
        <w:gridCol w:w="146"/>
        <w:gridCol w:w="1261"/>
        <w:gridCol w:w="146"/>
        <w:gridCol w:w="1021"/>
        <w:gridCol w:w="146"/>
        <w:gridCol w:w="901"/>
        <w:gridCol w:w="146"/>
        <w:gridCol w:w="931"/>
        <w:gridCol w:w="146"/>
        <w:gridCol w:w="766"/>
        <w:gridCol w:w="146"/>
        <w:gridCol w:w="766"/>
        <w:gridCol w:w="146"/>
        <w:gridCol w:w="826"/>
        <w:gridCol w:w="146"/>
        <w:gridCol w:w="916"/>
        <w:gridCol w:w="146"/>
        <w:gridCol w:w="146"/>
        <w:gridCol w:w="511"/>
        <w:gridCol w:w="146"/>
        <w:gridCol w:w="146"/>
        <w:gridCol w:w="5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85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 Box 811428 Los Angeles, CA 90081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1225 West Burnside Suite 401 Portland, OR 97209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 Market Street 4th Floor San Francisco, CA 94105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433 California Street Suite 800 8th Floor San Francisco, CA 94104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1900 9th Street Suite 300 Boulder, CO 80302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Dtex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19630 Allendale Avenue Suite 2218 Saratoga, CA 95070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 Pennsylvania Avenue North West 6th Floor Washington, DC 20004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8300 7th Avenue South Seattle, WA 98108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8"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- 0.92%*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450 West 33rd Street Eleventh Floor New York, NY 10001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377 Plantation Street Worcester, MA 01605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TRACON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4350 La Jolla Village Drive Suite 800 San Diego, CA 92122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1125"/>
        <w:gridCol w:w="146"/>
        <w:gridCol w:w="1102"/>
        <w:gridCol w:w="146"/>
        <w:gridCol w:w="913"/>
        <w:gridCol w:w="146"/>
        <w:gridCol w:w="962"/>
        <w:gridCol w:w="146"/>
        <w:gridCol w:w="777"/>
        <w:gridCol w:w="146"/>
        <w:gridCol w:w="773"/>
        <w:gridCol w:w="146"/>
        <w:gridCol w:w="691"/>
        <w:gridCol w:w="146"/>
        <w:gridCol w:w="1000"/>
        <w:gridCol w:w="146"/>
        <w:gridCol w:w="146"/>
        <w:gridCol w:w="511"/>
        <w:gridCol w:w="146"/>
        <w:gridCol w:w="148"/>
        <w:gridCol w:w="4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847"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Computer &amp; Electronics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Massdrop,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115 North McCarthy Boulevard Milpitas, CA 95035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Computer &amp; Electronics Retail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2375 East Camelback Road Suite 690 Phoenix, AZ 85016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 Hayward Street Suite E Franklin, MA 02038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3000 El Camino Real Building 4, Suite 200 Palo Alto, CA 94306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7700 Old Georgetown Road Suite 300 Bethesda, MD 20814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Epic IO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3463 Lakemont Boulevard Suite 104 Fort Mill, SC 29708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46602 Landing Parkway Fremont, CA 94538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Revelle Aesthetics,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2570 West El Camino Real Suite 310 Mountain View, CA 94040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1144"/>
        <w:gridCol w:w="146"/>
        <w:gridCol w:w="959"/>
        <w:gridCol w:w="146"/>
        <w:gridCol w:w="902"/>
        <w:gridCol w:w="146"/>
        <w:gridCol w:w="933"/>
        <w:gridCol w:w="146"/>
        <w:gridCol w:w="767"/>
        <w:gridCol w:w="146"/>
        <w:gridCol w:w="766"/>
        <w:gridCol w:w="146"/>
        <w:gridCol w:w="826"/>
        <w:gridCol w:w="146"/>
        <w:gridCol w:w="923"/>
        <w:gridCol w:w="146"/>
        <w:gridCol w:w="146"/>
        <w:gridCol w:w="511"/>
        <w:gridCol w:w="146"/>
        <w:gridCol w:w="146"/>
        <w:gridCol w:w="5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683"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2"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Huron Drive Natick, MA 01760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480 Oakmead Parkway Sunnyvale, CA 94085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8911 South Sandy Parkway Suite 200 Sandy, UT 84070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2320 Faraday Avenue Suite 100 Carlsbad, CA 92008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Schimmelt 2 5611 ZX Eindhoven 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155 Bovet Road Suite 100 San Mateo, CA 94402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25101 Rye Canyon Loop Valencia, CA 91355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VERO Biotech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387 Technology Circle North West Suite 125 Atlanta, GA 30313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Kingsgate House, Newbury Road Andover SP10 4DU England, 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Milk Street Boston, MA 02109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1138"/>
        <w:gridCol w:w="146"/>
        <w:gridCol w:w="1049"/>
        <w:gridCol w:w="146"/>
        <w:gridCol w:w="906"/>
        <w:gridCol w:w="146"/>
        <w:gridCol w:w="944"/>
        <w:gridCol w:w="146"/>
        <w:gridCol w:w="771"/>
        <w:gridCol w:w="146"/>
        <w:gridCol w:w="769"/>
        <w:gridCol w:w="146"/>
        <w:gridCol w:w="691"/>
        <w:gridCol w:w="146"/>
        <w:gridCol w:w="952"/>
        <w:gridCol w:w="146"/>
        <w:gridCol w:w="146"/>
        <w:gridCol w:w="511"/>
        <w:gridCol w:w="146"/>
        <w:gridCol w:w="146"/>
        <w:gridCol w:w="5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782"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1"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430 Shotwell Street San Francisco, CA 94110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 Madison Avenue Floor 5 New York, NY 10016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1100 Circle 75 Parkway Suite 800 Atlanta, GA 30339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Fidelis Cybersecurity,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4500 East West, Hwy Bethesda, MD 20814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10210 North East Points Drive Suite 400 Kirkland, WA 98033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Longtail Ad Solutions, Inc. (dba JW Player)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530 7th Avenue Suite 1906 New York, NY 10018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215 Park Avenue South 11th Floor New York, NY 10003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303 Twin Dolphin Drive, 6th Floor Redwood City, CA 94065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222 Merchandise Mart Plaza Suite 228 Chicago, IL 60654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653" w:type="dxa"/>
        <w:jc w:val="left"/>
        <w:tblInd w:w="0" w:type="dxa"/>
        <w:tblLayout w:type="fixed"/>
        <w:tblCellMar>
          <w:top w:w="28" w:type="dxa"/>
          <w:left w:w="28" w:type="dxa"/>
          <w:bottom w:w="28" w:type="dxa"/>
          <w:right w:w="28" w:type="dxa"/>
        </w:tblCellMar>
      </w:tblPr>
      <w:tblGrid>
        <w:gridCol w:w="161"/>
        <w:gridCol w:w="146"/>
        <w:gridCol w:w="931"/>
        <w:gridCol w:w="146"/>
        <w:gridCol w:w="1006"/>
        <w:gridCol w:w="146"/>
        <w:gridCol w:w="901"/>
        <w:gridCol w:w="146"/>
        <w:gridCol w:w="931"/>
        <w:gridCol w:w="146"/>
        <w:gridCol w:w="766"/>
        <w:gridCol w:w="146"/>
        <w:gridCol w:w="766"/>
        <w:gridCol w:w="146"/>
        <w:gridCol w:w="826"/>
        <w:gridCol w:w="146"/>
        <w:gridCol w:w="916"/>
        <w:gridCol w:w="146"/>
        <w:gridCol w:w="146"/>
        <w:gridCol w:w="826"/>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51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Specialized 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9600 Escarpment Boulevard Suite 745 Number 225 Austin, TX 78749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444 Castro Street Suite 500 Mountain View, CA 94041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Specialized Consumer Services - 0.07%*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410 Albert Street Suite 200 Waterloo, Ontario N2L 3V3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424 South Woods Mill Road Suite 210 Saint Louis, MO 63017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525 South Meridian Suite 3E Indianapolis, IN 46225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Hatheway Road Suite 105 Vancouver, WA 98661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- 0.08%*</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1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- 197.18%*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1,000,405</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948"/>
        <w:gridCol w:w="146"/>
        <w:gridCol w:w="945"/>
        <w:gridCol w:w="146"/>
        <w:gridCol w:w="904"/>
        <w:gridCol w:w="146"/>
        <w:gridCol w:w="946"/>
        <w:gridCol w:w="146"/>
        <w:gridCol w:w="769"/>
        <w:gridCol w:w="146"/>
        <w:gridCol w:w="767"/>
        <w:gridCol w:w="146"/>
        <w:gridCol w:w="826"/>
        <w:gridCol w:w="146"/>
        <w:gridCol w:w="937"/>
        <w:gridCol w:w="146"/>
        <w:gridCol w:w="146"/>
        <w:gridCol w:w="601"/>
        <w:gridCol w:w="146"/>
        <w:gridCol w:w="146"/>
        <w:gridCol w:w="64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488"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Chesapeake Drive Redwood City, CA 94063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464 Monterey Avenue Suite E Los Gatos, CA 95030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Chesapeake Drive Redwood City, CA 94063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3,266,668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32,297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464 Monterey Avenue Suite E Los Gatos, CA 95030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708" w:type="dxa"/>
        <w:jc w:val="left"/>
        <w:tblInd w:w="0" w:type="dxa"/>
        <w:tblLayout w:type="fixed"/>
        <w:tblCellMar>
          <w:top w:w="28" w:type="dxa"/>
          <w:left w:w="28" w:type="dxa"/>
          <w:bottom w:w="28" w:type="dxa"/>
          <w:right w:w="28" w:type="dxa"/>
        </w:tblCellMar>
      </w:tblPr>
      <w:tblGrid>
        <w:gridCol w:w="161"/>
        <w:gridCol w:w="146"/>
        <w:gridCol w:w="1216"/>
        <w:gridCol w:w="146"/>
        <w:gridCol w:w="916"/>
        <w:gridCol w:w="146"/>
        <w:gridCol w:w="901"/>
        <w:gridCol w:w="146"/>
        <w:gridCol w:w="931"/>
        <w:gridCol w:w="146"/>
        <w:gridCol w:w="766"/>
        <w:gridCol w:w="146"/>
        <w:gridCol w:w="766"/>
        <w:gridCol w:w="146"/>
        <w:gridCol w:w="586"/>
        <w:gridCol w:w="146"/>
        <w:gridCol w:w="916"/>
        <w:gridCol w:w="146"/>
        <w:gridCol w:w="196"/>
        <w:gridCol w:w="826"/>
        <w:gridCol w:w="146"/>
        <w:gridCol w:w="19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Chesapeake Drive Redwood City, CA 94063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205 North Michigan Ave Suite 4200 Chicago IL 60601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205 North Michigan Ave Suite 4200 Chicago IL 60601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- 210.13%*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1,066,100</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Set forth below is a brief description of each portfolio company in which the fair value of our investment represents greater than 5% of our total assets as of September 30, 2024. </w:t>
      </w:r>
    </w:p>
    <w:p>
      <w:pPr>
        <w:pStyle w:val="TextBody"/>
        <w:bidi w:val="0"/>
        <w:spacing w:before="240" w:after="283"/>
        <w:jc w:val="both"/>
        <w:rPr>
          <w:rFonts w:ascii="Times New Roman" w:hAnsi="Times New Roman"/>
          <w:sz w:val="20"/>
        </w:rPr>
      </w:pPr>
      <w:r>
        <w:rPr>
          <w:rFonts w:ascii="Times New Roman" w:hAnsi="Times New Roman"/>
          <w:b/>
          <w:i/>
          <w:color w:val="000000"/>
          <w:sz w:val="20"/>
        </w:rPr>
        <w:t>3PL Central LLC (dba Extensiv)</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3PL Central LLC is a unified cloud-based platform offering fulfillment software to 3PL and eCommerce brands, which provides complete visibility on inventory and order logistics. 3PL Central LLC’s feature set enables customers to manage inventory, automate routine tasks, operate in-house fulfillment, streamline online orders, and connect with its network of partner warehouses. </w:t>
      </w:r>
    </w:p>
    <w:p>
      <w:pPr>
        <w:pStyle w:val="TextBody"/>
        <w:bidi w:val="0"/>
        <w:spacing w:before="240" w:after="283"/>
        <w:jc w:val="both"/>
        <w:rPr>
          <w:rFonts w:ascii="Times New Roman" w:hAnsi="Times New Roman"/>
          <w:sz w:val="20"/>
        </w:rPr>
      </w:pPr>
      <w:r>
        <w:rPr>
          <w:rFonts w:ascii="Times New Roman" w:hAnsi="Times New Roman"/>
          <w:b/>
          <w:i/>
          <w:color w:val="000000"/>
          <w:sz w:val="20"/>
        </w:rPr>
        <w:t>Gynesonics, Inc.</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Gynesonics, Inc., is a healthcare company focused on advancing women’s health by developing minimally invasive, incision-free, uterus-preserving, transcervical technologies for diagnostic and therapeutic applications.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Kin Insurance, Inc.</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Kin Insurance, Inc. (“Kin”) is a direct-to-consumer homeowner’s insurance business. Kin’s end-to-end platform handles all aspects of the business in-house, from lead generation to bind-and-quote / underwriting to claims. </w:t>
      </w:r>
    </w:p>
    <w:p>
      <w:pPr>
        <w:pStyle w:val="TextBody"/>
        <w:bidi w:val="0"/>
        <w:spacing w:before="240" w:after="283"/>
        <w:jc w:val="both"/>
        <w:rPr>
          <w:rFonts w:ascii="Times New Roman" w:hAnsi="Times New Roman"/>
          <w:sz w:val="20"/>
        </w:rPr>
      </w:pPr>
      <w:r>
        <w:rPr>
          <w:rFonts w:ascii="Times New Roman" w:hAnsi="Times New Roman"/>
          <w:b/>
          <w:i/>
          <w:color w:val="000000"/>
          <w:sz w:val="20"/>
        </w:rPr>
        <w:t>VTX Intermediate Holdings, Inc. (dba VertexOne)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VTX Intermediate Holdings, Inc. (“VertexOne”) provides Customer Information System (“CIS”) software and related ancillary services to small-to-mid sized electric, water and gas utility companies. CIS is a mission critical system that manages customer accounts by measuring and reporting consumption, generating billing data, driving billing compliance and feeding all customer-facing activities. Additionally, VertexOne offers a digital customer engagement platform for utility and retail customers that is designed to lower costs to serve customers, improve collections and increase customer satisfaction.</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28" w:name="tman"/>
      <w:bookmarkEnd w:id="28"/>
      <w:r>
        <w:rPr>
          <w:rFonts w:ascii="Times New Roman" w:hAnsi="Times New Roman"/>
          <w:b/>
          <w:color w:val="000000"/>
          <w:sz w:val="20"/>
        </w:rPr>
        <w:t>MANAGEMENT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sections entitled “</w:t>
      </w:r>
      <w:r>
        <w:rPr>
          <w:rFonts w:ascii="Times New Roman" w:hAnsi="Times New Roman"/>
          <w:i/>
          <w:color w:val="000000"/>
          <w:sz w:val="20"/>
        </w:rPr>
        <w:t>Election of Directors</w:t>
      </w:r>
      <w:r>
        <w:rPr>
          <w:rFonts w:ascii="Times New Roman" w:hAnsi="Times New Roman"/>
          <w:color w:val="000000"/>
          <w:sz w:val="20"/>
        </w:rPr>
        <w:t>” and “</w:t>
      </w:r>
      <w:r>
        <w:rPr>
          <w:rFonts w:ascii="Times New Roman" w:hAnsi="Times New Roman"/>
          <w:i/>
          <w:color w:val="000000"/>
          <w:sz w:val="20"/>
        </w:rPr>
        <w:t>Corporate Governance</w:t>
      </w:r>
      <w:r>
        <w:rPr>
          <w:rFonts w:ascii="Times New Roman" w:hAnsi="Times New Roman"/>
          <w:color w:val="000000"/>
          <w:sz w:val="20"/>
        </w:rPr>
        <w:t>” in our most recent definitive proxy on Schedule 14A for our special meeting of stockholders (the “Special Proxy Statement”) and “</w:t>
      </w:r>
      <w:r>
        <w:rPr>
          <w:rFonts w:ascii="Times New Roman" w:hAnsi="Times New Roman"/>
          <w:i/>
          <w:color w:val="000000"/>
          <w:sz w:val="20"/>
        </w:rPr>
        <w:t>Certain Relationships and Related Party Transactions</w:t>
      </w:r>
      <w:r>
        <w:rPr>
          <w:rFonts w:ascii="Times New Roman" w:hAnsi="Times New Roman"/>
          <w:color w:val="000000"/>
          <w:sz w:val="20"/>
        </w:rPr>
        <w:t xml:space="preserve">” in our most recent definitive proxy statement on Schedule 14A for our annual meeting of stockholders (the “Annual Proxy Statement”) as well as information included in our current report on Form 8-K filed with the SEC on November 18, 2024 and Form 8-K filed with the SEC on March 17, 2025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9" w:name="tmaoa"/>
      <w:bookmarkEnd w:id="29"/>
      <w:r>
        <w:rPr>
          <w:rFonts w:ascii="Times New Roman" w:hAnsi="Times New Roman"/>
          <w:b/>
          <w:color w:val="000000"/>
          <w:sz w:val="20"/>
        </w:rPr>
        <w:t>MANAGEMENT AND OTHER AGREEMENTS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sections entitled “</w:t>
      </w:r>
      <w:r>
        <w:rPr>
          <w:rFonts w:ascii="Times New Roman" w:hAnsi="Times New Roman"/>
          <w:i/>
          <w:color w:val="000000"/>
          <w:sz w:val="20"/>
        </w:rPr>
        <w:t>About RGC</w:t>
      </w:r>
      <w:r>
        <w:rPr>
          <w:rFonts w:ascii="Times New Roman" w:hAnsi="Times New Roman"/>
          <w:color w:val="000000"/>
          <w:sz w:val="20"/>
        </w:rPr>
        <w:t>” and “</w:t>
      </w:r>
      <w:r>
        <w:rPr>
          <w:rFonts w:ascii="Times New Roman" w:hAnsi="Times New Roman"/>
          <w:i/>
          <w:color w:val="000000"/>
          <w:sz w:val="20"/>
        </w:rPr>
        <w:t>About Our Administrator</w:t>
      </w:r>
      <w:r>
        <w:rPr>
          <w:rFonts w:ascii="Times New Roman" w:hAnsi="Times New Roman"/>
          <w:color w:val="000000"/>
          <w:sz w:val="20"/>
        </w:rPr>
        <w:t>,” in Part I, Item 1 “</w:t>
      </w:r>
      <w:r>
        <w:rPr>
          <w:rFonts w:ascii="Times New Roman" w:hAnsi="Times New Roman"/>
          <w:i/>
          <w:color w:val="000000"/>
          <w:sz w:val="20"/>
        </w:rPr>
        <w:t>Business</w:t>
      </w:r>
      <w:r>
        <w:rPr>
          <w:rFonts w:ascii="Times New Roman" w:hAnsi="Times New Roman"/>
          <w:color w:val="000000"/>
          <w:sz w:val="20"/>
        </w:rPr>
        <w:t>” of our most recent Annual Report on Form 10-K, and in “</w:t>
      </w:r>
      <w:r>
        <w:rPr>
          <w:rFonts w:ascii="Times New Roman" w:hAnsi="Times New Roman"/>
          <w:i/>
          <w:color w:val="000000"/>
          <w:sz w:val="20"/>
        </w:rPr>
        <w:t>Note 3 — Related Party Agreements and Transactions</w:t>
      </w:r>
      <w:r>
        <w:rPr>
          <w:rFonts w:ascii="Times New Roman" w:hAnsi="Times New Roman"/>
          <w:color w:val="000000"/>
          <w:sz w:val="20"/>
        </w:rPr>
        <w:t xml:space="preserve">” in our financial statements in our most recent Quarterly Report on Form 10-Q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0" w:name="trtac"/>
      <w:bookmarkEnd w:id="30"/>
      <w:r>
        <w:rPr>
          <w:rFonts w:ascii="Times New Roman" w:hAnsi="Times New Roman"/>
          <w:b/>
          <w:color w:val="000000"/>
          <w:sz w:val="20"/>
        </w:rPr>
        <w:t>RELATED-PARTY TRANSACTIONS AND CERTAIN RELATIONSHIPS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 entitled “</w:t>
      </w:r>
      <w:r>
        <w:rPr>
          <w:rFonts w:ascii="Times New Roman" w:hAnsi="Times New Roman"/>
          <w:i/>
          <w:color w:val="000000"/>
          <w:sz w:val="20"/>
        </w:rPr>
        <w:t>Certain Relationships and Related Transactions</w:t>
      </w:r>
      <w:r>
        <w:rPr>
          <w:rFonts w:ascii="Times New Roman" w:hAnsi="Times New Roman"/>
          <w:color w:val="000000"/>
          <w:sz w:val="20"/>
        </w:rPr>
        <w:t xml:space="preserve">” in our most recent Annual Proxy Statement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1" w:name="tcpap"/>
      <w:bookmarkEnd w:id="31"/>
      <w:r>
        <w:rPr>
          <w:rFonts w:ascii="Times New Roman" w:hAnsi="Times New Roman"/>
          <w:b/>
          <w:color w:val="000000"/>
          <w:sz w:val="20"/>
        </w:rPr>
        <w:t>CONTROL PERSONS AND PRINCIPAL SHAREHOLDERS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sections entitled “</w:t>
      </w:r>
      <w:r>
        <w:rPr>
          <w:rFonts w:ascii="Times New Roman" w:hAnsi="Times New Roman"/>
          <w:i/>
          <w:color w:val="000000"/>
          <w:sz w:val="20"/>
        </w:rPr>
        <w:t>Election of Directors</w:t>
      </w:r>
      <w:r>
        <w:rPr>
          <w:rFonts w:ascii="Times New Roman" w:hAnsi="Times New Roman"/>
          <w:color w:val="000000"/>
          <w:sz w:val="20"/>
        </w:rPr>
        <w:t>” and “</w:t>
      </w:r>
      <w:r>
        <w:rPr>
          <w:rFonts w:ascii="Times New Roman" w:hAnsi="Times New Roman"/>
          <w:i/>
          <w:color w:val="000000"/>
          <w:sz w:val="20"/>
        </w:rPr>
        <w:t>Security Ownership of Certain Beneficial Owners and Management</w:t>
      </w:r>
      <w:r>
        <w:rPr>
          <w:rFonts w:ascii="Times New Roman" w:hAnsi="Times New Roman"/>
          <w:color w:val="000000"/>
          <w:sz w:val="20"/>
        </w:rPr>
        <w:t xml:space="preserve">” in our most recent Special Proxy Statement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2" w:name="tdona"/>
      <w:bookmarkEnd w:id="32"/>
      <w:r>
        <w:rPr>
          <w:rFonts w:ascii="Times New Roman" w:hAnsi="Times New Roman"/>
          <w:b/>
          <w:color w:val="000000"/>
          <w:sz w:val="20"/>
        </w:rPr>
        <w:t>DETERMINATION OF NET ASSET VALUE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 entitled “</w:t>
      </w:r>
      <w:r>
        <w:rPr>
          <w:rFonts w:ascii="Times New Roman" w:hAnsi="Times New Roman"/>
          <w:i/>
          <w:color w:val="000000"/>
          <w:sz w:val="20"/>
        </w:rPr>
        <w:t>Critical Accounting Policies</w:t>
      </w:r>
      <w:r>
        <w:rPr>
          <w:rFonts w:ascii="Times New Roman" w:hAnsi="Times New Roman"/>
          <w:color w:val="000000"/>
          <w:sz w:val="20"/>
        </w:rPr>
        <w:t>,” in Part II, Item 8 “</w:t>
      </w:r>
      <w:r>
        <w:rPr>
          <w:rFonts w:ascii="Times New Roman" w:hAnsi="Times New Roman"/>
          <w:i/>
          <w:color w:val="000000"/>
          <w:sz w:val="20"/>
        </w:rPr>
        <w:t>Consolidated Financial Statements and Supplementary Data</w:t>
      </w:r>
      <w:r>
        <w:rPr>
          <w:rFonts w:ascii="Times New Roman" w:hAnsi="Times New Roman"/>
          <w:color w:val="000000"/>
          <w:sz w:val="20"/>
        </w:rPr>
        <w:t>” of our most recent Annual Report on Form 10-K, and in “</w:t>
      </w:r>
      <w:r>
        <w:rPr>
          <w:rFonts w:ascii="Times New Roman" w:hAnsi="Times New Roman"/>
          <w:i/>
          <w:color w:val="000000"/>
          <w:sz w:val="20"/>
        </w:rPr>
        <w:t>Note 2-Summary of Significant Accounting Policies</w:t>
      </w:r>
      <w:r>
        <w:rPr>
          <w:rFonts w:ascii="Times New Roman" w:hAnsi="Times New Roman"/>
          <w:color w:val="000000"/>
          <w:sz w:val="20"/>
        </w:rPr>
        <w:t xml:space="preserve">” in our financial statements in our most recent Quarterly Report on Form 10-Q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3" w:name="tdrp"/>
      <w:bookmarkEnd w:id="33"/>
      <w:r>
        <w:rPr>
          <w:rFonts w:ascii="Times New Roman" w:hAnsi="Times New Roman"/>
          <w:b/>
          <w:color w:val="000000"/>
          <w:sz w:val="20"/>
        </w:rPr>
        <w:t>DIVIDEND REINVESTMENT PLAN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 entitled “</w:t>
      </w:r>
      <w:r>
        <w:rPr>
          <w:rFonts w:ascii="Times New Roman" w:hAnsi="Times New Roman"/>
          <w:i/>
          <w:color w:val="000000"/>
          <w:sz w:val="20"/>
        </w:rPr>
        <w:t>Dividend Reinvestment Plan</w:t>
      </w:r>
      <w:r>
        <w:rPr>
          <w:rFonts w:ascii="Times New Roman" w:hAnsi="Times New Roman"/>
          <w:color w:val="000000"/>
          <w:sz w:val="20"/>
        </w:rPr>
        <w:t>,” in Part II, Item 7 “</w:t>
      </w:r>
      <w:r>
        <w:rPr>
          <w:rFonts w:ascii="Times New Roman" w:hAnsi="Times New Roman"/>
          <w:i/>
          <w:color w:val="000000"/>
          <w:sz w:val="20"/>
        </w:rPr>
        <w:t>Management’s Discussion and Analysis of Financial Conditions and Results of Operations</w:t>
      </w:r>
      <w:r>
        <w:rPr>
          <w:rFonts w:ascii="Times New Roman" w:hAnsi="Times New Roman"/>
          <w:color w:val="000000"/>
          <w:sz w:val="20"/>
        </w:rPr>
        <w:t>” of our most recent Annual Report on Form 10-K, and in Part I, Item 2 “</w:t>
      </w:r>
      <w:r>
        <w:rPr>
          <w:rFonts w:ascii="Times New Roman" w:hAnsi="Times New Roman"/>
          <w:i/>
          <w:color w:val="000000"/>
          <w:sz w:val="20"/>
        </w:rPr>
        <w:t>Management’s Discussion and Analysis of Financial Conditions and Results of Operations</w:t>
      </w:r>
      <w:r>
        <w:rPr>
          <w:rFonts w:ascii="Times New Roman" w:hAnsi="Times New Roman"/>
          <w:color w:val="000000"/>
          <w:sz w:val="20"/>
        </w:rPr>
        <w:t xml:space="preserve">” in our most recent Quarterly Report on Form 10-Q is incorporated herein by reference. </w:t>
      </w:r>
    </w:p>
    <w:p>
      <w:pPr>
        <w:pStyle w:val="TextBody"/>
        <w:bidi w:val="0"/>
        <w:jc w:val="center"/>
        <w:rPr/>
      </w:pPr>
      <w:bookmarkStart w:id="34" w:name="tcufi"/>
      <w:bookmarkEnd w:id="34"/>
      <w:r>
        <w:rPr/>
        <w:t> </w:t>
      </w:r>
    </w:p>
    <w:p>
      <w:pPr>
        <w:pStyle w:val="TextBody"/>
        <w:bidi w:val="0"/>
        <w:jc w:val="center"/>
        <w:rPr>
          <w:rFonts w:ascii="Times New Roman" w:hAnsi="Times New Roman"/>
          <w:sz w:val="20"/>
        </w:rPr>
      </w:pPr>
      <w:r>
        <w:rPr>
          <w:rFonts w:ascii="Times New Roman" w:hAnsi="Times New Roman"/>
          <w:b/>
          <w:color w:val="000000"/>
          <w:sz w:val="20"/>
        </w:rPr>
        <w:t>CERTAIN U.S. FEDERAL INCOME TAX CONSIDERATIONS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is a general summary of certain U.S. federal income tax considerations applicable to us and to an investment in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an interest in the Company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shareholders hold our common stock as capital assets (within the meaning of the Code).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discussion is based upon the Code, regulations promulgated thereunder,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(“IRS”) regarding any matter discussed herein.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alternative minimum, or gift tax or non U.S., state or local tax. It also does not discuss the special treatment under U.S. federal income tax laws that could result if we invested in tax-exempt securities or certain other investment assets.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For purposes of this discussion, a “U.S. stockholder” is a beneficial owner of shares of our common stock that is for U.S. federal income tax purposes: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citizen or individual resident of the United States;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corporation (or other entity or arrangement treated as a corporation) organized in or under the laws of the United States or any political subdivision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 estate, the income of which is subject to U.S. federal income taxation regardless of its source;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trust if (i) a court within the United States is able to exercise primary supervision over the administration of the trust and one or more U.S. persons have authority to control all substantial decisions of the trust, or (ii) it has a valid election in effect under applicable U.S. Treasury Regulations to be treated as a U.S. person.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 “non-U.S. stockholder” means a beneficial owner of shares of our common stock that is neither a U.S. stockholder nor a partnership (or other entity or arrangement treated as a partnership for U.S. federal income tax purposes).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a partnership (including an entity or arrangement treated as a partnership for U.S. federal income tax purposes) holds our shares, the U.S. tax treatment of the partnership and each partner generally will depend on the status of the partner and the activities of the partnership.. A partnership considering an investment in our common stock should consult its own tax advisers regarding the U.S. federal income tax consequences of the acquisition, ownership and disposition of shares by the partnership. </w:t>
      </w:r>
    </w:p>
    <w:p>
      <w:pPr>
        <w:pStyle w:val="TextBody"/>
        <w:bidi w:val="0"/>
        <w:spacing w:before="220" w:after="283"/>
        <w:jc w:val="both"/>
        <w:rPr>
          <w:rFonts w:ascii="Times New Roman" w:hAnsi="Times New Roman"/>
          <w:sz w:val="20"/>
        </w:rPr>
      </w:pPr>
      <w:r>
        <w:rPr>
          <w:rFonts w:ascii="Times New Roman" w:hAnsi="Times New Roman"/>
          <w:b/>
          <w:color w:val="000000"/>
          <w:sz w:val="20"/>
        </w:rPr>
        <w:t>Taxation of the Company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elected to be treated, and intend to qualify annually, as a RIC under Subchapter M of the Code; however, no assurance can be given that we will be able to maintain our RIC tax treatment.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To qualify as a RIC, we must, among other things: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satisfy the Annual Distribution Requirement;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as defined in the Code (“QPTP”), hereinafter the “90% Gross Income Test;”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diversify our holdings so that, at the end of each quarter of each taxable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not more than 25% of the value of our total assets is invested in (i) the securities (other than U.S. Government securities and the securities of other RICs) of any issuer, (ii) the securities (other than securities of other RICs) of any two or more issuers that we control and that are determined to be engaged in the same business or similar or related trades or businesses, or the securities of one or more QPTPs (the “Diversification Tests”).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a RIC, we generally are not subject to U.S. federal income tax on investment company taxable income and net capital gain that we timely distribute to our stockholders as dividends. We intend to distribute annually all or substantially all of such income. To the extent we retain any of our net capital gain or any investment company taxable income, we are subject to U.S. federal income tax imposed at corporate rates, and possibly U.S. federal excise tax (discussed below), on such retained amounts. We may choose to retain a portion of any investment company taxable income and some or all of our net capital gain, and pay the associated U.S. federal income tax and any applicable U.S. federal excise tax.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subject to a nondeductible 4% U.S. federal excise tax on certain of our undistributed income, unless we timely distribute (or are deemed to have timely distributed) an amount equal to at least the sum 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98% of our ordinary income (not taking into account any capital gains or losses) for the calendar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98.2% of our capital gain net income (which is the excess of the gains from sales or exchanges of capital assets over the losses from such sales or exchanges) for a one-year period generally ending on October 31 of the calendar year (unless an election is made by us to use our taxable year);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certain undistributed amounts from previous years on which we paid no U.S. federal income tax.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While we intend to distribute sufficient income and capital gains in order to avoid imposition of this nondeductible 4% U.S. federal excise tax, we may not be successful in avoiding entirely the imposition of this tax. </w:t>
      </w:r>
    </w:p>
    <w:p>
      <w:pPr>
        <w:pStyle w:val="TextBody"/>
        <w:bidi w:val="0"/>
        <w:spacing w:before="160" w:after="283"/>
        <w:jc w:val="both"/>
        <w:rPr>
          <w:rFonts w:ascii="Times New Roman" w:hAnsi="Times New Roman"/>
          <w:sz w:val="20"/>
        </w:rPr>
      </w:pPr>
      <w:r>
        <w:rPr>
          <w:rFonts w:ascii="Times New Roman" w:hAnsi="Times New Roman"/>
          <w:color w:val="000000"/>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w:t>
      </w:r>
      <w:r>
        <w:rPr>
          <w:rFonts w:ascii="Times New Roman" w:hAnsi="Times New Roman"/>
          <w:i/>
          <w:color w:val="000000"/>
          <w:sz w:val="20"/>
        </w:rPr>
        <w:t>Regulation</w:t>
      </w:r>
      <w:r>
        <w:rPr>
          <w:rFonts w:ascii="Times New Roman" w:hAnsi="Times New Roman"/>
          <w:color w:val="000000"/>
          <w:sz w:val="20"/>
        </w:rPr>
        <w:t xml:space="preserve">.”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limit the applicability of the 4% U.S. federal excise tax, we may make such dispositions at times that, from an investment standpoint, are not advantageous. </w:t>
      </w:r>
    </w:p>
    <w:p>
      <w:pPr>
        <w:pStyle w:val="TextBody"/>
        <w:bidi w:val="0"/>
        <w:spacing w:before="160" w:after="260"/>
        <w:jc w:val="both"/>
        <w:rPr>
          <w:rFonts w:ascii="Times New Roman" w:hAnsi="Times New Roman"/>
          <w:color w:val="000000"/>
          <w:sz w:val="20"/>
        </w:rPr>
      </w:pPr>
      <w:r>
        <w:rPr>
          <w:rFonts w:ascii="Times New Roman" w:hAnsi="Times New Roman"/>
          <w:color w:val="000000"/>
          <w:sz w:val="20"/>
        </w:rPr>
        <w:t xml:space="preserve">A RIC is limited in its ability to deduct expenses in excess of its investment company taxable income.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taxable income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color w:val="000000"/>
          <w:sz w:val="20"/>
        </w:rPr>
        <w:t>Failure to Qualify as a RIC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If we fail to qualify for treatment as a RIC, and certain relief provisions are not applicable, we would be subject to U.S. federal income tax on all of our taxable income (including our net capital gains) imposed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holding period and other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adjusted tax basis in our common stock,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U.S. federal income tax imposed at corporate rates on any net built-in gains with respect to certain of our assets </w:t>
      </w:r>
      <w:r>
        <w:rPr>
          <w:rFonts w:ascii="Times New Roman" w:hAnsi="Times New Roman"/>
          <w:i/>
          <w:color w:val="000000"/>
          <w:sz w:val="20"/>
        </w:rPr>
        <w:t>(i.e.</w:t>
      </w:r>
      <w:r>
        <w:rPr>
          <w:rFonts w:ascii="Times New Roman" w:hAnsi="Times New Roman"/>
          <w:color w:val="000000"/>
          <w:sz w:val="20"/>
        </w:rPr>
        <w:t xml:space="preserv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remainder of this discussion assumes that we qualify as a RIC for each taxable year. </w:t>
      </w:r>
    </w:p>
    <w:p>
      <w:pPr>
        <w:pStyle w:val="TextBody"/>
        <w:bidi w:val="0"/>
        <w:spacing w:before="220" w:after="283"/>
        <w:jc w:val="both"/>
        <w:rPr>
          <w:rFonts w:ascii="Times New Roman" w:hAnsi="Times New Roman"/>
          <w:sz w:val="20"/>
        </w:rPr>
      </w:pPr>
      <w:r>
        <w:rPr>
          <w:rFonts w:ascii="Times New Roman" w:hAnsi="Times New Roman"/>
          <w:b/>
          <w:color w:val="000000"/>
          <w:sz w:val="20"/>
        </w:rPr>
        <w:t>Company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Debt Instruments. </w:t>
      </w:r>
      <w:r>
        <w:rPr>
          <w:rFonts w:ascii="Times New Roman" w:hAnsi="Times New Roman"/>
          <w:color w:val="000000"/>
          <w:sz w:val="20"/>
        </w:rPr>
        <w:t xml:space="preserve">In certain circumstances, we may be required to recognize taxable income prior to the time at which we receive cash. For example, if we 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 </w:t>
      </w:r>
    </w:p>
    <w:p>
      <w:pPr>
        <w:pStyle w:val="TextBody"/>
        <w:bidi w:val="0"/>
        <w:spacing w:before="140" w:after="180"/>
        <w:jc w:val="both"/>
        <w:rPr>
          <w:rFonts w:ascii="Times New Roman" w:hAnsi="Times New Roman"/>
          <w:sz w:val="20"/>
        </w:rPr>
      </w:pPr>
      <w:r>
        <w:rPr>
          <w:rFonts w:ascii="Times New Roman" w:hAnsi="Times New Roman"/>
          <w:i/>
          <w:color w:val="000000"/>
          <w:sz w:val="20"/>
        </w:rPr>
        <w:t xml:space="preserve">Warrants. </w:t>
      </w:r>
      <w:r>
        <w:rPr>
          <w:rFonts w:ascii="Times New Roman" w:hAnsi="Times New Roman"/>
          <w:color w:val="000000"/>
          <w:sz w:val="20"/>
        </w:rPr>
        <w:t xml:space="preserve">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and on the nature of the disposition transaction. </w:t>
      </w:r>
    </w:p>
    <w:p>
      <w:pPr>
        <w:pStyle w:val="TextBody"/>
        <w:bidi w:val="0"/>
        <w:jc w:val="left"/>
        <w:rPr>
          <w:rFonts w:ascii="Times New Roman" w:hAnsi="Times New Roman"/>
          <w:sz w:val="20"/>
        </w:rPr>
      </w:pPr>
      <w:r>
        <w:rPr>
          <w:rFonts w:ascii="Times New Roman" w:hAnsi="Times New Roman"/>
          <w:i/>
          <w:color w:val="000000"/>
          <w:sz w:val="20"/>
        </w:rPr>
        <w:t xml:space="preserve">Foreign Investments. </w:t>
      </w:r>
      <w:r>
        <w:rPr>
          <w:rFonts w:ascii="Times New Roman" w:hAnsi="Times New Roman"/>
          <w:color w:val="000000"/>
          <w:sz w:val="20"/>
        </w:rPr>
        <w:t xml:space="preserve">In the event we invest in foreign securities, we may be subject to withholding and other foreign taxes with respect to those securities. In this regard, withholding tax rates in countries with which the United States does not have a tax treaty may be 35% or more. The United States has entered into tax treaties with many foreign countries that may entitle us to a reduced rate of, or exemption from, withholding tax on investment income and gains. The effective rate of foreign tax cannot be determined at this time since the amount of our assets to be invested within various countries is not now known. We do not expect to satisfy the requirement to pass through to our stockholders their share of the foreign taxes paid by us.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Passive Foreign Investment Companies. </w:t>
      </w:r>
      <w:r>
        <w:rPr>
          <w:rFonts w:ascii="Times New Roman" w:hAnsi="Times New Roman"/>
          <w:color w:val="000000"/>
          <w:sz w:val="20"/>
        </w:rPr>
        <w:t xml:space="preserve">If we purchase shares in a “passive foreign investment company,” or PFIC, we may be subject to U.S. federal income tax on any “excess distribution” received on, or any gain from, the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disposition of such shares. Additional charges in the nature of interest generally will be imposed on us in respect of deferred taxes arising from any such excess distributions or gains. This additional tax and interest may apply even if we make a distribution as a taxable dividend by us to our shareholders in an amount equal to (1) any excess distribution, or (2) the gain from the dispositions of such shares. If we invest in a PFIC and elect to treat the PFIC as a “qualified electing fund”, or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any increase in the value of such shares and as ordinary loss any decrease in such value to the extent that any such decrease does not exceed prior increases included in our income. Under either election, we may be required to recognize income in excess of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Income inclusions from a QEF will be “good income” for purposes of the 90% Gross Income Test provided that they are derived in connection with our business of investing in stocks and securities or the QEF distributes such income to us in the same taxable year to which the income is included in our income.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Controlled Foreign Corporations. </w:t>
      </w:r>
      <w:r>
        <w:rPr>
          <w:rFonts w:ascii="Times New Roman" w:hAnsi="Times New Roman"/>
          <w:color w:val="000000"/>
          <w:sz w:val="20"/>
        </w:rPr>
        <w:t xml:space="preserve">If we hold more than 10% of the shares in a foreign corporation that is treated as a controlled foreign corporation, or “CFC,” we may be treated as receiving a deemed distribution (taxable as ordinary income) each year from such foreign corporation in an amount equal to our pro rata share of certain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indirectly or by attribution) 10% or more of the combined voting power of all classes of shares of a corporation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such income will be subject to the Annual Distribution Requirement and will be taken into account for purposes of the 4% U.S. federal excise tax. Income inclusions from a CFC will be “good income” for purposes of the 90% Gross Income Test provided that they are derived in connection with our business of investing in stocks and securities or the CFC distributes such income to us in the same taxable year to which the income is included in our income. </w:t>
      </w:r>
    </w:p>
    <w:p>
      <w:pPr>
        <w:pStyle w:val="TextBody"/>
        <w:bidi w:val="0"/>
        <w:spacing w:before="160" w:after="260"/>
        <w:jc w:val="both"/>
        <w:rPr>
          <w:rFonts w:ascii="Times New Roman" w:hAnsi="Times New Roman"/>
          <w:sz w:val="20"/>
        </w:rPr>
      </w:pPr>
      <w:r>
        <w:rPr>
          <w:rFonts w:ascii="Times New Roman" w:hAnsi="Times New Roman"/>
          <w:i/>
          <w:color w:val="000000"/>
          <w:sz w:val="20"/>
        </w:rPr>
        <w:t xml:space="preserve">Foreign Currency Transactions. </w:t>
      </w:r>
      <w:r>
        <w:rPr>
          <w:rFonts w:ascii="Times New Roman" w:hAnsi="Times New Roman"/>
          <w:color w:val="000000"/>
          <w:sz w:val="20"/>
        </w:rPr>
        <w:t xml:space="preserve">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 </w:t>
      </w:r>
    </w:p>
    <w:p>
      <w:pPr>
        <w:pStyle w:val="TextBody"/>
        <w:bidi w:val="0"/>
        <w:jc w:val="both"/>
        <w:rPr>
          <w:rFonts w:ascii="Times New Roman" w:hAnsi="Times New Roman"/>
          <w:sz w:val="20"/>
        </w:rPr>
      </w:pPr>
      <w:r>
        <w:rPr>
          <w:rFonts w:ascii="Times New Roman" w:hAnsi="Times New Roman"/>
          <w:b/>
          <w:color w:val="000000"/>
          <w:sz w:val="20"/>
        </w:rPr>
        <w:t>Taxation of U.S.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Distributions by us generally are taxable to U.S. stockholders as ordinary income or capital gains. Distributions of our investment company taxable income will be taxable as ordinary income to U.S. stockholders to the extent of our current or accumulated earnings and profits, whether paid in cash or reinvested in additional shares of our common stock. To the extent such distributions paid by us to non-corporate U.S. stockholders (including individuals) are attributable to dividends from U.S. corporations and certain qualified foreign corporations and such distributions are timely designated (“Qualifying Dividends”), they may be eligible for reduced rates of U.S. federal income tax. In this regard, it is anticipated that distributions paid by us generally will not be attributable to dividends and, therefore, generally will not qualify for the reduced rate of U.S. federal income tax applicable to Qualifying Dividends.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Distributions of our net capital gain (which is generally our realized net long-term capital gains in excess of realized net short-term capital losses) properly reported by us as “capital gain dividends” will be taxable to a U.S. stockholder as long-term capital gains, which are currently taxable at a maximum rate of 20% in the case of individuals or estates, regardless of the U.S. stockholder’s holding period for his, her or its common stock and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regardless of whether paid in cash or reinvested in additional common stock. Distributions in excess of our current and accumulated earnings and profits first will reduce a U.S. stockholder’s adjusted tax basis in such U.S. stockholder’s common stock and, after the adjusted basis is reduced to zero, will constitute capital gains to such U.S. stockholder.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U.S. federal income tax on the retained amount, each U.S. stockholder will be required to include such stockholder’s share of the deemed distribution in income as if it had been distributed to the U.S. stockholder, and the U.S. stockholder will be entitled to claim a credit equal to such stockholder’s allocable share of the U.S. federal income tax paid on the deemed distribution by us. The amount of the deemed distribution net of such tax will be added to the U.S. stockholder’s adjusted tax basis for their common stock. Since we expect to pay U.S. federal income tax on any retained capital gains at the applicable corporate rate 0, and since that rate is in excess of the maximum rate currently payable by individuals on long-term capital gains, the amount of U.S. federal income tax that individual U.S. stockholders will be treated as having paid and for which they will receive a credit will exceed the U.S. federal income tax they owe on the retained net capital gain. Such excess generally may be claimed as a credit against the U.S. stockholder’s other U.S. federal income tax obligations or may be refunded to the extent it exceeds a U.S. stockholder’s liability for U.S. federal income tax. A U.S.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U.S. stockholders prior to the expiration of 60 days after the close of the relevant taxable year. We cannot treat any of our investment company taxable income as a “deemed distribution.”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We or the applicable withholding agent will provide U.S. stockholders with a notice reporting the amount of any ordinary income dividends (including the amount of such dividend, if any, eligible to be treated as qualified dividend income) and capital gain dividends by January 31.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a stockholder a dividend in January which was declared in the previous October, November or December to stockholders of record on a specified date in one of these months, then the dividend will be treated for tax purposes as being paid by us and received by each stockholder on December 31 of the year in which the dividend was declared. If a U.S. stockholder purchases shares of our stock shortly before the record date of a distribution, the price of the shares will include the value of the distribution and the U.S. stockholder will be subject to U.S. federal income tax on the distribution even though it represents a return of its investment. </w:t>
      </w:r>
    </w:p>
    <w:p>
      <w:pPr>
        <w:pStyle w:val="TextBody"/>
        <w:bidi w:val="0"/>
        <w:jc w:val="both"/>
        <w:rPr>
          <w:rFonts w:ascii="Times New Roman" w:hAnsi="Times New Roman"/>
          <w:sz w:val="20"/>
        </w:rPr>
      </w:pPr>
      <w:r>
        <w:rPr>
          <w:rFonts w:ascii="Times New Roman" w:hAnsi="Times New Roman"/>
          <w:i/>
          <w:color w:val="000000"/>
          <w:sz w:val="20"/>
        </w:rPr>
        <w:t xml:space="preserve">Dividend Reinvestment Plan. </w:t>
      </w:r>
      <w:r>
        <w:rPr>
          <w:rFonts w:ascii="Times New Roman" w:hAnsi="Times New Roman"/>
          <w:color w:val="000000"/>
          <w:sz w:val="20"/>
        </w:rPr>
        <w:t>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Runway Growth Capital or our dividend paying agent, as applicable, prior to the record date of the next dividend or distribution. See “</w:t>
      </w:r>
      <w:r>
        <w:rPr>
          <w:rFonts w:ascii="Times New Roman" w:hAnsi="Times New Roman"/>
          <w:i/>
          <w:color w:val="000000"/>
          <w:sz w:val="20"/>
        </w:rPr>
        <w:t>Dividend Reinvestment Plan</w:t>
      </w:r>
      <w:r>
        <w:rPr>
          <w:rFonts w:ascii="Times New Roman" w:hAnsi="Times New Roman"/>
          <w:color w:val="000000"/>
          <w:sz w:val="20"/>
        </w:rPr>
        <w:t xml:space="preserve">.” Any distributions reinvested under the plan will nevertheless remain taxable to the U.S. stockholder. The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 </w:t>
      </w:r>
    </w:p>
    <w:p>
      <w:pPr>
        <w:pStyle w:val="TextBody"/>
        <w:bidi w:val="0"/>
        <w:spacing w:before="140" w:after="283"/>
        <w:jc w:val="left"/>
        <w:rPr>
          <w:rFonts w:ascii="Times New Roman" w:hAnsi="Times New Roman"/>
          <w:sz w:val="20"/>
        </w:rPr>
      </w:pPr>
      <w:r>
        <w:rPr>
          <w:rFonts w:ascii="Times New Roman" w:hAnsi="Times New Roman"/>
          <w:i/>
          <w:color w:val="000000"/>
          <w:sz w:val="20"/>
        </w:rPr>
        <w:t xml:space="preserve">Dispositions. </w:t>
      </w:r>
      <w:r>
        <w:rPr>
          <w:rFonts w:ascii="Times New Roman" w:hAnsi="Times New Roman"/>
          <w:color w:val="000000"/>
          <w:sz w:val="20"/>
        </w:rPr>
        <w:t xml:space="preserve">A U.S. stockholder generally will recognize gain or loss on the sale, exchange or other taxable disposition of shares of our common stock in an amount equal to the difference between the U.S. stockholder’s adjusted tax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otherwise, any such gain or loss will be classified as short-term capital gain or loss. Any capital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on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which the shares are disposed. In this case, the tax basis of the shares acquired will be adjusted to reflect the disallowed loss.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Tax Shelter Reporting Regulations. </w:t>
      </w:r>
      <w:r>
        <w:rPr>
          <w:rFonts w:ascii="Times New Roman" w:hAnsi="Times New Roman"/>
          <w:color w:val="000000"/>
          <w:sz w:val="20"/>
        </w:rPr>
        <w:t xml:space="preserve">Under applicable Treasury regulations, if a U.S. stockholder recognizes a loss with respect to shares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Backup Withholding. </w:t>
      </w:r>
      <w:r>
        <w:rPr>
          <w:rFonts w:ascii="Times New Roman" w:hAnsi="Times New Roman"/>
          <w:color w:val="000000"/>
          <w:sz w:val="20"/>
        </w:rPr>
        <w:t xml:space="preserve">We may be required in certain circumstances to backup withhold, currently at a rate of 24%, on taxable dividends or distributions paid to a non-corporate U.S. stockholder (1) who fail to provide us or the distribution paying agent with a correct taxpayer identification number (in the case of individuals, generally their social security number) or a certificate that such shareholder is exempt from backup withholding or (2) with respect to whom the IRS notifies us that such shareholder has failed to properly report certain interest and dividend income to the IRS and to respond to notices to that effect . Backup withholding is not an additional tax. Any amounts withheld from payments made to you may be refunded or credited against your U.S. federal income tax liability, if any, provided that the required information is timely furnished to the IRS. </w:t>
      </w:r>
    </w:p>
    <w:p>
      <w:pPr>
        <w:pStyle w:val="TextBody"/>
        <w:bidi w:val="0"/>
        <w:spacing w:before="140" w:after="260"/>
        <w:jc w:val="both"/>
        <w:rPr>
          <w:rFonts w:ascii="Times New Roman" w:hAnsi="Times New Roman"/>
          <w:sz w:val="20"/>
        </w:rPr>
      </w:pPr>
      <w:r>
        <w:rPr>
          <w:rFonts w:ascii="Times New Roman" w:hAnsi="Times New Roman"/>
          <w:i/>
          <w:color w:val="000000"/>
          <w:sz w:val="20"/>
        </w:rPr>
        <w:t xml:space="preserve">Limitation on Deduction for Certain Expenses. </w:t>
      </w:r>
      <w:r>
        <w:rPr>
          <w:rFonts w:ascii="Times New Roman" w:hAnsi="Times New Roman"/>
          <w:color w:val="000000"/>
          <w:sz w:val="20"/>
        </w:rPr>
        <w:t xml:space="preserve">For any period that we do not qualify as a “publicly offered regulated investment company,” as defined in the Code, U.S. stockholders will be treated as though they received a distribution equal to certain of our expenses. A “publicly offered regulated investment company” is a RIC whose shares are either (i) continuously offered pursuant to a public offering, (ii) regularly traded on an established securities market or (iii) held by at least 500 persons at all times during the taxable year. We expect that we will constitute a publicly offered RIC, but there can be no assurance that we will in fact so qualify for any of our taxable years. If we are not a publicly offered RIC for any period, a non-corporate U.S. stockholder’s allocable portion of our affected expenses, including our management fees, will be treated as an additional distribution to the U.S. stockholder and will be deductible by such U.S. stockholder only to the extent permitted under the limitations described below. For non-corporate U.S. stockholders, including individuals, trusts, and estates, significant limitations generally apply to the deductibility of certain expenses of a non-publicly offered RIC, including advisory fees. In particular, these expenses, referred to as “miscellaneous itemized deductions,” are currently not deductible to an individual or other non-corporate U.S. stockholder (and beginning in 2026, will be deductible only to the extent they exceed 2% of such a U.S. stockholder’s adjusted gross income), and are not deductible for alternative minimum tax purposes. </w:t>
      </w:r>
    </w:p>
    <w:p>
      <w:pPr>
        <w:pStyle w:val="TextBody"/>
        <w:bidi w:val="0"/>
        <w:jc w:val="both"/>
        <w:rPr>
          <w:rFonts w:ascii="Times New Roman" w:hAnsi="Times New Roman"/>
          <w:sz w:val="20"/>
        </w:rPr>
      </w:pPr>
      <w:r>
        <w:rPr>
          <w:rFonts w:ascii="Times New Roman" w:hAnsi="Times New Roman"/>
          <w:b/>
          <w:color w:val="000000"/>
          <w:sz w:val="20"/>
        </w:rPr>
        <w:t>Taxation of Tax-Exempt U.S. Stockholders.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such stockholder’s ownership of shares of common stock and receipt of dividends with respect to such shares. Moreover, under current law, if we incur indebtedness, such indebtedness will not be attributed to a tax-exempt U.S. stockholder. Therefore, a tax-exempt U.S. stockholder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RICs, the treatment of dividends payable to tax- exempt investors could be adversely affected. In addition, special rules would apply if we were to invest in certain real estate investment trusts or other taxable mortgage pools, which we do not currently plan to do, that could result in a tax-exempt U.S. stockholder recognizing income that would be treated as UBTI.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Taxation of Non-U.S.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only applies to non-U.S. stockholders. Whether an investment in shares of our common stock is appropriate for a non-U.S. stockholder will depend upon that person’s particular circumstances. An investment in shares of our common stock by a non-U.S. stockholder may have adverse tax consequences. non-U.S. stockholders should consult their own tax advisers before investing in shares of our common stock.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general, distributions of our investment company taxable income generally are subject to U.S. withholding tax imposed at a 30% rate (or lower rate provided by an applicable treaty) to the extent of our current or accumulated earnings and profits unless an applicable exception applies. However, no withholding is required with respect to certain distributions if (i) the distributions are properly reported to our non-U.S. stockholders as “interest-related dividends” or “short-term capital gain dividends,” (ii) the distributions are derived from sources specified in the Code for such dividends and (iii) certain other requirements are satisfied. Currently, we do not anticipate that any significant amount of our distributions would be reported as eligible for this exemption from withholding. No assurance can be provided that any of our distributions will qualify for this exemption. If the distributions are effectively connected with a U.S. trade or business of the non-U.S. stockholder (and, if a treaty applies, are attributable to a permanent establishment of the non-U.S. stockholder in the United States),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Actual or deemed distributions of our net capital gains to a non-U.S. stockholder properly reported by us as capital gain dividends, and gains realized by a non-U.S. stockholder upon the sale or redemption of our common stock, will not be subject to U.S.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the non-U.S. stockholder was present in the United States for 183 days or more during the taxable year and certain other conditions are met.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distribute our net capital gains in the form of deemed rather than actual distributions, a non-U.S. stockholder will be entitled to a U.S. federal income tax credit or tax refund equal to the non-U.S. stockholder’s allocable share of the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any actual or deemed distributions of our net capital gains, or any gains realized upon the sale or redemption of our common stock, are effectively connected with a U.S. trade or business of the non-U.S. stockholder (and, if an income tax treaty applies, are attributable to a permanent establishment maintained by the non-U.S. stockholder in the United States), such amounts will be subject to U.S.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a U.S. trade or business (and, if a treaty applies, are attributable to a permanent establishment maintained by the non-U.S. stockholder in the United States), may, under certain circumstances, be subject to an additional “branch profits tax” at a 30% rate (or at a lower rate if provided for by an applicable treaty). Accordingly, investment in shares of our common stock may not be appropriate for certain non-U.S. stockholders.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Non-U.S. stockholders will not generally be subject to U.S. federal income or withholding tax with respect to gain recognized on the sale or other disposition of shares of our common stock.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Under the dividend reinvestment plan, our non-U.S.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and is not properly reported by us as a short-term capital gains dividend or interest-related dividend (assuming an extension of the exemption discussed above), the amount distributed (to the extent of our current and accumulated earnings and profits) will be subject to withholding of U.S. federal income tax imposed at a 30% rate (or lower rate provided by an applicable income tax treaty) and only the net after-tax amount will be reinvested in our common stock. If the distribution is effectively connected with a U.S. trade or business of the non-U.S. stockholder (and, if a treaty applies, is attributable to a permanent establishment maintained by the non-U.S.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stockholder in the United States), generally the full amount of the distribution will be reinvested in the plan and will nevertheless be subject to U.S. federal income tax imposed at the ordinary income rates applicable to U.S. persons. The non-U.S. stockholder will have an adjusted tax basis in the additional common stock purchased through the plan equal to the amount reinvested. The additional shares will have a new holding period commencing on the day following the day on which the shares are credited to the non-U.S. stockholder’s account. </w:t>
      </w:r>
    </w:p>
    <w:p>
      <w:pPr>
        <w:pStyle w:val="TextBody"/>
        <w:bidi w:val="0"/>
        <w:spacing w:before="100" w:after="283"/>
        <w:jc w:val="both"/>
        <w:rPr>
          <w:rFonts w:ascii="Times New Roman" w:hAnsi="Times New Roman"/>
          <w:sz w:val="20"/>
        </w:rPr>
      </w:pPr>
      <w:r>
        <w:rPr>
          <w:rFonts w:ascii="Times New Roman" w:hAnsi="Times New Roman"/>
          <w:color w:val="000000"/>
          <w:sz w:val="20"/>
        </w:rPr>
        <w:t xml:space="preserve">If we were unable to qualify for treatment as a RIC, any distributions by us would be treated as dividends to the extent of our current and accumulated earnings and profits. We would not be eligible to report any such dividends as interest-related dividends, short-term capital gain dividends, or capital gain dividends. As a result, any such dividend paid to a non-U.S. stockholder that is not effectively connected with a U.S. trade or business of the non-U.S. stockholder (and, if an income tax treaty applies, attributable to a permanent establishment maintained by the non-U.S. stockholder in the United States) would be subject to the 30% (or reduced applicable treaty rate) U.S. withholding tax discussed above regardless of the source of the income giving rise to such distribution. Distributions in excess of our current and accumulated earnings and profits would be treated first as a return of capital to the extent of the non-U.S. stockholder’s adjusted tax basis, and any remaining distributions would be treated as a gain from the sale of the non-U.S. stockholder’s shares subject to taxation as discussed above. For the consequences to the Company for failing to qualify as a RIC, see “— </w:t>
      </w:r>
      <w:r>
        <w:rPr>
          <w:rFonts w:ascii="Times New Roman" w:hAnsi="Times New Roman"/>
          <w:i/>
          <w:color w:val="000000"/>
          <w:sz w:val="20"/>
        </w:rPr>
        <w:t>Failure to Qualify as a RIC</w:t>
      </w:r>
      <w:r>
        <w:rPr>
          <w:rFonts w:ascii="Times New Roman" w:hAnsi="Times New Roman"/>
          <w:color w:val="000000"/>
          <w:sz w:val="20"/>
        </w:rPr>
        <w:t xml:space="preserve">” above. </w:t>
      </w:r>
    </w:p>
    <w:p>
      <w:pPr>
        <w:pStyle w:val="TextBody"/>
        <w:bidi w:val="0"/>
        <w:spacing w:before="100" w:after="120"/>
        <w:jc w:val="both"/>
        <w:rPr>
          <w:rFonts w:ascii="Times New Roman" w:hAnsi="Times New Roman"/>
          <w:color w:val="000000"/>
          <w:sz w:val="20"/>
        </w:rPr>
      </w:pPr>
      <w:r>
        <w:rPr>
          <w:rFonts w:ascii="Times New Roman" w:hAnsi="Times New Roman"/>
          <w:color w:val="000000"/>
          <w:sz w:val="20"/>
        </w:rPr>
        <w:t xml:space="preserve">We must generally report to our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is a resident for tax purposes.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Non-U.S. stockholders should consult their own tax advisers with respect to the U.S. federal income tax and withholding tax, and state, local and non-U.S. tax consequences of an investment in the shares. </w:t>
      </w:r>
    </w:p>
    <w:p>
      <w:pPr>
        <w:pStyle w:val="TextBody"/>
        <w:bidi w:val="0"/>
        <w:spacing w:before="240" w:after="283"/>
        <w:jc w:val="both"/>
        <w:rPr>
          <w:rFonts w:ascii="Times New Roman" w:hAnsi="Times New Roman"/>
          <w:sz w:val="20"/>
        </w:rPr>
      </w:pPr>
      <w:r>
        <w:rPr>
          <w:rFonts w:ascii="Times New Roman" w:hAnsi="Times New Roman"/>
          <w:b/>
          <w:color w:val="000000"/>
          <w:sz w:val="20"/>
        </w:rPr>
        <w:t>Foreign Account Tax Compliance Act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U.S.-source interest and dividends. While the Code would also require withholding on payments of the gross proceeds from the sale of any property that could produce U.S. source interest or dividends, the U.S. Department of the Treasury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Depending on the status of a beneficial owner and the status of the intermediaries through which they hold their shares, beneficial owners of our common stock could be subject to this 30% withholding tax with respect to distributions on their shares. Under certain circumstances, a beneficial owner might be eligible for refunds or credits of such taxes.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5" w:name="tdoos"/>
      <w:bookmarkEnd w:id="35"/>
      <w:r>
        <w:rPr>
          <w:rFonts w:ascii="Times New Roman" w:hAnsi="Times New Roman"/>
          <w:b/>
          <w:color w:val="000000"/>
          <w:sz w:val="20"/>
        </w:rPr>
        <w:t>DESCRIPTION OF OUR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 </w:t>
      </w:r>
    </w:p>
    <w:p>
      <w:pPr>
        <w:pStyle w:val="TextBody"/>
        <w:bidi w:val="0"/>
        <w:spacing w:before="180" w:after="283"/>
        <w:jc w:val="center"/>
        <w:rPr>
          <w:rFonts w:ascii="Times New Roman" w:hAnsi="Times New Roman"/>
          <w:sz w:val="20"/>
        </w:rPr>
      </w:pPr>
      <w:bookmarkStart w:id="36" w:name="tdooc"/>
      <w:bookmarkEnd w:id="36"/>
      <w:r>
        <w:rPr>
          <w:rFonts w:ascii="Times New Roman" w:hAnsi="Times New Roman"/>
          <w:b/>
          <w:color w:val="000000"/>
          <w:sz w:val="20"/>
        </w:rPr>
        <w:t>DESCRIPTION OF OUR CAPITAL STOCK</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description is based on relevant portions of the Maryland General Corporation Law (the “MGCL”) and on our certificate of incorporation and bylaws. This summary is not necessarily complete, and we refer you to the MGCL and our charter and bylaws for a more detailed description of the provisions summarized below. </w:t>
      </w:r>
    </w:p>
    <w:p>
      <w:pPr>
        <w:pStyle w:val="TextBody"/>
        <w:bidi w:val="0"/>
        <w:spacing w:before="18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terms of our charter, our authorized stock consists of 100 million shares of common stock, par value $0.01 per share, all of which are initially designated as common stock. As permitted by the MGCL, our charter provides that a majority of the entire Board, without any action by our shareholders, may amend the charter from time to time to increase or decrease the aggregate number of shares of stock or the number of shares of stock of any class or series that we have authority to issue. Our charter also provides that the Board may classify or reclassify any unissued shares of our common stock into one or more classes or series of common stock or preferred stock by setting or changing the preferences, conversion or other rights, voting powers, restrictions, or limitations as to dividends, qualifications, or terms or conditions of redemption of the shares. Unless the Board determines otherwise, we will issue all shares of our stock in uncertificated form.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of our shares of common stock are subject to further calls or to assessments, sinking fund provisions, obligations or potential liabilities associated with ownership of the security (not including investment risks).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following presents our outstanding classes of securities as of March 14, 2025: </w:t>
      </w:r>
    </w:p>
    <w:tbl>
      <w:tblPr>
        <w:tblW w:w="10205" w:type="dxa"/>
        <w:jc w:val="left"/>
        <w:tblInd w:w="0" w:type="dxa"/>
        <w:tblLayout w:type="fixed"/>
        <w:tblCellMar>
          <w:top w:w="28" w:type="dxa"/>
          <w:left w:w="28" w:type="dxa"/>
          <w:bottom w:w="28" w:type="dxa"/>
          <w:right w:w="28" w:type="dxa"/>
        </w:tblCellMar>
      </w:tblPr>
      <w:tblGrid>
        <w:gridCol w:w="1201"/>
        <w:gridCol w:w="146"/>
        <w:gridCol w:w="1549"/>
        <w:gridCol w:w="146"/>
        <w:gridCol w:w="2489"/>
        <w:gridCol w:w="146"/>
        <w:gridCol w:w="4528"/>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8"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 of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Held by Us or for Our Account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Outstanding Exclusive of Amount Held by Us or for Our Account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37,347,428</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180" w:after="283"/>
        <w:jc w:val="both"/>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60" w:after="200"/>
        <w:jc w:val="left"/>
        <w:rPr>
          <w:rFonts w:ascii="Times New Roman" w:hAnsi="Times New Roman"/>
          <w:color w:val="000000"/>
          <w:sz w:val="20"/>
        </w:rPr>
      </w:pPr>
      <w:r>
        <w:rPr>
          <w:rFonts w:ascii="Times New Roman" w:hAnsi="Times New Roman"/>
          <w:color w:val="000000"/>
          <w:sz w:val="20"/>
        </w:rPr>
        <w:t xml:space="preserve">Under the terms of our charter, the Board may authorize us to issue shares of preferred stock in one or more classes or series, without shareholder approval, to the extent permitted by the 1940 Act. The Board has the power to fix the preferences, conversion and other rights, voting powers, restrictions, limitations as to dividends and other distributions, qualifications and terms and conditions of redemption of each class or series of preferred stock. We do not currently anticipate issuing preferred stock in the near future. In the event we issue preferred stock, we will make any required disclosure to shareholders. We will not offer preferred stock to the Adviser or our affiliates except on the same terms as offered to all other shareholders.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Preferred stock could be issued with terms that would adversely affect our shareholders. Preferred stock could also be used as an anti-takeover device through the issuance of shares of a class or series of preferred stock with terms and conditions which could have the effect of delaying, deferring or preventing a transaction or a change in control. Every issuance of preferred stock will be required to comply with the requirements of the 1940 Act. The 1940 Act requires, among other things, that: (1) immediately after issuance and before any dividend or other distribution is made with respect to common stock and before any purchase of common stock is made, such preferred stock together with all other senior securities must not exceed an amount equal to 50% of our total assets after deducting the amount of such dividend, distribution or purchase price, as the case may be, and (2) the holders of shares of preferred stock, if any are issued, must be entitled as a class voting separately to elect two directors at all times and to elect a majority of the directors if distributions on such preferred stock are in arrears by two full years or more. Certain matters under the 1940 Act require the affirmative vote of the holders of at least a majority of the outstanding shares of preferred stock (as determined in accordance with the 1940 Act) voting together as a separate class. For example, the vote of such holders of preferred stock would be required to approve a proposal involving a plan of reorganization adversely affecting such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issuance of any preferred stock must be approved by a majority of the independent directors not otherwise interested in the transaction, who will have access, at our expense, to our legal counsel or to independent legal counsel. </w:t>
      </w:r>
    </w:p>
    <w:p>
      <w:pPr>
        <w:pStyle w:val="TextBody"/>
        <w:bidi w:val="0"/>
        <w:spacing w:before="240" w:after="283"/>
        <w:jc w:val="both"/>
        <w:rPr>
          <w:rFonts w:ascii="Times New Roman" w:hAnsi="Times New Roman"/>
          <w:sz w:val="20"/>
        </w:rPr>
      </w:pPr>
      <w:r>
        <w:rPr>
          <w:rFonts w:ascii="Times New Roman" w:hAnsi="Times New Roman"/>
          <w:b/>
          <w:color w:val="000000"/>
          <w:sz w:val="20"/>
        </w:rPr>
        <w:t>Limitation on Liability of Directors and Officers; Indemnification and Advance of Expenses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have entered into indemnification agreements with our directors and executive officers. The indemnification agreements provide our directors and executive officers the maximum indemnification permitted under Maryland law and the 1940 Act. </w:t>
      </w:r>
    </w:p>
    <w:p>
      <w:pPr>
        <w:pStyle w:val="TextBody"/>
        <w:bidi w:val="0"/>
        <w:spacing w:before="220" w:after="283"/>
        <w:jc w:val="both"/>
        <w:rPr>
          <w:rFonts w:ascii="Times New Roman" w:hAnsi="Times New Roman"/>
          <w:sz w:val="20"/>
        </w:rPr>
      </w:pPr>
      <w:r>
        <w:rPr>
          <w:rFonts w:ascii="Times New Roman" w:hAnsi="Times New Roman"/>
          <w:b/>
          <w:color w:val="000000"/>
          <w:sz w:val="20"/>
        </w:rPr>
        <w:t>Certain Provisions of the Maryland General Corporation Law and Our Charter and Bylaws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We expect the benefits of these provisions to outweigh the potential disadvantages of discouraging any such acquisition proposals because, among other things, the negotiation of such proposals may improve their terms. </w:t>
      </w:r>
    </w:p>
    <w:p>
      <w:pPr>
        <w:pStyle w:val="TextBody"/>
        <w:bidi w:val="0"/>
        <w:spacing w:before="220" w:after="283"/>
        <w:jc w:val="both"/>
        <w:rPr>
          <w:rFonts w:ascii="Times New Roman" w:hAnsi="Times New Roman"/>
          <w:sz w:val="20"/>
        </w:rPr>
      </w:pPr>
      <w:r>
        <w:rPr>
          <w:rFonts w:ascii="Times New Roman" w:hAnsi="Times New Roman"/>
          <w:b/>
          <w:i/>
          <w:color w:val="000000"/>
          <w:sz w:val="20"/>
        </w:rPr>
        <w:t>Classified Board of Directors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Board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will help to ensure the continuity and stability of our management and policies. </w:t>
      </w:r>
    </w:p>
    <w:p>
      <w:pPr>
        <w:pStyle w:val="TextBody"/>
        <w:bidi w:val="0"/>
        <w:spacing w:before="220" w:after="283"/>
        <w:jc w:val="both"/>
        <w:rPr>
          <w:rFonts w:ascii="Times New Roman" w:hAnsi="Times New Roman"/>
          <w:sz w:val="20"/>
        </w:rPr>
      </w:pPr>
      <w:r>
        <w:rPr>
          <w:rFonts w:ascii="Times New Roman" w:hAnsi="Times New Roman"/>
          <w:b/>
          <w:i/>
          <w:color w:val="000000"/>
          <w:sz w:val="20"/>
        </w:rPr>
        <w:t>Election of Directors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as authorized by our charter,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 </w:t>
      </w:r>
    </w:p>
    <w:p>
      <w:pPr>
        <w:pStyle w:val="TextBody"/>
        <w:bidi w:val="0"/>
        <w:spacing w:before="220" w:after="283"/>
        <w:jc w:val="both"/>
        <w:rPr>
          <w:rFonts w:ascii="Times New Roman" w:hAnsi="Times New Roman"/>
          <w:sz w:val="20"/>
        </w:rPr>
      </w:pPr>
      <w:r>
        <w:rPr>
          <w:rFonts w:ascii="Times New Roman" w:hAnsi="Times New Roman"/>
          <w:b/>
          <w:i/>
          <w:color w:val="000000"/>
          <w:sz w:val="20"/>
        </w:rPr>
        <w:t>Number of Directors; Vacancies; Removal</w:t>
      </w:r>
      <w:r>
        <w:rPr>
          <w:rFonts w:ascii="Times New Roman" w:hAnsi="Times New Roman"/>
          <w:color w:val="000000"/>
          <w:sz w:val="20"/>
        </w:rPr>
        <w:t xml:space="preserve">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jc w:val="both"/>
        <w:rPr>
          <w:rFonts w:ascii="Times New Roman" w:hAnsi="Times New Roman"/>
          <w:color w:val="000000"/>
          <w:sz w:val="20"/>
        </w:rPr>
      </w:pPr>
      <w:r>
        <w:rPr>
          <w:rFonts w:ascii="Times New Roman" w:hAnsi="Times New Roman"/>
          <w:color w:val="000000"/>
          <w:sz w:val="20"/>
        </w:rPr>
        <w:t xml:space="preserve">Our charter provides that a director may be removed only for cause, as defined in our charter, and then only by the affirmative vote of at least two-thirds of the votes entitled to be cast in the election of directors. </w:t>
      </w:r>
    </w:p>
    <w:p>
      <w:pPr>
        <w:pStyle w:val="TextBody"/>
        <w:bidi w:val="0"/>
        <w:spacing w:before="220" w:after="283"/>
        <w:jc w:val="both"/>
        <w:rPr>
          <w:rFonts w:ascii="Times New Roman" w:hAnsi="Times New Roman"/>
          <w:sz w:val="20"/>
        </w:rPr>
      </w:pPr>
      <w:r>
        <w:rPr>
          <w:rFonts w:ascii="Times New Roman" w:hAnsi="Times New Roman"/>
          <w:b/>
          <w:i/>
          <w:color w:val="000000"/>
          <w:sz w:val="20"/>
        </w:rPr>
        <w:t>Action by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i/>
          <w:color w:val="000000"/>
          <w:sz w:val="20"/>
        </w:rPr>
        <w:t>Advance Notice Provisions for Stockholder Nominations and Stockholder Proposals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provide that with respect to an annual meeting of stockholders, nominations of persons for election to the Board and the proposal of business to be considered by stockholders may be made only (1) pursuant to our notice of the meeting, (2) by or at the direction of the Board or (3) by a stockholder of the Company who is a stockholder of record both at the time of giving of notice provided for in our bylaws and at the time of the annual meeting, who is entitled to vote at the meeting and who has complied with the advance notice provisions of the bylaws. With respect to special meetings of stockholders, only the business specified in our notice of the meeting may be brought before the meeting. Nominations of persons for election to the Board at a special meeting may be made only (1) by or at the direction of the Board or (2) provided that the Board has determined that directors will be elected at the meeting, by a stockholder of the Company who is a stockholder of record both at the time of giving of notice provided for in our bylaws and at the time of the special meeting, who is entitled to vote at the meeting and who has complied with the advance notice provisions of the bylaws.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before="220" w:after="283"/>
        <w:jc w:val="both"/>
        <w:rPr>
          <w:rFonts w:ascii="Times New Roman" w:hAnsi="Times New Roman"/>
          <w:sz w:val="20"/>
        </w:rPr>
      </w:pPr>
      <w:r>
        <w:rPr>
          <w:rFonts w:ascii="Times New Roman" w:hAnsi="Times New Roman"/>
          <w:b/>
          <w:i/>
          <w:color w:val="000000"/>
          <w:sz w:val="20"/>
        </w:rPr>
        <w:t>Calling of Special Meetings of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before="220" w:after="283"/>
        <w:jc w:val="both"/>
        <w:rPr>
          <w:rFonts w:ascii="Times New Roman" w:hAnsi="Times New Roman"/>
          <w:sz w:val="20"/>
        </w:rPr>
      </w:pPr>
      <w:r>
        <w:rPr>
          <w:rFonts w:ascii="Times New Roman" w:hAnsi="Times New Roman"/>
          <w:b/>
          <w:i/>
          <w:color w:val="000000"/>
          <w:sz w:val="20"/>
        </w:rPr>
        <w:t>Approval of Extraordinary Corporate Action; Amendment of Charter and Bylaws</w:t>
      </w:r>
      <w:r>
        <w:rPr>
          <w:rFonts w:ascii="Times New Roman" w:hAnsi="Times New Roman"/>
          <w:color w:val="000000"/>
          <w:sz w:val="20"/>
        </w:rPr>
        <w:t xml:space="preserve">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 </w:t>
      </w:r>
    </w:p>
    <w:p>
      <w:pPr>
        <w:pStyle w:val="TextBody"/>
        <w:bidi w:val="0"/>
        <w:jc w:val="both"/>
        <w:rPr>
          <w:rFonts w:ascii="Times New Roman" w:hAnsi="Times New Roman"/>
          <w:color w:val="000000"/>
          <w:sz w:val="20"/>
        </w:rPr>
      </w:pPr>
      <w:r>
        <w:rPr>
          <w:rFonts w:ascii="Times New Roman" w:hAnsi="Times New Roman"/>
          <w:color w:val="000000"/>
          <w:sz w:val="20"/>
        </w:rPr>
        <w:t xml:space="preserve">Our charter and bylaws provide that the Board will have the exclusive power to make, alter, amend or repeal any provision of our bylaws. </w:t>
      </w:r>
    </w:p>
    <w:p>
      <w:pPr>
        <w:pStyle w:val="TextBody"/>
        <w:bidi w:val="0"/>
        <w:spacing w:before="240" w:after="283"/>
        <w:jc w:val="both"/>
        <w:rPr>
          <w:rFonts w:ascii="Times New Roman" w:hAnsi="Times New Roman"/>
          <w:sz w:val="20"/>
        </w:rPr>
      </w:pPr>
      <w:r>
        <w:rPr>
          <w:rFonts w:ascii="Times New Roman" w:hAnsi="Times New Roman"/>
          <w:b/>
          <w:i/>
          <w:color w:val="000000"/>
          <w:sz w:val="20"/>
        </w:rPr>
        <w:t>No Appraisal Rights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Except with respect to appraisal rights arising in connection with the Control Share Act discussed below, as permitted by the MGCL, our charter provides that stockholders will not be entitled to exercise appraisal rights unless a majority of the Board shall determine such rights apply.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i/>
          <w:color w:val="000000"/>
          <w:sz w:val="20"/>
        </w:rPr>
        <w:t>Control Share Acquisitions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MGCL Control Share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one-tenth or more but less than one-third;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one-third or more but less than a majority; 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majority or more of all voting power.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determines that it would be in our best interests to do so. </w:t>
      </w:r>
    </w:p>
    <w:p>
      <w:pPr>
        <w:pStyle w:val="TextBody"/>
        <w:bidi w:val="0"/>
        <w:spacing w:before="220" w:after="283"/>
        <w:jc w:val="both"/>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person who beneficially owns 10% or more of the voting power of the corporation’s outstanding voting stock;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 affiliate or associate of the corporation who, at any time within the two-year period prior to the date in question, was the beneficial owner of 10% or more of the voting power of the then outstanding voting stock of the corporation.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 person is not an interested stockholder under this statute if the Board approved in advance the transaction by which the stockholder otherwise would have become an interested stockholder. However, in approving a transaction, the Board may provide that its approval is subject to compliance, at or after the time of approval, with any terms and conditions determined by the Board.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After the five-year prohibition, any business combination between the Maryland corporation and an interested stockholder generally must be recommended by the Board of the corporation and approved by the affirmative vote of at least: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80% of the votes entitled to be cast by holders of outstanding shares of voting stock of the corporation;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before="140" w:after="280"/>
        <w:jc w:val="both"/>
        <w:rPr>
          <w:rFonts w:ascii="Times New Roman" w:hAnsi="Times New Roman"/>
          <w:color w:val="000000"/>
          <w:sz w:val="20"/>
        </w:rPr>
      </w:pPr>
      <w:r>
        <w:rPr>
          <w:rFonts w:ascii="Times New Roman" w:hAnsi="Times New Roman"/>
          <w:color w:val="000000"/>
          <w:sz w:val="20"/>
        </w:rPr>
        <w:t xml:space="preserve">The statute permits various exemptions from its provisions, including business combinations that are exempted by the Board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our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Act. If this resolution is repealed, or the Board does not otherwise approve a business combination, the statute may discourage others from trying to acquire control of us and increase the difficulty of consummating any offer. </w:t>
      </w:r>
    </w:p>
    <w:p>
      <w:pPr>
        <w:pStyle w:val="TextBody"/>
        <w:bidi w:val="0"/>
        <w:jc w:val="both"/>
        <w:rPr>
          <w:rFonts w:ascii="Times New Roman" w:hAnsi="Times New Roman"/>
          <w:sz w:val="20"/>
        </w:rPr>
      </w:pPr>
      <w:r>
        <w:rPr>
          <w:rFonts w:ascii="Times New Roman" w:hAnsi="Times New Roman"/>
          <w:b/>
          <w:i/>
          <w:color w:val="000000"/>
          <w:sz w:val="20"/>
        </w:rPr>
        <w:t>Conflict with 1940 Act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before="240" w:after="283"/>
        <w:jc w:val="both"/>
        <w:rPr>
          <w:rFonts w:ascii="Times New Roman" w:hAnsi="Times New Roman"/>
          <w:sz w:val="20"/>
        </w:rPr>
      </w:pPr>
      <w:r>
        <w:rPr>
          <w:rFonts w:ascii="Times New Roman" w:hAnsi="Times New Roman"/>
          <w:b/>
          <w:i/>
          <w:color w:val="000000"/>
          <w:sz w:val="20"/>
        </w:rPr>
        <w:t>Exclusive Forum</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charter and bylaws provide that, to the fullest extent permitted by law, unless we consent in writing to the selection of an alternative forum,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MGCL, the charter or bylaws or the securities, antifraud, unfair trade practices or similar laws of any international, national, state, provincial, territorial, local or other governmental or regulatory authority, including, in each case, the applicable rules and regulations promulgated thereunder, or (iv) any action asserting a claim governed by the internal affairs doctrine shall be a federal or state court located in the state of Delaware, provided that to the extent the appropriate court located in the state of Delaware determines that it does not have jurisdiction over such action, then the sole and exclusive forum shall be any federal or state court located in the state of Maryland. Any person or entity purchasing or otherwise acquiring any interest in shares of capital stock of the Company shall be deemed, to the fullest extent permitted by law, to have notice of and consented to these exclusive forum provisions and to have irrevocably submitted to, and waived any objection to, the exclusive jurisdiction of such courts in connection with any such action or proceeding and consented to process being served in any such action or proceeding, without limitation, by United States mail addressed to the stockholder at the stockholder’s address as it appears on the records of the Company, with postage thereon prepaid. </w:t>
      </w:r>
    </w:p>
    <w:p>
      <w:pPr>
        <w:pStyle w:val="TextBody"/>
        <w:bidi w:val="0"/>
        <w:spacing w:before="240" w:after="283"/>
        <w:jc w:val="both"/>
        <w:rPr>
          <w:rFonts w:ascii="Times New Roman" w:hAnsi="Times New Roman"/>
          <w:sz w:val="20"/>
        </w:rPr>
      </w:pPr>
      <w:r>
        <w:rPr>
          <w:rFonts w:ascii="Times New Roman" w:hAnsi="Times New Roman"/>
          <w:b/>
          <w:color w:val="000000"/>
          <w:sz w:val="20"/>
        </w:rPr>
        <w:t>Transfer Restrictions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shares of our common stock issued and sold by us prior to our initial public offering in reliance upon the available exemptions from the registration requirements of the Securities Act that were not registered for resale in connection with our initial public offering have not been registered under the Securities Act or the securities laws of any jurisdiction and, accordingly, until registered, may not be resold or transferred except as permitted under the Securities Act and the applicable securities laws of any jurisdiction. See “</w:t>
      </w:r>
      <w:r>
        <w:rPr>
          <w:rFonts w:ascii="Times New Roman" w:hAnsi="Times New Roman"/>
          <w:i/>
          <w:color w:val="000000"/>
          <w:sz w:val="20"/>
        </w:rPr>
        <w:t>Shares Eligible For Future Sale</w:t>
      </w:r>
      <w:r>
        <w:rPr>
          <w:rFonts w:ascii="Times New Roman" w:hAnsi="Times New Roman"/>
          <w:color w:val="000000"/>
          <w:sz w:val="20"/>
        </w:rPr>
        <w:t>” for additional information.</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37" w:name="tdoop"/>
      <w:bookmarkEnd w:id="37"/>
      <w:r>
        <w:rPr>
          <w:rFonts w:ascii="Times New Roman" w:hAnsi="Times New Roman"/>
          <w:b/>
          <w:color w:val="000000"/>
          <w:sz w:val="20"/>
        </w:rPr>
        <w:t>DESCRIPTION OF OUR PREFERRED STOCK</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shareholder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immediately after issuance and before any distribution is made with respect to common stock, we must meet a coverage ratio of total assets (less total liabilities other than indebtedness) to total indebtedness plus preferred stock, of at least 150% (at least 200% prior to June 16, 2022);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features of the preferred stock are further limited by the requirements applicable to RICs under the Code.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any class or series of preferred stock that we may issue, our Board will determine and the articles supplementary and the prospectus supplement relating to such class or series will describe: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designation and number of shares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rate and time at which, and the preferences and conditions under which, any dividends will be paid on shares of such class or series, as well as whether such dividends are participating or non-participating;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relating to convertibility or exchangeability of the shares of such class or series, including adjustments to the conversion price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rights and preferences, if any, of holders of shares of such class or series upon our liquidation, dissolution or winding up of our affairs;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voting powers, if any, of the holders of shares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relating to the redemption of the shares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limitations on our ability to pay dividends or make distributions on, or acquire or redeem, other securities while shares of such class or series are outstanding;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conditions or restrictions on our ability to issue additional shares of such class or series or other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applicable, a discussion of certain U.S. federal income tax considerations;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other relative powers, preferences and participating, optional or special rights of shares of such class or series, and the qualifications, limitations or restrictions thereof.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8" w:name="tdoos1"/>
      <w:bookmarkEnd w:id="38"/>
      <w:r>
        <w:rPr>
          <w:rFonts w:ascii="Times New Roman" w:hAnsi="Times New Roman"/>
          <w:b/>
          <w:color w:val="000000"/>
          <w:sz w:val="20"/>
        </w:rPr>
        <w:t>DESCRIPTION OF OUR SUBSCRIPTION RIGHTS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subscription rights to our shareholders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applicable prospectus supplement would describe the following terms of subscription rights in respect of which this prospectus is being delivered: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period of time the offering would remain open (which shall be open a minimum number of days such that all record holders would be eligible to participate in the offering and shall not be open longer than 120 days);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title of such subscription rights;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exercise price for such subscription rights (or method of calculation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ratio of the offering (which, in the case of transferable rights, will require a minimum of three shares to be held of record before a person is entitled to purchase an additional share);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number of such subscription rights issued to each shareholder;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extent to which such subscription rights are transferable and the market on which they may be traded if they are transferable;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a discussion of certain U.S. federal income tax considerations applicable to the issuance or exercise of such subscription rights;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on which the right to exercise such subscription rights shall commence, and the date on which such right shall expire (subject to any extension);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extent to which such subscription rights include an over-subscription privilege with respect to unsubscribed securities and the terms of such over-subscription privilege;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termination right we may have in connection with such subscription rights offering;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other terms of such subscription rights, including exercise, settlement and other procedures and limitations relating to the transfer and exercise of such subscription rights. </w:t>
      </w:r>
    </w:p>
    <w:p>
      <w:pPr>
        <w:pStyle w:val="TextBody"/>
        <w:bidi w:val="0"/>
        <w:spacing w:before="220" w:after="283"/>
        <w:jc w:val="both"/>
        <w:rPr>
          <w:rFonts w:ascii="Times New Roman" w:hAnsi="Times New Roman"/>
          <w:sz w:val="20"/>
        </w:rPr>
      </w:pPr>
      <w:r>
        <w:rPr>
          <w:rFonts w:ascii="Times New Roman" w:hAnsi="Times New Roman"/>
          <w:b/>
          <w:color w:val="000000"/>
          <w:sz w:val="20"/>
        </w:rPr>
        <w:t>Exercise of Subscription Rights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 </w:t>
      </w:r>
    </w:p>
    <w:p>
      <w:pPr>
        <w:pStyle w:val="TextBody"/>
        <w:bidi w:val="0"/>
        <w:spacing w:before="220" w:after="283"/>
        <w:jc w:val="both"/>
        <w:rPr>
          <w:rFonts w:ascii="Times New Roman" w:hAnsi="Times New Roman"/>
          <w:sz w:val="20"/>
        </w:rPr>
      </w:pPr>
      <w:r>
        <w:rPr>
          <w:rFonts w:ascii="Times New Roman" w:hAnsi="Times New Roman"/>
          <w:b/>
          <w:color w:val="000000"/>
          <w:sz w:val="20"/>
        </w:rPr>
        <w:t>Dilutive Effects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shareholder who chooses not to participate in a rights offering should expect to own a smaller interest in us upon completion of such rights offering. Any rights offering will dilute the ownership interest and voting power of shareholders who do not fully exercise their subscription rights. Further, because the net proceeds per share from any rights offering may be lower than our then-current net asset value per share, the rights offering may reduce our net asset value per share. The amount of dilution that a shareholder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significant number of additional shares may be issued upon completion of such rights offering. All of our shareholders will also indirectly bear the expenses associated with any rights offering we may conduct, regardless of whether they elect to exercise any rights. </w:t>
      </w:r>
    </w:p>
    <w:p>
      <w:pPr>
        <w:pStyle w:val="TextBody"/>
        <w:bidi w:val="0"/>
        <w:spacing w:before="240" w:after="283"/>
        <w:jc w:val="center"/>
        <w:rPr>
          <w:rFonts w:ascii="Times New Roman" w:hAnsi="Times New Roman"/>
          <w:sz w:val="20"/>
        </w:rPr>
      </w:pPr>
      <w:bookmarkStart w:id="39" w:name="tdoow"/>
      <w:bookmarkEnd w:id="39"/>
      <w:r>
        <w:rPr>
          <w:rFonts w:ascii="Times New Roman" w:hAnsi="Times New Roman"/>
          <w:b/>
          <w:color w:val="000000"/>
          <w:sz w:val="20"/>
        </w:rPr>
        <w:t>DESCRIPTION OF OUR WARRANTS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 prospectus supplement will describe the particular terms of any series of warrants we may issue, including the following: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title of such warrants;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aggregate number of such warrants;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price or prices at which such warrants will be issued;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currency or currencies, including composite currencies, in which the price of such warrants may be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the designation and terms of the securities with which the warrants are issued and the number of warrants issued with each such security or each principal amount of such security;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on which the right to exercise such warrants shall commence and the date on which such right will expire;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whether such warrants will be issued in registered form or bearer form;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the minimum or maximum amount of such warrants which may be exercised at any one time;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the date on and after which such warrants and the related securities will be separately transferable;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information with respect to book-entry procedures, if any;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terms of the securities issuable upon exercise of the warrants;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a discussion of certain U.S. federal income tax considerations;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other terms of such warrants, including terms, procedures and limitations relating to the exchange and exercise of such warrants.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1940 Act, we may generally only offer warrants provided that (1) the warrants expire by their terms within ten years; (2) the exercise or conversion price is not less than the current market value at the date of issuance; (3) our shareholders authorize the proposal to issue such warrants, and our Board approves such issuance on the basis that the issuance is in the best interests of us and our shareholders;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0" w:name="tdood"/>
      <w:bookmarkEnd w:id="40"/>
      <w:r>
        <w:rPr>
          <w:rFonts w:ascii="Times New Roman" w:hAnsi="Times New Roman"/>
          <w:b/>
          <w:color w:val="000000"/>
          <w:sz w:val="20"/>
        </w:rPr>
        <w:t>DESCRIPTION OF OUR DEBT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140" w:after="283"/>
        <w:jc w:val="both"/>
        <w:rPr>
          <w:rFonts w:ascii="Times New Roman" w:hAnsi="Times New Roman"/>
          <w:sz w:val="20"/>
        </w:rPr>
      </w:pPr>
      <w:r>
        <w:rPr>
          <w:rFonts w:ascii="Times New Roman" w:hAnsi="Times New Roman"/>
          <w:color w:val="000000"/>
          <w:sz w:val="20"/>
        </w:rPr>
        <w:t xml:space="preserve">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w:t>
      </w:r>
      <w:r>
        <w:rPr>
          <w:rFonts w:ascii="Times New Roman" w:hAnsi="Times New Roman"/>
          <w:i/>
          <w:color w:val="000000"/>
          <w:sz w:val="20"/>
        </w:rPr>
        <w:t>Events of Default — Remedies If an Event of Default Occurs</w:t>
      </w:r>
      <w:r>
        <w:rPr>
          <w:rFonts w:ascii="Times New Roman" w:hAnsi="Times New Roman"/>
          <w:color w:val="000000"/>
          <w:sz w:val="20"/>
        </w:rPr>
        <w:t xml:space="preserve">.” Second, the trustee performs certain administrative duties for us. </w:t>
      </w:r>
    </w:p>
    <w:p>
      <w:pPr>
        <w:pStyle w:val="TextBody"/>
        <w:bidi w:val="0"/>
        <w:spacing w:before="140" w:after="283"/>
        <w:jc w:val="both"/>
        <w:rPr>
          <w:rFonts w:ascii="Times New Roman" w:hAnsi="Times New Roman"/>
          <w:sz w:val="20"/>
        </w:rPr>
      </w:pPr>
      <w:r>
        <w:rPr>
          <w:rFonts w:ascii="Times New Roman" w:hAnsi="Times New Roman"/>
          <w:color w:val="000000"/>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w:t>
      </w:r>
      <w:r>
        <w:rPr>
          <w:rFonts w:ascii="Times New Roman" w:hAnsi="Times New Roman"/>
          <w:i/>
          <w:color w:val="000000"/>
          <w:sz w:val="20"/>
        </w:rPr>
        <w:t>Available Information</w:t>
      </w:r>
      <w:r>
        <w:rPr>
          <w:rFonts w:ascii="Times New Roman" w:hAnsi="Times New Roman"/>
          <w:color w:val="000000"/>
          <w:sz w:val="20"/>
        </w:rPr>
        <w:t xml:space="preserve">” for information on how to obtain a copy of the applicable indenture.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prospectus supplement, which will accompany this prospectus, will describe the particular series of debt securities being offered, including, among other things: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designation or title of the series of debt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total principal amount of the series of debt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percentage of the principal amount at which the series of debt securities will be offered;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or dates on which principal will be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rate or rates (which may be either fixed or variable) and/or the method of determining such rate or rates of interest, if any;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or dates from which any interest will accrue, or the method of determining such date or dates, and the date or dates on which any interest will be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whether any interest may be paid by issuing additional securities of the same series in lieu of cash (and the terms upon which any such interest may be paid by issuing additional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terms for redemption, extension or early repayment, if any;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currencies in which the series of debt securities are issued and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place or places, if any, other than or in addition to the Borough of Manhattan in the City of New York, of payment, transfer, conversion and/or exchange of the debt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denominations in which the offered debt securities will be issued (if other than $1,000 and any integral multiple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provision for any sinking fund;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restrictive covenants;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Events of Default;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the series of debt securities is issuable in certificated form;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for defeasance or covenant defeasance;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special federal income tax implications, including, if applicable, U.S. federal income tax considerations relating to original issue discount;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and under what circumstances we will pay additional amounts in respect of any tax, assessment or governmental charge and, if so, whether we will have the option to redeem the debt securities rather than pay the additional amounts (and the terms of this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for convertibility or exchangeability of the debt securities into or for any other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the debt securities are subject to subordination and the terms of such subordination;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the debt securities are secured and the terms of any security interest;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listing, if any, on a securities exchange;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other terms.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160" w:after="283"/>
        <w:jc w:val="both"/>
        <w:rPr>
          <w:rFonts w:ascii="Times New Roman" w:hAnsi="Times New Roman"/>
          <w:sz w:val="20"/>
        </w:rPr>
      </w:pPr>
      <w:r>
        <w:rPr>
          <w:rFonts w:ascii="Times New Roman" w:hAnsi="Times New Roman"/>
          <w:color w:val="000000"/>
          <w:sz w:val="20"/>
        </w:rPr>
        <w:t>Generally, pursuant to the 1940 Act, our total borrowings are limited so that we cannot incur additional borrowings if immediately after such borrowing or issuance, the ratio of our total assets (less total liabilities other than indebtedness represented by senior securities) to our total indebtedness represented by senior securities plus preferred stock, if any, is at least 200%. However, legislation enacted in March 2018 has modified the 1940 Act by allowing a BDC to increase the maximum amount of leverage it may incur from an asset coverage ratio of 200% to an asset coverage ratio of 150%, if certain requirements are met. This means that generally, a BDC can borrow up to $1 for every $1 of investor equity or, if certain requirements are met and it reduces its asset coverage ratio, it can borrow up to $2 for every $1 of investor equity. The reduced asset coverage requirement would permit a BDC to double the amount of leverage it could incur. We are permitted to increase our asset coverage ratio to at least 150% if stockholders representing at least a majority of the votes cast, at an annual or special meeting at which quorum is met, approve a proposal to do so. On June 16, 2022, our stockholders approved the reduced asset coverage ratio at our 2022 annual meeting of stockholders. The reduced asset coverage ratio of 150% became effective upon receiving stockholder approval. We may also borrow amounts up to 5% of the value of our gross assets for temporary purposes without regard to asset coverage. For a discussion of the risks associated with leverage, see “</w:t>
      </w:r>
      <w:r>
        <w:rPr>
          <w:rFonts w:ascii="Times New Roman" w:hAnsi="Times New Roman"/>
          <w:i/>
          <w:color w:val="000000"/>
          <w:sz w:val="20"/>
        </w:rPr>
        <w:t>Risk Factors — Risks Related to Business Development Companies — Regulations governing our operation as a business development company and RIC affect our ability to raise capital and the way in which we raise additional capital or borrow for investment purposes, which may have a negative effect on our growth. As a business development company, the necessity of raising additional capital may expose us to risks, including risks associated with leverage</w:t>
      </w:r>
      <w:r>
        <w:rPr>
          <w:rFonts w:ascii="Times New Roman" w:hAnsi="Times New Roman"/>
          <w:color w:val="000000"/>
          <w:sz w:val="20"/>
        </w:rPr>
        <w:t xml:space="preserve">” in our most recent Annual Report on Form 10-K. </w:t>
      </w:r>
    </w:p>
    <w:p>
      <w:pPr>
        <w:pStyle w:val="TextBody"/>
        <w:bidi w:val="0"/>
        <w:spacing w:before="240" w:after="283"/>
        <w:jc w:val="both"/>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160" w:after="180"/>
        <w:jc w:val="both"/>
        <w:rPr>
          <w:rFonts w:ascii="Times New Roman" w:hAnsi="Times New Roman"/>
          <w:sz w:val="20"/>
        </w:rPr>
      </w:pPr>
      <w:r>
        <w:rPr>
          <w:rFonts w:ascii="Times New Roman" w:hAnsi="Times New Roman"/>
          <w:color w:val="000000"/>
          <w:sz w:val="20"/>
        </w:rPr>
        <w:t xml:space="preserve">The indenture does not limit the amount of debt securities that may be issued thereunder from time to time. The indenture also provides that there may be more than one trustee thereunder, each with respect to one or more different series of indenture securities. See “— </w:t>
      </w:r>
      <w:r>
        <w:rPr>
          <w:rFonts w:ascii="Times New Roman" w:hAnsi="Times New Roman"/>
          <w:i/>
          <w:color w:val="000000"/>
          <w:sz w:val="20"/>
        </w:rPr>
        <w:t>Resignation of Trustee</w:t>
      </w:r>
      <w:r>
        <w:rPr>
          <w:rFonts w:ascii="Times New Roman" w:hAnsi="Times New Roman"/>
          <w:color w:val="000000"/>
          <w:sz w:val="20"/>
        </w:rPr>
        <w:t xml:space="preserv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jc w:val="both"/>
        <w:rPr>
          <w:rFonts w:ascii="Times New Roman" w:hAnsi="Times New Roman"/>
          <w:sz w:val="20"/>
        </w:rPr>
      </w:pPr>
      <w:r>
        <w:rPr>
          <w:rFonts w:ascii="Times New Roman" w:hAnsi="Times New Roman"/>
          <w:color w:val="000000"/>
          <w:sz w:val="20"/>
        </w:rPr>
        <w:t xml:space="preserve">Except as described under “— </w:t>
      </w:r>
      <w:r>
        <w:rPr>
          <w:rFonts w:ascii="Times New Roman" w:hAnsi="Times New Roman"/>
          <w:i/>
          <w:color w:val="000000"/>
          <w:sz w:val="20"/>
        </w:rPr>
        <w:t>Events of Default</w:t>
      </w:r>
      <w:r>
        <w:rPr>
          <w:rFonts w:ascii="Times New Roman" w:hAnsi="Times New Roman"/>
          <w:color w:val="000000"/>
          <w:sz w:val="20"/>
        </w:rPr>
        <w:t xml:space="preserve">” and “— </w:t>
      </w:r>
      <w:r>
        <w:rPr>
          <w:rFonts w:ascii="Times New Roman" w:hAnsi="Times New Roman"/>
          <w:i/>
          <w:color w:val="000000"/>
          <w:sz w:val="20"/>
        </w:rPr>
        <w:t>Merger or Consolidation</w:t>
      </w:r>
      <w:r>
        <w:rPr>
          <w:rFonts w:ascii="Times New Roman" w:hAnsi="Times New Roman"/>
          <w:color w:val="000000"/>
          <w:sz w:val="20"/>
        </w:rPr>
        <w:t xml:space="preserve">” below, the indenture does not contain any provisions that give you protection in the event we issue a large amount of debt or we are acquired by another entity.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220" w:after="283"/>
        <w:jc w:val="both"/>
        <w:rPr>
          <w:rFonts w:ascii="Times New Roman" w:hAnsi="Times New Roman"/>
          <w:sz w:val="20"/>
        </w:rPr>
      </w:pPr>
      <w:r>
        <w:rPr>
          <w:rFonts w:ascii="Times New Roman" w:hAnsi="Times New Roman"/>
          <w:b/>
          <w:color w:val="000000"/>
          <w:sz w:val="20"/>
        </w:rPr>
        <w:t>Conversion and Exchange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220" w:after="283"/>
        <w:jc w:val="both"/>
        <w:rPr>
          <w:rFonts w:ascii="Times New Roman" w:hAnsi="Times New Roman"/>
          <w:sz w:val="20"/>
        </w:rPr>
      </w:pPr>
      <w:r>
        <w:rPr>
          <w:rFonts w:ascii="Times New Roman" w:hAnsi="Times New Roman"/>
          <w:b/>
          <w:color w:val="000000"/>
          <w:sz w:val="20"/>
        </w:rPr>
        <w:t>Issuance of Securities in Registered Form</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220" w:after="283"/>
        <w:jc w:val="both"/>
        <w:rPr>
          <w:rFonts w:ascii="Times New Roman" w:hAnsi="Times New Roman"/>
          <w:sz w:val="20"/>
        </w:rPr>
      </w:pPr>
      <w:r>
        <w:rPr>
          <w:rFonts w:ascii="Times New Roman" w:hAnsi="Times New Roman"/>
          <w:b/>
          <w:i/>
          <w:color w:val="000000"/>
          <w:sz w:val="20"/>
        </w:rPr>
        <w:t>Book-Entry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240" w:after="283"/>
        <w:jc w:val="both"/>
        <w:rPr>
          <w:rFonts w:ascii="Times New Roman" w:hAnsi="Times New Roman"/>
          <w:sz w:val="20"/>
        </w:rPr>
      </w:pPr>
      <w:r>
        <w:rPr>
          <w:rFonts w:ascii="Times New Roman" w:hAnsi="Times New Roman"/>
          <w:b/>
          <w:i/>
          <w:color w:val="000000"/>
          <w:sz w:val="20"/>
        </w:rPr>
        <w:t>Street Name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color w:val="000000"/>
          <w:sz w:val="20"/>
        </w:rPr>
        <w:t>Legal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240" w:after="283"/>
        <w:jc w:val="both"/>
        <w:rPr>
          <w:rFonts w:ascii="Times New Roman" w:hAnsi="Times New Roman"/>
          <w:sz w:val="20"/>
        </w:rPr>
      </w:pPr>
      <w:r>
        <w:rPr>
          <w:rFonts w:ascii="Times New Roman" w:hAnsi="Times New Roman"/>
          <w:b/>
          <w:i/>
          <w:color w:val="000000"/>
          <w:sz w:val="20"/>
        </w:rPr>
        <w:t>Special Considerations for Indirect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how it handles securities payments and notices,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it imposes fees or charges,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how it would handle a request for the holders’ consent, if ever required,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and how you can instruct it to send you debt securities registered in your own name so you can be a holder, if that is permitted in the future for a particular series of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how it would exercise rights under the debt securities if there were a default or other event triggering the need for holders to act to protect their interests,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if the debt securities are in book-entry form, how the depositary’s rules and procedures will affect these matters. </w:t>
      </w:r>
    </w:p>
    <w:p>
      <w:pPr>
        <w:pStyle w:val="TextBody"/>
        <w:bidi w:val="0"/>
        <w:spacing w:before="240" w:after="283"/>
        <w:jc w:val="both"/>
        <w:rPr>
          <w:rFonts w:ascii="Times New Roman" w:hAnsi="Times New Roman"/>
          <w:sz w:val="20"/>
        </w:rPr>
      </w:pPr>
      <w:r>
        <w:rPr>
          <w:rFonts w:ascii="Times New Roman" w:hAnsi="Times New Roman"/>
          <w:b/>
          <w:color w:val="000000"/>
          <w:sz w:val="20"/>
        </w:rPr>
        <w:t>Global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140" w:after="283"/>
        <w:jc w:val="both"/>
        <w:rPr>
          <w:rFonts w:ascii="Times New Roman" w:hAnsi="Times New Roman"/>
          <w:sz w:val="20"/>
        </w:rPr>
      </w:pPr>
      <w:r>
        <w:rPr>
          <w:rFonts w:ascii="Times New Roman" w:hAnsi="Times New Roman"/>
          <w:color w:val="000000"/>
          <w:sz w:val="20"/>
        </w:rPr>
        <w:t xml:space="preserve">A global security may not be transferred to or registered in the name of anyone other than the depositary or its nominee, unless special termination situations arise. We describe those situations below under “— </w:t>
      </w:r>
      <w:r>
        <w:rPr>
          <w:rFonts w:ascii="Times New Roman" w:hAnsi="Times New Roman"/>
          <w:i/>
          <w:color w:val="000000"/>
          <w:sz w:val="20"/>
        </w:rPr>
        <w:t>Special Situations when a Global Security Will Be Terminated</w:t>
      </w:r>
      <w:r>
        <w:rPr>
          <w:rFonts w:ascii="Times New Roman" w:hAnsi="Times New Roman"/>
          <w:color w:val="000000"/>
          <w:sz w:val="20"/>
        </w:rPr>
        <w:t xml:space="preserve">”.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i/>
          <w:color w:val="000000"/>
          <w:sz w:val="20"/>
        </w:rPr>
        <w:t>Special Considerations for Global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debt securities are issued only in the form of a global security, an investor should be aware of the following: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cannot cause the debt securities to be registered in his or her name, and cannot obtain certificates for his or her interest in the debt securities, except in the special situations we describe below.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 An investor will be an indirect holder and must look to his or her own bank or broker for payments on the debt securities and protection of his or her legal rights relating to the debt securities, as we describe under “— </w:t>
      </w:r>
      <w:r>
        <w:rPr>
          <w:rFonts w:ascii="Times New Roman" w:hAnsi="Times New Roman"/>
          <w:i/>
          <w:color w:val="000000"/>
          <w:sz w:val="20"/>
        </w:rPr>
        <w:t>Issuance of Securities in Registered Form</w:t>
      </w:r>
      <w:r>
        <w:rPr>
          <w:rFonts w:ascii="Times New Roman" w:hAnsi="Times New Roman"/>
          <w:color w:val="000000"/>
          <w:sz w:val="20"/>
        </w:rPr>
        <w:t xml:space="preserve">”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may not be able to sell interests in the debt securities to some insurance companies and other institutions that are required by law to own their securities in non-book-entry form.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may not be able to pledge his or her interest in a global security in circumstances where certificates representing the debt securities must be delivered to the lender or other beneficiary of the pledge in order for the pledge to be effective.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If we redeem less than all the debt securities of a particular series being redeemed, DTC’s practice is to determine by lot the amount to be redeemed from each of its participants holding that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DTC requires that those who purchase and sell interests in a global security deposited in its book-entry system use immediately available funds. Your broker or bank may also require you to use immediately available funds when purchasing or selling interests in a global security. </w:t>
      </w:r>
    </w:p>
    <w:p>
      <w:pPr>
        <w:pStyle w:val="TextBody"/>
        <w:bidi w:val="0"/>
        <w:spacing w:before="120" w:after="260"/>
        <w:jc w:val="both"/>
        <w:rPr>
          <w:rFonts w:ascii="Times New Roman" w:hAnsi="Times New Roman"/>
          <w:color w:val="000000"/>
          <w:sz w:val="20"/>
        </w:rPr>
      </w:pPr>
      <w:r>
        <w:rPr>
          <w:rFonts w:ascii="Times New Roman" w:hAnsi="Times New Roman"/>
          <w:color w:val="000000"/>
          <w:sz w:val="20"/>
        </w:rPr>
        <w:t xml:space="preserve"> 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p>
      <w:pPr>
        <w:pStyle w:val="TextBody"/>
        <w:bidi w:val="0"/>
        <w:jc w:val="both"/>
        <w:rPr>
          <w:rFonts w:ascii="Times New Roman" w:hAnsi="Times New Roman"/>
          <w:sz w:val="20"/>
        </w:rPr>
      </w:pPr>
      <w:r>
        <w:rPr>
          <w:rFonts w:ascii="Times New Roman" w:hAnsi="Times New Roman"/>
          <w:b/>
          <w:i/>
          <w:color w:val="000000"/>
          <w:sz w:val="20"/>
        </w:rPr>
        <w:t>Termination of a Global Security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w:t>
      </w:r>
      <w:r>
        <w:rPr>
          <w:rFonts w:ascii="Times New Roman" w:hAnsi="Times New Roman"/>
          <w:i/>
          <w:color w:val="000000"/>
          <w:sz w:val="20"/>
        </w:rPr>
        <w:t>Issuance of Securities in Registered Form</w:t>
      </w:r>
      <w:r>
        <w:rPr>
          <w:rFonts w:ascii="Times New Roman" w:hAnsi="Times New Roman"/>
          <w:color w:val="000000"/>
          <w:sz w:val="20"/>
        </w:rPr>
        <w:t xml:space="preserve">” above.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bidi w:val="0"/>
        <w:spacing w:before="220" w:after="283"/>
        <w:jc w:val="both"/>
        <w:rPr>
          <w:rFonts w:ascii="Times New Roman" w:hAnsi="Times New Roman"/>
          <w:sz w:val="20"/>
        </w:rPr>
      </w:pPr>
      <w:r>
        <w:rPr>
          <w:rFonts w:ascii="Times New Roman" w:hAnsi="Times New Roman"/>
          <w:b/>
          <w:color w:val="000000"/>
          <w:sz w:val="20"/>
        </w:rPr>
        <w:t>Payment and Paying Agents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220" w:after="283"/>
        <w:jc w:val="both"/>
        <w:rPr>
          <w:rFonts w:ascii="Times New Roman" w:hAnsi="Times New Roman"/>
          <w:sz w:val="20"/>
        </w:rPr>
      </w:pPr>
      <w:r>
        <w:rPr>
          <w:rFonts w:ascii="Times New Roman" w:hAnsi="Times New Roman"/>
          <w:b/>
          <w:color w:val="000000"/>
          <w:sz w:val="20"/>
        </w:rPr>
        <w:t>Payments on Global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220" w:after="283"/>
        <w:jc w:val="both"/>
        <w:rPr>
          <w:rFonts w:ascii="Times New Roman" w:hAnsi="Times New Roman"/>
          <w:sz w:val="20"/>
        </w:rPr>
      </w:pPr>
      <w:r>
        <w:rPr>
          <w:rFonts w:ascii="Times New Roman" w:hAnsi="Times New Roman"/>
          <w:b/>
          <w:color w:val="000000"/>
          <w:sz w:val="20"/>
        </w:rPr>
        <w:t>Payments on Certificated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 </w:t>
      </w:r>
    </w:p>
    <w:p>
      <w:pPr>
        <w:pStyle w:val="TextBody"/>
        <w:bidi w:val="0"/>
        <w:spacing w:before="240" w:after="283"/>
        <w:jc w:val="both"/>
        <w:rPr>
          <w:rFonts w:ascii="Times New Roman" w:hAnsi="Times New Roman"/>
          <w:sz w:val="20"/>
        </w:rPr>
      </w:pPr>
      <w:r>
        <w:rPr>
          <w:rFonts w:ascii="Times New Roman" w:hAnsi="Times New Roman"/>
          <w:b/>
          <w:color w:val="000000"/>
          <w:sz w:val="20"/>
        </w:rPr>
        <w:t>Payment When Offices Are Closed</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Book-entry and other indirect holders should consult their banks or brokers for information on how they will receive payments on their debt securities. </w:t>
      </w:r>
    </w:p>
    <w:p>
      <w:pPr>
        <w:pStyle w:val="TextBody"/>
        <w:bidi w:val="0"/>
        <w:spacing w:before="220" w:after="283"/>
        <w:jc w:val="both"/>
        <w:rPr>
          <w:rFonts w:ascii="Times New Roman" w:hAnsi="Times New Roman"/>
          <w:sz w:val="20"/>
        </w:rPr>
      </w:pPr>
      <w:r>
        <w:rPr>
          <w:rFonts w:ascii="Times New Roman" w:hAnsi="Times New Roman"/>
          <w:b/>
          <w:color w:val="000000"/>
          <w:sz w:val="20"/>
        </w:rPr>
        <w:t>Events of Default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will have rights if an Event of Default occurs in respect of the debt securities of your series and is not cured, as described later in this subsection.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term “Event of Default” in respect of the debt securities of your series means any of the following (unless the prospectus supplement relating to such debt securities states otherwise):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(1) we default in the payment of any interest upon a debt securities of the series when due and payable and the default continues for a period of 30 days;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(2) we default in the payment of the principal of (or premium, if any, on) a debt security of the series when it becomes due and payable at its maturity, including upon any redemption date or required repurchase date, and the default continues for a period of five days;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(3) 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(4)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(5) we file for bankruptcy or certain events of bankruptcy, insolvency, or reorganization involving us occur and remain undischarged or unstayed for a period of 60 days;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(6) we do not deposit any sinking fund payment in respect of debt securities of the series on its due date, and do not cure this default within five days; and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(7) any other Event of Default in respect of debt securities of the series described in the applicable prospectus supplement occurs.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 </w:t>
      </w:r>
    </w:p>
    <w:p>
      <w:pPr>
        <w:pStyle w:val="TextBody"/>
        <w:bidi w:val="0"/>
        <w:spacing w:before="220" w:after="283"/>
        <w:jc w:val="both"/>
        <w:rPr>
          <w:rFonts w:ascii="Times New Roman" w:hAnsi="Times New Roman"/>
          <w:sz w:val="20"/>
        </w:rPr>
      </w:pPr>
      <w:r>
        <w:rPr>
          <w:rFonts w:ascii="Times New Roman" w:hAnsi="Times New Roman"/>
          <w:b/>
          <w:i/>
          <w:color w:val="000000"/>
          <w:sz w:val="20"/>
        </w:rPr>
        <w:t>Remedies If an Event of Default Occurs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140" w:after="180"/>
        <w:jc w:val="both"/>
        <w:rPr>
          <w:rFonts w:ascii="Times New Roman" w:hAnsi="Times New Roman"/>
          <w:color w:val="000000"/>
          <w:sz w:val="20"/>
        </w:rPr>
      </w:pPr>
      <w:r>
        <w:rPr>
          <w:rFonts w:ascii="Times New Roman" w:hAnsi="Times New Roman"/>
          <w:color w:val="000000"/>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jc w:val="both"/>
        <w:rPr>
          <w:rFonts w:ascii="Times New Roman" w:hAnsi="Times New Roman"/>
          <w:color w:val="000000"/>
          <w:sz w:val="20"/>
        </w:rPr>
      </w:pPr>
      <w:r>
        <w:rPr>
          <w:rFonts w:ascii="Times New Roman" w:hAnsi="Times New Roman"/>
          <w:color w:val="000000"/>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You must give your trustee written notice that an Event of Default with respect to the relevant series of debt securities has occurred and remains uncured.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trustee must not have taken action for 60 days after receipt of the above notice and offer of security or indemnity.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holders of a majority in principal amount of the debt securities of that series must not have given the trustee a direction inconsistent with the above notice during that 60-day period.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However, you are entitled at any time to bring a lawsuit for the payment of money due on your debt securities on or after the due date.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Holders of a majority in principal amount of the debt securities of the affected series may waive any past defaults other than a default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payment of principal, any premium, or interest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respect of a covenant that cannot be modified or amended without the consent of each holder. </w:t>
      </w:r>
    </w:p>
    <w:p>
      <w:pPr>
        <w:pStyle w:val="TextBody"/>
        <w:bidi w:val="0"/>
        <w:spacing w:before="140" w:after="283"/>
        <w:jc w:val="left"/>
        <w:rPr>
          <w:rFonts w:ascii="Times New Roman" w:hAnsi="Times New Roman"/>
          <w:sz w:val="20"/>
        </w:rPr>
      </w:pPr>
      <w:r>
        <w:rPr>
          <w:rFonts w:ascii="Times New Roman" w:hAnsi="Times New Roman"/>
          <w:b/>
          <w:color w:val="000000"/>
          <w:sz w:val="20"/>
        </w:rPr>
        <w:t>Book-entry and other indirect holders should consult their banks or brokers for information on how to give notice or direction to or make a request of the trustee and how to declare or cancel an acceleration of maturity.</w:t>
      </w:r>
      <w:r>
        <w:rPr>
          <w:rFonts w:ascii="Times New Roman" w:hAnsi="Times New Roman"/>
          <w:color w:val="000000"/>
          <w:sz w:val="20"/>
        </w:rPr>
        <w:t xml:space="preserv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Merger, Consolidation or Sale of Assets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immediately before and immediately after giving effect to such transaction or series of related transactions, no default or Event of Default shall have occurred and be continuing;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before="240" w:after="283"/>
        <w:jc w:val="both"/>
        <w:rPr>
          <w:rFonts w:ascii="Times New Roman" w:hAnsi="Times New Roman"/>
          <w:sz w:val="20"/>
        </w:rPr>
      </w:pPr>
      <w:r>
        <w:rPr>
          <w:rFonts w:ascii="Times New Roman" w:hAnsi="Times New Roman"/>
          <w:b/>
          <w:color w:val="000000"/>
          <w:sz w:val="20"/>
        </w:rPr>
        <w:t>Modification or Waiver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There are three types of changes we can make to the indenture and the debt securities issued thereunder.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Requiring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First, there are changes that we cannot make to the debt securities without the specific approval by the holders of debt securities. The following is a list of those types of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the stated maturity of the principal of or interest on the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any amounts due on the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amount of principal payable upon acceleration of the maturity of a security following a default;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adversely affect any right of repayment at the holder’s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the place (except as otherwise described in the prospectus or prospectus supplement) or currency of payment on a debt security;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impair your right to sue for payment;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adversely affect any right to convert or exchange a debt security in accordance with its terms;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modify the subordination provisions in the indenture in a manner that is adverse to outstanding holders of the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debt securities whose consent is needed to modify or amend the indenture;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debt securities whose consent is needed to waive compliance with certain provisions of the indenture or to waive certain defaults;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modify certain of the provisions of the indenture dealing with supplemental indentures, modification and waiver of past defaults, changes to the quorum or voting requirements or the waiver of certain covenants;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any obligation we have to pay additional amounts.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Not Requiring Approval</w:t>
      </w:r>
      <w:r>
        <w:rPr>
          <w:rFonts w:ascii="Times New Roman" w:hAnsi="Times New Roman"/>
          <w:color w:val="000000"/>
          <w:sz w:val="20"/>
        </w:rPr>
        <w:t xml:space="preserve"> </w:t>
      </w:r>
    </w:p>
    <w:p>
      <w:pPr>
        <w:pStyle w:val="TextBody"/>
        <w:bidi w:val="0"/>
        <w:spacing w:before="160" w:after="260"/>
        <w:jc w:val="both"/>
        <w:rPr>
          <w:rFonts w:ascii="Times New Roman" w:hAnsi="Times New Roman"/>
          <w:color w:val="000000"/>
          <w:sz w:val="20"/>
        </w:rPr>
      </w:pPr>
      <w:r>
        <w:rPr>
          <w:rFonts w:ascii="Times New Roman" w:hAnsi="Times New Roman"/>
          <w:color w:val="000000"/>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events of default. We also do not need any approval to make any change that affects only debt securities to be issued under the indenture after the change takes effect. </w:t>
      </w:r>
    </w:p>
    <w:p>
      <w:pPr>
        <w:pStyle w:val="TextBody"/>
        <w:bidi w:val="0"/>
        <w:jc w:val="both"/>
        <w:rPr>
          <w:rFonts w:ascii="Times New Roman" w:hAnsi="Times New Roman"/>
          <w:sz w:val="20"/>
        </w:rPr>
      </w:pPr>
      <w:r>
        <w:rPr>
          <w:rFonts w:ascii="Times New Roman" w:hAnsi="Times New Roman"/>
          <w:b/>
          <w:i/>
          <w:color w:val="000000"/>
          <w:sz w:val="20"/>
        </w:rPr>
        <w:t>Changes Requiring Majority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other change to the indenture and the debt securities would require the following approval: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change affects only one series of debt securities, it must be approved by the holders of a majority in principal amount of that series.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w:t>
      </w:r>
      <w:r>
        <w:rPr>
          <w:rFonts w:ascii="Times New Roman" w:hAnsi="Times New Roman"/>
          <w:i/>
          <w:color w:val="000000"/>
          <w:sz w:val="20"/>
        </w:rPr>
        <w:t>Changes Requiring Your Approval</w:t>
      </w:r>
      <w:r>
        <w:rPr>
          <w:rFonts w:ascii="Times New Roman" w:hAnsi="Times New Roman"/>
          <w:color w:val="000000"/>
          <w:sz w:val="20"/>
        </w:rPr>
        <w:t xml:space="preserve">.” </w:t>
      </w:r>
    </w:p>
    <w:p>
      <w:pPr>
        <w:pStyle w:val="TextBody"/>
        <w:bidi w:val="0"/>
        <w:spacing w:before="220" w:after="283"/>
        <w:jc w:val="both"/>
        <w:rPr>
          <w:rFonts w:ascii="Times New Roman" w:hAnsi="Times New Roman"/>
          <w:sz w:val="20"/>
        </w:rPr>
      </w:pPr>
      <w:r>
        <w:rPr>
          <w:rFonts w:ascii="Times New Roman" w:hAnsi="Times New Roman"/>
          <w:b/>
          <w:color w:val="000000"/>
          <w:sz w:val="20"/>
        </w:rPr>
        <w:t>Further Details Concerning Voting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When taking a vote, we will use the following rules to decide how much principal to attribute to a debt security: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For original issue discount securities, we will use the principal amount that would be due and payable on the voting date if the maturity of these debt securities were accelerated to that date because of a default.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For debt securities whose principal amount is not known (for example, because it is based on an index), we will use a special rule for that debt security described in the prospectus supplement.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For debt securities denominated in one or more foreign currencies, we will use the U.S. dollar equivalent. </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 Debt securities will not be considered outstanding, and therefore not eligible to vote, if we have deposited or set aside in trust money for their payment or redemption. Debt securities will also not be eligible to vote if they have been fully defeased as described later under “— </w:t>
      </w:r>
      <w:r>
        <w:rPr>
          <w:rFonts w:ascii="Times New Roman" w:hAnsi="Times New Roman"/>
          <w:i/>
          <w:color w:val="000000"/>
          <w:sz w:val="20"/>
        </w:rPr>
        <w:t>Defeasance — Full Defeasance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Satisfaction and Discharge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 </w:t>
      </w:r>
    </w:p>
    <w:p>
      <w:pPr>
        <w:pStyle w:val="TextBody"/>
        <w:bidi w:val="0"/>
        <w:spacing w:before="220" w:after="283"/>
        <w:jc w:val="both"/>
        <w:rPr>
          <w:rFonts w:ascii="Times New Roman" w:hAnsi="Times New Roman"/>
          <w:sz w:val="20"/>
        </w:rPr>
      </w:pPr>
      <w:r>
        <w:rPr>
          <w:rFonts w:ascii="Times New Roman" w:hAnsi="Times New Roman"/>
          <w:b/>
          <w:color w:val="000000"/>
          <w:sz w:val="20"/>
        </w:rPr>
        <w:t>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240" w:after="283"/>
        <w:jc w:val="both"/>
        <w:rPr>
          <w:rFonts w:ascii="Times New Roman" w:hAnsi="Times New Roman"/>
          <w:sz w:val="20"/>
        </w:rPr>
      </w:pPr>
      <w:r>
        <w:rPr>
          <w:rFonts w:ascii="Times New Roman" w:hAnsi="Times New Roman"/>
          <w:b/>
          <w:i/>
          <w:color w:val="000000"/>
          <w:sz w:val="20"/>
        </w:rPr>
        <w:t>Covenant 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w:t>
      </w:r>
      <w:r>
        <w:rPr>
          <w:rFonts w:ascii="Times New Roman" w:hAnsi="Times New Roman"/>
          <w:i/>
          <w:color w:val="000000"/>
          <w:sz w:val="20"/>
        </w:rPr>
        <w:t>Indenture Provisions — Subordination</w:t>
      </w:r>
      <w:r>
        <w:rPr>
          <w:rFonts w:ascii="Times New Roman" w:hAnsi="Times New Roman"/>
          <w:color w:val="000000"/>
          <w:sz w:val="20"/>
        </w:rPr>
        <w:t xml:space="preserve">” below. In order to achieve covenant defeasance, we must do the following: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and officers’ certificate stating that all conditions precedent to covenant defeasance have been complied with.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Covenant defeasance must not result in a breach or violation of, or result in a default under, the indenture or any of our other material agreements or instruments.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No default or Event of Default with respect to such debt securities and any coupons appertaining thereto shall have occurred and be continuing and no defaults or events of default related to bankruptcy, insolvency or reorganization shall occur during the next 90 days.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Satisfy the conditions for covenant defeasance contained in any supplemental indentures.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220" w:after="283"/>
        <w:jc w:val="both"/>
        <w:rPr>
          <w:rFonts w:ascii="Times New Roman" w:hAnsi="Times New Roman"/>
          <w:sz w:val="20"/>
        </w:rPr>
      </w:pPr>
      <w:r>
        <w:rPr>
          <w:rFonts w:ascii="Times New Roman" w:hAnsi="Times New Roman"/>
          <w:b/>
          <w:i/>
          <w:color w:val="000000"/>
          <w:sz w:val="20"/>
        </w:rPr>
        <w:t>Legal 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accountants, to make interest, principal and any other payments on the debt securities of the particular series on their various due dates. </w:t>
      </w:r>
    </w:p>
    <w:p>
      <w:pPr>
        <w:pStyle w:val="TextBody"/>
        <w:bidi w:val="0"/>
        <w:spacing w:before="100" w:after="160"/>
        <w:jc w:val="both"/>
        <w:rPr>
          <w:rFonts w:ascii="Times New Roman" w:hAnsi="Times New Roman"/>
          <w:color w:val="000000"/>
          <w:sz w:val="20"/>
        </w:rPr>
      </w:pPr>
      <w:r>
        <w:rPr>
          <w:rFonts w:ascii="Times New Roman" w:hAnsi="Times New Roman"/>
          <w:color w:val="000000"/>
          <w:sz w:val="20"/>
        </w:rPr>
        <w:t xml:space="preserve"> 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p>
      <w:pPr>
        <w:pStyle w:val="TextBody"/>
        <w:bidi w:val="0"/>
        <w:jc w:val="both"/>
        <w:rPr>
          <w:rFonts w:ascii="Times New Roman" w:hAnsi="Times New Roman"/>
          <w:color w:val="000000"/>
          <w:sz w:val="20"/>
        </w:rPr>
      </w:pPr>
      <w:r>
        <w:rPr>
          <w:rFonts w:ascii="Times New Roman" w:hAnsi="Times New Roman"/>
          <w:color w:val="000000"/>
          <w:sz w:val="20"/>
        </w:rPr>
        <w:t xml:space="preserve"> We must deliver to the trustee a legal opinion and officers’ certificate stating that all conditions precedent to defeasance have been complied with.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 Defeasance must not result in a breach or violation of, or result in a default under, the indenture or any of our other material agreements or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No default or Event of Default with respect to such debt securities and any coupons appertaining thereto shall have occurred and be continuing and no defaults or events of default related to bankruptcy, insolvency or reorganization shall occur during the next 90 days.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Satisfy the conditions for covenant defeasance contained in any supplemental indentures. </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 </w:t>
      </w:r>
      <w:r>
        <w:rPr>
          <w:rFonts w:ascii="Times New Roman" w:hAnsi="Times New Roman"/>
          <w:i/>
          <w:color w:val="000000"/>
          <w:sz w:val="20"/>
        </w:rPr>
        <w:t>Indenture Provisions — Subordination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Form, Exchange and Transfer of Certificated Registered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registered debt securities cease to be issued in book-entry form, they will be issued: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only in fully registered certificated form,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 without interest coupons,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unless we indicate otherwise in the prospectus supplement, in denominations of $1,000 and amounts that are multiples of $1,000.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240" w:after="283"/>
        <w:jc w:val="both"/>
        <w:rPr>
          <w:rFonts w:ascii="Times New Roman" w:hAnsi="Times New Roman"/>
          <w:sz w:val="20"/>
        </w:rPr>
      </w:pPr>
      <w:r>
        <w:rPr>
          <w:rFonts w:ascii="Times New Roman" w:hAnsi="Times New Roman"/>
          <w:b/>
          <w:color w:val="000000"/>
          <w:sz w:val="20"/>
        </w:rPr>
        <w:t>Resignation of Trustee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220" w:after="283"/>
        <w:jc w:val="both"/>
        <w:rPr>
          <w:rFonts w:ascii="Times New Roman" w:hAnsi="Times New Roman"/>
          <w:sz w:val="20"/>
        </w:rPr>
      </w:pPr>
      <w:r>
        <w:rPr>
          <w:rFonts w:ascii="Times New Roman" w:hAnsi="Times New Roman"/>
          <w:b/>
          <w:color w:val="000000"/>
          <w:sz w:val="20"/>
        </w:rPr>
        <w:t>Indenture Provisions — Subordination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140" w:after="283"/>
        <w:jc w:val="both"/>
        <w:rPr/>
      </w:pPr>
      <w:r>
        <w:rPr>
          <w:color w:val="000000"/>
        </w:rPr>
        <w:t>“</w:t>
      </w:r>
      <w:r>
        <w:rPr>
          <w:rFonts w:ascii="Times New Roman" w:hAnsi="Times New Roman"/>
          <w:color w:val="000000"/>
          <w:sz w:val="20"/>
        </w:rPr>
        <w:t xml:space="preserve">Senior Indebtedness” is defined in the indenture as the principal of (and premium, if any) and unpaid interest 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renewals, extensions, modifications and refinancings of any of this indebtedness.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before="220" w:after="283"/>
        <w:jc w:val="both"/>
        <w:rPr>
          <w:rFonts w:ascii="Times New Roman" w:hAnsi="Times New Roman"/>
          <w:sz w:val="20"/>
        </w:rPr>
      </w:pPr>
      <w:r>
        <w:rPr>
          <w:rFonts w:ascii="Times New Roman" w:hAnsi="Times New Roman"/>
          <w:b/>
          <w:color w:val="000000"/>
          <w:sz w:val="20"/>
        </w:rPr>
        <w:t>Secured Indebtedness and Ranking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240" w:after="283"/>
        <w:jc w:val="both"/>
        <w:rPr>
          <w:rFonts w:ascii="Times New Roman" w:hAnsi="Times New Roman"/>
          <w:sz w:val="20"/>
        </w:rPr>
      </w:pPr>
      <w:r>
        <w:rPr>
          <w:rFonts w:ascii="Times New Roman" w:hAnsi="Times New Roman"/>
          <w:b/>
          <w:color w:val="000000"/>
          <w:sz w:val="20"/>
        </w:rPr>
        <w:t>The Trustee under the Indenture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intend to use a nationally recognized financial institution to serve as the trustee under the indenture. </w:t>
      </w:r>
    </w:p>
    <w:p>
      <w:pPr>
        <w:pStyle w:val="TextBody"/>
        <w:bidi w:val="0"/>
        <w:spacing w:before="240" w:after="283"/>
        <w:jc w:val="both"/>
        <w:rPr>
          <w:rFonts w:ascii="Times New Roman" w:hAnsi="Times New Roman"/>
          <w:sz w:val="20"/>
        </w:rPr>
      </w:pPr>
      <w:r>
        <w:rPr>
          <w:rFonts w:ascii="Times New Roman" w:hAnsi="Times New Roman"/>
          <w:b/>
          <w:color w:val="000000"/>
          <w:sz w:val="20"/>
        </w:rPr>
        <w:t>Certain Considerations Relating To Foreign Currencies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240" w:after="283"/>
        <w:jc w:val="both"/>
        <w:rPr>
          <w:rFonts w:ascii="Times New Roman" w:hAnsi="Times New Roman"/>
          <w:sz w:val="20"/>
        </w:rPr>
      </w:pPr>
      <w:r>
        <w:rPr>
          <w:rFonts w:ascii="Times New Roman" w:hAnsi="Times New Roman"/>
          <w:b/>
          <w:color w:val="000000"/>
          <w:sz w:val="20"/>
        </w:rPr>
        <w:t>Book-Entry Debt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has advised us that it is: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limited purpose trust company organized under the laws of the State of New York;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“banking organization” within the meaning of the New York State Banking Law;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member of the Federal Reserve System;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“clearing corporation” within the meaning of the Uniform Commercial Code;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“clearing agency” registered under Section 17A of the Exchange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in this section concerning DTC and DTC’s book-entry system has been obtained from sources that we believe to be reliable, but we take no responsibility for the accuracy thereof.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1" w:name="treg"/>
      <w:bookmarkEnd w:id="41"/>
      <w:r>
        <w:rPr>
          <w:rFonts w:ascii="Times New Roman" w:hAnsi="Times New Roman"/>
          <w:b/>
          <w:color w:val="000000"/>
          <w:sz w:val="20"/>
        </w:rPr>
        <w:t>REGULATION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contained in “</w:t>
      </w:r>
      <w:r>
        <w:rPr>
          <w:rFonts w:ascii="Times New Roman" w:hAnsi="Times New Roman"/>
          <w:i/>
          <w:color w:val="000000"/>
          <w:sz w:val="20"/>
        </w:rPr>
        <w:t>Part I, Item 1. Business — Regulation as a Business Development Company</w:t>
      </w:r>
      <w:r>
        <w:rPr>
          <w:rFonts w:ascii="Times New Roman" w:hAnsi="Times New Roman"/>
          <w:color w:val="000000"/>
          <w:sz w:val="20"/>
        </w:rPr>
        <w:t xml:space="preserve">” of our most recent Annual Report on Form 10-K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2" w:name="tpod"/>
      <w:bookmarkEnd w:id="42"/>
      <w:r>
        <w:rPr>
          <w:rFonts w:ascii="Times New Roman" w:hAnsi="Times New Roman"/>
          <w:b/>
          <w:color w:val="000000"/>
          <w:sz w:val="20"/>
        </w:rPr>
        <w:t>PLAN OF DISTRIBUTION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offer, from time to time, in one or more offerings or series, up to $250,000,000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10%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bidi w:val="0"/>
        <w:jc w:val="both"/>
        <w:rPr>
          <w:rFonts w:ascii="Times New Roman" w:hAnsi="Times New Roman"/>
          <w:color w:val="000000"/>
          <w:sz w:val="20"/>
        </w:rPr>
      </w:pPr>
      <w:r>
        <w:rPr>
          <w:rFonts w:ascii="Times New Roman" w:hAnsi="Times New Roman"/>
          <w:color w:val="000000"/>
          <w:sz w:val="20"/>
        </w:rPr>
        <w:t xml:space="preserve">Unless otherwise specified in the applicable prospectus supplement, each class or series of securities will be a new issue with no trading market, other than our common stock, which is traded on Nasdaq. We may elect to list any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other class or series of securities on any exchanges, but we are not obligated to do so. We cannot guarantee the liquidity of the trading markets for any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order to comply with the securities laws of certain states, if applicable, the securities offered hereby will be sold in such jurisdictions only through registered or licensed brokers or dealers.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80 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3" w:name="tctad"/>
      <w:bookmarkEnd w:id="43"/>
      <w:r>
        <w:rPr>
          <w:rFonts w:ascii="Times New Roman" w:hAnsi="Times New Roman"/>
          <w:b/>
          <w:color w:val="000000"/>
          <w:sz w:val="20"/>
        </w:rPr>
        <w:t>CUSTODIAN, TRANSFER AND DIVIDEND PAYING AGENT AND REGISTRAR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securities and loan documents are held by U.S. Bank, National Association, pursuant to a custodian agreement. The principal business address of U.S. Bank, National Association, is 190 S. LaSalle Street, 8th Floor, Chicago, IL 60603. American Stock Transfer &amp; Trust Company LLC will serve as our transfer agent, distribution paying agent and registrar. The principal business address of American Stock Transfer &amp; Trust Company LLC is 6201 15th Avenue, Brooklyn, NY 11219. </w:t>
      </w:r>
    </w:p>
    <w:p>
      <w:pPr>
        <w:pStyle w:val="TextBody"/>
        <w:bidi w:val="0"/>
        <w:spacing w:before="240" w:after="283"/>
        <w:jc w:val="center"/>
        <w:rPr>
          <w:rFonts w:ascii="Times New Roman" w:hAnsi="Times New Roman"/>
          <w:sz w:val="20"/>
        </w:rPr>
      </w:pPr>
      <w:bookmarkStart w:id="44" w:name="tbaao"/>
      <w:bookmarkEnd w:id="44"/>
      <w:r>
        <w:rPr>
          <w:rFonts w:ascii="Times New Roman" w:hAnsi="Times New Roman"/>
          <w:b/>
          <w:color w:val="000000"/>
          <w:sz w:val="20"/>
        </w:rPr>
        <w:t>BROKERAGE ALLOCATION AND OTHER PRACTICES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1934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240" w:after="283"/>
        <w:jc w:val="center"/>
        <w:rPr>
          <w:rFonts w:ascii="Times New Roman" w:hAnsi="Times New Roman"/>
          <w:sz w:val="20"/>
        </w:rPr>
      </w:pPr>
      <w:bookmarkStart w:id="45" w:name="tlema"/>
      <w:bookmarkEnd w:id="45"/>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validity of the common stock offered hereby and certain legal matters for us in connection with the offering will be passed upon for us by Eversheds Sutherland (US) LLP. Eversheds Sutherland (US) LLP also represents the Adviser.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legal matters in connection with the offering will be passed upon for the underwriters, if any, by the counsel named in the prospectus supplement. </w:t>
      </w:r>
    </w:p>
    <w:p>
      <w:pPr>
        <w:pStyle w:val="TextBody"/>
        <w:bidi w:val="0"/>
        <w:spacing w:before="240" w:after="283"/>
        <w:jc w:val="center"/>
        <w:rPr>
          <w:rFonts w:ascii="Times New Roman" w:hAnsi="Times New Roman"/>
          <w:sz w:val="20"/>
        </w:rPr>
      </w:pPr>
      <w:bookmarkStart w:id="46" w:name="tirpa"/>
      <w:bookmarkEnd w:id="46"/>
      <w:r>
        <w:rPr>
          <w:rFonts w:ascii="Times New Roman" w:hAnsi="Times New Roman"/>
          <w:b/>
          <w:color w:val="000000"/>
          <w:sz w:val="20"/>
        </w:rPr>
        <w:t>INDEPENDENT REGISTERED PUBLIC ACCOUNTING FIRM</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consolidated financial statements, financial highlights, and senior securities table of Runway Growth Finance Corp. as of December 31, 2023 and 2022 and for each of the years in the three-year period ended December 31, 2023 incorporated in this prospectus by reference from the Runway Growth Finance Corp. Annual Report on Form 10-K for the year ended December 31, 2023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address of RSM US LLP is 30 South Wacker Drive, Suite 3300, Chicago, Illinois 60606. </w:t>
      </w:r>
    </w:p>
    <w:p>
      <w:pPr>
        <w:pStyle w:val="TextBody"/>
        <w:bidi w:val="0"/>
        <w:spacing w:before="240" w:after="283"/>
        <w:jc w:val="center"/>
        <w:rPr>
          <w:rFonts w:ascii="Times New Roman" w:hAnsi="Times New Roman"/>
          <w:sz w:val="20"/>
        </w:rPr>
      </w:pPr>
      <w:bookmarkStart w:id="47" w:name="tavin"/>
      <w:bookmarkEnd w:id="47"/>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also file with or submit to the SEC periodic and current reports, proxy statements and other information meeting the informational requirements of the 1934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furnish our stockholders with annual reports containing audited financial statements, quarterly reports, and such other periodic reports as we determine to be appropriate or as may be required by law.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make available on our website (https://runwaygrowth.com/document-center/) our annual reports on Form 10-K, quarterly reports on Form 10-Q and our current reports on Form 8-K. The SEC also maintains a website (www.sec.gov) that contains such information. The reference to our website is an inactive textual reference only and the information contained on our website or the SEC’s website is not incorporated as a part of this prospectus.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81 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may also obtain such information free of charge by contacting us in writing at 205 N. Michigan Ave., Suite 4200, Chicago, IL 60601, or by emailing us at investors@runwaygrowth.com. </w:t>
      </w:r>
    </w:p>
    <w:p>
      <w:pPr>
        <w:pStyle w:val="TextBody"/>
        <w:bidi w:val="0"/>
        <w:spacing w:before="240" w:after="283"/>
        <w:jc w:val="center"/>
        <w:rPr>
          <w:rFonts w:ascii="Times New Roman" w:hAnsi="Times New Roman"/>
          <w:sz w:val="20"/>
        </w:rPr>
      </w:pPr>
      <w:bookmarkStart w:id="48" w:name="tioci"/>
      <w:bookmarkEnd w:id="48"/>
      <w:r>
        <w:rPr>
          <w:rFonts w:ascii="Times New Roman" w:hAnsi="Times New Roman"/>
          <w:b/>
          <w:color w:val="000000"/>
          <w:sz w:val="20"/>
        </w:rPr>
        <w:t>INCORPORATION OF CERTAIN INFORMATION BY REFERENCE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prospectus incorporates by reference the documents set forth below that have been previously filed with the SEC: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Annual Report on Form 10-K for the fiscal year ended December 31, 2023, filed with the SEC on March 7,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Definitive Proxy Statement on Schedule 14A, filed with the SEC on July 3,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Definitive Proxy Statement on Schedule 14A, filed with the SEC on December 13,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Quarterly Reports on Form 10-Q for the fiscal quarters ended March 31, 2024, June 30, 2024 and September 30, 2024, filed with the SEC on May 7, 2024, August 8, 2024, and November 12, 2024,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Current Reports on Form 8-K (other than information furnished rather than filed) filed with the SEC on January 11, 2024, March 7, 2024 (Two filing), April 9, 2024, May 7, 2024, May 15, 2024, July 11, 2024, August 8, 2024, August 26, 2024, October 8, 2024, November 1, 2024, November 12, 2024, November 18, 2024 and March 17, 2025;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description of our Common Stock referenced in our Registration Statement on Form 8-A (No. 001-40938), as filed with the SEC on October 20, 2021, including any amendment or report filed for the purpose of updating such description prior to the termination of the offering of the common stock registered hereby.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See “Available </w:t>
      </w:r>
      <w:r>
        <w:rPr>
          <w:rFonts w:ascii="Times New Roman" w:hAnsi="Times New Roman"/>
          <w:i/>
          <w:color w:val="000000"/>
          <w:sz w:val="20"/>
        </w:rPr>
        <w:t>Information</w:t>
      </w:r>
      <w:r>
        <w:rPr>
          <w:rFonts w:ascii="Times New Roman" w:hAnsi="Times New Roman"/>
          <w:color w:val="000000"/>
          <w:sz w:val="20"/>
        </w:rPr>
        <w:t>” for information on how to obtain a copy of these filings</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82 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20" w:space="1" w:color="000000"/>
        </w:pBdr>
        <w:bidi w:val="0"/>
        <w:jc w:val="left"/>
        <w:rPr/>
      </w:pPr>
      <w:r>
        <w:rPr/>
        <w:t> </w:t>
      </w:r>
    </w:p>
    <w:p>
      <w:pPr>
        <w:pStyle w:val="TextBody"/>
        <w:pBdr>
          <w:bottom w:val="single" w:sz="10" w:space="1" w:color="000000"/>
        </w:pBdr>
        <w:bidi w:val="0"/>
        <w:spacing w:before="60" w:after="283"/>
        <w:jc w:val="left"/>
        <w:rPr/>
      </w:pPr>
      <w:r>
        <w:rPr/>
        <w:t> </w:t>
      </w:r>
    </w:p>
    <w:p>
      <w:pPr>
        <w:pStyle w:val="TextBody"/>
        <w:bidi w:val="0"/>
        <w:spacing w:before="720" w:after="283"/>
        <w:jc w:val="center"/>
        <w:rPr>
          <w:rFonts w:ascii="Times New Roman" w:hAnsi="Times New Roman"/>
          <w:b/>
          <w:color w:val="000000"/>
          <w:sz w:val="28"/>
        </w:rPr>
      </w:pPr>
      <w:r>
        <w:rPr>
          <w:rFonts w:ascii="Times New Roman" w:hAnsi="Times New Roman"/>
          <w:b/>
          <w:color w:val="000000"/>
          <w:sz w:val="28"/>
        </w:rPr>
        <w:t>$45,000,000</w:t>
      </w:r>
    </w:p>
    <w:p>
      <w:pPr>
        <w:pStyle w:val="TextBody"/>
        <w:bidi w:val="0"/>
        <w:spacing w:before="240" w:after="283"/>
        <w:jc w:val="center"/>
        <w:rPr>
          <w:rFonts w:ascii="Times New Roman" w:hAnsi="Times New Roman"/>
          <w:sz w:val="36"/>
        </w:rPr>
      </w:pPr>
      <w:r>
        <w:rPr>
          <w:rFonts w:ascii="Times New Roman" w:hAnsi="Times New Roman"/>
          <w:b/>
          <w:color w:val="000000"/>
          <w:sz w:val="36"/>
        </w:rPr>
        <w:t>Runway Growth Finance Corp.</w:t>
      </w:r>
      <w:r>
        <w:rPr>
          <w:rFonts w:ascii="Times New Roman" w:hAnsi="Times New Roman"/>
          <w:color w:val="000000"/>
          <w:sz w:val="36"/>
        </w:rPr>
        <w:t xml:space="preserve"> </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7.75% Notes due 2031</w:t>
      </w:r>
    </w:p>
    <w:p>
      <w:pPr>
        <w:pStyle w:val="TextBody"/>
        <w:pBdr>
          <w:bottom w:val="single" w:sz="5" w:space="1" w:color="000000"/>
        </w:pBdr>
        <w:bidi w:val="0"/>
        <w:spacing w:before="720" w:after="283"/>
        <w:jc w:val="left"/>
        <w:rPr/>
      </w:pPr>
      <w:r>
        <w:rPr/>
        <w:t> </w:t>
      </w:r>
    </w:p>
    <w:p>
      <w:pPr>
        <w:pStyle w:val="TextBody"/>
        <w:bidi w:val="0"/>
        <w:spacing w:before="280" w:after="283"/>
        <w:jc w:val="center"/>
        <w:rPr>
          <w:rFonts w:ascii="Times New Roman" w:hAnsi="Times New Roman"/>
          <w:sz w:val="24"/>
        </w:rPr>
      </w:pPr>
      <w:r>
        <w:rPr>
          <w:rFonts w:ascii="Times New Roman" w:hAnsi="Times New Roman"/>
          <w:b/>
          <w:color w:val="000000"/>
          <w:sz w:val="24"/>
        </w:rPr>
        <w:t>PROSPECTUS SUPPLEMENT</w:t>
      </w:r>
      <w:r>
        <w:rPr>
          <w:rFonts w:ascii="Times New Roman" w:hAnsi="Times New Roman"/>
          <w:color w:val="000000"/>
          <w:sz w:val="24"/>
        </w:rPr>
        <w:t xml:space="preserve"> </w:t>
      </w:r>
    </w:p>
    <w:p>
      <w:pPr>
        <w:pStyle w:val="TextBody"/>
        <w:pBdr>
          <w:bottom w:val="single" w:sz="5" w:space="1" w:color="000000"/>
        </w:pBdr>
        <w:bidi w:val="0"/>
        <w:spacing w:before="180" w:after="283"/>
        <w:jc w:val="left"/>
        <w:rPr/>
      </w:pPr>
      <w:r>
        <w:rPr/>
        <w:t> </w:t>
      </w:r>
    </w:p>
    <w:p>
      <w:pPr>
        <w:pStyle w:val="TextBody"/>
        <w:bidi w:val="0"/>
        <w:spacing w:before="720" w:after="120"/>
        <w:jc w:val="center"/>
        <w:rPr>
          <w:rFonts w:ascii="Times New Roman" w:hAnsi="Times New Roman"/>
          <w:sz w:val="20"/>
        </w:rPr>
      </w:pPr>
      <w:r>
        <w:rPr>
          <w:rFonts w:ascii="Times New Roman" w:hAnsi="Times New Roman"/>
          <w:i/>
          <w:color w:val="000000"/>
          <w:sz w:val="20"/>
        </w:rPr>
        <w:t>Joint Book-Running Managers</w:t>
      </w:r>
      <w:r>
        <w:rPr>
          <w:rFonts w:ascii="Times New Roman" w:hAnsi="Times New Roman"/>
          <w:color w:val="000000"/>
          <w:sz w:val="20"/>
        </w:rPr>
        <w:t xml:space="preserve"> </w:t>
      </w:r>
    </w:p>
    <w:tbl>
      <w:tblPr>
        <w:tblW w:w="7999" w:type="dxa"/>
        <w:jc w:val="left"/>
        <w:tblInd w:w="0" w:type="dxa"/>
        <w:tblLayout w:type="fixed"/>
        <w:tblCellMar>
          <w:top w:w="28" w:type="dxa"/>
          <w:left w:w="28" w:type="dxa"/>
          <w:bottom w:w="28" w:type="dxa"/>
          <w:right w:w="28" w:type="dxa"/>
        </w:tblCellMar>
      </w:tblPr>
      <w:tblGrid>
        <w:gridCol w:w="2326"/>
        <w:gridCol w:w="2131"/>
        <w:gridCol w:w="2626"/>
        <w:gridCol w:w="916"/>
      </w:tblGrid>
      <w:tr>
        <w:trPr/>
        <w:tc>
          <w:tcPr>
            <w:tcW w:w="232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Oppenheimer &amp; Co.</w:t>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 Riley Securities</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Lucid Capital Markets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MUFG</w:t>
            </w:r>
          </w:p>
        </w:tc>
      </w:tr>
    </w:tbl>
    <w:p>
      <w:pPr>
        <w:pStyle w:val="TextBody"/>
        <w:bidi w:val="0"/>
        <w:spacing w:before="460" w:after="120"/>
        <w:jc w:val="center"/>
        <w:rPr>
          <w:rFonts w:ascii="Times New Roman" w:hAnsi="Times New Roman"/>
          <w:i/>
          <w:color w:val="000000"/>
          <w:sz w:val="20"/>
        </w:rPr>
      </w:pPr>
      <w:r>
        <w:rPr>
          <w:rFonts w:ascii="Times New Roman" w:hAnsi="Times New Roman"/>
          <w:i/>
          <w:color w:val="000000"/>
          <w:sz w:val="20"/>
        </w:rPr>
        <w:t>Co-Managers</w:t>
      </w:r>
    </w:p>
    <w:tbl>
      <w:tblPr>
        <w:tblW w:w="10205" w:type="dxa"/>
        <w:jc w:val="left"/>
        <w:tblInd w:w="0" w:type="dxa"/>
        <w:tblLayout w:type="fixed"/>
        <w:tblCellMar>
          <w:top w:w="28" w:type="dxa"/>
          <w:left w:w="28" w:type="dxa"/>
          <w:bottom w:w="28" w:type="dxa"/>
          <w:right w:w="28" w:type="dxa"/>
        </w:tblCellMar>
      </w:tblPr>
      <w:tblGrid>
        <w:gridCol w:w="1337"/>
        <w:gridCol w:w="1616"/>
        <w:gridCol w:w="1126"/>
        <w:gridCol w:w="2250"/>
        <w:gridCol w:w="1499"/>
        <w:gridCol w:w="2377"/>
      </w:tblGrid>
      <w:tr>
        <w:trPr/>
        <w:tc>
          <w:tcPr>
            <w:tcW w:w="133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13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Clear Street</w:t>
            </w:r>
          </w:p>
        </w:tc>
        <w:tc>
          <w:tcPr>
            <w:tcW w:w="1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Compass Point</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InspereX</w:t>
            </w:r>
          </w:p>
        </w:tc>
        <w:tc>
          <w:tcPr>
            <w:tcW w:w="22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Ladenburg Thalmann</w:t>
            </w:r>
          </w:p>
        </w:tc>
        <w:tc>
          <w:tcPr>
            <w:tcW w:w="14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William Blair</w:t>
            </w:r>
          </w:p>
        </w:tc>
        <w:tc>
          <w:tcPr>
            <w:tcW w:w="23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BC Partners Securities</w:t>
            </w:r>
          </w:p>
        </w:tc>
      </w:tr>
    </w:tbl>
    <w:p>
      <w:pPr>
        <w:pStyle w:val="TextBody"/>
        <w:bidi w:val="0"/>
        <w:spacing w:before="720" w:after="283"/>
        <w:jc w:val="center"/>
        <w:rPr>
          <w:rFonts w:ascii="Times New Roman" w:hAnsi="Times New Roman"/>
          <w:b/>
          <w:color w:val="000000"/>
          <w:sz w:val="20"/>
        </w:rPr>
      </w:pPr>
      <w:r>
        <w:rPr>
          <w:rFonts w:ascii="Times New Roman" w:hAnsi="Times New Roman"/>
          <w:b/>
          <w:color w:val="000000"/>
          <w:sz w:val="20"/>
        </w:rPr>
        <w:t>September 24, 2026</w:t>
      </w:r>
    </w:p>
    <w:p>
      <w:pPr>
        <w:pStyle w:val="TextBody"/>
        <w:pBdr>
          <w:bottom w:val="single" w:sz="10" w:space="1" w:color="000000"/>
        </w:pBdr>
        <w:bidi w:val="0"/>
        <w:spacing w:before="7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9312526104117/rway-20251231.htm" TargetMode="External"/><Relationship Id="rId3" Type="http://schemas.openxmlformats.org/officeDocument/2006/relationships/hyperlink" Target="https://www.sec.gov/Archives/edgar/data/1653384/000119312526104117/rway-20251231.htm" TargetMode="External"/><Relationship Id="rId4" Type="http://schemas.openxmlformats.org/officeDocument/2006/relationships/hyperlink" Target="https://www.sec.gov/Archives/edgar/data/1653384/000119312526104117/rway-20251231.htm" TargetMode="External"/><Relationship Id="rId5" Type="http://schemas.openxmlformats.org/officeDocument/2006/relationships/hyperlink" Target="https://www.sec.gov/Archives/edgar/data/1653384/000119312526211877/rway-20260331.htm" TargetMode="External"/><Relationship Id="rId6" Type="http://schemas.openxmlformats.org/officeDocument/2006/relationships/hyperlink" Target="https://www.sec.gov/Archives/edgar/data/1653384/000119312526337968/rway-20260630.htm" TargetMode="External"/><Relationship Id="rId7" Type="http://schemas.openxmlformats.org/officeDocument/2006/relationships/hyperlink" Target="https://www.sec.gov/Archives/edgar/data/1653384/000119312526192150/rway-20260428.htm" TargetMode="External"/><Relationship Id="rId8" Type="http://schemas.openxmlformats.org/officeDocument/2006/relationships/hyperlink" Target="https://www.sec.gov/Archives/edgar/data/1653384/000110465926007780/tm264314d1_8k.htm" TargetMode="External"/><Relationship Id="rId9" Type="http://schemas.openxmlformats.org/officeDocument/2006/relationships/hyperlink" Target="https://www.sec.gov/Archives/edgar/data/1653384/000110465926009736/tm264911d1_8k.htm" TargetMode="External"/><Relationship Id="rId10" Type="http://schemas.openxmlformats.org/officeDocument/2006/relationships/hyperlink" Target="https://www.sec.gov/Archives/edgar/data/1653384/000119312526144599/rway-20260407.htm" TargetMode="External"/><Relationship Id="rId11" Type="http://schemas.openxmlformats.org/officeDocument/2006/relationships/hyperlink" Target="https://www.sec.gov/Archives/edgar/data/1653384/000110465926068282/tm2616014d1_8k.htm" TargetMode="External"/><Relationship Id="rId12" Type="http://schemas.openxmlformats.org/officeDocument/2006/relationships/hyperlink" Target="https://www.sec.gov/Archives/edgar/data/1653384/000119312526282711/rway-20260623.htm" TargetMode="External"/><Relationship Id="rId13" Type="http://schemas.openxmlformats.org/officeDocument/2006/relationships/hyperlink" Target="https://www.sec.gov/Archives/edgar/data/1653384/000119312526304889/rway-20260713.htm" TargetMode="External"/><Relationship Id="rId14" Type="http://schemas.openxmlformats.org/officeDocument/2006/relationships/hyperlink" Target="https://www.sec.gov/Archives/edgar/data/1653384/000119312526335031/rway-20260805.htm" TargetMode="External"/><Relationship Id="rId15" Type="http://schemas.openxmlformats.org/officeDocument/2006/relationships/hyperlink" Target="https://www.sec.gov/Archives/edgar/data/1653384/000119312526402956/rway-20260924.htm" TargetMode="External"/><Relationship Id="rId16" Type="http://schemas.openxmlformats.org/officeDocument/2006/relationships/hyperlink" Target="https://www.sec.gov/Archives/edgar/data/1653384/000110465921127885/tm2130527d1_8a12b.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71947</Words>
  <Characters>380367</Characters>
  <CharactersWithSpaces>456261</CharactersWithSpaces>
  <Paragraphs>9655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